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439EC45" w14:textId="77777777" w:rsidR="00371A08" w:rsidRPr="00C17A7B" w:rsidRDefault="00371A08">
      <w:pPr>
        <w:spacing w:line="360" w:lineRule="auto"/>
        <w:jc w:val="center"/>
        <w:rPr>
          <w:rFonts w:ascii="Times" w:eastAsia="Times" w:hAnsi="Times" w:cs="Times"/>
          <w:color w:val="000000" w:themeColor="text1"/>
          <w:sz w:val="36"/>
          <w:szCs w:val="36"/>
        </w:rPr>
      </w:pPr>
    </w:p>
    <w:p w14:paraId="5D29DEE4" w14:textId="77777777" w:rsidR="00371A08" w:rsidRPr="00C17A7B" w:rsidRDefault="00000000">
      <w:pPr>
        <w:spacing w:line="360" w:lineRule="auto"/>
        <w:jc w:val="center"/>
        <w:rPr>
          <w:rFonts w:ascii="Times" w:eastAsia="Times" w:hAnsi="Times" w:cs="Times"/>
          <w:color w:val="000000" w:themeColor="text1"/>
          <w:sz w:val="36"/>
          <w:szCs w:val="36"/>
        </w:rPr>
      </w:pPr>
      <w:r w:rsidRPr="00C17A7B">
        <w:rPr>
          <w:rFonts w:ascii="Times" w:eastAsia="Times" w:hAnsi="Times" w:cs="Times"/>
          <w:noProof/>
          <w:color w:val="000000" w:themeColor="text1"/>
          <w:sz w:val="36"/>
          <w:szCs w:val="36"/>
        </w:rPr>
        <w:drawing>
          <wp:inline distT="0" distB="0" distL="0" distR="0" wp14:anchorId="09F2606D" wp14:editId="3269F2E4">
            <wp:extent cx="2627352" cy="1417936"/>
            <wp:effectExtent l="0" t="0" r="0" b="0"/>
            <wp:docPr id="913349629" name="image2.png" descr="Texto&#10;&#10;Descripción generada automáticamente"/>
            <wp:cNvGraphicFramePr/>
            <a:graphic xmlns:a="http://schemas.openxmlformats.org/drawingml/2006/main">
              <a:graphicData uri="http://schemas.openxmlformats.org/drawingml/2006/picture">
                <pic:pic xmlns:pic="http://schemas.openxmlformats.org/drawingml/2006/picture">
                  <pic:nvPicPr>
                    <pic:cNvPr id="0" name="image2.png" descr="Texto&#10;&#10;Descripción generada automáticamente"/>
                    <pic:cNvPicPr preferRelativeResize="0"/>
                  </pic:nvPicPr>
                  <pic:blipFill>
                    <a:blip r:embed="rId9"/>
                    <a:srcRect/>
                    <a:stretch>
                      <a:fillRect/>
                    </a:stretch>
                  </pic:blipFill>
                  <pic:spPr>
                    <a:xfrm>
                      <a:off x="0" y="0"/>
                      <a:ext cx="2627352" cy="1417936"/>
                    </a:xfrm>
                    <a:prstGeom prst="rect">
                      <a:avLst/>
                    </a:prstGeom>
                    <a:ln/>
                  </pic:spPr>
                </pic:pic>
              </a:graphicData>
            </a:graphic>
          </wp:inline>
        </w:drawing>
      </w:r>
    </w:p>
    <w:p w14:paraId="2A58CA24" w14:textId="77777777" w:rsidR="00371A08" w:rsidRPr="00C17A7B" w:rsidRDefault="00371A08">
      <w:pPr>
        <w:spacing w:line="360" w:lineRule="auto"/>
        <w:jc w:val="center"/>
        <w:rPr>
          <w:rFonts w:ascii="Times" w:eastAsia="Times" w:hAnsi="Times" w:cs="Times"/>
          <w:color w:val="000000" w:themeColor="text1"/>
          <w:sz w:val="36"/>
          <w:szCs w:val="36"/>
        </w:rPr>
      </w:pPr>
    </w:p>
    <w:p w14:paraId="1D4E7038" w14:textId="77777777" w:rsidR="00702747" w:rsidRPr="00C17A7B" w:rsidRDefault="00702747">
      <w:pPr>
        <w:spacing w:line="360" w:lineRule="auto"/>
        <w:jc w:val="center"/>
        <w:rPr>
          <w:rFonts w:ascii="Times" w:eastAsia="Times" w:hAnsi="Times" w:cs="Times"/>
          <w:color w:val="000000" w:themeColor="text1"/>
          <w:sz w:val="32"/>
          <w:szCs w:val="32"/>
        </w:rPr>
      </w:pPr>
    </w:p>
    <w:p w14:paraId="2B4F7D7A" w14:textId="72C57CB7" w:rsidR="00371A08" w:rsidRPr="00C17A7B" w:rsidRDefault="00000000">
      <w:pPr>
        <w:spacing w:line="360" w:lineRule="auto"/>
        <w:jc w:val="center"/>
        <w:rPr>
          <w:rFonts w:ascii="Times" w:eastAsia="Times" w:hAnsi="Times" w:cs="Times"/>
          <w:color w:val="000000" w:themeColor="text1"/>
          <w:sz w:val="32"/>
          <w:szCs w:val="32"/>
        </w:rPr>
      </w:pPr>
      <w:r w:rsidRPr="00C17A7B">
        <w:rPr>
          <w:rFonts w:ascii="Times" w:eastAsia="Times" w:hAnsi="Times" w:cs="Times"/>
          <w:color w:val="000000" w:themeColor="text1"/>
          <w:sz w:val="32"/>
          <w:szCs w:val="32"/>
        </w:rPr>
        <w:t>FACULTAD DE CIENCIAS HUMANAS Y SOCIALES</w:t>
      </w:r>
    </w:p>
    <w:p w14:paraId="7223C847" w14:textId="77777777" w:rsidR="00371A08" w:rsidRPr="00C17A7B" w:rsidRDefault="00371A08" w:rsidP="00702747">
      <w:pPr>
        <w:spacing w:line="360" w:lineRule="auto"/>
        <w:rPr>
          <w:rFonts w:ascii="Times" w:eastAsia="Times" w:hAnsi="Times" w:cs="Times"/>
          <w:color w:val="000000" w:themeColor="text1"/>
          <w:sz w:val="36"/>
          <w:szCs w:val="36"/>
        </w:rPr>
      </w:pPr>
    </w:p>
    <w:p w14:paraId="61C74E04" w14:textId="77777777" w:rsidR="00371A08" w:rsidRPr="00C17A7B" w:rsidRDefault="00371A08">
      <w:pPr>
        <w:spacing w:line="360" w:lineRule="auto"/>
        <w:jc w:val="center"/>
        <w:rPr>
          <w:rFonts w:ascii="Times" w:eastAsia="Times" w:hAnsi="Times" w:cs="Times"/>
          <w:color w:val="000000" w:themeColor="text1"/>
          <w:sz w:val="36"/>
          <w:szCs w:val="36"/>
        </w:rPr>
      </w:pPr>
    </w:p>
    <w:p w14:paraId="66E74110" w14:textId="77777777" w:rsidR="00702747" w:rsidRPr="00C17A7B" w:rsidRDefault="00000000">
      <w:pPr>
        <w:spacing w:line="360" w:lineRule="auto"/>
        <w:jc w:val="center"/>
        <w:rPr>
          <w:rFonts w:ascii="Times" w:eastAsia="Times" w:hAnsi="Times" w:cs="Times"/>
          <w:b/>
          <w:color w:val="000000" w:themeColor="text1"/>
          <w:sz w:val="36"/>
          <w:szCs w:val="36"/>
        </w:rPr>
      </w:pPr>
      <w:r w:rsidRPr="00C17A7B">
        <w:rPr>
          <w:rFonts w:ascii="Times" w:eastAsia="Times" w:hAnsi="Times" w:cs="Times"/>
          <w:b/>
          <w:color w:val="000000" w:themeColor="text1"/>
          <w:sz w:val="36"/>
          <w:szCs w:val="36"/>
        </w:rPr>
        <w:t>E</w:t>
      </w:r>
      <w:r w:rsidR="00702747" w:rsidRPr="00C17A7B">
        <w:rPr>
          <w:rFonts w:ascii="Times" w:eastAsia="Times" w:hAnsi="Times" w:cs="Times"/>
          <w:b/>
          <w:color w:val="000000" w:themeColor="text1"/>
          <w:sz w:val="36"/>
          <w:szCs w:val="36"/>
        </w:rPr>
        <w:t xml:space="preserve">L USO DE REDES SOCIALES </w:t>
      </w:r>
    </w:p>
    <w:p w14:paraId="2E354FDE" w14:textId="4E45CD71" w:rsidR="00702747" w:rsidRPr="00C17A7B" w:rsidRDefault="00702747">
      <w:pPr>
        <w:spacing w:line="360" w:lineRule="auto"/>
        <w:jc w:val="center"/>
        <w:rPr>
          <w:rFonts w:ascii="Times" w:eastAsia="Times" w:hAnsi="Times" w:cs="Times"/>
          <w:b/>
          <w:color w:val="000000" w:themeColor="text1"/>
          <w:sz w:val="36"/>
          <w:szCs w:val="36"/>
        </w:rPr>
      </w:pPr>
      <w:r w:rsidRPr="00C17A7B">
        <w:rPr>
          <w:rFonts w:ascii="Times" w:eastAsia="Times" w:hAnsi="Times" w:cs="Times"/>
          <w:b/>
          <w:color w:val="000000" w:themeColor="text1"/>
          <w:sz w:val="36"/>
          <w:szCs w:val="36"/>
        </w:rPr>
        <w:t xml:space="preserve">Y EL DESARROLLO DE SINTOMATOLOGÍA TCA </w:t>
      </w:r>
    </w:p>
    <w:p w14:paraId="1F197410" w14:textId="719B40F4" w:rsidR="00702747" w:rsidRPr="00C17A7B" w:rsidRDefault="00702747" w:rsidP="00702747">
      <w:pPr>
        <w:spacing w:line="360" w:lineRule="auto"/>
        <w:jc w:val="center"/>
        <w:rPr>
          <w:rFonts w:ascii="Times" w:eastAsia="Times" w:hAnsi="Times" w:cs="Times"/>
          <w:b/>
          <w:color w:val="000000" w:themeColor="text1"/>
          <w:sz w:val="36"/>
          <w:szCs w:val="36"/>
        </w:rPr>
      </w:pPr>
      <w:r w:rsidRPr="00C17A7B">
        <w:rPr>
          <w:rFonts w:ascii="Times" w:eastAsia="Times" w:hAnsi="Times" w:cs="Times"/>
          <w:b/>
          <w:color w:val="000000" w:themeColor="text1"/>
          <w:sz w:val="36"/>
          <w:szCs w:val="36"/>
        </w:rPr>
        <w:t xml:space="preserve">EN MUJERES JÓVENES </w:t>
      </w:r>
      <w:r w:rsidRPr="00C17A7B">
        <w:rPr>
          <w:rFonts w:ascii="Times" w:eastAsia="Times" w:hAnsi="Times" w:cs="Times"/>
          <w:b/>
          <w:color w:val="000000" w:themeColor="text1"/>
          <w:sz w:val="36"/>
          <w:szCs w:val="36"/>
        </w:rPr>
        <w:br/>
      </w:r>
    </w:p>
    <w:p w14:paraId="66695A99" w14:textId="77777777" w:rsidR="00702747" w:rsidRPr="00C17A7B" w:rsidRDefault="00702747" w:rsidP="00702747">
      <w:pPr>
        <w:spacing w:line="360" w:lineRule="auto"/>
        <w:jc w:val="center"/>
        <w:rPr>
          <w:rFonts w:ascii="Times" w:eastAsia="Times" w:hAnsi="Times" w:cs="Times"/>
          <w:b/>
          <w:color w:val="000000" w:themeColor="text1"/>
          <w:sz w:val="36"/>
          <w:szCs w:val="36"/>
        </w:rPr>
      </w:pPr>
    </w:p>
    <w:p w14:paraId="0E1E65E2" w14:textId="77777777" w:rsidR="00371A08" w:rsidRPr="00C17A7B" w:rsidRDefault="00371A08">
      <w:pPr>
        <w:spacing w:line="360" w:lineRule="auto"/>
        <w:jc w:val="center"/>
        <w:rPr>
          <w:rFonts w:ascii="Times" w:eastAsia="Times" w:hAnsi="Times" w:cs="Times"/>
          <w:color w:val="000000" w:themeColor="text1"/>
        </w:rPr>
      </w:pPr>
    </w:p>
    <w:p w14:paraId="3F3738D6" w14:textId="77777777" w:rsidR="00371A08" w:rsidRPr="00C17A7B" w:rsidRDefault="00000000">
      <w:pPr>
        <w:spacing w:line="360" w:lineRule="auto"/>
        <w:jc w:val="center"/>
        <w:rPr>
          <w:rFonts w:ascii="Times" w:eastAsia="Times" w:hAnsi="Times" w:cs="Times"/>
          <w:color w:val="000000" w:themeColor="text1"/>
        </w:rPr>
      </w:pPr>
      <w:r w:rsidRPr="00C17A7B">
        <w:rPr>
          <w:rFonts w:ascii="Times" w:eastAsia="Times" w:hAnsi="Times" w:cs="Times"/>
          <w:b/>
          <w:color w:val="000000" w:themeColor="text1"/>
        </w:rPr>
        <w:t>Autor:</w:t>
      </w:r>
      <w:r w:rsidRPr="00C17A7B">
        <w:rPr>
          <w:rFonts w:ascii="Times" w:eastAsia="Times" w:hAnsi="Times" w:cs="Times"/>
          <w:color w:val="000000" w:themeColor="text1"/>
        </w:rPr>
        <w:t xml:space="preserve"> Claudia Barquero Schmäing</w:t>
      </w:r>
    </w:p>
    <w:p w14:paraId="448C4A40" w14:textId="77777777" w:rsidR="00371A08" w:rsidRPr="00C17A7B" w:rsidRDefault="00371A08">
      <w:pPr>
        <w:spacing w:line="360" w:lineRule="auto"/>
        <w:jc w:val="center"/>
        <w:rPr>
          <w:rFonts w:ascii="Times" w:eastAsia="Times" w:hAnsi="Times" w:cs="Times"/>
          <w:color w:val="000000" w:themeColor="text1"/>
        </w:rPr>
      </w:pPr>
    </w:p>
    <w:p w14:paraId="5509514A" w14:textId="77777777" w:rsidR="00371A08" w:rsidRPr="00C17A7B" w:rsidRDefault="00000000">
      <w:pPr>
        <w:spacing w:line="360" w:lineRule="auto"/>
        <w:jc w:val="center"/>
        <w:rPr>
          <w:rFonts w:ascii="Times" w:eastAsia="Times" w:hAnsi="Times" w:cs="Times"/>
          <w:color w:val="000000" w:themeColor="text1"/>
        </w:rPr>
      </w:pPr>
      <w:r w:rsidRPr="00C17A7B">
        <w:rPr>
          <w:rFonts w:ascii="Times" w:eastAsia="Times" w:hAnsi="Times" w:cs="Times"/>
          <w:b/>
          <w:color w:val="000000" w:themeColor="text1"/>
        </w:rPr>
        <w:t>Tutor profesional:</w:t>
      </w:r>
      <w:r w:rsidRPr="00C17A7B">
        <w:rPr>
          <w:rFonts w:ascii="Times" w:eastAsia="Times" w:hAnsi="Times" w:cs="Times"/>
          <w:color w:val="000000" w:themeColor="text1"/>
        </w:rPr>
        <w:t xml:space="preserve"> Pedro María Ruiz de Assín-Varela</w:t>
      </w:r>
    </w:p>
    <w:p w14:paraId="61806E21" w14:textId="77777777" w:rsidR="00371A08" w:rsidRPr="00C17A7B" w:rsidRDefault="00371A08">
      <w:pPr>
        <w:spacing w:line="360" w:lineRule="auto"/>
        <w:jc w:val="center"/>
        <w:rPr>
          <w:rFonts w:ascii="Times" w:eastAsia="Times" w:hAnsi="Times" w:cs="Times"/>
          <w:color w:val="000000" w:themeColor="text1"/>
        </w:rPr>
      </w:pPr>
    </w:p>
    <w:p w14:paraId="44AB349F" w14:textId="77777777" w:rsidR="00371A08" w:rsidRPr="00C17A7B" w:rsidRDefault="00371A08" w:rsidP="00702747">
      <w:pPr>
        <w:spacing w:line="360" w:lineRule="auto"/>
        <w:rPr>
          <w:rFonts w:ascii="Times" w:eastAsia="Times" w:hAnsi="Times" w:cs="Times"/>
          <w:color w:val="000000" w:themeColor="text1"/>
          <w:sz w:val="36"/>
          <w:szCs w:val="36"/>
        </w:rPr>
      </w:pPr>
    </w:p>
    <w:p w14:paraId="770E7F8A" w14:textId="77777777" w:rsidR="00371A08" w:rsidRPr="00C17A7B" w:rsidRDefault="00371A08">
      <w:pPr>
        <w:spacing w:line="360" w:lineRule="auto"/>
        <w:rPr>
          <w:rFonts w:ascii="Times" w:eastAsia="Times" w:hAnsi="Times" w:cs="Times"/>
          <w:color w:val="000000" w:themeColor="text1"/>
          <w:sz w:val="36"/>
          <w:szCs w:val="36"/>
        </w:rPr>
      </w:pPr>
    </w:p>
    <w:p w14:paraId="023FD1CA" w14:textId="77777777" w:rsidR="00371A08" w:rsidRPr="00C17A7B" w:rsidRDefault="00371A08">
      <w:pPr>
        <w:spacing w:line="360" w:lineRule="auto"/>
        <w:jc w:val="center"/>
        <w:rPr>
          <w:rFonts w:ascii="Times" w:eastAsia="Times" w:hAnsi="Times" w:cs="Times"/>
          <w:color w:val="000000" w:themeColor="text1"/>
          <w:sz w:val="36"/>
          <w:szCs w:val="36"/>
        </w:rPr>
      </w:pPr>
    </w:p>
    <w:p w14:paraId="655FE136" w14:textId="77777777" w:rsidR="00371A08" w:rsidRPr="00C17A7B" w:rsidRDefault="00000000">
      <w:pPr>
        <w:spacing w:line="360" w:lineRule="auto"/>
        <w:jc w:val="center"/>
        <w:rPr>
          <w:rFonts w:ascii="Times" w:eastAsia="Times" w:hAnsi="Times" w:cs="Times"/>
          <w:color w:val="000000" w:themeColor="text1"/>
        </w:rPr>
      </w:pPr>
      <w:r w:rsidRPr="00C17A7B">
        <w:rPr>
          <w:rFonts w:ascii="Times" w:eastAsia="Times" w:hAnsi="Times" w:cs="Times"/>
          <w:color w:val="000000" w:themeColor="text1"/>
        </w:rPr>
        <w:t xml:space="preserve">Madrid </w:t>
      </w:r>
    </w:p>
    <w:p w14:paraId="2A4FC29E" w14:textId="77777777" w:rsidR="00371A08" w:rsidRPr="00C17A7B" w:rsidRDefault="00000000">
      <w:pPr>
        <w:spacing w:line="360" w:lineRule="auto"/>
        <w:jc w:val="center"/>
        <w:rPr>
          <w:rFonts w:ascii="Times" w:eastAsia="Times" w:hAnsi="Times" w:cs="Times"/>
          <w:color w:val="000000" w:themeColor="text1"/>
        </w:rPr>
      </w:pPr>
      <w:r w:rsidRPr="00C17A7B">
        <w:rPr>
          <w:rFonts w:ascii="Times" w:eastAsia="Times" w:hAnsi="Times" w:cs="Times"/>
          <w:color w:val="000000" w:themeColor="text1"/>
        </w:rPr>
        <w:t>Mayo 2023</w:t>
      </w:r>
    </w:p>
    <w:tbl>
      <w:tblPr>
        <w:tblStyle w:val="a"/>
        <w:tblW w:w="8409" w:type="dxa"/>
        <w:tblInd w:w="0" w:type="dxa"/>
        <w:tblBorders>
          <w:top w:val="nil"/>
          <w:left w:val="nil"/>
          <w:bottom w:val="nil"/>
          <w:right w:val="nil"/>
          <w:insideH w:val="nil"/>
          <w:insideV w:val="nil"/>
        </w:tblBorders>
        <w:tblLayout w:type="fixed"/>
        <w:tblLook w:val="0400" w:firstRow="0" w:lastRow="0" w:firstColumn="0" w:lastColumn="0" w:noHBand="0" w:noVBand="1"/>
      </w:tblPr>
      <w:tblGrid>
        <w:gridCol w:w="8409"/>
      </w:tblGrid>
      <w:tr w:rsidR="00C17A7B" w:rsidRPr="00C17A7B" w14:paraId="11934780" w14:textId="77777777">
        <w:trPr>
          <w:cantSplit/>
          <w:trHeight w:val="11844"/>
        </w:trPr>
        <w:tc>
          <w:tcPr>
            <w:tcW w:w="8409" w:type="dxa"/>
          </w:tcPr>
          <w:p w14:paraId="47B66B7E" w14:textId="77777777" w:rsidR="00371A08" w:rsidRPr="00C17A7B" w:rsidRDefault="00371A08" w:rsidP="00920A6E">
            <w:pPr>
              <w:ind w:left="113" w:right="113"/>
              <w:jc w:val="center"/>
              <w:rPr>
                <w:rFonts w:ascii="Times" w:eastAsia="Times" w:hAnsi="Times" w:cs="Times"/>
                <w:b/>
                <w:color w:val="000000" w:themeColor="text1"/>
                <w:sz w:val="20"/>
                <w:szCs w:val="20"/>
              </w:rPr>
            </w:pPr>
          </w:p>
          <w:p w14:paraId="4CD07ECB" w14:textId="272B29FA" w:rsidR="00920A6E" w:rsidRPr="00C17A7B" w:rsidRDefault="00920A6E" w:rsidP="00920A6E">
            <w:pPr>
              <w:ind w:left="113" w:right="113"/>
              <w:jc w:val="center"/>
              <w:rPr>
                <w:rFonts w:ascii="Times" w:eastAsia="Times" w:hAnsi="Times" w:cs="Times"/>
                <w:b/>
                <w:color w:val="000000" w:themeColor="text1"/>
                <w:sz w:val="20"/>
                <w:szCs w:val="20"/>
              </w:rPr>
            </w:pPr>
          </w:p>
          <w:p w14:paraId="27A3CAB4" w14:textId="269DE9A7" w:rsidR="00920A6E" w:rsidRPr="00C17A7B" w:rsidRDefault="00920A6E" w:rsidP="00920A6E">
            <w:pPr>
              <w:ind w:left="113" w:right="113"/>
              <w:jc w:val="center"/>
              <w:rPr>
                <w:rFonts w:ascii="Times" w:eastAsia="Times" w:hAnsi="Times" w:cs="Times"/>
                <w:b/>
                <w:color w:val="000000" w:themeColor="text1"/>
                <w:sz w:val="20"/>
                <w:szCs w:val="20"/>
              </w:rPr>
            </w:pPr>
          </w:p>
          <w:p w14:paraId="23C3284C" w14:textId="396CE568" w:rsidR="00920A6E" w:rsidRPr="00C17A7B" w:rsidRDefault="00920A6E" w:rsidP="00920A6E">
            <w:pPr>
              <w:ind w:left="113" w:right="113"/>
              <w:jc w:val="center"/>
              <w:rPr>
                <w:rFonts w:ascii="Times" w:eastAsia="Times" w:hAnsi="Times" w:cs="Times"/>
                <w:b/>
                <w:color w:val="000000" w:themeColor="text1"/>
                <w:sz w:val="20"/>
                <w:szCs w:val="20"/>
              </w:rPr>
            </w:pPr>
          </w:p>
          <w:p w14:paraId="09C5C098" w14:textId="2A21F8E2" w:rsidR="00920A6E" w:rsidRPr="00C17A7B" w:rsidRDefault="00920A6E" w:rsidP="00920A6E">
            <w:pPr>
              <w:ind w:left="113" w:right="113"/>
              <w:jc w:val="center"/>
              <w:rPr>
                <w:rFonts w:ascii="Times" w:eastAsia="Times" w:hAnsi="Times" w:cs="Times"/>
                <w:b/>
                <w:color w:val="000000" w:themeColor="text1"/>
                <w:sz w:val="20"/>
                <w:szCs w:val="20"/>
              </w:rPr>
            </w:pPr>
          </w:p>
          <w:p w14:paraId="5C1AF76F" w14:textId="4B03CA54" w:rsidR="00920A6E" w:rsidRPr="00C17A7B" w:rsidRDefault="00920A6E" w:rsidP="00920A6E">
            <w:pPr>
              <w:ind w:left="113" w:right="113"/>
              <w:jc w:val="center"/>
              <w:rPr>
                <w:rFonts w:ascii="Times" w:eastAsia="Times" w:hAnsi="Times" w:cs="Times"/>
                <w:b/>
                <w:color w:val="000000" w:themeColor="text1"/>
                <w:sz w:val="20"/>
                <w:szCs w:val="20"/>
              </w:rPr>
            </w:pPr>
          </w:p>
        </w:tc>
      </w:tr>
    </w:tbl>
    <w:p w14:paraId="5A2ABBBC" w14:textId="6B75DEA4" w:rsidR="00371A08" w:rsidRPr="00C17A7B" w:rsidRDefault="00920A6E">
      <w:pPr>
        <w:rPr>
          <w:rFonts w:ascii="Times" w:eastAsia="Times" w:hAnsi="Times" w:cs="Times"/>
          <w:b/>
          <w:color w:val="000000" w:themeColor="text1"/>
        </w:rPr>
      </w:pPr>
      <w:r w:rsidRPr="00C17A7B">
        <w:rPr>
          <w:noProof/>
          <w:color w:val="000000" w:themeColor="text1"/>
        </w:rPr>
        <mc:AlternateContent>
          <mc:Choice Requires="wps">
            <w:drawing>
              <wp:anchor distT="0" distB="0" distL="114300" distR="114300" simplePos="0" relativeHeight="251660288" behindDoc="0" locked="0" layoutInCell="1" allowOverlap="1" wp14:anchorId="4C57D0B9" wp14:editId="2A364160">
                <wp:simplePos x="0" y="0"/>
                <wp:positionH relativeFrom="column">
                  <wp:posOffset>-296984</wp:posOffset>
                </wp:positionH>
                <wp:positionV relativeFrom="paragraph">
                  <wp:posOffset>-6143625</wp:posOffset>
                </wp:positionV>
                <wp:extent cx="1078523" cy="4587631"/>
                <wp:effectExtent l="0" t="0" r="1270" b="0"/>
                <wp:wrapNone/>
                <wp:docPr id="1796927660" name="Cuadro de texto 1"/>
                <wp:cNvGraphicFramePr/>
                <a:graphic xmlns:a="http://schemas.openxmlformats.org/drawingml/2006/main">
                  <a:graphicData uri="http://schemas.microsoft.com/office/word/2010/wordprocessingShape">
                    <wps:wsp>
                      <wps:cNvSpPr txBox="1"/>
                      <wps:spPr>
                        <a:xfrm rot="10800000">
                          <a:off x="0" y="0"/>
                          <a:ext cx="1078523" cy="4587631"/>
                        </a:xfrm>
                        <a:prstGeom prst="rect">
                          <a:avLst/>
                        </a:prstGeom>
                        <a:solidFill>
                          <a:schemeClr val="lt1"/>
                        </a:solidFill>
                        <a:ln w="6350">
                          <a:noFill/>
                        </a:ln>
                      </wps:spPr>
                      <wps:txbx>
                        <w:txbxContent>
                          <w:p w14:paraId="526B78EC" w14:textId="4E8116D4" w:rsidR="00920A6E" w:rsidRPr="0010216D" w:rsidRDefault="00920A6E" w:rsidP="00920A6E">
                            <w:pPr>
                              <w:jc w:val="center"/>
                              <w:rPr>
                                <w:b/>
                                <w:bCs/>
                              </w:rPr>
                            </w:pPr>
                            <w:r w:rsidRPr="0010216D">
                              <w:rPr>
                                <w:b/>
                                <w:bCs/>
                              </w:rPr>
                              <w:t>EL USO DE REDES SOCIALES Y EL DESARROLLO DE SINTOMATOLOGÍA TCA EN MUJERES JÓVENES</w:t>
                            </w:r>
                          </w:p>
                        </w:txbxContent>
                      </wps:txbx>
                      <wps:bodyPr rot="0" spcFirstLastPara="0" vertOverflow="overflow" horzOverflow="overflow" vert="eaVert" wrap="square" lIns="91440" tIns="45720" rIns="91440" bIns="45720" numCol="1" spcCol="0" rtlCol="0" fromWordArt="0" anchor="t" anchorCtr="0" forceAA="0" compatLnSpc="1">
                        <a:prstTxWarp prst="textNoShape">
                          <a:avLst/>
                        </a:prstTxWarp>
                        <a:noAutofit/>
                      </wps:bodyPr>
                    </wps:wsp>
                  </a:graphicData>
                </a:graphic>
              </wp:anchor>
            </w:drawing>
          </mc:Choice>
          <mc:Fallback>
            <w:pict>
              <v:shapetype w14:anchorId="4C57D0B9" id="_x0000_t202" coordsize="21600,21600" o:spt="202" path="m,l,21600r21600,l21600,xe">
                <v:stroke joinstyle="miter"/>
                <v:path gradientshapeok="t" o:connecttype="rect"/>
              </v:shapetype>
              <v:shape id="Cuadro de texto 1" o:spid="_x0000_s1026" type="#_x0000_t202" style="position:absolute;margin-left:-23.4pt;margin-top:-483.75pt;width:84.9pt;height:361.25pt;rotation:180;z-index:251660288;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" fillcolor="white [3201]" stroked="f" strokeweight=".5pt">
                <v:textbox style="layout-flow:vertical-ideographic">
                  <w:txbxContent>
                    <w:p w14:paraId="526B78EC" w14:textId="4E8116D4" w:rsidR="00920A6E" w:rsidRPr="0010216D" w:rsidRDefault="00920A6E" w:rsidP="00920A6E">
                      <w:pPr>
                        <w:jc w:val="center"/>
                        <w:rPr>
                          <w:b/>
                          <w:bCs/>
                        </w:rPr>
                      </w:pPr>
                      <w:r w:rsidRPr="0010216D">
                        <w:rPr>
                          <w:b/>
                          <w:bCs/>
                        </w:rPr>
                        <w:t>EL USO DE REDES SOCIALES Y EL DESARROLLO DE SINTOMATOLOGÍA TCA EN MUJERES JÓVENES</w:t>
                      </w:r>
                    </w:p>
                  </w:txbxContent>
                </v:textbox>
              </v:shape>
            </w:pict>
          </mc:Fallback>
        </mc:AlternateContent>
      </w:r>
      <w:r w:rsidRPr="00C17A7B">
        <w:rPr>
          <w:noProof/>
          <w:color w:val="000000" w:themeColor="text1"/>
        </w:rPr>
        <mc:AlternateContent>
          <mc:Choice Requires="wps">
            <w:drawing>
              <wp:anchor distT="0" distB="0" distL="114300" distR="114300" simplePos="0" relativeHeight="251658240" behindDoc="0" locked="0" layoutInCell="1" hidden="0" allowOverlap="1" wp14:anchorId="2597DEA2" wp14:editId="4E44C378">
                <wp:simplePos x="0" y="0"/>
                <wp:positionH relativeFrom="column">
                  <wp:posOffset>-380999</wp:posOffset>
                </wp:positionH>
                <wp:positionV relativeFrom="paragraph">
                  <wp:posOffset>-8013699</wp:posOffset>
                </wp:positionV>
                <wp:extent cx="1457325" cy="916305"/>
                <wp:effectExtent l="0" t="0" r="0" b="0"/>
                <wp:wrapNone/>
                <wp:docPr id="913349628" name="Rectángulo 913349628"/>
                <wp:cNvGraphicFramePr/>
                <a:graphic xmlns:a="http://schemas.openxmlformats.org/drawingml/2006/main">
                  <a:graphicData uri="http://schemas.microsoft.com/office/word/2010/wordprocessingShape">
                    <wps:wsp>
                      <wps:cNvSpPr/>
                      <wps:spPr>
                        <a:xfrm>
                          <a:off x="4622100" y="3326610"/>
                          <a:ext cx="1447800" cy="906780"/>
                        </a:xfrm>
                        <a:prstGeom prst="rect">
                          <a:avLst/>
                        </a:prstGeom>
                        <a:solidFill>
                          <a:schemeClr val="lt1"/>
                        </a:solidFill>
                        <a:ln>
                          <a:noFill/>
                        </a:ln>
                      </wps:spPr>
                      <wps:txbx>
                        <w:txbxContent>
                          <w:p w14:paraId="1F9F09B6" w14:textId="77777777" w:rsidR="00371A08" w:rsidRDefault="00000000">
                            <w:pPr>
                              <w:jc w:val="center"/>
                              <w:textDirection w:val="btLr"/>
                            </w:pPr>
                            <w:r>
                              <w:rPr>
                                <w:color w:val="000000"/>
                              </w:rPr>
                              <w:t xml:space="preserve">Claudia </w:t>
                            </w:r>
                          </w:p>
                          <w:p w14:paraId="33444A6F" w14:textId="77777777" w:rsidR="00371A08" w:rsidRDefault="00000000">
                            <w:pPr>
                              <w:jc w:val="center"/>
                              <w:textDirection w:val="btLr"/>
                            </w:pPr>
                            <w:r>
                              <w:rPr>
                                <w:color w:val="000000"/>
                              </w:rPr>
                              <w:t xml:space="preserve">Barquero </w:t>
                            </w:r>
                          </w:p>
                          <w:p w14:paraId="5DE84A75" w14:textId="77777777" w:rsidR="00371A08" w:rsidRDefault="00000000">
                            <w:pPr>
                              <w:jc w:val="center"/>
                              <w:textDirection w:val="btLr"/>
                            </w:pPr>
                            <w:r>
                              <w:rPr>
                                <w:color w:val="000000"/>
                              </w:rPr>
                              <w:t>Schmäing</w:t>
                            </w:r>
                          </w:p>
                        </w:txbxContent>
                      </wps:txbx>
                      <wps:bodyPr spcFirstLastPara="1" wrap="square" lIns="91425" tIns="45700" rIns="91425" bIns="45700" anchor="t" anchorCtr="0">
                        <a:noAutofit/>
                      </wps:bodyPr>
                    </wps:wsp>
                  </a:graphicData>
                </a:graphic>
              </wp:anchor>
            </w:drawing>
          </mc:Choice>
          <mc:Fallback>
            <w:pict>
              <v:rect w14:anchorId="2597DEA2" id="Rectángulo 913349628" o:spid="_x0000_s1027" style="position:absolute;margin-left:-30pt;margin-top:-631pt;width:114.75pt;height:72.15pt;z-index:251658240;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" fillcolor="white [3201]" stroked="f">
                <v:textbox inset="2.53958mm,1.2694mm,2.53958mm,1.2694mm">
                  <w:txbxContent>
                    <w:p w14:paraId="1F9F09B6" w14:textId="77777777" w:rsidR="00371A08" w:rsidRDefault="00000000">
                      <w:pPr>
                        <w:jc w:val="center"/>
                        <w:textDirection w:val="btLr"/>
                      </w:pPr>
                      <w:r>
                        <w:rPr>
                          <w:color w:val="000000"/>
                        </w:rPr>
                        <w:t xml:space="preserve">Claudia </w:t>
                      </w:r>
                    </w:p>
                    <w:p w14:paraId="33444A6F" w14:textId="77777777" w:rsidR="00371A08" w:rsidRDefault="00000000">
                      <w:pPr>
                        <w:jc w:val="center"/>
                        <w:textDirection w:val="btLr"/>
                      </w:pPr>
                      <w:r>
                        <w:rPr>
                          <w:color w:val="000000"/>
                        </w:rPr>
                        <w:t xml:space="preserve">Barquero </w:t>
                      </w:r>
                    </w:p>
                    <w:p w14:paraId="5DE84A75" w14:textId="77777777" w:rsidR="00371A08" w:rsidRDefault="00000000">
                      <w:pPr>
                        <w:jc w:val="center"/>
                        <w:textDirection w:val="btLr"/>
                      </w:pPr>
                      <w:r>
                        <w:rPr>
                          <w:color w:val="000000"/>
                        </w:rPr>
                        <w:t>Schmäing</w:t>
                      </w:r>
                    </w:p>
                  </w:txbxContent>
                </v:textbox>
              </v:rect>
            </w:pict>
          </mc:Fallback>
        </mc:AlternateContent>
      </w:r>
    </w:p>
    <w:p w14:paraId="34710B04" w14:textId="77777777" w:rsidR="00371A08" w:rsidRPr="00C17A7B" w:rsidRDefault="00371A08">
      <w:pPr>
        <w:rPr>
          <w:rFonts w:ascii="Times" w:eastAsia="Times" w:hAnsi="Times" w:cs="Times"/>
          <w:b/>
          <w:color w:val="000000" w:themeColor="text1"/>
        </w:rPr>
      </w:pPr>
    </w:p>
    <w:p w14:paraId="6FC06B9F" w14:textId="77777777" w:rsidR="00371A08" w:rsidRPr="00C17A7B" w:rsidRDefault="00371A08">
      <w:pPr>
        <w:jc w:val="center"/>
        <w:rPr>
          <w:rFonts w:ascii="Times" w:eastAsia="Times" w:hAnsi="Times" w:cs="Times"/>
          <w:b/>
          <w:color w:val="000000" w:themeColor="text1"/>
        </w:rPr>
      </w:pPr>
    </w:p>
    <w:p w14:paraId="43EDA46E" w14:textId="77777777" w:rsidR="00371A08" w:rsidRPr="00C17A7B" w:rsidRDefault="00000000">
      <w:pPr>
        <w:jc w:val="center"/>
        <w:rPr>
          <w:rFonts w:ascii="Times" w:eastAsia="Times" w:hAnsi="Times" w:cs="Times"/>
          <w:b/>
          <w:color w:val="000000" w:themeColor="text1"/>
        </w:rPr>
      </w:pPr>
      <w:r w:rsidRPr="00C17A7B">
        <w:rPr>
          <w:noProof/>
          <w:color w:val="000000" w:themeColor="text1"/>
        </w:rPr>
        <w:drawing>
          <wp:anchor distT="0" distB="0" distL="114300" distR="114300" simplePos="0" relativeHeight="251659264" behindDoc="0" locked="0" layoutInCell="1" hidden="0" allowOverlap="1" wp14:anchorId="3F0BAB89" wp14:editId="3DC0718C">
            <wp:simplePos x="0" y="0"/>
            <wp:positionH relativeFrom="margin">
              <wp:posOffset>0</wp:posOffset>
            </wp:positionH>
            <wp:positionV relativeFrom="margin">
              <wp:posOffset>8217535</wp:posOffset>
            </wp:positionV>
            <wp:extent cx="609600" cy="624840"/>
            <wp:effectExtent l="0" t="0" r="0" b="0"/>
            <wp:wrapSquare wrapText="bothSides" distT="0" distB="0" distL="114300" distR="114300"/>
            <wp:docPr id="913349630" name="image1.jpg" descr="Escudo.jpg"/>
            <wp:cNvGraphicFramePr/>
            <a:graphic xmlns:a="http://schemas.openxmlformats.org/drawingml/2006/main">
              <a:graphicData uri="http://schemas.openxmlformats.org/drawingml/2006/picture">
                <pic:pic xmlns:pic="http://schemas.openxmlformats.org/drawingml/2006/picture">
                  <pic:nvPicPr>
                    <pic:cNvPr id="0" name="image1.jpg" descr="Escudo.jpg"/>
                    <pic:cNvPicPr preferRelativeResize="0"/>
                  </pic:nvPicPr>
                  <pic:blipFill>
                    <a:blip r:embed="rId10"/>
                    <a:srcRect/>
                    <a:stretch>
                      <a:fillRect/>
                    </a:stretch>
                  </pic:blipFill>
                  <pic:spPr>
                    <a:xfrm>
                      <a:off x="0" y="0"/>
                      <a:ext cx="609600" cy="624840"/>
                    </a:xfrm>
                    <a:prstGeom prst="rect">
                      <a:avLst/>
                    </a:prstGeom>
                    <a:ln/>
                  </pic:spPr>
                </pic:pic>
              </a:graphicData>
            </a:graphic>
          </wp:anchor>
        </w:drawing>
      </w:r>
    </w:p>
    <w:p w14:paraId="0EC9D892" w14:textId="77777777" w:rsidR="00371A08" w:rsidRPr="00C17A7B" w:rsidRDefault="00371A08">
      <w:pPr>
        <w:jc w:val="center"/>
        <w:rPr>
          <w:rFonts w:ascii="Times" w:eastAsia="Times" w:hAnsi="Times" w:cs="Times"/>
          <w:b/>
          <w:color w:val="000000" w:themeColor="text1"/>
        </w:rPr>
      </w:pPr>
    </w:p>
    <w:p w14:paraId="70860CE3" w14:textId="77777777" w:rsidR="00371A08" w:rsidRPr="00C17A7B" w:rsidRDefault="00371A08">
      <w:pPr>
        <w:jc w:val="center"/>
        <w:rPr>
          <w:rFonts w:ascii="Times" w:eastAsia="Times" w:hAnsi="Times" w:cs="Times"/>
          <w:b/>
          <w:color w:val="000000" w:themeColor="text1"/>
        </w:rPr>
      </w:pPr>
    </w:p>
    <w:p w14:paraId="61A954FA" w14:textId="77777777" w:rsidR="00371A08" w:rsidRPr="00C17A7B" w:rsidRDefault="00371A08">
      <w:pPr>
        <w:jc w:val="center"/>
        <w:rPr>
          <w:rFonts w:ascii="Times" w:eastAsia="Times" w:hAnsi="Times" w:cs="Times"/>
          <w:b/>
          <w:color w:val="000000" w:themeColor="text1"/>
        </w:rPr>
      </w:pPr>
    </w:p>
    <w:p w14:paraId="382DE60B" w14:textId="77777777" w:rsidR="00371A08" w:rsidRPr="00C17A7B" w:rsidRDefault="00000000">
      <w:pPr>
        <w:jc w:val="center"/>
        <w:rPr>
          <w:rFonts w:ascii="Times" w:eastAsia="Times" w:hAnsi="Times" w:cs="Times"/>
          <w:b/>
          <w:color w:val="000000" w:themeColor="text1"/>
        </w:rPr>
      </w:pPr>
      <w:r w:rsidRPr="00C17A7B">
        <w:rPr>
          <w:rFonts w:ascii="Times" w:eastAsia="Times" w:hAnsi="Times" w:cs="Times"/>
          <w:b/>
          <w:color w:val="000000" w:themeColor="text1"/>
        </w:rPr>
        <w:lastRenderedPageBreak/>
        <w:t>Índice</w:t>
      </w:r>
    </w:p>
    <w:p w14:paraId="53DF0B10"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br/>
        <w:t>Resumen ………………………………………………………….……….……………...….. 4</w:t>
      </w:r>
    </w:p>
    <w:p w14:paraId="2EB84133" w14:textId="09DA780C"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Abstract …………………………………………………….……..………...……………….. 4</w:t>
      </w:r>
      <w:r w:rsidR="002F536B" w:rsidRPr="00C17A7B">
        <w:rPr>
          <w:rFonts w:ascii="Times" w:eastAsia="Times" w:hAnsi="Times" w:cs="Times"/>
          <w:color w:val="000000" w:themeColor="text1"/>
        </w:rPr>
        <w:br/>
      </w:r>
    </w:p>
    <w:p w14:paraId="6DAA19F1" w14:textId="42C51F44"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Introducción</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w:t>
      </w:r>
      <w:r w:rsidRPr="00C17A7B">
        <w:rPr>
          <w:rFonts w:ascii="Times" w:eastAsia="Times" w:hAnsi="Times" w:cs="Times"/>
          <w:color w:val="000000" w:themeColor="text1"/>
        </w:rPr>
        <w:t>.……….</w:t>
      </w:r>
      <w:r w:rsidR="002F536B" w:rsidRPr="00C17A7B">
        <w:rPr>
          <w:rFonts w:ascii="Times" w:eastAsia="Times" w:hAnsi="Times" w:cs="Times"/>
          <w:color w:val="000000" w:themeColor="text1"/>
        </w:rPr>
        <w:t>.</w:t>
      </w:r>
      <w:r w:rsidRPr="00C17A7B">
        <w:rPr>
          <w:rFonts w:ascii="Times" w:eastAsia="Times" w:hAnsi="Times" w:cs="Times"/>
          <w:color w:val="000000" w:themeColor="text1"/>
        </w:rPr>
        <w:t>.…………</w:t>
      </w:r>
      <w:r w:rsidR="002F536B" w:rsidRPr="00C17A7B">
        <w:rPr>
          <w:rFonts w:ascii="Times" w:eastAsia="Times" w:hAnsi="Times" w:cs="Times"/>
          <w:color w:val="000000" w:themeColor="text1"/>
        </w:rPr>
        <w:t>.</w:t>
      </w:r>
      <w:r w:rsidRPr="00C17A7B">
        <w:rPr>
          <w:rFonts w:ascii="Times" w:eastAsia="Times" w:hAnsi="Times" w:cs="Times"/>
          <w:color w:val="000000" w:themeColor="text1"/>
        </w:rPr>
        <w:t>…… 5</w:t>
      </w:r>
      <w:r w:rsidR="002F536B" w:rsidRPr="00C17A7B">
        <w:rPr>
          <w:rFonts w:ascii="Times" w:eastAsia="Times" w:hAnsi="Times" w:cs="Times"/>
          <w:color w:val="000000" w:themeColor="text1"/>
        </w:rPr>
        <w:br/>
      </w:r>
    </w:p>
    <w:p w14:paraId="31B21947"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Trastornos de la conducta alimentaria ….…………………...………..……………… 5</w:t>
      </w:r>
    </w:p>
    <w:p w14:paraId="188093D5" w14:textId="58CAA17E"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Redes sociales ……………………………………………………………..………… 7</w:t>
      </w:r>
    </w:p>
    <w:p w14:paraId="17B42075" w14:textId="59D600D4"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 xml:space="preserve">TCA y redes sociales ……………..………………………………………………….. </w:t>
      </w:r>
      <w:r w:rsidR="002F536B" w:rsidRPr="00C17A7B">
        <w:rPr>
          <w:rFonts w:ascii="Times" w:eastAsia="Times" w:hAnsi="Times" w:cs="Times"/>
          <w:color w:val="000000" w:themeColor="text1"/>
        </w:rPr>
        <w:t>9</w:t>
      </w:r>
    </w:p>
    <w:p w14:paraId="722ED2A4" w14:textId="77777777" w:rsidR="002F536B"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Justificaciones y limitaciones ……………………...…………………………….…</w:t>
      </w:r>
      <w:r w:rsidR="002F536B" w:rsidRPr="00C17A7B">
        <w:rPr>
          <w:rFonts w:ascii="Times" w:eastAsia="Times" w:hAnsi="Times" w:cs="Times"/>
          <w:color w:val="000000" w:themeColor="text1"/>
        </w:rPr>
        <w:t>.</w:t>
      </w:r>
      <w:r w:rsidRPr="00C17A7B">
        <w:rPr>
          <w:rFonts w:ascii="Times" w:eastAsia="Times" w:hAnsi="Times" w:cs="Times"/>
          <w:color w:val="000000" w:themeColor="text1"/>
        </w:rPr>
        <w:t xml:space="preserve"> 13</w:t>
      </w:r>
    </w:p>
    <w:p w14:paraId="744DE651" w14:textId="3BB46C57" w:rsidR="00371A08" w:rsidRPr="00C17A7B" w:rsidRDefault="002F536B"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Objetivos ……………………………………………………………………..……   14</w:t>
      </w:r>
      <w:r w:rsidRPr="00C17A7B">
        <w:rPr>
          <w:rFonts w:ascii="Times" w:eastAsia="Times" w:hAnsi="Times" w:cs="Times"/>
          <w:color w:val="000000" w:themeColor="text1"/>
        </w:rPr>
        <w:br/>
      </w:r>
    </w:p>
    <w:p w14:paraId="1B98A8DD" w14:textId="162279EE"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M</w:t>
      </w:r>
      <w:r w:rsidR="00702747" w:rsidRPr="00C17A7B">
        <w:rPr>
          <w:rFonts w:ascii="Times" w:eastAsia="Times" w:hAnsi="Times" w:cs="Times"/>
          <w:b/>
          <w:color w:val="000000" w:themeColor="text1"/>
        </w:rPr>
        <w:t>étodo</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w:t>
      </w:r>
      <w:r w:rsidRPr="00C17A7B">
        <w:rPr>
          <w:rFonts w:ascii="Times" w:eastAsia="Times" w:hAnsi="Times" w:cs="Times"/>
          <w:color w:val="000000" w:themeColor="text1"/>
        </w:rPr>
        <w:t xml:space="preserve">…….……… </w:t>
      </w:r>
      <w:r w:rsidR="00B27A77" w:rsidRPr="00C17A7B">
        <w:rPr>
          <w:rFonts w:ascii="Times" w:eastAsia="Times" w:hAnsi="Times" w:cs="Times"/>
          <w:color w:val="000000" w:themeColor="text1"/>
        </w:rPr>
        <w:t>16</w:t>
      </w:r>
      <w:r w:rsidR="002F536B" w:rsidRPr="00C17A7B">
        <w:rPr>
          <w:rFonts w:ascii="Times" w:eastAsia="Times" w:hAnsi="Times" w:cs="Times"/>
          <w:color w:val="000000" w:themeColor="text1"/>
        </w:rPr>
        <w:br/>
      </w:r>
    </w:p>
    <w:p w14:paraId="4A92DB8F" w14:textId="77777777" w:rsidR="00371A08" w:rsidRPr="00C17A7B" w:rsidRDefault="00000000" w:rsidP="005E4144">
      <w:pPr>
        <w:spacing w:line="360" w:lineRule="auto"/>
        <w:ind w:firstLine="708"/>
        <w:rPr>
          <w:rFonts w:ascii="Times" w:eastAsia="Times" w:hAnsi="Times" w:cs="Times"/>
          <w:color w:val="000000" w:themeColor="text1"/>
        </w:rPr>
      </w:pPr>
      <w:r w:rsidRPr="00C17A7B">
        <w:rPr>
          <w:rFonts w:ascii="Times" w:eastAsia="Times" w:hAnsi="Times" w:cs="Times"/>
          <w:color w:val="000000" w:themeColor="text1"/>
        </w:rPr>
        <w:t>Participantes …..……………………………………………….…………………… 16</w:t>
      </w:r>
    </w:p>
    <w:p w14:paraId="7EFDDC68" w14:textId="77777777" w:rsidR="00371A08" w:rsidRPr="00C17A7B" w:rsidRDefault="00000000" w:rsidP="005E4144">
      <w:pPr>
        <w:spacing w:line="360" w:lineRule="auto"/>
        <w:ind w:firstLine="708"/>
        <w:rPr>
          <w:rFonts w:ascii="Times" w:eastAsia="Times" w:hAnsi="Times" w:cs="Times"/>
          <w:color w:val="000000" w:themeColor="text1"/>
        </w:rPr>
      </w:pPr>
      <w:r w:rsidRPr="00C17A7B">
        <w:rPr>
          <w:rFonts w:ascii="Times" w:eastAsia="Times" w:hAnsi="Times" w:cs="Times"/>
          <w:color w:val="000000" w:themeColor="text1"/>
        </w:rPr>
        <w:t>Instrumentos ….…………………………………………………………………….. 18</w:t>
      </w:r>
    </w:p>
    <w:p w14:paraId="6BFD6B5A" w14:textId="77777777" w:rsidR="00371A08" w:rsidRPr="00C17A7B" w:rsidRDefault="00000000" w:rsidP="005E4144">
      <w:pPr>
        <w:spacing w:line="360" w:lineRule="auto"/>
        <w:ind w:firstLine="708"/>
        <w:rPr>
          <w:rFonts w:ascii="Times" w:eastAsia="Times" w:hAnsi="Times" w:cs="Times"/>
          <w:color w:val="000000" w:themeColor="text1"/>
        </w:rPr>
      </w:pPr>
      <w:r w:rsidRPr="00C17A7B">
        <w:rPr>
          <w:rFonts w:ascii="Times" w:eastAsia="Times" w:hAnsi="Times" w:cs="Times"/>
          <w:color w:val="000000" w:themeColor="text1"/>
        </w:rPr>
        <w:t>Procedimiento ….…………………………………………………………………… 19</w:t>
      </w:r>
    </w:p>
    <w:p w14:paraId="740C5959" w14:textId="55A630C4" w:rsidR="00371A08" w:rsidRPr="00C17A7B" w:rsidRDefault="00000000" w:rsidP="005E4144">
      <w:pPr>
        <w:spacing w:line="360" w:lineRule="auto"/>
        <w:ind w:firstLine="708"/>
        <w:rPr>
          <w:rFonts w:ascii="Times" w:eastAsia="Times" w:hAnsi="Times" w:cs="Times"/>
          <w:color w:val="000000" w:themeColor="text1"/>
        </w:rPr>
      </w:pPr>
      <w:r w:rsidRPr="00C17A7B">
        <w:rPr>
          <w:rFonts w:ascii="Times" w:eastAsia="Times" w:hAnsi="Times" w:cs="Times"/>
          <w:color w:val="000000" w:themeColor="text1"/>
        </w:rPr>
        <w:t xml:space="preserve">Análisis estadístico …………………………..…………...………………………… </w:t>
      </w:r>
      <w:r w:rsidR="008C6DCA" w:rsidRPr="00C17A7B">
        <w:rPr>
          <w:rFonts w:ascii="Times" w:eastAsia="Times" w:hAnsi="Times" w:cs="Times"/>
          <w:color w:val="000000" w:themeColor="text1"/>
        </w:rPr>
        <w:t>19</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br/>
      </w:r>
    </w:p>
    <w:p w14:paraId="18CC9CB4" w14:textId="074FB6B0"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Resultados</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w:t>
      </w:r>
      <w:r w:rsidRPr="00C17A7B">
        <w:rPr>
          <w:rFonts w:ascii="Times" w:eastAsia="Times" w:hAnsi="Times" w:cs="Times"/>
          <w:color w:val="000000" w:themeColor="text1"/>
        </w:rPr>
        <w:t>…………………….…… 20</w:t>
      </w:r>
      <w:r w:rsidR="002F536B" w:rsidRPr="00C17A7B">
        <w:rPr>
          <w:rFonts w:ascii="Times" w:eastAsia="Times" w:hAnsi="Times" w:cs="Times"/>
          <w:color w:val="000000" w:themeColor="text1"/>
        </w:rPr>
        <w:br/>
      </w:r>
    </w:p>
    <w:p w14:paraId="7CA4521F" w14:textId="0CD47BED"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Discusión</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w:t>
      </w:r>
      <w:r w:rsidRPr="00C17A7B">
        <w:rPr>
          <w:rFonts w:ascii="Times" w:eastAsia="Times" w:hAnsi="Times" w:cs="Times"/>
          <w:color w:val="000000" w:themeColor="text1"/>
        </w:rPr>
        <w:t>………</w:t>
      </w:r>
      <w:r w:rsidR="002F536B" w:rsidRPr="00C17A7B">
        <w:rPr>
          <w:rFonts w:ascii="Times" w:eastAsia="Times" w:hAnsi="Times" w:cs="Times"/>
          <w:color w:val="000000" w:themeColor="text1"/>
        </w:rPr>
        <w:t>.</w:t>
      </w:r>
      <w:r w:rsidRPr="00C17A7B">
        <w:rPr>
          <w:rFonts w:ascii="Times" w:eastAsia="Times" w:hAnsi="Times" w:cs="Times"/>
          <w:color w:val="000000" w:themeColor="text1"/>
        </w:rPr>
        <w:t>……………………………………….……….. 2</w:t>
      </w:r>
      <w:r w:rsidR="002F536B" w:rsidRPr="00C17A7B">
        <w:rPr>
          <w:rFonts w:ascii="Times" w:eastAsia="Times" w:hAnsi="Times" w:cs="Times"/>
          <w:color w:val="000000" w:themeColor="text1"/>
        </w:rPr>
        <w:t>8</w:t>
      </w:r>
      <w:r w:rsidR="002F536B" w:rsidRPr="00C17A7B">
        <w:rPr>
          <w:rFonts w:ascii="Times" w:eastAsia="Times" w:hAnsi="Times" w:cs="Times"/>
          <w:color w:val="000000" w:themeColor="text1"/>
        </w:rPr>
        <w:br/>
      </w:r>
    </w:p>
    <w:p w14:paraId="46EF59F6" w14:textId="7F0CB1CD"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ab/>
        <w:t xml:space="preserve">Limitaciones y recomendaciones …...……………………………………………… </w:t>
      </w:r>
      <w:r w:rsidR="002F536B" w:rsidRPr="00C17A7B">
        <w:rPr>
          <w:rFonts w:ascii="Times" w:eastAsia="Times" w:hAnsi="Times" w:cs="Times"/>
          <w:color w:val="000000" w:themeColor="text1"/>
        </w:rPr>
        <w:t>35</w:t>
      </w:r>
      <w:r w:rsidR="002F536B" w:rsidRPr="00C17A7B">
        <w:rPr>
          <w:rFonts w:ascii="Times" w:eastAsia="Times" w:hAnsi="Times" w:cs="Times"/>
          <w:color w:val="000000" w:themeColor="text1"/>
        </w:rPr>
        <w:br/>
      </w:r>
    </w:p>
    <w:p w14:paraId="28F635B0" w14:textId="3E4E7BCA" w:rsidR="00371A08" w:rsidRPr="00C17A7B" w:rsidRDefault="00000000" w:rsidP="005E4144">
      <w:pPr>
        <w:spacing w:line="360" w:lineRule="auto"/>
        <w:rPr>
          <w:rFonts w:ascii="Times" w:eastAsia="Times" w:hAnsi="Times" w:cs="Times"/>
          <w:b/>
          <w:color w:val="000000" w:themeColor="text1"/>
        </w:rPr>
      </w:pPr>
      <w:r w:rsidRPr="00C17A7B">
        <w:rPr>
          <w:rFonts w:ascii="Times" w:eastAsia="Times" w:hAnsi="Times" w:cs="Times"/>
          <w:b/>
          <w:color w:val="000000" w:themeColor="text1"/>
        </w:rPr>
        <w:t xml:space="preserve">Referencias bibliográficas </w:t>
      </w:r>
      <w:r w:rsidRPr="00C17A7B">
        <w:rPr>
          <w:rFonts w:ascii="Times" w:eastAsia="Times" w:hAnsi="Times" w:cs="Times"/>
          <w:color w:val="000000" w:themeColor="text1"/>
        </w:rPr>
        <w:t>……………………..…………………</w:t>
      </w:r>
      <w:r w:rsidR="002F536B" w:rsidRPr="00C17A7B">
        <w:rPr>
          <w:rFonts w:ascii="Times" w:eastAsia="Times" w:hAnsi="Times" w:cs="Times"/>
          <w:color w:val="000000" w:themeColor="text1"/>
        </w:rPr>
        <w:t>…</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39</w:t>
      </w:r>
      <w:r w:rsidR="002F536B" w:rsidRPr="00C17A7B">
        <w:rPr>
          <w:rFonts w:ascii="Times" w:eastAsia="Times" w:hAnsi="Times" w:cs="Times"/>
          <w:color w:val="000000" w:themeColor="text1"/>
        </w:rPr>
        <w:br/>
      </w:r>
    </w:p>
    <w:p w14:paraId="087676BC" w14:textId="3E975350"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Anexos</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w:t>
      </w:r>
      <w:r w:rsidRPr="00C17A7B">
        <w:rPr>
          <w:rFonts w:ascii="Times" w:eastAsia="Times" w:hAnsi="Times" w:cs="Times"/>
          <w:color w:val="000000" w:themeColor="text1"/>
        </w:rPr>
        <w:t xml:space="preserve">…………. </w:t>
      </w:r>
      <w:r w:rsidR="002F536B" w:rsidRPr="00C17A7B">
        <w:rPr>
          <w:rFonts w:ascii="Times" w:eastAsia="Times" w:hAnsi="Times" w:cs="Times"/>
          <w:color w:val="000000" w:themeColor="text1"/>
        </w:rPr>
        <w:t>47</w:t>
      </w:r>
    </w:p>
    <w:p w14:paraId="43B5BCF3" w14:textId="77777777" w:rsidR="00371A08" w:rsidRPr="00C17A7B" w:rsidRDefault="00371A08" w:rsidP="005E4144">
      <w:pPr>
        <w:spacing w:line="360" w:lineRule="auto"/>
        <w:rPr>
          <w:rFonts w:ascii="Times" w:eastAsia="Times" w:hAnsi="Times" w:cs="Times"/>
          <w:color w:val="000000" w:themeColor="text1"/>
          <w:sz w:val="36"/>
          <w:szCs w:val="36"/>
        </w:rPr>
      </w:pPr>
    </w:p>
    <w:p w14:paraId="2E1E8807" w14:textId="77777777" w:rsidR="00371A08" w:rsidRPr="00C17A7B" w:rsidRDefault="00371A08" w:rsidP="005E4144">
      <w:pPr>
        <w:spacing w:line="360" w:lineRule="auto"/>
        <w:rPr>
          <w:rFonts w:ascii="Times" w:eastAsia="Times" w:hAnsi="Times" w:cs="Times"/>
          <w:color w:val="000000" w:themeColor="text1"/>
          <w:sz w:val="36"/>
          <w:szCs w:val="36"/>
        </w:rPr>
      </w:pPr>
    </w:p>
    <w:p w14:paraId="434E4E2C" w14:textId="77777777" w:rsidR="00371A08" w:rsidRPr="00C17A7B" w:rsidRDefault="00371A08">
      <w:pPr>
        <w:rPr>
          <w:rFonts w:ascii="Times" w:eastAsia="Times" w:hAnsi="Times" w:cs="Times"/>
          <w:color w:val="000000" w:themeColor="text1"/>
          <w:sz w:val="36"/>
          <w:szCs w:val="36"/>
        </w:rPr>
      </w:pPr>
    </w:p>
    <w:p w14:paraId="2E19C521" w14:textId="77777777" w:rsidR="00371A08" w:rsidRPr="00C17A7B" w:rsidRDefault="00371A08">
      <w:pPr>
        <w:rPr>
          <w:rFonts w:ascii="Times" w:eastAsia="Times" w:hAnsi="Times" w:cs="Times"/>
          <w:color w:val="000000" w:themeColor="text1"/>
        </w:rPr>
      </w:pPr>
    </w:p>
    <w:p w14:paraId="2DAC3FFB" w14:textId="77777777" w:rsidR="00371A08" w:rsidRPr="00C17A7B" w:rsidRDefault="00000000">
      <w:pPr>
        <w:spacing w:line="360" w:lineRule="auto"/>
        <w:jc w:val="center"/>
        <w:rPr>
          <w:rFonts w:ascii="Times" w:eastAsia="Times" w:hAnsi="Times" w:cs="Times"/>
          <w:b/>
          <w:color w:val="000000" w:themeColor="text1"/>
        </w:rPr>
      </w:pPr>
      <w:r w:rsidRPr="00C17A7B">
        <w:rPr>
          <w:rFonts w:ascii="Times" w:eastAsia="Times" w:hAnsi="Times" w:cs="Times"/>
          <w:b/>
          <w:color w:val="000000" w:themeColor="text1"/>
        </w:rPr>
        <w:lastRenderedPageBreak/>
        <w:t>Resumen</w:t>
      </w:r>
    </w:p>
    <w:p w14:paraId="441F547A" w14:textId="77777777" w:rsidR="00371A08" w:rsidRPr="00C17A7B" w:rsidRDefault="00371A08">
      <w:pPr>
        <w:spacing w:line="360" w:lineRule="auto"/>
        <w:jc w:val="center"/>
        <w:rPr>
          <w:rFonts w:ascii="Times" w:eastAsia="Times" w:hAnsi="Times" w:cs="Times"/>
          <w:color w:val="000000" w:themeColor="text1"/>
        </w:rPr>
      </w:pPr>
    </w:p>
    <w:p w14:paraId="00F8B36D" w14:textId="77777777" w:rsidR="00371A08" w:rsidRPr="00C17A7B" w:rsidRDefault="00000000" w:rsidP="006C7746">
      <w:pPr>
        <w:spacing w:line="360" w:lineRule="auto"/>
        <w:rPr>
          <w:rFonts w:ascii="Times" w:eastAsia="Times" w:hAnsi="Times" w:cs="Times"/>
          <w:color w:val="000000" w:themeColor="text1"/>
        </w:rPr>
      </w:pPr>
      <w:r w:rsidRPr="00C17A7B">
        <w:rPr>
          <w:rFonts w:ascii="Times" w:eastAsia="Times" w:hAnsi="Times" w:cs="Times"/>
          <w:color w:val="000000" w:themeColor="text1"/>
        </w:rPr>
        <w:t>Las redes sociales, especialmente Instagram y TikTok, han adquirido una relevancia considerable en la vida cotidiana de los jóvenes. Este estudio se propone explorar el efecto de dichas plataformas en la sintomatología de los trastornos de la conducta alimentaria (TCA), la insatisfacción corporal y la autoestima en mujeres jóvenes españolas de entre 18 y 25 años. El estudio destaca una correlación significativa entre el consumo intenso de estos medios, especialmente del contenido de "fitspiration", y un aumento en la sintomatología de los TCA, así como en la insatisfacción corporal y una disminución de la autoestima. Este análisis revela, además, una marcada interconexión entre estos elementos. Los hallazgos subrayan la necesidad de continuar investigando este fenómeno y de fomentar iniciativas preventivas para contrarrestar los riesgos identificados.</w:t>
      </w:r>
    </w:p>
    <w:p w14:paraId="60080DAD" w14:textId="77777777" w:rsidR="00371A08" w:rsidRPr="00C17A7B" w:rsidRDefault="00371A08">
      <w:pPr>
        <w:rPr>
          <w:rFonts w:ascii="Times" w:eastAsia="Times" w:hAnsi="Times" w:cs="Times"/>
          <w:b/>
          <w:color w:val="000000" w:themeColor="text1"/>
        </w:rPr>
      </w:pPr>
    </w:p>
    <w:p w14:paraId="30017EB7" w14:textId="77777777" w:rsidR="00371A08" w:rsidRPr="00C17A7B" w:rsidRDefault="00371A08">
      <w:pPr>
        <w:jc w:val="center"/>
        <w:rPr>
          <w:rFonts w:ascii="Times" w:eastAsia="Times" w:hAnsi="Times" w:cs="Times"/>
          <w:b/>
          <w:color w:val="000000" w:themeColor="text1"/>
        </w:rPr>
      </w:pPr>
    </w:p>
    <w:p w14:paraId="446701C1" w14:textId="77777777" w:rsidR="00371A08" w:rsidRPr="00C17A7B" w:rsidRDefault="00000000">
      <w:pPr>
        <w:spacing w:line="360" w:lineRule="auto"/>
        <w:jc w:val="both"/>
        <w:rPr>
          <w:rFonts w:ascii="Times" w:eastAsia="Times" w:hAnsi="Times" w:cs="Times"/>
          <w:b/>
          <w:color w:val="000000" w:themeColor="text1"/>
          <w:highlight w:val="yellow"/>
        </w:rPr>
      </w:pPr>
      <w:r w:rsidRPr="00C17A7B">
        <w:rPr>
          <w:rFonts w:ascii="Times" w:eastAsia="Times" w:hAnsi="Times" w:cs="Times"/>
          <w:b/>
          <w:i/>
          <w:iCs/>
          <w:color w:val="000000" w:themeColor="text1"/>
        </w:rPr>
        <w:t>Palabras clave:</w:t>
      </w:r>
      <w:r w:rsidRPr="00C17A7B">
        <w:rPr>
          <w:rFonts w:ascii="Times" w:eastAsia="Times" w:hAnsi="Times" w:cs="Times"/>
          <w:b/>
          <w:color w:val="000000" w:themeColor="text1"/>
        </w:rPr>
        <w:t xml:space="preserve"> </w:t>
      </w:r>
      <w:r w:rsidRPr="00C17A7B">
        <w:rPr>
          <w:rFonts w:ascii="Times" w:eastAsia="Times" w:hAnsi="Times" w:cs="Times"/>
          <w:color w:val="000000" w:themeColor="text1"/>
        </w:rPr>
        <w:t xml:space="preserve">Autoestima, fitspiration, insatisfacción corporal, Instagram, redes sociales, sintomatología TCA, Tik Tok, trastorno de la conducta alimentaria. </w:t>
      </w:r>
    </w:p>
    <w:p w14:paraId="3EBB29B2" w14:textId="77777777" w:rsidR="00371A08" w:rsidRPr="00C17A7B" w:rsidRDefault="00371A08">
      <w:pPr>
        <w:spacing w:line="360" w:lineRule="auto"/>
        <w:jc w:val="center"/>
        <w:rPr>
          <w:rFonts w:ascii="Times" w:eastAsia="Times" w:hAnsi="Times" w:cs="Times"/>
          <w:b/>
          <w:color w:val="000000" w:themeColor="text1"/>
          <w:highlight w:val="yellow"/>
        </w:rPr>
      </w:pPr>
    </w:p>
    <w:p w14:paraId="2D3B70AD" w14:textId="77777777" w:rsidR="00371A08" w:rsidRPr="00C17A7B" w:rsidRDefault="00000000">
      <w:pPr>
        <w:spacing w:line="360" w:lineRule="auto"/>
        <w:jc w:val="center"/>
        <w:rPr>
          <w:rFonts w:ascii="Times" w:eastAsia="Times" w:hAnsi="Times" w:cs="Times"/>
          <w:b/>
          <w:color w:val="000000" w:themeColor="text1"/>
          <w:lang w:val="en-US"/>
        </w:rPr>
      </w:pPr>
      <w:r w:rsidRPr="00C17A7B">
        <w:rPr>
          <w:rFonts w:ascii="Times" w:eastAsia="Times" w:hAnsi="Times" w:cs="Times"/>
          <w:b/>
          <w:color w:val="000000" w:themeColor="text1"/>
          <w:lang w:val="en-US"/>
        </w:rPr>
        <w:t>Abstract</w:t>
      </w:r>
    </w:p>
    <w:p w14:paraId="5C5E5C9C" w14:textId="77777777" w:rsidR="00371A08" w:rsidRPr="00C17A7B" w:rsidRDefault="00371A08">
      <w:pPr>
        <w:spacing w:line="360" w:lineRule="auto"/>
        <w:jc w:val="center"/>
        <w:rPr>
          <w:rFonts w:ascii="Times" w:eastAsia="Times" w:hAnsi="Times" w:cs="Times"/>
          <w:b/>
          <w:color w:val="000000" w:themeColor="text1"/>
          <w:lang w:val="en-US"/>
        </w:rPr>
      </w:pPr>
    </w:p>
    <w:p w14:paraId="2B13BC9E" w14:textId="77777777" w:rsidR="00371A08" w:rsidRPr="00C17A7B" w:rsidRDefault="00000000" w:rsidP="006C7746">
      <w:pPr>
        <w:spacing w:line="360" w:lineRule="auto"/>
        <w:rPr>
          <w:rFonts w:ascii="Times" w:eastAsia="Times" w:hAnsi="Times" w:cs="Times"/>
          <w:color w:val="000000" w:themeColor="text1"/>
          <w:lang w:val="en-US"/>
        </w:rPr>
      </w:pPr>
      <w:r w:rsidRPr="00C17A7B">
        <w:rPr>
          <w:rFonts w:ascii="Times" w:eastAsia="Times" w:hAnsi="Times" w:cs="Times"/>
          <w:color w:val="000000" w:themeColor="text1"/>
          <w:lang w:val="en-US"/>
        </w:rPr>
        <w:t>Social networks, especially Instagram and TikTok, have acquired considerable relevance in the daily lives of young people. This study aims to explore the effect of these platforms on the symptomatology of eating disorders (ED), body dissatisfaction and self-esteem in young Spanish women aged 18-25 years. The study highlights a significant correlation between heavy consumption of these media, especially of "fitspiration" content, and an increase in ED symptomatology, as well as in body dissatisfaction and a decrease in self-esteem. This analysis further reveals a marked interconnection between these elements. The findings underscore the need for further research into this phenomenon and the need to promote preventive initiatives to counteract the identified risks.</w:t>
      </w:r>
    </w:p>
    <w:p w14:paraId="2F37BB1D" w14:textId="77777777" w:rsidR="00371A08" w:rsidRPr="00C17A7B" w:rsidRDefault="00371A08">
      <w:pPr>
        <w:spacing w:line="360" w:lineRule="auto"/>
        <w:rPr>
          <w:rFonts w:ascii="Times" w:eastAsia="Times" w:hAnsi="Times" w:cs="Times"/>
          <w:b/>
          <w:color w:val="000000" w:themeColor="text1"/>
          <w:lang w:val="en-US"/>
        </w:rPr>
      </w:pPr>
    </w:p>
    <w:p w14:paraId="0812067B" w14:textId="77777777" w:rsidR="00371A08" w:rsidRPr="00C17A7B" w:rsidRDefault="00371A08">
      <w:pPr>
        <w:spacing w:line="360" w:lineRule="auto"/>
        <w:jc w:val="center"/>
        <w:rPr>
          <w:rFonts w:ascii="Times" w:eastAsia="Times" w:hAnsi="Times" w:cs="Times"/>
          <w:b/>
          <w:color w:val="000000" w:themeColor="text1"/>
          <w:lang w:val="en-US"/>
        </w:rPr>
      </w:pPr>
    </w:p>
    <w:p w14:paraId="368F3FFA" w14:textId="77777777" w:rsidR="00371A08" w:rsidRPr="00C17A7B" w:rsidRDefault="00000000">
      <w:pPr>
        <w:spacing w:line="360" w:lineRule="auto"/>
        <w:jc w:val="both"/>
        <w:rPr>
          <w:rFonts w:ascii="Times" w:eastAsia="Times" w:hAnsi="Times" w:cs="Times"/>
          <w:color w:val="000000" w:themeColor="text1"/>
          <w:lang w:val="en-US"/>
        </w:rPr>
      </w:pPr>
      <w:r w:rsidRPr="00C17A7B">
        <w:rPr>
          <w:rFonts w:ascii="Times" w:eastAsia="Times" w:hAnsi="Times" w:cs="Times"/>
          <w:b/>
          <w:i/>
          <w:iCs/>
          <w:color w:val="000000" w:themeColor="text1"/>
          <w:lang w:val="en-US"/>
        </w:rPr>
        <w:t>Key words:</w:t>
      </w:r>
      <w:r w:rsidRPr="00C17A7B">
        <w:rPr>
          <w:rFonts w:ascii="Times" w:eastAsia="Times" w:hAnsi="Times" w:cs="Times"/>
          <w:b/>
          <w:color w:val="000000" w:themeColor="text1"/>
          <w:lang w:val="en-US"/>
        </w:rPr>
        <w:t xml:space="preserve"> </w:t>
      </w:r>
      <w:r w:rsidRPr="00C17A7B">
        <w:rPr>
          <w:rFonts w:ascii="Times" w:eastAsia="Times" w:hAnsi="Times" w:cs="Times"/>
          <w:color w:val="000000" w:themeColor="text1"/>
          <w:lang w:val="en-US"/>
        </w:rPr>
        <w:t>Body dissatisfaction, eating disorder, ED symptomatology, fitspiration, Instagram, self-esteem,  social networks, Tik Tok.</w:t>
      </w:r>
    </w:p>
    <w:p w14:paraId="30962281" w14:textId="77777777" w:rsidR="00371A08" w:rsidRPr="00C17A7B" w:rsidRDefault="00371A08">
      <w:pPr>
        <w:rPr>
          <w:rFonts w:ascii="Times" w:eastAsia="Times" w:hAnsi="Times" w:cs="Times"/>
          <w:b/>
          <w:color w:val="000000" w:themeColor="text1"/>
          <w:lang w:val="en-US"/>
        </w:rPr>
      </w:pPr>
    </w:p>
    <w:p w14:paraId="7C03A6C8" w14:textId="77777777" w:rsidR="00920A6E" w:rsidRPr="00C17A7B" w:rsidRDefault="00920A6E">
      <w:pPr>
        <w:rPr>
          <w:rFonts w:ascii="Times" w:eastAsia="Times" w:hAnsi="Times" w:cs="Times"/>
          <w:b/>
          <w:color w:val="000000" w:themeColor="text1"/>
          <w:lang w:val="en-US"/>
        </w:rPr>
      </w:pPr>
    </w:p>
    <w:p w14:paraId="0AB669B0" w14:textId="77777777" w:rsidR="00371A08" w:rsidRPr="00C17A7B" w:rsidRDefault="00371A08">
      <w:pPr>
        <w:rPr>
          <w:rFonts w:ascii="Times" w:eastAsia="Times" w:hAnsi="Times" w:cs="Times"/>
          <w:color w:val="000000" w:themeColor="text1"/>
          <w:lang w:val="en-US"/>
        </w:rPr>
      </w:pPr>
    </w:p>
    <w:p w14:paraId="1301289B" w14:textId="77777777" w:rsidR="00371A08" w:rsidRPr="00C17A7B" w:rsidRDefault="00000000">
      <w:pPr>
        <w:spacing w:line="360" w:lineRule="auto"/>
        <w:jc w:val="center"/>
        <w:rPr>
          <w:rFonts w:ascii="Times" w:eastAsia="Times" w:hAnsi="Times" w:cs="Times"/>
          <w:b/>
          <w:color w:val="000000" w:themeColor="text1"/>
        </w:rPr>
      </w:pPr>
      <w:r w:rsidRPr="00C17A7B">
        <w:rPr>
          <w:rFonts w:ascii="Times" w:eastAsia="Times" w:hAnsi="Times" w:cs="Times"/>
          <w:b/>
          <w:color w:val="000000" w:themeColor="text1"/>
        </w:rPr>
        <w:lastRenderedPageBreak/>
        <w:t>Introducción</w:t>
      </w:r>
    </w:p>
    <w:p w14:paraId="2E7F8778" w14:textId="77777777" w:rsidR="00371A08" w:rsidRPr="00C17A7B" w:rsidRDefault="00371A08">
      <w:pPr>
        <w:ind w:firstLine="720"/>
        <w:rPr>
          <w:rFonts w:ascii="Times" w:eastAsia="Times" w:hAnsi="Times" w:cs="Times"/>
          <w:b/>
          <w:color w:val="000000" w:themeColor="text1"/>
        </w:rPr>
      </w:pPr>
    </w:p>
    <w:p w14:paraId="6D7CD32B" w14:textId="77777777" w:rsidR="00371A08" w:rsidRPr="00C17A7B" w:rsidRDefault="00371A08">
      <w:pPr>
        <w:ind w:firstLine="720"/>
        <w:rPr>
          <w:rFonts w:ascii="Times" w:eastAsia="Times" w:hAnsi="Times" w:cs="Times"/>
          <w:b/>
          <w:color w:val="000000" w:themeColor="text1"/>
        </w:rPr>
      </w:pPr>
    </w:p>
    <w:p w14:paraId="68BE0AE2" w14:textId="77777777" w:rsidR="00371A08" w:rsidRPr="00C17A7B" w:rsidRDefault="00000000" w:rsidP="008C6DCA">
      <w:pPr>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Trastornos de la conducta alimentaria </w:t>
      </w:r>
    </w:p>
    <w:p w14:paraId="5DB48074" w14:textId="77777777" w:rsidR="00371A08" w:rsidRPr="00C17A7B" w:rsidRDefault="00371A08">
      <w:pPr>
        <w:spacing w:line="480" w:lineRule="auto"/>
        <w:ind w:firstLine="709"/>
        <w:jc w:val="both"/>
        <w:rPr>
          <w:rFonts w:ascii="Times" w:eastAsia="Times" w:hAnsi="Times" w:cs="Times"/>
          <w:b/>
          <w:color w:val="000000" w:themeColor="text1"/>
        </w:rPr>
      </w:pPr>
    </w:p>
    <w:p w14:paraId="70B0C1BF"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Los trastornos de la conducta alimentaria (TCA) son enfermedades asociadas al ámbito de la psicología, que afectan de forma integral a la salud de las personas (López y Treasure, 2011). Según estos autores, se caracterizan por presentar una desmesurada preocupación por el propio peso e imagen corporal, llevando al establecimiento de relaciones insanas con la alimentación. Para Valle et al. (2022) lo que se puede traducir en una modificación de las actitudes y conductas tanto en relación con la ingesta de alimentos como con uno mismo. Según la quinta edición del Manual Diagnóstico y Estadístico de los Trastornos mentales (American Psychological Association, 2014) los principales trastornos de la conducta alimentaria son la anorexia y bulimia nerviosa, el trastorno por atracón, el trastorno de pica, el trastorno de evitación / restricción de la ingesta de alimentos, el trastorno por rumiación y otros trastornos de la conducta alimentaria o de la ingesta de alimentos especificados o, por el contrario, no especificado. Sin embargo, existe una aparición relativamente novedosa de otros tipos de TCA que se conforman como un factor de riesgo para el desarrollo de los trastornos anteriores, entre los que se encuentran la vigorexia y ortorexia (Muñoz y Martínez, 2007). </w:t>
      </w:r>
    </w:p>
    <w:p w14:paraId="4805B3E6" w14:textId="77777777" w:rsidR="00371A08" w:rsidRPr="00C17A7B" w:rsidRDefault="00371A08" w:rsidP="006C7746">
      <w:pPr>
        <w:spacing w:line="480" w:lineRule="auto"/>
        <w:ind w:firstLine="709"/>
        <w:rPr>
          <w:rFonts w:ascii="Times" w:eastAsia="Times" w:hAnsi="Times" w:cs="Times"/>
          <w:color w:val="000000" w:themeColor="text1"/>
        </w:rPr>
      </w:pPr>
    </w:p>
    <w:p w14:paraId="1DD34D9B" w14:textId="4D1703C0"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Se estima, que aproximadamente 400.000 personas padecen un TCA en España (Barrio, 2022). Según Valle et al. (2022) en los últimos 30 años los casos de trastornos de la conducta alimentaria han aumentado exponencialmente, y se estima que alrededor del 5% de los adolescentes y el 6% de los estudiantes universitarios padecen algún subtipo de TCA, siendo las mujeres las más afectadas (9:1). Asimismo, según Bailey et al. (2014) este tipo de </w:t>
      </w:r>
      <w:r w:rsidRPr="00C17A7B">
        <w:rPr>
          <w:rFonts w:ascii="Times" w:eastAsia="Times" w:hAnsi="Times" w:cs="Times"/>
          <w:color w:val="000000" w:themeColor="text1"/>
        </w:rPr>
        <w:lastRenderedPageBreak/>
        <w:t>trastornos suelen aparecer en las mujeres alrededor de la adolescencia o a partir de los 20 años.</w:t>
      </w:r>
    </w:p>
    <w:p w14:paraId="4E54FEFC" w14:textId="77777777" w:rsidR="00371A08" w:rsidRPr="00C17A7B" w:rsidRDefault="00371A08">
      <w:pPr>
        <w:spacing w:line="480" w:lineRule="auto"/>
        <w:ind w:firstLine="709"/>
        <w:jc w:val="both"/>
        <w:rPr>
          <w:rFonts w:ascii="Times" w:eastAsia="Times" w:hAnsi="Times" w:cs="Times"/>
          <w:color w:val="000000" w:themeColor="text1"/>
        </w:rPr>
      </w:pPr>
    </w:p>
    <w:p w14:paraId="2DC6F4EC"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En cuanto a los TCA, desde un punto de vista general, nos podemos encontrar con una amplia gama de síntomas, específica de cada tipo de TCA, tanto a nivel conductual, psicológico como físico (Striegel-Moore et al., 2009). En cuanto a la anorexia nerviosa, nos podemos encontrar con determinadas conductas con el objetivo de adelgazar y encontrarse en un peso corporal inferior al estipulado como saludable para la edad cronológica de la persona. Estas son llevadas a cabo a través de la realización compulsiva de ejercicio físico, la extrema reducción en la ingesta de los alimentos y/o la posible aparición de las conductas purgativas (López y Treasure, 2011). Por otro lado, en la bulimia nerviosa existe una ocurrencia sistemática de atracones, que son seguidas por conductas compensatorias disfuncionales para evitar el incremento del peso corporal, tales como el ayuno, la realización sistemática de ejercicio, como sobre todo el uso de la purga (López y Treasue, 2011). En todo caso, en ambos se observa una sobrevaloración de la imagen corporal (Hay, 2020). </w:t>
      </w:r>
    </w:p>
    <w:p w14:paraId="44AEC060" w14:textId="77777777" w:rsidR="00371A08" w:rsidRPr="00C17A7B" w:rsidRDefault="00371A08" w:rsidP="006C7746">
      <w:pPr>
        <w:spacing w:line="480" w:lineRule="auto"/>
        <w:ind w:firstLine="709"/>
        <w:rPr>
          <w:rFonts w:ascii="Times" w:eastAsia="Times" w:hAnsi="Times" w:cs="Times"/>
          <w:color w:val="000000" w:themeColor="text1"/>
        </w:rPr>
      </w:pPr>
    </w:p>
    <w:p w14:paraId="7F16F704"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Además, es ampliamente reconocido que existen diversos factores de riesgo asociados al desarrollo de los trastornos de la conducta alimentaria (TCA), entre los cuales se destacan los biológicos, familiares, individuales y socioculturales (Striegel-Moore y Bulik, 2007). Dentro de estos últimos, se incluyen las culturas que promueven una excesiva preocupación por la comida, el impacto del grupo de pares, los medios de comunicación y, en particular, la idealización de la delgadez corporal. Por lo tanto, se ha prestado una mayor atención en investigaciones recientes al estudio de cómo la utilización de las redes sociales puede influir en el desarrollo de los trastornos de la conducta alimentaria (Striegel-Moore y Bulik, 2007).</w:t>
      </w:r>
    </w:p>
    <w:p w14:paraId="57DDA38A" w14:textId="77777777" w:rsidR="00920A6E" w:rsidRPr="00C17A7B" w:rsidRDefault="00920A6E" w:rsidP="006C7746">
      <w:pPr>
        <w:spacing w:line="480" w:lineRule="auto"/>
        <w:rPr>
          <w:rFonts w:ascii="Times" w:eastAsia="Times" w:hAnsi="Times" w:cs="Times"/>
          <w:b/>
          <w:color w:val="000000" w:themeColor="text1"/>
        </w:rPr>
      </w:pPr>
    </w:p>
    <w:p w14:paraId="7A15A403" w14:textId="77777777" w:rsidR="00371A08" w:rsidRPr="00C17A7B" w:rsidRDefault="00000000" w:rsidP="002F536B">
      <w:pPr>
        <w:spacing w:line="480" w:lineRule="auto"/>
        <w:rPr>
          <w:rFonts w:ascii="Times" w:eastAsia="Times" w:hAnsi="Times" w:cs="Times"/>
          <w:b/>
          <w:color w:val="000000" w:themeColor="text1"/>
        </w:rPr>
      </w:pPr>
      <w:r w:rsidRPr="00C17A7B">
        <w:rPr>
          <w:rFonts w:ascii="Times" w:eastAsia="Times" w:hAnsi="Times" w:cs="Times"/>
          <w:b/>
          <w:color w:val="000000" w:themeColor="text1"/>
        </w:rPr>
        <w:lastRenderedPageBreak/>
        <w:t>Redes sociales</w:t>
      </w:r>
    </w:p>
    <w:p w14:paraId="2B421382" w14:textId="77777777" w:rsidR="00371A08" w:rsidRPr="00C17A7B" w:rsidRDefault="00371A08" w:rsidP="006C7746">
      <w:pPr>
        <w:spacing w:line="480" w:lineRule="auto"/>
        <w:rPr>
          <w:rFonts w:ascii="Times" w:eastAsia="Times" w:hAnsi="Times" w:cs="Times"/>
          <w:b/>
          <w:color w:val="000000" w:themeColor="text1"/>
        </w:rPr>
      </w:pPr>
    </w:p>
    <w:p w14:paraId="20F324FD"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Las redes sociales se pueden definir como un servicio web que le permite a sus usuarios confeccionar un perfil de carácter público o semipúblico en una red limitada, vincularse a otros consumidores con los que poder intercambiar y a su vez, visualizar e investigar esta lista de usuarios y otras ajenas creadas por otros consumidores dentro de la misma red (Boyd y Ellison, 2007). </w:t>
      </w:r>
    </w:p>
    <w:p w14:paraId="2ADED1AE" w14:textId="77777777" w:rsidR="00371A08" w:rsidRPr="00C17A7B" w:rsidRDefault="00371A08" w:rsidP="006C7746">
      <w:pPr>
        <w:spacing w:line="480" w:lineRule="auto"/>
        <w:ind w:firstLine="709"/>
        <w:rPr>
          <w:rFonts w:ascii="Times" w:eastAsia="Times" w:hAnsi="Times" w:cs="Times"/>
          <w:color w:val="000000" w:themeColor="text1"/>
        </w:rPr>
      </w:pPr>
    </w:p>
    <w:p w14:paraId="411EDCE6"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Según el informe digital elaborado por Hootsuite y We Are Social (2022) sobre el uso de las redes sociales en nuestro país, existen en la actualidad 40,7 millones de usuarios de redes sociales (3,3 millones más que en 2021) lo que equivale a un 87,1% de nuestra población. Estos usuarios, comprendidos entre los 16 y 64 años, son en su mayoría mujeres (51%), que según Marketing News (2022) utilizan un 7% más las redes sociales que los hombres. Siguiendo con el informe digital, las mujeres pasan una duración media de casi dos horas al día en estas aplicaciones, siendo las más frecuentadas Whatsapp (91%), Facebook (73,3%) e Instagram (71,7%). A estas redes sociales le siguen Twitter (46,7%) y Tik Tok (38,6%). </w:t>
      </w:r>
    </w:p>
    <w:p w14:paraId="580D317B" w14:textId="77777777" w:rsidR="00371A08" w:rsidRPr="00C17A7B" w:rsidRDefault="00371A08" w:rsidP="006C7746">
      <w:pPr>
        <w:spacing w:line="480" w:lineRule="auto"/>
        <w:ind w:firstLine="709"/>
        <w:rPr>
          <w:rFonts w:ascii="Times" w:eastAsia="Times" w:hAnsi="Times" w:cs="Times"/>
          <w:color w:val="000000" w:themeColor="text1"/>
        </w:rPr>
      </w:pPr>
    </w:p>
    <w:p w14:paraId="0D3011EE"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Destaca Instagram, debido a que en nuestro país actualmente hay alrededor de 24 millones de usuarios en esta plataforma, dejando atrás por primera vez a Facebook, por lo que se convierte en la primera red social empleada en la actualidad en España. Asimismo, la mayoría de los que hacen uso de las redes sociales tienen entre 18 y 39 años, siendo más popular entre las mujeres (54,17%) que en los hombres (45,83%). Por último, según las estadísticas los usuarios emplean alrededor de 57 minutos al día en esta aplicación (The Social Media Family, 2022). Por otra parte, Tik Tok fue creada en el año 2016 y tiene en </w:t>
      </w:r>
      <w:r w:rsidRPr="00C17A7B">
        <w:rPr>
          <w:rFonts w:ascii="Times" w:eastAsia="Times" w:hAnsi="Times" w:cs="Times"/>
          <w:color w:val="000000" w:themeColor="text1"/>
        </w:rPr>
        <w:lastRenderedPageBreak/>
        <w:t xml:space="preserve">España 8,8 millones de usuarios activos, donde el 41% son jóvenes de entre 16 y 25 años (Asselin, 2022). Según los datos proporcionados por la propia plataforma, durante el año 2020 TikTok logró superar a Instagram en cuanto a su uso, posicionándose en el primer puesto. En la actualidad, TikTok sigue liderando el ranking con una diferencia de 1,61% respecto a otras plataformas (Qustodio, 2021). </w:t>
      </w:r>
    </w:p>
    <w:p w14:paraId="082C8D90" w14:textId="77777777" w:rsidR="00371A08" w:rsidRPr="00C17A7B" w:rsidRDefault="00371A08" w:rsidP="006C7746">
      <w:pPr>
        <w:spacing w:line="480" w:lineRule="auto"/>
        <w:ind w:firstLine="709"/>
        <w:rPr>
          <w:rFonts w:ascii="Times" w:eastAsia="Times" w:hAnsi="Times" w:cs="Times"/>
          <w:color w:val="000000" w:themeColor="text1"/>
        </w:rPr>
      </w:pPr>
    </w:p>
    <w:p w14:paraId="2A95455A" w14:textId="4833CAA3" w:rsidR="008C6DCA" w:rsidRPr="00C17A7B" w:rsidRDefault="00000000" w:rsidP="008C6DCA">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Cabe destacar el fenómeno de los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que son personas con capacidad de influir sobre una determinada comunidad para modificar sus opiniones (Khamis et al., 2017). Por este motivo su audiencia les imita incondicionalmente, al admirar y desear participar en este estilo de vida promocionado (​​Djafarova, E., &amp; Rushworth, C., 2017). En el ámbito de los trastornos de la conducta alimentaria (TCAs), estos personajes públicos podrían desempeñar un papel fundamental en la motivación hacia la adopción de ideales de belleza y perfección corporal (Perloff, 2014). Varias investigaciones han resaltado la influencia de estas "concepciones" en diversos ámbitos. En particular, el fenómeno actual de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presente en las redes sociales, desempeña un papel destacado al moldear las ideas sobre la salud y la forma física (Jong y Drummond, 2016). Según Puertas (2020), este fenómeno genera una creciente frustración entre las mujeres, ya que se enfoca principalmente en el aspecto físico en lugar de resaltar los aspectos positivos del deporte y la alimentación para la salud. Esto, a su vez, se relaciona con el deseo de perder peso, un aumento en la observación del propio cuerpo y la internalización de la concepción de la delgadez (Cohen et al., 2017). </w:t>
      </w:r>
    </w:p>
    <w:p w14:paraId="257332CA" w14:textId="77777777" w:rsidR="008C6DCA" w:rsidRPr="00C17A7B" w:rsidRDefault="008C6DCA" w:rsidP="008C6DCA">
      <w:pPr>
        <w:spacing w:line="480" w:lineRule="auto"/>
        <w:ind w:firstLine="709"/>
        <w:rPr>
          <w:rFonts w:ascii="Times" w:eastAsia="Times" w:hAnsi="Times" w:cs="Times"/>
          <w:color w:val="000000" w:themeColor="text1"/>
        </w:rPr>
      </w:pPr>
    </w:p>
    <w:p w14:paraId="02D66963" w14:textId="77777777" w:rsidR="00371A08" w:rsidRPr="00C17A7B" w:rsidRDefault="00000000" w:rsidP="002F536B">
      <w:pPr>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TCA y redes sociales </w:t>
      </w:r>
    </w:p>
    <w:p w14:paraId="7695BE8C" w14:textId="77777777" w:rsidR="00371A08" w:rsidRPr="00C17A7B" w:rsidRDefault="00371A08" w:rsidP="006C7746">
      <w:pPr>
        <w:spacing w:line="480" w:lineRule="auto"/>
        <w:ind w:firstLine="709"/>
        <w:rPr>
          <w:rFonts w:ascii="Times" w:eastAsia="Times" w:hAnsi="Times" w:cs="Times"/>
          <w:b/>
          <w:color w:val="000000" w:themeColor="text1"/>
        </w:rPr>
      </w:pPr>
    </w:p>
    <w:p w14:paraId="69BBFAEB"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Una vez expuestos estos dos conceptos, se va a dar paso a combinar las mismas. Según Saunders y Eaton (2018) parece existir una relación importante entre el uso de las </w:t>
      </w:r>
      <w:r w:rsidRPr="00C17A7B">
        <w:rPr>
          <w:rFonts w:ascii="Times" w:eastAsia="Times" w:hAnsi="Times" w:cs="Times"/>
          <w:color w:val="000000" w:themeColor="text1"/>
        </w:rPr>
        <w:lastRenderedPageBreak/>
        <w:t xml:space="preserve">redes sociales (sobre todo en Snapchat e Instagram) y la concurrencia de sintomatología TCA, una mayor vigilancia del cuerpo y una constante comparación con una persona que se ha idealizado previamente, es decir las denominadas </w:t>
      </w:r>
      <w:r w:rsidRPr="00C17A7B">
        <w:rPr>
          <w:rFonts w:ascii="Times" w:eastAsia="Times" w:hAnsi="Times" w:cs="Times"/>
          <w:i/>
          <w:color w:val="000000" w:themeColor="text1"/>
        </w:rPr>
        <w:t>influencers</w:t>
      </w:r>
      <w:r w:rsidRPr="00C17A7B">
        <w:rPr>
          <w:rFonts w:ascii="Times" w:eastAsia="Times" w:hAnsi="Times" w:cs="Times"/>
          <w:color w:val="000000" w:themeColor="text1"/>
        </w:rPr>
        <w:t>. Estas, una vez obtenida la credibilidad y simpatía de sus seguidores, difunden sus hábitos alimentarios y rutinas de ejercicio para explicitar que su aspecto físico es un componente esencial para su felicidad (Puertas, 2020).</w:t>
      </w:r>
    </w:p>
    <w:p w14:paraId="6B95F617" w14:textId="77777777" w:rsidR="00371A08" w:rsidRPr="00C17A7B" w:rsidRDefault="00371A08" w:rsidP="006C7746">
      <w:pPr>
        <w:spacing w:line="480" w:lineRule="auto"/>
        <w:ind w:firstLine="709"/>
        <w:rPr>
          <w:rFonts w:ascii="Times" w:eastAsia="Times" w:hAnsi="Times" w:cs="Times"/>
          <w:color w:val="000000" w:themeColor="text1"/>
        </w:rPr>
      </w:pPr>
    </w:p>
    <w:p w14:paraId="730EBFB2"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Esta exposición a las redes sociales no solo refuerza las ideologías de estética y delgadez, sino que asimismo incrementa la insatisfacción corporal, entre otros motivos porque están sujetos a las evaluaciones y reacciones del público al que exponen su contenido particular visual (Fardouly &amp; Vartanian, 2016). Los autores concuerdan en que los medios de comunicación promueven ideales de belleza basados en la delgadez inalcanzable (Powell et al., 2018), lo que influye en cómo las personas se perciben y, en consecuencia, cómo se valoran a sí mismos (Neumark-Sztainer et al., 2011). Este posible contraste entre la imagen percibida en los otros y la comparación con la propia imagen corporal puede manifestarse en preocupaciones acerca del propio cuerpo y distorsiones acerca del mismo, que acaba resultando en la insatisfacción corporal (Cohen et al., 2017). Asimismo, en muchas de estas redes sociales aparece por intereses comerciales la publicidad, que utiliza imágenes corporales estereotipadas que promueven estándares físicos y hábitos alimentarios poco saludables (Sadeghirad et al., 2016) que puede dar lugar a los trastornos alimentarios (Aparicio-Martínez et al., 2017). Por lo mencionado por estos autores, parece existir una relación entre la visualización de un determinado contenido asociado a una imagen física perfecta y el desarrollo de trastornos de la conducta alimentaria. </w:t>
      </w:r>
    </w:p>
    <w:p w14:paraId="17DD0CDF" w14:textId="77777777" w:rsidR="00371A08" w:rsidRPr="00C17A7B" w:rsidRDefault="00371A08" w:rsidP="006C7746">
      <w:pPr>
        <w:spacing w:line="480" w:lineRule="auto"/>
        <w:rPr>
          <w:rFonts w:ascii="Times" w:eastAsia="Times" w:hAnsi="Times" w:cs="Times"/>
          <w:color w:val="000000" w:themeColor="text1"/>
        </w:rPr>
      </w:pPr>
    </w:p>
    <w:p w14:paraId="16438E92" w14:textId="77777777" w:rsidR="00371A08" w:rsidRPr="00C17A7B" w:rsidRDefault="00000000" w:rsidP="006C7746">
      <w:pPr>
        <w:spacing w:line="480" w:lineRule="auto"/>
        <w:ind w:firstLine="709"/>
        <w:rPr>
          <w:rFonts w:ascii="Times" w:eastAsia="Times" w:hAnsi="Times" w:cs="Times"/>
          <w:b/>
          <w:color w:val="000000" w:themeColor="text1"/>
          <w:highlight w:val="yellow"/>
        </w:rPr>
      </w:pPr>
      <w:r w:rsidRPr="00C17A7B">
        <w:rPr>
          <w:rFonts w:ascii="Times" w:eastAsia="Times" w:hAnsi="Times" w:cs="Times"/>
          <w:color w:val="000000" w:themeColor="text1"/>
        </w:rPr>
        <w:lastRenderedPageBreak/>
        <w:t xml:space="preserve">En estas redes sociales se comparten todo tipo de contenido, ya sea basado en imágenes o en texto. Sin embargo, según Sundar (2008) la tecnología ha logrado alterar nuestra percepción de la realidad, explicitando que nuestro cerebro confía implícitamente más en los contenidos visuales (imágenes y videos) que, en los textuales, al cubrir el “heurístico del realismo”. Este heurístico hace que una imagen se haga intrínsecamente más real que un texto escrito sobre el mismo asunto, ya que tendemos a confiar más en aquello que vemos, que lo que leemos. Esto radica en la creencia general de que las imágenes no pueden mentir (Sundar, 2008). En este sentido, puede ser más interesante estudiar determinadas redes sociales como Instagram, Snapchat y Tik Tok, tanto por su nivel de popularidad como por el contenido visualizado. En esta línea, pese a que Snapchat sea relevante por su contenido basado en imágenes esta red social será excluida del presente estudio debido a que no está siendo una red social muy utilizada por los jóvenes en la actualidad (Anderson y Jiang, 2018). </w:t>
      </w:r>
    </w:p>
    <w:p w14:paraId="38C13C6C" w14:textId="77777777" w:rsidR="00371A08" w:rsidRPr="00C17A7B" w:rsidRDefault="00371A08" w:rsidP="006C7746">
      <w:pPr>
        <w:spacing w:line="480" w:lineRule="auto"/>
        <w:ind w:firstLine="709"/>
        <w:rPr>
          <w:rFonts w:ascii="Times" w:eastAsia="Times" w:hAnsi="Times" w:cs="Times"/>
          <w:color w:val="000000" w:themeColor="text1"/>
        </w:rPr>
      </w:pPr>
    </w:p>
    <w:p w14:paraId="6837DCB7" w14:textId="77777777" w:rsidR="00371A08" w:rsidRPr="00C17A7B" w:rsidRDefault="00000000" w:rsidP="006C7746">
      <w:pPr>
        <w:spacing w:line="480" w:lineRule="auto"/>
        <w:ind w:firstLine="709"/>
        <w:rPr>
          <w:rFonts w:ascii="Times" w:eastAsia="Times" w:hAnsi="Times" w:cs="Times"/>
          <w:b/>
          <w:color w:val="000000" w:themeColor="text1"/>
        </w:rPr>
      </w:pPr>
      <w:r w:rsidRPr="00C17A7B">
        <w:rPr>
          <w:rFonts w:ascii="Times" w:eastAsia="Times" w:hAnsi="Times" w:cs="Times"/>
          <w:color w:val="000000" w:themeColor="text1"/>
        </w:rPr>
        <w:t xml:space="preserve">En este sentido, destaca en la actualidad el contenido dedicado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que afecta a las creencias y fomenta la obligación moral de conseguir un cuerpo determinado entre las mujeres jóvenes (Jong y Drummond, 2016), causantes de un aumento del estado de ánimo negativo y la insatisfacción corporal (Tiggermann y Zaccardo, 2015). Así, la exposición a fotografías del ideal atlético, es decir un cuerpo femenino delgado pero tonificado, (Markula et al., 2001) y a las imágenes del ideal de delgadez (Knobloch-Westerwick, 2015) predicen la insatisfacción corporal y la realización compulsiva de ejercicio entre mujeres (Benton y Karazsia, 2015). Asimismo, otros autores, tales como Holland y Tiggermann (2017), han encontrado una relación con la propensión a la delgadez, el anhelo de músculos, la bulimia y la actividad física compulsiva con el fenómeno del </w:t>
      </w:r>
      <w:r w:rsidRPr="00C17A7B">
        <w:rPr>
          <w:rFonts w:ascii="Times" w:eastAsia="Times" w:hAnsi="Times" w:cs="Times"/>
          <w:i/>
          <w:color w:val="000000" w:themeColor="text1"/>
        </w:rPr>
        <w:t>fitspiration.</w:t>
      </w:r>
    </w:p>
    <w:p w14:paraId="421B3E62" w14:textId="77777777" w:rsidR="00371A08" w:rsidRPr="00C17A7B" w:rsidRDefault="00371A08" w:rsidP="006C7746">
      <w:pPr>
        <w:spacing w:line="480" w:lineRule="auto"/>
        <w:ind w:firstLine="709"/>
        <w:rPr>
          <w:rFonts w:ascii="Times" w:eastAsia="Times" w:hAnsi="Times" w:cs="Times"/>
          <w:i/>
          <w:color w:val="000000" w:themeColor="text1"/>
        </w:rPr>
      </w:pPr>
    </w:p>
    <w:p w14:paraId="2A3510A4"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En esta línea Perloff (2014) señala que el género femenino es el más proclive a padecer un TCA debido a la existencia de arquetipos de estética y de delgadez impuestos a través de los diversos medios de comunicación, entre los que se encuentran las redes sociales como uno de los factores de riesgo primordiales, por lo que es una de las poblaciones más afectadas por este fenómeno. Como mencionado en líneas anteriores, las mujeres jóvenes se ven especialmente afectadas por este tipo de contenidos (Jong y Drummond, 2016). Además, al tratarse de una “generación digital”, estos usuarios tienen una </w:t>
      </w:r>
      <w:r w:rsidRPr="00C17A7B">
        <w:rPr>
          <w:color w:val="000000" w:themeColor="text1"/>
        </w:rPr>
        <w:t xml:space="preserve">mayor destreza en el procesado de la información provenientes de diferentes fuentes, sin que medie una reflexión anterior, ni consiguiente sobre el mismo </w:t>
      </w:r>
      <w:r w:rsidRPr="00C17A7B">
        <w:rPr>
          <w:rFonts w:ascii="Times" w:eastAsia="Times" w:hAnsi="Times" w:cs="Times"/>
          <w:color w:val="000000" w:themeColor="text1"/>
        </w:rPr>
        <w:t>(Schirrmacher, 1993).</w:t>
      </w:r>
    </w:p>
    <w:p w14:paraId="50CC31A7" w14:textId="77777777" w:rsidR="00371A08" w:rsidRPr="00C17A7B" w:rsidRDefault="00371A08" w:rsidP="006C7746">
      <w:pPr>
        <w:spacing w:line="480" w:lineRule="auto"/>
        <w:ind w:firstLine="709"/>
        <w:rPr>
          <w:rFonts w:ascii="Times" w:eastAsia="Times" w:hAnsi="Times" w:cs="Times"/>
          <w:color w:val="000000" w:themeColor="text1"/>
        </w:rPr>
      </w:pPr>
    </w:p>
    <w:p w14:paraId="4499B7D9"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Por otro lado, el tiempo es una variable importante en el tema que nos concierne. En esta línea, Puertas (2020) estima que, a mayor tiempo de utilización de la red social, mayor riesgo de padecer un TCA. Además, este autor especifica, que el mayor uso temporal de una red social se asocia tanto a una peor autoestima, como a su vez a una sintomatología depresiva y ansiosa (Puertas 2020). Por otro lado, Eckler et al. (2016) encontró que las mujeres jóvenes son aquellas que cada vez pasan un tiempo más considerable en las redes sociales, a la vez que un mayor tiempo en estas plataformas puede llevar al aumento de la sintomatología TCA (Eckler et al., 2016). </w:t>
      </w:r>
    </w:p>
    <w:p w14:paraId="582ED40D" w14:textId="77777777" w:rsidR="00371A08" w:rsidRPr="00C17A7B" w:rsidRDefault="00371A08" w:rsidP="006C7746">
      <w:pPr>
        <w:spacing w:line="480" w:lineRule="auto"/>
        <w:ind w:firstLine="709"/>
        <w:rPr>
          <w:rFonts w:ascii="Times" w:eastAsia="Times" w:hAnsi="Times" w:cs="Times"/>
          <w:color w:val="000000" w:themeColor="text1"/>
        </w:rPr>
      </w:pPr>
    </w:p>
    <w:p w14:paraId="1789D6DC"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Asimismo, en este trabajo se tendrán en cuenta determinadas variables moduladoras que se irán desengranando una a una. </w:t>
      </w:r>
    </w:p>
    <w:p w14:paraId="1E046B20" w14:textId="77777777" w:rsidR="00371A08" w:rsidRPr="00C17A7B" w:rsidRDefault="00371A08" w:rsidP="006C7746">
      <w:pPr>
        <w:spacing w:line="480" w:lineRule="auto"/>
        <w:ind w:firstLine="709"/>
        <w:rPr>
          <w:rFonts w:ascii="Times" w:eastAsia="Times" w:hAnsi="Times" w:cs="Times"/>
          <w:b/>
          <w:color w:val="000000" w:themeColor="text1"/>
        </w:rPr>
      </w:pPr>
    </w:p>
    <w:p w14:paraId="2A8E5CC1"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En primer lugar, se abordará la sintomatología TCA. Varios estudios han demostrado que los mensajes asociados a la imagen corporal en las redes sociales afectan de manera </w:t>
      </w:r>
      <w:r w:rsidRPr="00C17A7B">
        <w:rPr>
          <w:rFonts w:ascii="Times" w:eastAsia="Times" w:hAnsi="Times" w:cs="Times"/>
          <w:color w:val="000000" w:themeColor="text1"/>
        </w:rPr>
        <w:lastRenderedPageBreak/>
        <w:t xml:space="preserve">negativa a la autoimagen y al comportamiento, sobre todo en la satisfacción corporal con el propio cuerpo y en la misma personalidad del usuario (Aparicio-Martínez et al., 2017). Aquí caben definirse dos conceptos en estrecha relación con los TCA’s. Por un lado, la imagen corporal es la percepción mental que uno tiene de su propio cuerpo, específicamente cómo las personas sienten, reflexionan y finalmente se relacionan con sus propias cualidades físicas (Muth y Cash, 2006). Mientras que, por otro lado, la insatisfacción corporal se define como una alteración sistemática de esta imagen corporal caracterizada por una amalgama de cogniciones, actitudes y emociones adversas hacia el volumen y la configuración del propio cuerpo (Baile et al., 2002). Según diversos autores, entre ellos Stice et al. (2010), la insatisfacción con la propia imagen corporal se asocia a la sintomatología depresiva, a un déficit en las relaciones sociales y a una baja autoestima y actividad sexual. Además, constituye un factor de riesgo vital tanto para los trastornos de la conducta alimentaria y dismórfico corporales como para el riesgo suicida (Stice et al., 2010). En esta línea cabe destacar a Rodgers y Melioli (2016), quienes relacionan el uso de internet a perturbaciones en la imagen corporal y a inquietudes ansiosas sobre la alimentación. Según ellos, estas toman una especial importancia si el uso de internet responde al empleo de servicios electrónicos con un contenido basado en imágenes (Roders y Melioli, 2016). Puertas (2020) sostiene que Instagram está íntimamente ligada a la insatisfacción corporal y varias actitudes alimentarias y alteraciones emocionales (ansiedad, depresión, baja autoestima) (Jovic et al., 2019, citado por Puertas, 2020). El estudio de Turner y Lefevre (2017) apoya este argumento, ya que estos autores consideran que Instagram tiene elevadas probabilidades de estar relacionado con el comienzo y el desarrollo del TCA.  </w:t>
      </w:r>
    </w:p>
    <w:p w14:paraId="32891F72" w14:textId="77777777" w:rsidR="00371A08" w:rsidRPr="00C17A7B" w:rsidRDefault="00371A08" w:rsidP="006C7746">
      <w:pPr>
        <w:spacing w:line="480" w:lineRule="auto"/>
        <w:ind w:firstLine="709"/>
        <w:rPr>
          <w:rFonts w:ascii="Times" w:eastAsia="Times" w:hAnsi="Times" w:cs="Times"/>
          <w:color w:val="000000" w:themeColor="text1"/>
        </w:rPr>
      </w:pPr>
    </w:p>
    <w:p w14:paraId="51882F41"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Como se puede ver, las investigaciones nombradas arrojan una serie de resultados donde se destaca frecuentemente la afectación de la autoestima. La autoestima se podría </w:t>
      </w:r>
      <w:r w:rsidRPr="00C17A7B">
        <w:rPr>
          <w:rFonts w:ascii="Times" w:eastAsia="Times" w:hAnsi="Times" w:cs="Times"/>
          <w:color w:val="000000" w:themeColor="text1"/>
        </w:rPr>
        <w:lastRenderedPageBreak/>
        <w:t>definir como la valorización que una persona realiza de sí misma, implicando una serie de sentimientos cogniciones, emociones, vivencias y actitudes que recopila la misma a lo largo de su vida (Mejía et al., 2011). Diversos estudios han encontrado que la baja autoestima se podría considerar un factor de riesgo importante para el desarrollo y persistencia de los trastornos de la conducta alimentaria (Beato et al., 2004). Por otro lado, Cervera et al. (2003) encontraron en su estudio que aquellas personas diagnosticadas con un TCA denotaban una baja autoestima. Asimismo, se considera, que una baja autoestima puede conllevar la autoevaluación desfavorable de uno mismo, lo que se comporta como un factor psicológico de vulnerabilidad para la insatisfacción corporal (Ruiz et al., 2017).</w:t>
      </w:r>
    </w:p>
    <w:p w14:paraId="7089BE75" w14:textId="77777777" w:rsidR="00371A08" w:rsidRPr="00C17A7B" w:rsidRDefault="00371A08" w:rsidP="006C7746">
      <w:pPr>
        <w:spacing w:line="480" w:lineRule="auto"/>
        <w:rPr>
          <w:rFonts w:ascii="Times" w:eastAsia="Times" w:hAnsi="Times" w:cs="Times"/>
          <w:color w:val="000000" w:themeColor="text1"/>
          <w:highlight w:val="yellow"/>
        </w:rPr>
      </w:pPr>
    </w:p>
    <w:p w14:paraId="6F5C7348" w14:textId="77777777" w:rsidR="00371A08" w:rsidRPr="00C17A7B" w:rsidRDefault="00000000" w:rsidP="002F536B">
      <w:pPr>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Justificaciones y limitaciones </w:t>
      </w:r>
    </w:p>
    <w:p w14:paraId="48BF76D5" w14:textId="77777777" w:rsidR="00371A08" w:rsidRPr="00C17A7B" w:rsidRDefault="00371A08" w:rsidP="006C7746">
      <w:pPr>
        <w:spacing w:line="480" w:lineRule="auto"/>
        <w:ind w:firstLine="709"/>
        <w:rPr>
          <w:rFonts w:ascii="Times" w:eastAsia="Times" w:hAnsi="Times" w:cs="Times"/>
          <w:b/>
          <w:color w:val="000000" w:themeColor="text1"/>
        </w:rPr>
      </w:pPr>
    </w:p>
    <w:p w14:paraId="743EB5F2"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Por estos motivos expuestos, este trabajo se centrará en las mujeres jóvenes, con una edad comprendida entre los 18 y los 25 años, usuarias de redes sociales, entre las que se incluyen Instagram y TikTok. Como se ha señalado anteriormente, estas redes sociales fueron elegidas, por un lado, por su elevada prevalencia, popularidad y tiempo de uso, como por otro lado, debido a que son redes sociales basadas en el contenido visual, lo que resulta de importancia para este trabajo. Otro motivo para ello es la extensa investigación dedicada al impacto de Instagram sobre la población, mientras que por otro lado no disponemos de estos datos a un nivel tan exhaustivo en cuanto a Tik Tok, lo que posiciona a esta red social en un área de desconocimiento en cuanto a su impacto, específicamente sobre la sintomatología TCA, la insatisfacción corporal y la autoestima.</w:t>
      </w:r>
    </w:p>
    <w:p w14:paraId="24D70CB0"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 </w:t>
      </w:r>
    </w:p>
    <w:p w14:paraId="690E7482"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En cuanto a las variables del estudio éstas fueron escogidas debido a que las investigaciones anteriormente expuestas reiteran una conexión probable entre la visualización </w:t>
      </w:r>
      <w:r w:rsidRPr="00C17A7B">
        <w:rPr>
          <w:rFonts w:ascii="Times" w:eastAsia="Times" w:hAnsi="Times" w:cs="Times"/>
          <w:color w:val="000000" w:themeColor="text1"/>
        </w:rPr>
        <w:lastRenderedPageBreak/>
        <w:t xml:space="preserve">de las redes sociales (tiempo de uso y tipo de contenido), la insatisfacción corporal y la autoestima. Parece ser que hay una creciente tendencia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por lo que es de interés estudiar este tipo de contenidos específicos, sobre todo en relación con la sintomatología TCA que es el objeto de análisis primordial en este trabajo. Al tratarse de una sintomatología variada, esta será analizada en su conjunto mediante la elección de pruebas de evaluación que engloben los signos asociados tanto a la anorexia nerviosa como a la bulimia nerviosa (actividad física compulsiva, restricción en la ingesta de alimentos, conductas purgativas, ayuno). </w:t>
      </w:r>
    </w:p>
    <w:p w14:paraId="41A8CB57" w14:textId="77777777" w:rsidR="00B937AB" w:rsidRPr="00C17A7B" w:rsidRDefault="00B937AB" w:rsidP="002F536B">
      <w:pPr>
        <w:spacing w:line="480" w:lineRule="auto"/>
        <w:rPr>
          <w:rFonts w:ascii="Times" w:eastAsia="Times" w:hAnsi="Times" w:cs="Times"/>
          <w:b/>
          <w:color w:val="000000" w:themeColor="text1"/>
        </w:rPr>
      </w:pPr>
    </w:p>
    <w:p w14:paraId="773569AA" w14:textId="1813BCAE" w:rsidR="00371A08" w:rsidRPr="00C17A7B" w:rsidRDefault="002F536B" w:rsidP="002F536B">
      <w:pPr>
        <w:spacing w:line="480" w:lineRule="auto"/>
        <w:rPr>
          <w:rFonts w:ascii="Times" w:eastAsia="Times" w:hAnsi="Times" w:cs="Times"/>
          <w:b/>
          <w:color w:val="000000" w:themeColor="text1"/>
        </w:rPr>
      </w:pPr>
      <w:r w:rsidRPr="00C17A7B">
        <w:rPr>
          <w:rFonts w:ascii="Times" w:eastAsia="Times" w:hAnsi="Times" w:cs="Times"/>
          <w:b/>
          <w:color w:val="000000" w:themeColor="text1"/>
        </w:rPr>
        <w:t>Objetivos</w:t>
      </w:r>
    </w:p>
    <w:p w14:paraId="7AFF2CA9" w14:textId="77777777" w:rsidR="002F536B" w:rsidRPr="00C17A7B" w:rsidRDefault="002F536B" w:rsidP="002F536B">
      <w:pPr>
        <w:spacing w:line="480" w:lineRule="auto"/>
        <w:rPr>
          <w:rFonts w:ascii="Times" w:eastAsia="Times" w:hAnsi="Times" w:cs="Times"/>
          <w:b/>
          <w:color w:val="000000" w:themeColor="text1"/>
        </w:rPr>
      </w:pPr>
    </w:p>
    <w:p w14:paraId="57238675"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Todo lo comentado anteriormente hace surgir la siguiente pregunta de investigación: ¿Existe alguna correlación entre la visualización de determinados contenidos, especialmente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mostrada en las redes sociales, con el desarrollo de sintomatología asociada al TCA en mujeres jóvenes? ¿Tiene este contenido una relación con la satisfacción corporal y la autoestima? De estas preguntas se extraen las siguientes hipótesis: </w:t>
      </w:r>
    </w:p>
    <w:p w14:paraId="08EA1F55" w14:textId="77777777" w:rsidR="00371A08" w:rsidRPr="00C17A7B" w:rsidRDefault="00371A08" w:rsidP="006C7746">
      <w:pPr>
        <w:spacing w:line="480" w:lineRule="auto"/>
        <w:rPr>
          <w:rFonts w:ascii="Times" w:eastAsia="Times" w:hAnsi="Times" w:cs="Times"/>
          <w:i/>
          <w:color w:val="000000" w:themeColor="text1"/>
        </w:rPr>
      </w:pPr>
    </w:p>
    <w:p w14:paraId="18C0B7C7" w14:textId="77777777" w:rsidR="00371A08" w:rsidRPr="00C17A7B" w:rsidRDefault="00000000" w:rsidP="006C7746">
      <w:pPr>
        <w:numPr>
          <w:ilvl w:val="0"/>
          <w:numId w:val="2"/>
        </w:numPr>
        <w:pBdr>
          <w:top w:val="nil"/>
          <w:left w:val="nil"/>
          <w:bottom w:val="nil"/>
          <w:right w:val="nil"/>
          <w:between w:val="nil"/>
        </w:pBdr>
        <w:spacing w:line="480" w:lineRule="auto"/>
        <w:rPr>
          <w:rFonts w:ascii="Times" w:eastAsia="Times" w:hAnsi="Times" w:cs="Times"/>
          <w:color w:val="000000" w:themeColor="text1"/>
        </w:rPr>
      </w:pPr>
      <w:r w:rsidRPr="00C17A7B">
        <w:rPr>
          <w:rFonts w:ascii="Times" w:eastAsia="Times" w:hAnsi="Times" w:cs="Times"/>
          <w:color w:val="000000" w:themeColor="text1"/>
        </w:rPr>
        <w:t xml:space="preserve">Si una persona pasa un mayor tiempo en las redes sociales, entonces habrá una mayor presencia de sintomatología TCA y una autoestima más baja. </w:t>
      </w:r>
      <w:r w:rsidRPr="00C17A7B">
        <w:rPr>
          <w:rFonts w:ascii="Times" w:eastAsia="Times" w:hAnsi="Times" w:cs="Times"/>
          <w:b/>
          <w:color w:val="000000" w:themeColor="text1"/>
        </w:rPr>
        <w:br/>
      </w:r>
    </w:p>
    <w:p w14:paraId="3457141A" w14:textId="77777777" w:rsidR="00371A08" w:rsidRPr="00C17A7B" w:rsidRDefault="00000000" w:rsidP="006C7746">
      <w:pPr>
        <w:numPr>
          <w:ilvl w:val="0"/>
          <w:numId w:val="2"/>
        </w:numPr>
        <w:pBdr>
          <w:top w:val="none" w:sz="0" w:space="0" w:color="D9D9E3"/>
          <w:left w:val="none" w:sz="0" w:space="0" w:color="D9D9E3"/>
          <w:bottom w:val="none" w:sz="0" w:space="0" w:color="D9D9E3"/>
          <w:right w:val="none" w:sz="0" w:space="0" w:color="D9D9E3"/>
          <w:between w:val="none" w:sz="0" w:space="0" w:color="D9D9E3"/>
        </w:pBdr>
        <w:spacing w:line="420" w:lineRule="auto"/>
        <w:rPr>
          <w:color w:val="000000" w:themeColor="text1"/>
        </w:rPr>
      </w:pPr>
      <w:r w:rsidRPr="00C17A7B">
        <w:rPr>
          <w:color w:val="000000" w:themeColor="text1"/>
        </w:rPr>
        <w:t>Si una persona utiliza TikTok, será más vulnerable a padecer sintomatología TCA, insatisfacción corporal y una autoestima más baja, en comparación con los individuos que utilizan Instagram.</w:t>
      </w:r>
    </w:p>
    <w:p w14:paraId="0BAAF5E0" w14:textId="77777777" w:rsidR="00371A08" w:rsidRPr="00C17A7B" w:rsidRDefault="00371A08" w:rsidP="006C7746">
      <w:pPr>
        <w:spacing w:line="480" w:lineRule="auto"/>
        <w:rPr>
          <w:rFonts w:ascii="Times" w:eastAsia="Times" w:hAnsi="Times" w:cs="Times"/>
          <w:color w:val="000000" w:themeColor="text1"/>
        </w:rPr>
      </w:pPr>
    </w:p>
    <w:p w14:paraId="38A75057" w14:textId="77777777" w:rsidR="00371A08" w:rsidRPr="00C17A7B" w:rsidRDefault="00000000" w:rsidP="006C7746">
      <w:pPr>
        <w:numPr>
          <w:ilvl w:val="0"/>
          <w:numId w:val="2"/>
        </w:numPr>
        <w:pBdr>
          <w:top w:val="nil"/>
          <w:left w:val="nil"/>
          <w:bottom w:val="nil"/>
          <w:right w:val="nil"/>
          <w:between w:val="nil"/>
        </w:pBdr>
        <w:spacing w:line="480" w:lineRule="auto"/>
        <w:rPr>
          <w:rFonts w:ascii="Times" w:eastAsia="Times" w:hAnsi="Times" w:cs="Times"/>
          <w:color w:val="000000" w:themeColor="text1"/>
        </w:rPr>
      </w:pPr>
      <w:r w:rsidRPr="00C17A7B">
        <w:rPr>
          <w:rFonts w:ascii="Times" w:eastAsia="Times" w:hAnsi="Times" w:cs="Times"/>
          <w:color w:val="000000" w:themeColor="text1"/>
        </w:rPr>
        <w:t xml:space="preserve">Si existe una mayor visualización de contenido asociado al mundo de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habrá una mayor insatisfacción corporal, mayor presencia de sintomatología TCA y </w:t>
      </w:r>
      <w:r w:rsidRPr="00C17A7B">
        <w:rPr>
          <w:rFonts w:ascii="Times" w:eastAsia="Times" w:hAnsi="Times" w:cs="Times"/>
          <w:color w:val="000000" w:themeColor="text1"/>
        </w:rPr>
        <w:lastRenderedPageBreak/>
        <w:t xml:space="preserve">una autoestima más baja. </w:t>
      </w:r>
      <w:r w:rsidRPr="00C17A7B">
        <w:rPr>
          <w:rFonts w:ascii="Times" w:eastAsia="Times" w:hAnsi="Times" w:cs="Times"/>
          <w:color w:val="000000" w:themeColor="text1"/>
        </w:rPr>
        <w:br/>
      </w:r>
    </w:p>
    <w:p w14:paraId="05C1FBC4" w14:textId="77777777" w:rsidR="00371A08" w:rsidRPr="00C17A7B" w:rsidRDefault="00000000" w:rsidP="006C7746">
      <w:pPr>
        <w:numPr>
          <w:ilvl w:val="0"/>
          <w:numId w:val="2"/>
        </w:numPr>
        <w:pBdr>
          <w:top w:val="nil"/>
          <w:left w:val="nil"/>
          <w:bottom w:val="nil"/>
          <w:right w:val="nil"/>
          <w:between w:val="nil"/>
        </w:pBdr>
        <w:spacing w:line="480" w:lineRule="auto"/>
        <w:rPr>
          <w:rFonts w:ascii="Times" w:eastAsia="Times" w:hAnsi="Times" w:cs="Times"/>
          <w:color w:val="000000" w:themeColor="text1"/>
        </w:rPr>
      </w:pPr>
      <w:r w:rsidRPr="00C17A7B">
        <w:rPr>
          <w:rFonts w:ascii="Times" w:eastAsia="Times" w:hAnsi="Times" w:cs="Times"/>
          <w:color w:val="000000" w:themeColor="text1"/>
        </w:rPr>
        <w:t xml:space="preserve">Hay una correlación positiva entre la sintomatología TCA y la insatisfacción corporal, así como una correlación positiva entre la sintomatología TCA y la baja autoestima. </w:t>
      </w:r>
    </w:p>
    <w:p w14:paraId="7DE43FBA" w14:textId="77777777" w:rsidR="00371A08" w:rsidRPr="00C17A7B" w:rsidRDefault="00371A08" w:rsidP="006C7746">
      <w:pPr>
        <w:pBdr>
          <w:top w:val="nil"/>
          <w:left w:val="nil"/>
          <w:bottom w:val="nil"/>
          <w:right w:val="nil"/>
          <w:between w:val="nil"/>
        </w:pBdr>
        <w:spacing w:line="480" w:lineRule="auto"/>
        <w:rPr>
          <w:rFonts w:ascii="Times" w:eastAsia="Times" w:hAnsi="Times" w:cs="Times"/>
          <w:b/>
          <w:color w:val="000000" w:themeColor="text1"/>
        </w:rPr>
      </w:pPr>
    </w:p>
    <w:p w14:paraId="386DC53F" w14:textId="77777777" w:rsidR="00371A08" w:rsidRPr="00C17A7B" w:rsidRDefault="00000000" w:rsidP="006C7746">
      <w:pPr>
        <w:spacing w:line="480" w:lineRule="auto"/>
        <w:ind w:firstLine="709"/>
        <w:rPr>
          <w:rFonts w:ascii="Times" w:eastAsia="Times" w:hAnsi="Times" w:cs="Times"/>
          <w:color w:val="000000" w:themeColor="text1"/>
        </w:rPr>
      </w:pPr>
      <w:r w:rsidRPr="00C17A7B">
        <w:rPr>
          <w:rFonts w:ascii="Times" w:eastAsia="Times" w:hAnsi="Times" w:cs="Times"/>
          <w:color w:val="000000" w:themeColor="text1"/>
        </w:rPr>
        <w:t xml:space="preserve">Esta investigación empírica trata de comprobar y dar respuesta a estas hipótesis mediante el planteamiento de los siguientes objetivos: </w:t>
      </w:r>
    </w:p>
    <w:p w14:paraId="6634D355" w14:textId="77777777" w:rsidR="00371A08" w:rsidRPr="00C17A7B" w:rsidRDefault="00371A08" w:rsidP="006C7746">
      <w:pPr>
        <w:spacing w:line="480" w:lineRule="auto"/>
        <w:ind w:firstLine="709"/>
        <w:rPr>
          <w:rFonts w:ascii="Times" w:eastAsia="Times" w:hAnsi="Times" w:cs="Times"/>
          <w:color w:val="000000" w:themeColor="text1"/>
        </w:rPr>
      </w:pPr>
    </w:p>
    <w:p w14:paraId="139C4EBB" w14:textId="77777777"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Estudiar la relación entre el consumo de las redes sociales, la sintomatología TCA, la insatisfacción corporal y la baja autoestima en población española.</w:t>
      </w:r>
      <w:r w:rsidRPr="00C17A7B">
        <w:rPr>
          <w:rFonts w:ascii="Times" w:eastAsia="Times" w:hAnsi="Times" w:cs="Times"/>
          <w:color w:val="000000" w:themeColor="text1"/>
        </w:rPr>
        <w:br/>
      </w:r>
    </w:p>
    <w:p w14:paraId="6E851028" w14:textId="77777777"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 xml:space="preserve">Observar si el tipo de contenido visualizado tiene un impacto sobre la sintomatología TCA, la insatisfacción corporal y la baja autoestima. </w:t>
      </w:r>
      <w:r w:rsidRPr="00C17A7B">
        <w:rPr>
          <w:rFonts w:ascii="Times" w:eastAsia="Times" w:hAnsi="Times" w:cs="Times"/>
          <w:color w:val="000000" w:themeColor="text1"/>
        </w:rPr>
        <w:br/>
      </w:r>
    </w:p>
    <w:p w14:paraId="01C9BF87" w14:textId="064F41C1"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Analizar la posible existencia de una correlación positiva entre la sintomatología TCA, la insatisfacción corporal y la baja autoestima.</w:t>
      </w:r>
    </w:p>
    <w:p w14:paraId="1C6C8608" w14:textId="77777777" w:rsidR="00B27A77" w:rsidRPr="00C17A7B" w:rsidRDefault="00B27A77" w:rsidP="00B27A77">
      <w:pPr>
        <w:spacing w:line="480" w:lineRule="auto"/>
        <w:rPr>
          <w:rFonts w:ascii="Times" w:eastAsia="Times" w:hAnsi="Times" w:cs="Times"/>
          <w:color w:val="000000" w:themeColor="text1"/>
        </w:rPr>
      </w:pPr>
    </w:p>
    <w:p w14:paraId="33C54E39" w14:textId="77777777"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Comparar los resultados obtenidos de Tik Tok e Instagram para contrastar el riesgo asociado a cada red social.</w:t>
      </w:r>
      <w:r w:rsidRPr="00C17A7B">
        <w:rPr>
          <w:rFonts w:ascii="Times" w:eastAsia="Times" w:hAnsi="Times" w:cs="Times"/>
          <w:color w:val="000000" w:themeColor="text1"/>
        </w:rPr>
        <w:br/>
      </w:r>
    </w:p>
    <w:p w14:paraId="3356B2AF" w14:textId="77777777"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Debatir y explicitar los resultados encontrados en esta investigación.</w:t>
      </w:r>
      <w:r w:rsidRPr="00C17A7B">
        <w:rPr>
          <w:rFonts w:ascii="Times" w:eastAsia="Times" w:hAnsi="Times" w:cs="Times"/>
          <w:color w:val="000000" w:themeColor="text1"/>
        </w:rPr>
        <w:br/>
      </w:r>
    </w:p>
    <w:p w14:paraId="2011A31E" w14:textId="77777777" w:rsidR="00371A08" w:rsidRPr="00C17A7B" w:rsidRDefault="00000000" w:rsidP="006C7746">
      <w:pPr>
        <w:numPr>
          <w:ilvl w:val="0"/>
          <w:numId w:val="1"/>
        </w:numPr>
        <w:spacing w:line="480" w:lineRule="auto"/>
        <w:ind w:left="0" w:firstLine="709"/>
        <w:rPr>
          <w:rFonts w:ascii="Times" w:eastAsia="Times" w:hAnsi="Times" w:cs="Times"/>
          <w:color w:val="000000" w:themeColor="text1"/>
        </w:rPr>
      </w:pPr>
      <w:r w:rsidRPr="00C17A7B">
        <w:rPr>
          <w:rFonts w:ascii="Times" w:eastAsia="Times" w:hAnsi="Times" w:cs="Times"/>
          <w:color w:val="000000" w:themeColor="text1"/>
        </w:rPr>
        <w:t>Aumentar la conciencia respecto a los efectos psicológicos negativos relacionados con el uso de las redes sociales.</w:t>
      </w:r>
    </w:p>
    <w:p w14:paraId="6E4C2B69" w14:textId="77777777" w:rsidR="002F536B" w:rsidRPr="00C17A7B" w:rsidRDefault="002F536B" w:rsidP="002F536B">
      <w:pPr>
        <w:spacing w:line="480" w:lineRule="auto"/>
        <w:rPr>
          <w:rFonts w:ascii="Times" w:eastAsia="Times" w:hAnsi="Times" w:cs="Times"/>
          <w:color w:val="000000" w:themeColor="text1"/>
        </w:rPr>
      </w:pPr>
    </w:p>
    <w:p w14:paraId="2263FE11" w14:textId="473D48F9" w:rsidR="002F536B" w:rsidRPr="00C17A7B" w:rsidRDefault="002F536B" w:rsidP="002F536B">
      <w:pPr>
        <w:spacing w:line="480" w:lineRule="auto"/>
        <w:ind w:firstLine="709"/>
        <w:jc w:val="center"/>
        <w:rPr>
          <w:rFonts w:ascii="Times" w:eastAsia="Times" w:hAnsi="Times" w:cs="Times"/>
          <w:b/>
          <w:color w:val="000000" w:themeColor="text1"/>
        </w:rPr>
      </w:pPr>
      <w:r w:rsidRPr="00C17A7B">
        <w:rPr>
          <w:rFonts w:ascii="Times" w:eastAsia="Times" w:hAnsi="Times" w:cs="Times"/>
          <w:b/>
          <w:color w:val="000000" w:themeColor="text1"/>
        </w:rPr>
        <w:lastRenderedPageBreak/>
        <w:t>Método</w:t>
      </w:r>
    </w:p>
    <w:p w14:paraId="5FAB6A92" w14:textId="77777777" w:rsidR="00371A08" w:rsidRPr="00C17A7B" w:rsidRDefault="00000000" w:rsidP="006C7746">
      <w:pPr>
        <w:rPr>
          <w:rFonts w:ascii="Times" w:eastAsia="Times" w:hAnsi="Times" w:cs="Times"/>
          <w:b/>
          <w:color w:val="000000" w:themeColor="text1"/>
        </w:rPr>
      </w:pPr>
      <w:r w:rsidRPr="00C17A7B">
        <w:rPr>
          <w:rFonts w:ascii="Times" w:eastAsia="Times" w:hAnsi="Times" w:cs="Times"/>
          <w:b/>
          <w:color w:val="000000" w:themeColor="text1"/>
        </w:rPr>
        <w:br/>
      </w:r>
    </w:p>
    <w:p w14:paraId="4E24577A" w14:textId="77777777" w:rsidR="00371A08" w:rsidRPr="00C17A7B" w:rsidRDefault="00000000" w:rsidP="006C7746">
      <w:pPr>
        <w:rPr>
          <w:rFonts w:ascii="Times" w:eastAsia="Times" w:hAnsi="Times" w:cs="Times"/>
          <w:b/>
          <w:color w:val="000000" w:themeColor="text1"/>
        </w:rPr>
      </w:pPr>
      <w:r w:rsidRPr="00C17A7B">
        <w:rPr>
          <w:rFonts w:ascii="Times" w:eastAsia="Times" w:hAnsi="Times" w:cs="Times"/>
          <w:b/>
          <w:color w:val="000000" w:themeColor="text1"/>
        </w:rPr>
        <w:t>Participantes</w:t>
      </w:r>
    </w:p>
    <w:p w14:paraId="633CC77F" w14:textId="77777777" w:rsidR="00371A08" w:rsidRPr="00C17A7B" w:rsidRDefault="00371A08" w:rsidP="006C7746">
      <w:pPr>
        <w:rPr>
          <w:rFonts w:ascii="Times" w:eastAsia="Times" w:hAnsi="Times" w:cs="Times"/>
          <w:b/>
          <w:color w:val="000000" w:themeColor="text1"/>
        </w:rPr>
      </w:pPr>
    </w:p>
    <w:p w14:paraId="2DBE4DB9" w14:textId="77777777" w:rsidR="00371A08" w:rsidRPr="00C17A7B" w:rsidRDefault="00371A08" w:rsidP="006C7746">
      <w:pPr>
        <w:rPr>
          <w:rFonts w:ascii="Times" w:eastAsia="Times" w:hAnsi="Times" w:cs="Times"/>
          <w:b/>
          <w:color w:val="000000" w:themeColor="text1"/>
        </w:rPr>
      </w:pPr>
    </w:p>
    <w:p w14:paraId="78B86BF9" w14:textId="4FC905C1"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Para este Trabajo de Fin de Máster con un diseño empírico cuantitativo no experimental, la muestra final se compone de 163 mujeres de entre 18-25 años de nacionalidad española. La media con la desviación típica entre paréntesis fueron 21.81 (2.43). Se incluyeron a todos los sujetos que cumplieron con los requisitos previos (sexo y rango de edad) y estos mismos conformarán los criterios de exclusión. Los participantes participan voluntariamente en esta investigación mediante la realización de una encuesta online, divulgada tanto a nivel oral como escrito por redes sociales y mensajería instantánea, que contiene una serie de preguntas para obtener la información requerida. Antes de comenzar el mismo, se expone la información acerca de la propia investigación, además de señalar sus derechos y la posibilidad de abandonar el mismo en cuanto lo deseen. Todo ello va dirigido a personas no incapacitadas que deseen participar tras confirmar su voluntad y entendimiento de lo expuesto. </w:t>
      </w:r>
      <w:r w:rsidR="00210D2E" w:rsidRPr="00C17A7B">
        <w:rPr>
          <w:rFonts w:ascii="Times" w:eastAsia="Times" w:hAnsi="Times" w:cs="Times"/>
          <w:color w:val="000000" w:themeColor="text1"/>
        </w:rPr>
        <w:t>Las características de los participantes se presentan en la Tabla 1.</w:t>
      </w:r>
    </w:p>
    <w:p w14:paraId="1D69A9F2" w14:textId="77777777" w:rsidR="00B27A77" w:rsidRPr="00C17A7B" w:rsidRDefault="00B27A77">
      <w:pPr>
        <w:spacing w:line="480" w:lineRule="auto"/>
        <w:jc w:val="both"/>
        <w:rPr>
          <w:rFonts w:ascii="Times" w:eastAsia="Times" w:hAnsi="Times" w:cs="Times"/>
          <w:color w:val="000000" w:themeColor="text1"/>
        </w:rPr>
      </w:pPr>
    </w:p>
    <w:p w14:paraId="7797671B" w14:textId="5A6630C4" w:rsidR="00210D2E" w:rsidRPr="00C17A7B" w:rsidRDefault="00000000">
      <w:pPr>
        <w:spacing w:line="480" w:lineRule="auto"/>
        <w:jc w:val="both"/>
        <w:rPr>
          <w:rFonts w:ascii="Times" w:eastAsia="Times" w:hAnsi="Times" w:cs="Times"/>
          <w:color w:val="000000" w:themeColor="text1"/>
        </w:rPr>
      </w:pPr>
      <w:r w:rsidRPr="00C17A7B">
        <w:rPr>
          <w:rFonts w:ascii="Times" w:eastAsia="Times" w:hAnsi="Times" w:cs="Times"/>
          <w:b/>
          <w:bCs/>
          <w:color w:val="000000" w:themeColor="text1"/>
        </w:rPr>
        <w:t>Tabla 1</w:t>
      </w:r>
    </w:p>
    <w:p w14:paraId="718C5018" w14:textId="0D936DBF" w:rsidR="001A4400" w:rsidRPr="00C17A7B" w:rsidRDefault="00000000">
      <w:pPr>
        <w:spacing w:line="480" w:lineRule="auto"/>
        <w:jc w:val="both"/>
        <w:rPr>
          <w:rFonts w:ascii="Times" w:eastAsia="Times" w:hAnsi="Times" w:cs="Times"/>
          <w:i/>
          <w:color w:val="000000" w:themeColor="text1"/>
        </w:rPr>
      </w:pPr>
      <w:r w:rsidRPr="00C17A7B">
        <w:rPr>
          <w:rFonts w:ascii="Times" w:eastAsia="Times" w:hAnsi="Times" w:cs="Times"/>
          <w:i/>
          <w:color w:val="000000" w:themeColor="text1"/>
        </w:rPr>
        <w:t>Descripción de las</w:t>
      </w:r>
      <w:r w:rsidRPr="00C17A7B">
        <w:rPr>
          <w:rFonts w:ascii="Times" w:eastAsia="Times" w:hAnsi="Times" w:cs="Times"/>
          <w:color w:val="000000" w:themeColor="text1"/>
        </w:rPr>
        <w:t xml:space="preserve"> </w:t>
      </w:r>
      <w:r w:rsidRPr="00C17A7B">
        <w:rPr>
          <w:rFonts w:ascii="Times" w:eastAsia="Times" w:hAnsi="Times" w:cs="Times"/>
          <w:i/>
          <w:color w:val="000000" w:themeColor="text1"/>
        </w:rPr>
        <w:t>características de los participantes</w:t>
      </w:r>
    </w:p>
    <w:p w14:paraId="7943F44F" w14:textId="77777777" w:rsidR="001A4400" w:rsidRPr="00C17A7B" w:rsidRDefault="001A4400">
      <w:pPr>
        <w:spacing w:line="480" w:lineRule="auto"/>
        <w:jc w:val="both"/>
        <w:rPr>
          <w:rFonts w:ascii="Times" w:eastAsia="Times" w:hAnsi="Times" w:cs="Times"/>
          <w:color w:val="000000" w:themeColor="text1"/>
        </w:rPr>
      </w:pPr>
    </w:p>
    <w:tbl>
      <w:tblPr>
        <w:tblStyle w:val="a1"/>
        <w:tblW w:w="9838" w:type="dxa"/>
        <w:tblInd w:w="0" w:type="dxa"/>
        <w:tblBorders>
          <w:top w:val="single" w:sz="4" w:space="0" w:color="000000"/>
          <w:left w:val="nil"/>
          <w:bottom w:val="single" w:sz="4" w:space="0" w:color="000000"/>
          <w:right w:val="nil"/>
          <w:insideH w:val="single" w:sz="4" w:space="0" w:color="000000"/>
          <w:insideV w:val="nil"/>
        </w:tblBorders>
        <w:tblLayout w:type="fixed"/>
        <w:tblLook w:val="0400" w:firstRow="0" w:lastRow="0" w:firstColumn="0" w:lastColumn="0" w:noHBand="0" w:noVBand="1"/>
      </w:tblPr>
      <w:tblGrid>
        <w:gridCol w:w="5382"/>
        <w:gridCol w:w="8"/>
        <w:gridCol w:w="4433"/>
        <w:gridCol w:w="15"/>
      </w:tblGrid>
      <w:tr w:rsidR="00C17A7B" w:rsidRPr="00C17A7B" w14:paraId="598500CA" w14:textId="77777777">
        <w:tc>
          <w:tcPr>
            <w:tcW w:w="9838" w:type="dxa"/>
            <w:gridSpan w:val="4"/>
          </w:tcPr>
          <w:p w14:paraId="52F70600" w14:textId="77777777" w:rsidR="00210D2E" w:rsidRPr="00C17A7B" w:rsidRDefault="00210D2E" w:rsidP="00210D2E">
            <w:pPr>
              <w:tabs>
                <w:tab w:val="left" w:pos="1095"/>
                <w:tab w:val="left" w:pos="7114"/>
              </w:tabs>
              <w:spacing w:line="480" w:lineRule="auto"/>
              <w:rPr>
                <w:rFonts w:ascii="Times" w:eastAsia="Times" w:hAnsi="Times" w:cs="Times"/>
                <w:b/>
                <w:color w:val="000000" w:themeColor="text1"/>
              </w:rPr>
            </w:pPr>
            <w:r w:rsidRPr="00C17A7B">
              <w:rPr>
                <w:rFonts w:ascii="Times" w:eastAsia="Times" w:hAnsi="Times" w:cs="Times"/>
                <w:b/>
                <w:color w:val="000000" w:themeColor="text1"/>
              </w:rPr>
              <w:tab/>
            </w:r>
          </w:p>
          <w:p w14:paraId="395A553E" w14:textId="45A515DC" w:rsidR="00371A08" w:rsidRPr="00C17A7B" w:rsidRDefault="00210D2E" w:rsidP="00210D2E">
            <w:pPr>
              <w:tabs>
                <w:tab w:val="left" w:pos="1095"/>
                <w:tab w:val="left" w:pos="7114"/>
              </w:tabs>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          Características                                                                             Porcentaje</w:t>
            </w:r>
          </w:p>
        </w:tc>
      </w:tr>
      <w:tr w:rsidR="00C17A7B" w:rsidRPr="00C17A7B" w14:paraId="4487E32D" w14:textId="77777777">
        <w:trPr>
          <w:gridAfter w:val="1"/>
          <w:wAfter w:w="15" w:type="dxa"/>
        </w:trPr>
        <w:tc>
          <w:tcPr>
            <w:tcW w:w="5382" w:type="dxa"/>
          </w:tcPr>
          <w:p w14:paraId="79C390F6" w14:textId="77777777" w:rsidR="00210D2E" w:rsidRPr="00C17A7B" w:rsidRDefault="00210D2E">
            <w:pPr>
              <w:pBdr>
                <w:top w:val="nil"/>
                <w:left w:val="nil"/>
                <w:bottom w:val="nil"/>
                <w:right w:val="nil"/>
                <w:between w:val="nil"/>
              </w:pBdr>
              <w:spacing w:line="480" w:lineRule="auto"/>
              <w:ind w:left="720"/>
              <w:rPr>
                <w:rFonts w:ascii="Times" w:eastAsia="Times" w:hAnsi="Times" w:cs="Times"/>
                <w:b/>
                <w:color w:val="000000" w:themeColor="text1"/>
              </w:rPr>
            </w:pPr>
          </w:p>
          <w:p w14:paraId="5E7C3A58" w14:textId="7A7F1E8A" w:rsidR="00371A08" w:rsidRPr="00C17A7B" w:rsidRDefault="00000000">
            <w:pPr>
              <w:pBdr>
                <w:top w:val="nil"/>
                <w:left w:val="nil"/>
                <w:bottom w:val="nil"/>
                <w:right w:val="nil"/>
                <w:between w:val="nil"/>
              </w:pBdr>
              <w:spacing w:line="480" w:lineRule="auto"/>
              <w:ind w:left="720"/>
              <w:rPr>
                <w:rFonts w:ascii="Times" w:eastAsia="Times" w:hAnsi="Times" w:cs="Times"/>
                <w:b/>
                <w:color w:val="000000" w:themeColor="text1"/>
              </w:rPr>
            </w:pPr>
            <w:r w:rsidRPr="00C17A7B">
              <w:rPr>
                <w:rFonts w:ascii="Times" w:eastAsia="Times" w:hAnsi="Times" w:cs="Times"/>
                <w:bCs/>
                <w:color w:val="000000" w:themeColor="text1"/>
              </w:rPr>
              <w:t xml:space="preserve">Edad, </w:t>
            </w:r>
            <w:r w:rsidRPr="00C17A7B">
              <w:rPr>
                <w:rFonts w:ascii="Times" w:eastAsia="Times" w:hAnsi="Times" w:cs="Times"/>
                <w:bCs/>
                <w:i/>
                <w:iCs/>
                <w:color w:val="000000" w:themeColor="text1"/>
              </w:rPr>
              <w:t>n</w:t>
            </w:r>
            <w:r w:rsidRPr="00C17A7B">
              <w:rPr>
                <w:rFonts w:ascii="Times" w:eastAsia="Times" w:hAnsi="Times" w:cs="Times"/>
                <w:b/>
                <w:i/>
                <w:iCs/>
                <w:color w:val="000000" w:themeColor="text1"/>
              </w:rPr>
              <w:t xml:space="preserve"> (%)</w:t>
            </w:r>
          </w:p>
          <w:p w14:paraId="5ED73090"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18</w:t>
            </w:r>
          </w:p>
          <w:p w14:paraId="006EE20D"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lastRenderedPageBreak/>
              <w:t>19</w:t>
            </w:r>
          </w:p>
          <w:p w14:paraId="38E2C91E"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20</w:t>
            </w:r>
          </w:p>
          <w:p w14:paraId="6F4A46CF"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21</w:t>
            </w:r>
          </w:p>
          <w:p w14:paraId="0F8B605F"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22</w:t>
            </w:r>
          </w:p>
          <w:p w14:paraId="70FCE903"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23</w:t>
            </w:r>
          </w:p>
          <w:p w14:paraId="31840363"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24</w:t>
            </w:r>
          </w:p>
          <w:p w14:paraId="3082CB00"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 xml:space="preserve">25      </w:t>
            </w:r>
          </w:p>
        </w:tc>
        <w:tc>
          <w:tcPr>
            <w:tcW w:w="4441" w:type="dxa"/>
            <w:gridSpan w:val="2"/>
          </w:tcPr>
          <w:p w14:paraId="24B29744" w14:textId="77777777" w:rsidR="00371A08" w:rsidRPr="00C17A7B" w:rsidRDefault="00371A08">
            <w:pPr>
              <w:pBdr>
                <w:top w:val="nil"/>
                <w:left w:val="nil"/>
                <w:bottom w:val="nil"/>
                <w:right w:val="nil"/>
                <w:between w:val="nil"/>
              </w:pBdr>
              <w:spacing w:line="480" w:lineRule="auto"/>
              <w:ind w:left="720"/>
              <w:jc w:val="both"/>
              <w:rPr>
                <w:rFonts w:ascii="Times" w:eastAsia="Times" w:hAnsi="Times" w:cs="Times"/>
                <w:color w:val="000000" w:themeColor="text1"/>
              </w:rPr>
            </w:pPr>
          </w:p>
          <w:p w14:paraId="4CB6A522" w14:textId="77777777" w:rsidR="00210D2E" w:rsidRPr="00C17A7B" w:rsidRDefault="00210D2E">
            <w:pPr>
              <w:pBdr>
                <w:top w:val="nil"/>
                <w:left w:val="nil"/>
                <w:bottom w:val="nil"/>
                <w:right w:val="nil"/>
                <w:between w:val="nil"/>
              </w:pBdr>
              <w:spacing w:line="480" w:lineRule="auto"/>
              <w:ind w:left="720"/>
              <w:jc w:val="both"/>
              <w:rPr>
                <w:rFonts w:ascii="Times" w:eastAsia="Times" w:hAnsi="Times" w:cs="Times"/>
                <w:color w:val="000000" w:themeColor="text1"/>
              </w:rPr>
            </w:pPr>
          </w:p>
          <w:p w14:paraId="7261E47E"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14 (8.6</w:t>
            </w:r>
            <w:r w:rsidRPr="00C17A7B">
              <w:rPr>
                <w:rFonts w:ascii="Times" w:eastAsia="Times" w:hAnsi="Times" w:cs="Times"/>
                <w:i/>
                <w:iCs/>
                <w:color w:val="000000" w:themeColor="text1"/>
              </w:rPr>
              <w:t>%</w:t>
            </w:r>
            <w:r w:rsidRPr="00C17A7B">
              <w:rPr>
                <w:rFonts w:ascii="Times" w:eastAsia="Times" w:hAnsi="Times" w:cs="Times"/>
                <w:color w:val="000000" w:themeColor="text1"/>
              </w:rPr>
              <w:t>)</w:t>
            </w:r>
          </w:p>
          <w:p w14:paraId="308798FB"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lastRenderedPageBreak/>
              <w:t>29 (17.8%)</w:t>
            </w:r>
          </w:p>
          <w:p w14:paraId="5D049B8A"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18 (11%)</w:t>
            </w:r>
          </w:p>
          <w:p w14:paraId="14CFEC7B"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11 (6.7%)</w:t>
            </w:r>
          </w:p>
          <w:p w14:paraId="07AFDB04"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19 (11.7</w:t>
            </w:r>
            <w:r w:rsidRPr="00C17A7B">
              <w:rPr>
                <w:rFonts w:ascii="Times" w:eastAsia="Times" w:hAnsi="Times" w:cs="Times"/>
                <w:i/>
                <w:iCs/>
                <w:color w:val="000000" w:themeColor="text1"/>
              </w:rPr>
              <w:t>%</w:t>
            </w:r>
            <w:r w:rsidRPr="00C17A7B">
              <w:rPr>
                <w:rFonts w:ascii="Times" w:eastAsia="Times" w:hAnsi="Times" w:cs="Times"/>
                <w:color w:val="000000" w:themeColor="text1"/>
              </w:rPr>
              <w:t>)</w:t>
            </w:r>
          </w:p>
          <w:p w14:paraId="0071E201"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17 (10.4%)</w:t>
            </w:r>
          </w:p>
          <w:p w14:paraId="2BF7E0A9"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23 (14.1</w:t>
            </w:r>
            <w:r w:rsidRPr="00C17A7B">
              <w:rPr>
                <w:rFonts w:ascii="Times" w:eastAsia="Times" w:hAnsi="Times" w:cs="Times"/>
                <w:i/>
                <w:iCs/>
                <w:color w:val="000000" w:themeColor="text1"/>
              </w:rPr>
              <w:t>%)</w:t>
            </w:r>
          </w:p>
          <w:p w14:paraId="5F7271E2"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32 (19.6</w:t>
            </w:r>
            <w:r w:rsidRPr="00C17A7B">
              <w:rPr>
                <w:rFonts w:ascii="Times" w:eastAsia="Times" w:hAnsi="Times" w:cs="Times"/>
                <w:i/>
                <w:iCs/>
                <w:color w:val="000000" w:themeColor="text1"/>
              </w:rPr>
              <w:t>%)</w:t>
            </w:r>
          </w:p>
        </w:tc>
      </w:tr>
      <w:tr w:rsidR="00C17A7B" w:rsidRPr="00C17A7B" w14:paraId="7831E11A" w14:textId="77777777">
        <w:trPr>
          <w:trHeight w:val="4629"/>
        </w:trPr>
        <w:tc>
          <w:tcPr>
            <w:tcW w:w="5390" w:type="dxa"/>
            <w:gridSpan w:val="2"/>
            <w:vAlign w:val="center"/>
          </w:tcPr>
          <w:p w14:paraId="4A08319A" w14:textId="77777777" w:rsidR="00210D2E" w:rsidRPr="00C17A7B" w:rsidRDefault="00210D2E">
            <w:pPr>
              <w:pBdr>
                <w:top w:val="nil"/>
                <w:left w:val="nil"/>
                <w:bottom w:val="nil"/>
                <w:right w:val="nil"/>
                <w:between w:val="nil"/>
              </w:pBdr>
              <w:spacing w:line="480" w:lineRule="auto"/>
              <w:ind w:left="720"/>
              <w:rPr>
                <w:rFonts w:ascii="Times" w:eastAsia="Times" w:hAnsi="Times" w:cs="Times"/>
                <w:b/>
                <w:color w:val="000000" w:themeColor="text1"/>
              </w:rPr>
            </w:pPr>
          </w:p>
          <w:p w14:paraId="2C22FF14" w14:textId="15E9EBCF" w:rsidR="00371A08" w:rsidRPr="00C17A7B" w:rsidRDefault="00000000">
            <w:pPr>
              <w:pBdr>
                <w:top w:val="nil"/>
                <w:left w:val="nil"/>
                <w:bottom w:val="nil"/>
                <w:right w:val="nil"/>
                <w:between w:val="nil"/>
              </w:pBdr>
              <w:spacing w:line="480" w:lineRule="auto"/>
              <w:ind w:left="720"/>
              <w:rPr>
                <w:rFonts w:ascii="Times" w:eastAsia="Times" w:hAnsi="Times" w:cs="Times"/>
                <w:b/>
                <w:color w:val="000000" w:themeColor="text1"/>
              </w:rPr>
            </w:pPr>
            <w:r w:rsidRPr="00C17A7B">
              <w:rPr>
                <w:rFonts w:ascii="Times" w:eastAsia="Times" w:hAnsi="Times" w:cs="Times"/>
                <w:bCs/>
                <w:color w:val="000000" w:themeColor="text1"/>
              </w:rPr>
              <w:t xml:space="preserve">Nivel de estudios, </w:t>
            </w:r>
            <w:r w:rsidRPr="00C17A7B">
              <w:rPr>
                <w:rFonts w:ascii="Times" w:eastAsia="Times" w:hAnsi="Times" w:cs="Times"/>
                <w:bCs/>
                <w:i/>
                <w:iCs/>
                <w:color w:val="000000" w:themeColor="text1"/>
              </w:rPr>
              <w:t>n</w:t>
            </w:r>
            <w:r w:rsidRPr="00C17A7B">
              <w:rPr>
                <w:rFonts w:ascii="Times" w:eastAsia="Times" w:hAnsi="Times" w:cs="Times"/>
                <w:b/>
                <w:i/>
                <w:iCs/>
                <w:color w:val="000000" w:themeColor="text1"/>
              </w:rPr>
              <w:t xml:space="preserve"> (%)</w:t>
            </w:r>
          </w:p>
          <w:p w14:paraId="55A071EA"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Sin estudios</w:t>
            </w:r>
          </w:p>
          <w:p w14:paraId="073EFB13"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ESO</w:t>
            </w:r>
            <w:r w:rsidRPr="00C17A7B">
              <w:rPr>
                <w:rFonts w:ascii="Times" w:eastAsia="Times" w:hAnsi="Times" w:cs="Times"/>
                <w:color w:val="000000" w:themeColor="text1"/>
              </w:rPr>
              <w:tab/>
            </w:r>
          </w:p>
          <w:p w14:paraId="1632ABF2"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 xml:space="preserve">Bachillerato </w:t>
            </w:r>
          </w:p>
          <w:p w14:paraId="30FB248D"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Estudios superiores (Universitarios o Formación Profesional)</w:t>
            </w:r>
          </w:p>
          <w:p w14:paraId="2DB6138F"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Estudios de postgrado (Máster, Doctorado…)</w:t>
            </w:r>
          </w:p>
        </w:tc>
        <w:tc>
          <w:tcPr>
            <w:tcW w:w="4448" w:type="dxa"/>
            <w:gridSpan w:val="2"/>
          </w:tcPr>
          <w:p w14:paraId="3D1922BA" w14:textId="77777777" w:rsidR="00371A08" w:rsidRPr="00C17A7B" w:rsidRDefault="00371A08">
            <w:pPr>
              <w:pBdr>
                <w:top w:val="nil"/>
                <w:left w:val="nil"/>
                <w:bottom w:val="nil"/>
                <w:right w:val="nil"/>
                <w:between w:val="nil"/>
              </w:pBdr>
              <w:spacing w:line="480" w:lineRule="auto"/>
              <w:jc w:val="both"/>
              <w:rPr>
                <w:rFonts w:ascii="Times" w:eastAsia="Times" w:hAnsi="Times" w:cs="Times"/>
                <w:color w:val="000000" w:themeColor="text1"/>
              </w:rPr>
            </w:pPr>
          </w:p>
          <w:p w14:paraId="05E7FAE1" w14:textId="77777777" w:rsidR="00210D2E" w:rsidRPr="00C17A7B" w:rsidRDefault="00210D2E">
            <w:pPr>
              <w:pBdr>
                <w:top w:val="nil"/>
                <w:left w:val="nil"/>
                <w:bottom w:val="nil"/>
                <w:right w:val="nil"/>
                <w:between w:val="nil"/>
              </w:pBdr>
              <w:spacing w:line="480" w:lineRule="auto"/>
              <w:jc w:val="both"/>
              <w:rPr>
                <w:rFonts w:ascii="Times" w:eastAsia="Times" w:hAnsi="Times" w:cs="Times"/>
                <w:color w:val="000000" w:themeColor="text1"/>
              </w:rPr>
            </w:pPr>
          </w:p>
          <w:p w14:paraId="085601E1"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0 (0</w:t>
            </w:r>
            <w:r w:rsidRPr="00C17A7B">
              <w:rPr>
                <w:rFonts w:ascii="Times" w:eastAsia="Times" w:hAnsi="Times" w:cs="Times"/>
                <w:i/>
                <w:iCs/>
                <w:color w:val="000000" w:themeColor="text1"/>
              </w:rPr>
              <w:t>%)</w:t>
            </w:r>
          </w:p>
          <w:p w14:paraId="6692D314"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 (0.6</w:t>
            </w:r>
            <w:r w:rsidRPr="00C17A7B">
              <w:rPr>
                <w:rFonts w:ascii="Times" w:eastAsia="Times" w:hAnsi="Times" w:cs="Times"/>
                <w:i/>
                <w:iCs/>
                <w:color w:val="000000" w:themeColor="text1"/>
              </w:rPr>
              <w:t>%)</w:t>
            </w:r>
          </w:p>
          <w:p w14:paraId="29B884E7"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46 (28.2</w:t>
            </w:r>
            <w:r w:rsidRPr="00C17A7B">
              <w:rPr>
                <w:rFonts w:ascii="Times" w:eastAsia="Times" w:hAnsi="Times" w:cs="Times"/>
                <w:i/>
                <w:iCs/>
                <w:color w:val="000000" w:themeColor="text1"/>
              </w:rPr>
              <w:t>%)</w:t>
            </w:r>
          </w:p>
          <w:p w14:paraId="26CF5535"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82 (50.3</w:t>
            </w:r>
            <w:r w:rsidRPr="00C17A7B">
              <w:rPr>
                <w:rFonts w:ascii="Times" w:eastAsia="Times" w:hAnsi="Times" w:cs="Times"/>
                <w:i/>
                <w:iCs/>
                <w:color w:val="000000" w:themeColor="text1"/>
              </w:rPr>
              <w:t>%)</w:t>
            </w:r>
          </w:p>
          <w:p w14:paraId="7B048A12"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34 (20.9</w:t>
            </w:r>
            <w:r w:rsidRPr="00C17A7B">
              <w:rPr>
                <w:rFonts w:ascii="Times" w:eastAsia="Times" w:hAnsi="Times" w:cs="Times"/>
                <w:i/>
                <w:iCs/>
                <w:color w:val="000000" w:themeColor="text1"/>
              </w:rPr>
              <w:t>%)</w:t>
            </w:r>
          </w:p>
        </w:tc>
      </w:tr>
      <w:tr w:rsidR="00C17A7B" w:rsidRPr="00C17A7B" w14:paraId="2CD5B20E" w14:textId="77777777">
        <w:tc>
          <w:tcPr>
            <w:tcW w:w="5390" w:type="dxa"/>
            <w:gridSpan w:val="2"/>
          </w:tcPr>
          <w:p w14:paraId="4BF9539C" w14:textId="77777777" w:rsidR="00210D2E" w:rsidRPr="00C17A7B" w:rsidRDefault="00210D2E">
            <w:pPr>
              <w:pBdr>
                <w:top w:val="nil"/>
                <w:left w:val="nil"/>
                <w:bottom w:val="nil"/>
                <w:right w:val="nil"/>
                <w:between w:val="nil"/>
              </w:pBdr>
              <w:spacing w:line="480" w:lineRule="auto"/>
              <w:ind w:left="720"/>
              <w:jc w:val="both"/>
              <w:rPr>
                <w:rFonts w:ascii="Times" w:eastAsia="Times" w:hAnsi="Times" w:cs="Times"/>
                <w:b/>
                <w:color w:val="000000" w:themeColor="text1"/>
              </w:rPr>
            </w:pPr>
          </w:p>
          <w:p w14:paraId="2C95995C" w14:textId="2F904023" w:rsidR="00371A08" w:rsidRPr="00C17A7B" w:rsidRDefault="00000000">
            <w:pPr>
              <w:pBdr>
                <w:top w:val="nil"/>
                <w:left w:val="nil"/>
                <w:bottom w:val="nil"/>
                <w:right w:val="nil"/>
                <w:between w:val="nil"/>
              </w:pBdr>
              <w:spacing w:line="480" w:lineRule="auto"/>
              <w:ind w:left="720"/>
              <w:jc w:val="both"/>
              <w:rPr>
                <w:rFonts w:ascii="Times" w:eastAsia="Times" w:hAnsi="Times" w:cs="Times"/>
                <w:b/>
                <w:color w:val="000000" w:themeColor="text1"/>
              </w:rPr>
            </w:pPr>
            <w:r w:rsidRPr="00C17A7B">
              <w:rPr>
                <w:rFonts w:ascii="Times" w:eastAsia="Times" w:hAnsi="Times" w:cs="Times"/>
                <w:bCs/>
                <w:color w:val="000000" w:themeColor="text1"/>
              </w:rPr>
              <w:t xml:space="preserve">IMC, </w:t>
            </w:r>
            <w:r w:rsidRPr="00C17A7B">
              <w:rPr>
                <w:rFonts w:ascii="Times" w:eastAsia="Times" w:hAnsi="Times" w:cs="Times"/>
                <w:bCs/>
                <w:i/>
                <w:iCs/>
                <w:color w:val="000000" w:themeColor="text1"/>
              </w:rPr>
              <w:t>n</w:t>
            </w:r>
            <w:r w:rsidRPr="00C17A7B">
              <w:rPr>
                <w:rFonts w:ascii="Times" w:eastAsia="Times" w:hAnsi="Times" w:cs="Times"/>
                <w:b/>
                <w:i/>
                <w:iCs/>
                <w:color w:val="000000" w:themeColor="text1"/>
              </w:rPr>
              <w:t xml:space="preserve"> (%)</w:t>
            </w:r>
          </w:p>
          <w:p w14:paraId="02291C18"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 xml:space="preserve">Bajo peso </w:t>
            </w:r>
          </w:p>
          <w:p w14:paraId="7E2764A2"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Normal</w:t>
            </w:r>
          </w:p>
          <w:p w14:paraId="484CA998"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Sobrepeso</w:t>
            </w:r>
          </w:p>
          <w:p w14:paraId="4012F7AC"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 xml:space="preserve">Obesidad </w:t>
            </w:r>
          </w:p>
        </w:tc>
        <w:tc>
          <w:tcPr>
            <w:tcW w:w="4448" w:type="dxa"/>
            <w:gridSpan w:val="2"/>
          </w:tcPr>
          <w:p w14:paraId="32B457F4" w14:textId="77777777" w:rsidR="00371A08" w:rsidRPr="00C17A7B" w:rsidRDefault="00371A08">
            <w:pPr>
              <w:pBdr>
                <w:top w:val="nil"/>
                <w:left w:val="nil"/>
                <w:bottom w:val="nil"/>
                <w:right w:val="nil"/>
                <w:between w:val="nil"/>
              </w:pBdr>
              <w:spacing w:line="480" w:lineRule="auto"/>
              <w:ind w:left="720"/>
              <w:jc w:val="both"/>
              <w:rPr>
                <w:rFonts w:ascii="Times" w:eastAsia="Times" w:hAnsi="Times" w:cs="Times"/>
                <w:color w:val="000000" w:themeColor="text1"/>
              </w:rPr>
            </w:pPr>
          </w:p>
          <w:p w14:paraId="7CC69D94" w14:textId="77777777" w:rsidR="00210D2E" w:rsidRPr="00C17A7B" w:rsidRDefault="00210D2E">
            <w:pPr>
              <w:pBdr>
                <w:top w:val="nil"/>
                <w:left w:val="nil"/>
                <w:bottom w:val="nil"/>
                <w:right w:val="nil"/>
                <w:between w:val="nil"/>
              </w:pBdr>
              <w:spacing w:line="480" w:lineRule="auto"/>
              <w:ind w:left="720"/>
              <w:jc w:val="both"/>
              <w:rPr>
                <w:rFonts w:ascii="Times" w:eastAsia="Times" w:hAnsi="Times" w:cs="Times"/>
                <w:color w:val="000000" w:themeColor="text1"/>
              </w:rPr>
            </w:pPr>
          </w:p>
          <w:p w14:paraId="4B9EF6A5"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19 (11.7</w:t>
            </w:r>
            <w:r w:rsidRPr="00C17A7B">
              <w:rPr>
                <w:rFonts w:ascii="Times" w:eastAsia="Times" w:hAnsi="Times" w:cs="Times"/>
                <w:i/>
                <w:iCs/>
                <w:color w:val="000000" w:themeColor="text1"/>
              </w:rPr>
              <w:t>%</w:t>
            </w:r>
            <w:r w:rsidRPr="00C17A7B">
              <w:rPr>
                <w:rFonts w:ascii="Times" w:eastAsia="Times" w:hAnsi="Times" w:cs="Times"/>
                <w:color w:val="000000" w:themeColor="text1"/>
              </w:rPr>
              <w:t>)</w:t>
            </w:r>
          </w:p>
          <w:p w14:paraId="2C68EAF7"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125 (76.7</w:t>
            </w:r>
            <w:r w:rsidRPr="00C17A7B">
              <w:rPr>
                <w:rFonts w:ascii="Times" w:eastAsia="Times" w:hAnsi="Times" w:cs="Times"/>
                <w:i/>
                <w:iCs/>
                <w:color w:val="000000" w:themeColor="text1"/>
              </w:rPr>
              <w:t>%</w:t>
            </w:r>
            <w:r w:rsidRPr="00C17A7B">
              <w:rPr>
                <w:rFonts w:ascii="Times" w:eastAsia="Times" w:hAnsi="Times" w:cs="Times"/>
                <w:color w:val="000000" w:themeColor="text1"/>
              </w:rPr>
              <w:t>)</w:t>
            </w:r>
          </w:p>
          <w:p w14:paraId="500AC319"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18 (11.0</w:t>
            </w:r>
            <w:r w:rsidRPr="00C17A7B">
              <w:rPr>
                <w:rFonts w:ascii="Times" w:eastAsia="Times" w:hAnsi="Times" w:cs="Times"/>
                <w:i/>
                <w:iCs/>
                <w:color w:val="000000" w:themeColor="text1"/>
              </w:rPr>
              <w:t>%</w:t>
            </w:r>
            <w:r w:rsidRPr="00C17A7B">
              <w:rPr>
                <w:rFonts w:ascii="Times" w:eastAsia="Times" w:hAnsi="Times" w:cs="Times"/>
                <w:color w:val="000000" w:themeColor="text1"/>
              </w:rPr>
              <w:t>)</w:t>
            </w:r>
          </w:p>
          <w:p w14:paraId="47EB66DB"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1 (0.6</w:t>
            </w:r>
            <w:r w:rsidRPr="00C17A7B">
              <w:rPr>
                <w:rFonts w:ascii="Times" w:eastAsia="Times" w:hAnsi="Times" w:cs="Times"/>
                <w:i/>
                <w:iCs/>
                <w:color w:val="000000" w:themeColor="text1"/>
              </w:rPr>
              <w:t>%</w:t>
            </w:r>
            <w:r w:rsidRPr="00C17A7B">
              <w:rPr>
                <w:rFonts w:ascii="Times" w:eastAsia="Times" w:hAnsi="Times" w:cs="Times"/>
                <w:color w:val="000000" w:themeColor="text1"/>
              </w:rPr>
              <w:t>)</w:t>
            </w:r>
          </w:p>
        </w:tc>
      </w:tr>
      <w:tr w:rsidR="00371A08" w:rsidRPr="00C17A7B" w14:paraId="52B9C303" w14:textId="77777777">
        <w:trPr>
          <w:trHeight w:val="1650"/>
        </w:trPr>
        <w:tc>
          <w:tcPr>
            <w:tcW w:w="5390" w:type="dxa"/>
            <w:gridSpan w:val="2"/>
          </w:tcPr>
          <w:p w14:paraId="6CCF366C" w14:textId="77777777" w:rsidR="00210D2E" w:rsidRPr="00C17A7B" w:rsidRDefault="00210D2E">
            <w:pPr>
              <w:pBdr>
                <w:top w:val="nil"/>
                <w:left w:val="nil"/>
                <w:bottom w:val="nil"/>
                <w:right w:val="nil"/>
                <w:between w:val="nil"/>
              </w:pBdr>
              <w:spacing w:line="480" w:lineRule="auto"/>
              <w:ind w:left="720"/>
              <w:rPr>
                <w:rFonts w:ascii="Times" w:eastAsia="Times" w:hAnsi="Times" w:cs="Times"/>
                <w:b/>
                <w:color w:val="000000" w:themeColor="text1"/>
              </w:rPr>
            </w:pPr>
          </w:p>
          <w:p w14:paraId="1D1C9C67" w14:textId="6A9838FD" w:rsidR="00371A08" w:rsidRPr="00C17A7B" w:rsidRDefault="00000000">
            <w:pPr>
              <w:pBdr>
                <w:top w:val="nil"/>
                <w:left w:val="nil"/>
                <w:bottom w:val="nil"/>
                <w:right w:val="nil"/>
                <w:between w:val="nil"/>
              </w:pBdr>
              <w:spacing w:line="480" w:lineRule="auto"/>
              <w:ind w:left="720"/>
              <w:rPr>
                <w:rFonts w:ascii="Times" w:eastAsia="Times" w:hAnsi="Times" w:cs="Times"/>
                <w:b/>
                <w:i/>
                <w:iCs/>
                <w:color w:val="000000" w:themeColor="text1"/>
              </w:rPr>
            </w:pPr>
            <w:r w:rsidRPr="00C17A7B">
              <w:rPr>
                <w:rFonts w:ascii="Times" w:eastAsia="Times" w:hAnsi="Times" w:cs="Times"/>
                <w:bCs/>
                <w:color w:val="000000" w:themeColor="text1"/>
              </w:rPr>
              <w:t xml:space="preserve">Sintomatología TCA, </w:t>
            </w:r>
            <w:r w:rsidRPr="00C17A7B">
              <w:rPr>
                <w:rFonts w:ascii="Times" w:eastAsia="Times" w:hAnsi="Times" w:cs="Times"/>
                <w:bCs/>
                <w:i/>
                <w:iCs/>
                <w:color w:val="000000" w:themeColor="text1"/>
              </w:rPr>
              <w:t>n</w:t>
            </w:r>
            <w:r w:rsidRPr="00C17A7B">
              <w:rPr>
                <w:rFonts w:ascii="Times" w:eastAsia="Times" w:hAnsi="Times" w:cs="Times"/>
                <w:b/>
                <w:i/>
                <w:iCs/>
                <w:color w:val="000000" w:themeColor="text1"/>
              </w:rPr>
              <w:t xml:space="preserve"> (%)</w:t>
            </w:r>
          </w:p>
          <w:p w14:paraId="6DA8E2AC"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t>Con riesgo de TCA</w:t>
            </w:r>
          </w:p>
          <w:p w14:paraId="030CD6BA" w14:textId="77777777" w:rsidR="00371A08" w:rsidRPr="00C17A7B" w:rsidRDefault="00000000">
            <w:pPr>
              <w:pBdr>
                <w:top w:val="nil"/>
                <w:left w:val="nil"/>
                <w:bottom w:val="nil"/>
                <w:right w:val="nil"/>
                <w:between w:val="nil"/>
              </w:pBdr>
              <w:spacing w:line="480" w:lineRule="auto"/>
              <w:ind w:left="1440"/>
              <w:rPr>
                <w:rFonts w:ascii="Times" w:eastAsia="Times" w:hAnsi="Times" w:cs="Times"/>
                <w:color w:val="000000" w:themeColor="text1"/>
              </w:rPr>
            </w:pPr>
            <w:r w:rsidRPr="00C17A7B">
              <w:rPr>
                <w:rFonts w:ascii="Times" w:eastAsia="Times" w:hAnsi="Times" w:cs="Times"/>
                <w:color w:val="000000" w:themeColor="text1"/>
              </w:rPr>
              <w:lastRenderedPageBreak/>
              <w:t>Sin riesgo de TCA</w:t>
            </w:r>
          </w:p>
        </w:tc>
        <w:tc>
          <w:tcPr>
            <w:tcW w:w="4448" w:type="dxa"/>
            <w:gridSpan w:val="2"/>
          </w:tcPr>
          <w:p w14:paraId="1E9642F6" w14:textId="77777777" w:rsidR="00371A08" w:rsidRPr="00C17A7B" w:rsidRDefault="00371A08">
            <w:pPr>
              <w:pBdr>
                <w:top w:val="nil"/>
                <w:left w:val="nil"/>
                <w:bottom w:val="nil"/>
                <w:right w:val="nil"/>
                <w:between w:val="nil"/>
              </w:pBdr>
              <w:spacing w:line="480" w:lineRule="auto"/>
              <w:jc w:val="both"/>
              <w:rPr>
                <w:rFonts w:ascii="Times" w:eastAsia="Times" w:hAnsi="Times" w:cs="Times"/>
                <w:color w:val="000000" w:themeColor="text1"/>
              </w:rPr>
            </w:pPr>
          </w:p>
          <w:p w14:paraId="7A1957D9" w14:textId="77777777" w:rsidR="00210D2E" w:rsidRPr="00C17A7B" w:rsidRDefault="00210D2E">
            <w:pPr>
              <w:pBdr>
                <w:top w:val="nil"/>
                <w:left w:val="nil"/>
                <w:bottom w:val="nil"/>
                <w:right w:val="nil"/>
                <w:between w:val="nil"/>
              </w:pBdr>
              <w:spacing w:line="480" w:lineRule="auto"/>
              <w:jc w:val="both"/>
              <w:rPr>
                <w:rFonts w:ascii="Times" w:eastAsia="Times" w:hAnsi="Times" w:cs="Times"/>
                <w:color w:val="000000" w:themeColor="text1"/>
              </w:rPr>
            </w:pPr>
          </w:p>
          <w:p w14:paraId="0593A35A" w14:textId="77199503"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t>36 (22.1</w:t>
            </w:r>
            <w:r w:rsidRPr="00C17A7B">
              <w:rPr>
                <w:rFonts w:ascii="Times" w:eastAsia="Times" w:hAnsi="Times" w:cs="Times"/>
                <w:i/>
                <w:iCs/>
                <w:color w:val="000000" w:themeColor="text1"/>
              </w:rPr>
              <w:t>%</w:t>
            </w:r>
            <w:r w:rsidR="00317AE3" w:rsidRPr="00C17A7B">
              <w:rPr>
                <w:rFonts w:ascii="Times" w:eastAsia="Times" w:hAnsi="Times" w:cs="Times"/>
                <w:color w:val="000000" w:themeColor="text1"/>
              </w:rPr>
              <w:t>)</w:t>
            </w:r>
          </w:p>
          <w:p w14:paraId="0BEE5EDC" w14:textId="77777777" w:rsidR="00371A08" w:rsidRPr="00C17A7B" w:rsidRDefault="00000000">
            <w:pPr>
              <w:pBdr>
                <w:top w:val="nil"/>
                <w:left w:val="nil"/>
                <w:bottom w:val="nil"/>
                <w:right w:val="nil"/>
                <w:between w:val="nil"/>
              </w:pBdr>
              <w:spacing w:line="480" w:lineRule="auto"/>
              <w:ind w:left="1440"/>
              <w:jc w:val="both"/>
              <w:rPr>
                <w:rFonts w:ascii="Times" w:eastAsia="Times" w:hAnsi="Times" w:cs="Times"/>
                <w:color w:val="000000" w:themeColor="text1"/>
              </w:rPr>
            </w:pPr>
            <w:r w:rsidRPr="00C17A7B">
              <w:rPr>
                <w:rFonts w:ascii="Times" w:eastAsia="Times" w:hAnsi="Times" w:cs="Times"/>
                <w:color w:val="000000" w:themeColor="text1"/>
              </w:rPr>
              <w:lastRenderedPageBreak/>
              <w:t>127 (77.9</w:t>
            </w:r>
            <w:r w:rsidRPr="00C17A7B">
              <w:rPr>
                <w:rFonts w:ascii="Times" w:eastAsia="Times" w:hAnsi="Times" w:cs="Times"/>
                <w:i/>
                <w:iCs/>
                <w:color w:val="000000" w:themeColor="text1"/>
              </w:rPr>
              <w:t>%</w:t>
            </w:r>
            <w:r w:rsidRPr="00C17A7B">
              <w:rPr>
                <w:rFonts w:ascii="Times" w:eastAsia="Times" w:hAnsi="Times" w:cs="Times"/>
                <w:color w:val="000000" w:themeColor="text1"/>
              </w:rPr>
              <w:t>)</w:t>
            </w:r>
          </w:p>
        </w:tc>
      </w:tr>
    </w:tbl>
    <w:p w14:paraId="3B7B208F" w14:textId="77777777" w:rsidR="00371A08" w:rsidRPr="00C17A7B" w:rsidRDefault="00371A08">
      <w:pPr>
        <w:spacing w:line="480" w:lineRule="auto"/>
        <w:jc w:val="both"/>
        <w:rPr>
          <w:rFonts w:ascii="Times" w:eastAsia="Times" w:hAnsi="Times" w:cs="Times"/>
          <w:color w:val="000000" w:themeColor="text1"/>
        </w:rPr>
      </w:pPr>
    </w:p>
    <w:p w14:paraId="7D9CD8F3" w14:textId="77777777" w:rsidR="00371A08" w:rsidRPr="00C17A7B" w:rsidRDefault="00000000" w:rsidP="006C7746">
      <w:pPr>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Instrumentos </w:t>
      </w:r>
    </w:p>
    <w:p w14:paraId="053BDBAA" w14:textId="77777777" w:rsidR="00371A08" w:rsidRPr="00C17A7B" w:rsidRDefault="00371A08" w:rsidP="006C7746">
      <w:pPr>
        <w:spacing w:line="480" w:lineRule="auto"/>
        <w:rPr>
          <w:rFonts w:ascii="Times" w:eastAsia="Times" w:hAnsi="Times" w:cs="Times"/>
          <w:b/>
          <w:color w:val="000000" w:themeColor="text1"/>
        </w:rPr>
      </w:pPr>
    </w:p>
    <w:p w14:paraId="6466C61F"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Para la recogida de los datos de los participantes se administraron una serie de preguntas sociodemográficas (sexo, edad, nacionalidad, nivel de estudios alcanzado, altura y peso) y acerca de su uso de las redes sociales (tiempo de uso de las respectivas redes sociales Tik Tok e Instagram y tipo de contenido visualizado más frecuentemente). Además, se han incluido una serie de instrumentos que han demostrado ser útiles para el análisis de las variables en esta investigación. </w:t>
      </w:r>
    </w:p>
    <w:p w14:paraId="55CB8A66" w14:textId="77777777" w:rsidR="00371A08" w:rsidRPr="00C17A7B" w:rsidRDefault="00371A08" w:rsidP="006C7746">
      <w:pPr>
        <w:spacing w:line="480" w:lineRule="auto"/>
        <w:rPr>
          <w:rFonts w:ascii="Times" w:eastAsia="Times" w:hAnsi="Times" w:cs="Times"/>
          <w:color w:val="000000" w:themeColor="text1"/>
        </w:rPr>
      </w:pPr>
    </w:p>
    <w:p w14:paraId="7C893D8C"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En primer lugar, se encuentran el Eating Attitude Test (EAT-26) de Garner y Garfinkel (1982), validado con población española por Gandarillas et al., (2003) para evaluar la sintomatología TCA.</w:t>
      </w:r>
      <w:r w:rsidRPr="00C17A7B">
        <w:rPr>
          <w:rFonts w:ascii="Times" w:eastAsia="Times" w:hAnsi="Times" w:cs="Times"/>
          <w:b/>
          <w:color w:val="000000" w:themeColor="text1"/>
        </w:rPr>
        <w:t xml:space="preserve"> </w:t>
      </w:r>
      <w:r w:rsidRPr="00C17A7B">
        <w:rPr>
          <w:rFonts w:ascii="Times" w:eastAsia="Times" w:hAnsi="Times" w:cs="Times"/>
          <w:color w:val="000000" w:themeColor="text1"/>
        </w:rPr>
        <w:t>Este instrumento se compone de 3 subescalas (dieta, bulimia y preocupación por la comida y control oral) divididas en 26 ítems evaluados a través de una escala de tipo Likert con 6 opciones de respuesta (1= Nunca, 2= Raramente, 3= A veces, 4= A menudo, 5= Muy a menudo, 6= Siempre).</w:t>
      </w:r>
      <w:r w:rsidRPr="00C17A7B">
        <w:rPr>
          <w:rFonts w:ascii="Times" w:eastAsia="Times" w:hAnsi="Times" w:cs="Times"/>
          <w:b/>
          <w:color w:val="000000" w:themeColor="text1"/>
        </w:rPr>
        <w:t xml:space="preserve"> </w:t>
      </w:r>
      <w:r w:rsidRPr="00C17A7B">
        <w:rPr>
          <w:rFonts w:ascii="Times" w:eastAsia="Times" w:hAnsi="Times" w:cs="Times"/>
          <w:color w:val="000000" w:themeColor="text1"/>
        </w:rPr>
        <w:t>El EAT-26 es un instrumento multidimensional que ha demostrado tener altos valores de fiabilidad y validez, siendo así apropiado para el</w:t>
      </w:r>
      <w:r w:rsidRPr="00C17A7B">
        <w:rPr>
          <w:rFonts w:ascii="Times" w:eastAsia="Times" w:hAnsi="Times" w:cs="Times"/>
          <w:b/>
          <w:color w:val="000000" w:themeColor="text1"/>
        </w:rPr>
        <w:t xml:space="preserve"> </w:t>
      </w:r>
      <w:r w:rsidRPr="00C17A7B">
        <w:rPr>
          <w:rFonts w:ascii="Times" w:eastAsia="Times" w:hAnsi="Times" w:cs="Times"/>
          <w:color w:val="000000" w:themeColor="text1"/>
        </w:rPr>
        <w:t>posible diagnóstico de un TCA en población de riesgo, siendo especialmente útil para su identificación temprana en mujeres jóvenes.</w:t>
      </w:r>
    </w:p>
    <w:p w14:paraId="380B238A" w14:textId="77777777" w:rsidR="00371A08" w:rsidRPr="00C17A7B" w:rsidRDefault="00371A08" w:rsidP="006C7746">
      <w:pPr>
        <w:spacing w:line="480" w:lineRule="auto"/>
        <w:rPr>
          <w:color w:val="000000" w:themeColor="text1"/>
          <w:sz w:val="22"/>
          <w:szCs w:val="22"/>
        </w:rPr>
      </w:pPr>
    </w:p>
    <w:p w14:paraId="1E5F2C64" w14:textId="77777777" w:rsidR="00371A08" w:rsidRPr="00C17A7B" w:rsidRDefault="00000000" w:rsidP="006C7746">
      <w:pPr>
        <w:spacing w:line="480" w:lineRule="auto"/>
        <w:ind w:firstLine="720"/>
        <w:rPr>
          <w:color w:val="000000" w:themeColor="text1"/>
        </w:rPr>
      </w:pPr>
      <w:r w:rsidRPr="00C17A7B">
        <w:rPr>
          <w:color w:val="000000" w:themeColor="text1"/>
        </w:rPr>
        <w:t xml:space="preserve">Por otro lado, se empleó la versión española de Raich et al., (1996) del Body Shape Questionnaire (BSQ) de Cooper et al. (1986). Este instrumento se compone de 34 preguntas </w:t>
      </w:r>
      <w:r w:rsidRPr="00C17A7B">
        <w:rPr>
          <w:color w:val="000000" w:themeColor="text1"/>
        </w:rPr>
        <w:lastRenderedPageBreak/>
        <w:t>relacionados con la presencia de la insatisfacción corporal y la autoimagen, evaluada mediante una escala de tipo Likert (1= Nunca, 2= Raramente, 3 = A veces, 4= A menudo, 5= Muy a menudo, 6= Siempre).</w:t>
      </w:r>
      <w:r w:rsidRPr="00C17A7B">
        <w:rPr>
          <w:color w:val="000000" w:themeColor="text1"/>
          <w:sz w:val="22"/>
          <w:szCs w:val="22"/>
        </w:rPr>
        <w:t xml:space="preserve"> </w:t>
      </w:r>
      <w:r w:rsidRPr="00C17A7B">
        <w:rPr>
          <w:color w:val="000000" w:themeColor="text1"/>
        </w:rPr>
        <w:t>Este cuestionario es útil para esta investigación no sólo por estar adaptado en población española, sino también por su brevedad y fácil aplicación. Asimismo, cuenta con altos índices de consistencia interna (alfa de Cronbach entre 0,95 y 0,97) y de validez.</w:t>
      </w:r>
      <w:r w:rsidRPr="00C17A7B">
        <w:rPr>
          <w:color w:val="000000" w:themeColor="text1"/>
          <w:sz w:val="22"/>
          <w:szCs w:val="22"/>
        </w:rPr>
        <w:t xml:space="preserve"> </w:t>
      </w:r>
      <w:r w:rsidRPr="00C17A7B">
        <w:rPr>
          <w:color w:val="000000" w:themeColor="text1"/>
          <w:sz w:val="22"/>
          <w:szCs w:val="22"/>
        </w:rPr>
        <w:br/>
      </w:r>
    </w:p>
    <w:p w14:paraId="04AB3E7F" w14:textId="5A659699" w:rsidR="00371A08" w:rsidRPr="00C17A7B" w:rsidRDefault="00000000" w:rsidP="00B27A77">
      <w:pPr>
        <w:spacing w:line="480" w:lineRule="auto"/>
        <w:ind w:firstLine="720"/>
        <w:rPr>
          <w:color w:val="000000" w:themeColor="text1"/>
        </w:rPr>
      </w:pPr>
      <w:r w:rsidRPr="00C17A7B">
        <w:rPr>
          <w:color w:val="000000" w:themeColor="text1"/>
        </w:rPr>
        <w:t>Finalmente, también se hizo uso de la versión española (Atienza et al., 2000) de la Escala de autoestima de Rosenberg (RSE) (1965), compuesta por 10 ítems para la evaluación de la autoestima mediante una escala de tipo Likert (1= Muy en desacuerdo, 2= En desacuerdo, 3= De acuerdo, 4= Muy de acuerdo). Este instrumento se conforma como uno de los mejores para la medición de la autoestima global de la persona, además de caracterizarse por ser un instrumento rápido y con altos valores de fiabilidad y validez.</w:t>
      </w:r>
      <w:r w:rsidR="00B27A77" w:rsidRPr="00C17A7B">
        <w:rPr>
          <w:color w:val="000000" w:themeColor="text1"/>
        </w:rPr>
        <w:br/>
      </w:r>
    </w:p>
    <w:p w14:paraId="063C437A" w14:textId="77777777" w:rsidR="00371A08" w:rsidRPr="00C17A7B" w:rsidRDefault="00000000" w:rsidP="006C7746">
      <w:pPr>
        <w:spacing w:line="480" w:lineRule="auto"/>
        <w:rPr>
          <w:rFonts w:ascii="Times" w:eastAsia="Times" w:hAnsi="Times" w:cs="Times"/>
          <w:b/>
          <w:color w:val="000000" w:themeColor="text1"/>
        </w:rPr>
      </w:pPr>
      <w:r w:rsidRPr="00C17A7B">
        <w:rPr>
          <w:rFonts w:ascii="Times" w:eastAsia="Times" w:hAnsi="Times" w:cs="Times"/>
          <w:b/>
          <w:color w:val="000000" w:themeColor="text1"/>
        </w:rPr>
        <w:t>Procedimiento</w:t>
      </w:r>
      <w:r w:rsidRPr="00C17A7B">
        <w:rPr>
          <w:rFonts w:ascii="Times" w:eastAsia="Times" w:hAnsi="Times" w:cs="Times"/>
          <w:b/>
          <w:color w:val="000000" w:themeColor="text1"/>
        </w:rPr>
        <w:br/>
      </w:r>
    </w:p>
    <w:p w14:paraId="50F54CBA"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La muestra ha sido obtenida mediante un muestreo de bola de nieve (divulgación oral, redes sociales y aplicaciones de mensajería instantánea), donde las respuestas fueron recogidas mediante un cuestionario online de tipo autoinforme autoaplicado por medio de la aplicación “Outlook Forms” desde febrero a marzo del año 2023. Todos los participantes dieron su consentimiento para la recogida de sus datos personales. Los datos obtenidos son trabajados a nivel estadístico.</w:t>
      </w:r>
    </w:p>
    <w:p w14:paraId="253A4A03" w14:textId="77777777" w:rsidR="008C6DCA" w:rsidRPr="00C17A7B" w:rsidRDefault="008C6DCA" w:rsidP="006C7746">
      <w:pPr>
        <w:spacing w:line="480" w:lineRule="auto"/>
        <w:rPr>
          <w:rFonts w:ascii="Times" w:eastAsia="Times" w:hAnsi="Times" w:cs="Times"/>
          <w:color w:val="000000" w:themeColor="text1"/>
        </w:rPr>
      </w:pPr>
    </w:p>
    <w:p w14:paraId="627FA9E6" w14:textId="77777777" w:rsidR="00371A08" w:rsidRPr="00C17A7B" w:rsidRDefault="00000000" w:rsidP="006C7746">
      <w:pPr>
        <w:spacing w:line="480" w:lineRule="auto"/>
        <w:rPr>
          <w:rFonts w:ascii="Times" w:eastAsia="Times" w:hAnsi="Times" w:cs="Times"/>
          <w:b/>
          <w:color w:val="000000" w:themeColor="text1"/>
        </w:rPr>
      </w:pPr>
      <w:r w:rsidRPr="00C17A7B">
        <w:rPr>
          <w:rFonts w:ascii="Times" w:eastAsia="Times" w:hAnsi="Times" w:cs="Times"/>
          <w:b/>
          <w:color w:val="000000" w:themeColor="text1"/>
        </w:rPr>
        <w:t>Análisis estadístico</w:t>
      </w:r>
    </w:p>
    <w:p w14:paraId="56A5D929" w14:textId="77777777" w:rsidR="00371A08" w:rsidRPr="00C17A7B" w:rsidRDefault="00371A08" w:rsidP="006C7746">
      <w:pPr>
        <w:spacing w:line="480" w:lineRule="auto"/>
        <w:rPr>
          <w:rFonts w:ascii="Times" w:eastAsia="Times" w:hAnsi="Times" w:cs="Times"/>
          <w:color w:val="000000" w:themeColor="text1"/>
        </w:rPr>
      </w:pPr>
    </w:p>
    <w:p w14:paraId="3388D65B"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lastRenderedPageBreak/>
        <w:t xml:space="preserve">Tras la descarga de las respuestas de cada participante de la investigación, estas fueron pasadas a una hoja de Excel para su codificación y análisis. Posteriormente estos datos fueron trasladados al programa informático Jamovi, cuya versión es la 2.3.21.0 Para MAC, con el objetivo de realizar un análisis estadístico de los mismos. </w:t>
      </w:r>
    </w:p>
    <w:p w14:paraId="23944072" w14:textId="77777777" w:rsidR="00371A08" w:rsidRPr="00C17A7B" w:rsidRDefault="00371A08" w:rsidP="006C7746">
      <w:pPr>
        <w:spacing w:line="480" w:lineRule="auto"/>
        <w:ind w:firstLine="720"/>
        <w:rPr>
          <w:rFonts w:ascii="Times" w:eastAsia="Times" w:hAnsi="Times" w:cs="Times"/>
          <w:color w:val="000000" w:themeColor="text1"/>
        </w:rPr>
      </w:pPr>
    </w:p>
    <w:p w14:paraId="097911A9" w14:textId="77777777" w:rsidR="00371A08" w:rsidRPr="00C17A7B" w:rsidRDefault="00000000" w:rsidP="002F536B">
      <w:pPr>
        <w:spacing w:line="480" w:lineRule="auto"/>
        <w:jc w:val="center"/>
        <w:rPr>
          <w:rFonts w:ascii="Times" w:eastAsia="Times" w:hAnsi="Times" w:cs="Times"/>
          <w:b/>
          <w:color w:val="000000" w:themeColor="text1"/>
        </w:rPr>
      </w:pPr>
      <w:r w:rsidRPr="00C17A7B">
        <w:rPr>
          <w:rFonts w:ascii="Times" w:eastAsia="Times" w:hAnsi="Times" w:cs="Times"/>
          <w:b/>
          <w:color w:val="000000" w:themeColor="text1"/>
        </w:rPr>
        <w:t>Resultados</w:t>
      </w:r>
    </w:p>
    <w:p w14:paraId="04A7355F" w14:textId="77777777" w:rsidR="00371A08" w:rsidRPr="00C17A7B" w:rsidRDefault="00371A08" w:rsidP="006C7746">
      <w:pPr>
        <w:spacing w:line="480" w:lineRule="auto"/>
        <w:rPr>
          <w:rFonts w:ascii="Times" w:eastAsia="Times" w:hAnsi="Times" w:cs="Times"/>
          <w:b/>
          <w:color w:val="000000" w:themeColor="text1"/>
        </w:rPr>
      </w:pPr>
    </w:p>
    <w:p w14:paraId="1DB74119" w14:textId="77777777" w:rsidR="00371A08" w:rsidRPr="00C17A7B" w:rsidRDefault="00000000" w:rsidP="006C7746">
      <w:pPr>
        <w:spacing w:line="480" w:lineRule="auto"/>
        <w:rPr>
          <w:rFonts w:ascii="Times" w:eastAsia="Times" w:hAnsi="Times" w:cs="Times"/>
          <w:color w:val="000000" w:themeColor="text1"/>
        </w:rPr>
      </w:pPr>
      <w:r w:rsidRPr="00C17A7B">
        <w:rPr>
          <w:rFonts w:ascii="Times" w:eastAsia="Times" w:hAnsi="Times" w:cs="Times"/>
          <w:color w:val="000000" w:themeColor="text1"/>
        </w:rPr>
        <w:t>A continuación, se van a presentar los resultados encontrados tras la realización del análisis estadístico. Se utilizan pruebas paramétricas porque se han cumplido todos los supuestos para las técnicas estadísticas empleadas. En el caso de violarse alguno de los supuestos, se han empleado las pruebas no paramétricas adecuadas para tal fin.</w:t>
      </w:r>
    </w:p>
    <w:p w14:paraId="1A492FC8" w14:textId="77777777" w:rsidR="00371A08" w:rsidRPr="00C17A7B" w:rsidRDefault="00371A08" w:rsidP="006C7746">
      <w:pPr>
        <w:spacing w:line="480" w:lineRule="auto"/>
        <w:rPr>
          <w:rFonts w:ascii="Times" w:eastAsia="Times" w:hAnsi="Times" w:cs="Times"/>
          <w:b/>
          <w:color w:val="000000" w:themeColor="text1"/>
        </w:rPr>
      </w:pPr>
    </w:p>
    <w:p w14:paraId="04BABB04"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 xml:space="preserve">En primer lugar, para evaluar si existe una relación entre el tiempo invertido por los sujetos en las redes sociales (Instragram y Tik Tok) y la presencia de sintomatología TCA se realizó una matriz de correlaciones </w:t>
      </w:r>
      <w:r w:rsidRPr="00C17A7B">
        <w:rPr>
          <w:rFonts w:ascii="Times" w:eastAsia="Times" w:hAnsi="Times" w:cs="Times"/>
          <w:i/>
          <w:color w:val="000000" w:themeColor="text1"/>
        </w:rPr>
        <w:t xml:space="preserve">r </w:t>
      </w:r>
      <w:r w:rsidRPr="00C17A7B">
        <w:rPr>
          <w:rFonts w:ascii="Times" w:eastAsia="Times" w:hAnsi="Times" w:cs="Times"/>
          <w:color w:val="000000" w:themeColor="text1"/>
        </w:rPr>
        <w:t xml:space="preserve">(161) = 0.44,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Por tanto, se podría decir que a nivel estadístico existe un grado de asociación positiva y moderadamente alta entre ambas variables.</w:t>
      </w:r>
      <w:r w:rsidRPr="00C17A7B">
        <w:rPr>
          <w:rFonts w:ascii="Times" w:eastAsia="Times" w:hAnsi="Times" w:cs="Times"/>
          <w:b/>
          <w:color w:val="000000" w:themeColor="text1"/>
        </w:rPr>
        <w:t xml:space="preserve"> </w:t>
      </w:r>
    </w:p>
    <w:p w14:paraId="0AA53424" w14:textId="77777777" w:rsidR="00371A08" w:rsidRPr="00C17A7B" w:rsidRDefault="00371A08" w:rsidP="006C7746">
      <w:pPr>
        <w:spacing w:line="480" w:lineRule="auto"/>
        <w:ind w:firstLine="720"/>
        <w:rPr>
          <w:rFonts w:ascii="Times" w:eastAsia="Times" w:hAnsi="Times" w:cs="Times"/>
          <w:b/>
          <w:color w:val="000000" w:themeColor="text1"/>
        </w:rPr>
      </w:pPr>
    </w:p>
    <w:p w14:paraId="7ECDF894"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Asimismo, para era descubrir si existe un uso significativo y diferencial de las redes sociales escogidas (Instagram y Tik Tok) por edad en la muestra presente, se ha empleado un análisis de frecuencias con una tabla de contingencias para muestras independientes y con una prueba de bondad de ajuste Chi-cuadrado. Gracias a ello podemos confirmar a nivel estadístico que:</w:t>
      </w:r>
    </w:p>
    <w:p w14:paraId="3EC64C1D" w14:textId="77777777" w:rsidR="00371A08" w:rsidRPr="00C17A7B" w:rsidRDefault="00371A08" w:rsidP="006C7746">
      <w:pPr>
        <w:spacing w:line="480" w:lineRule="auto"/>
        <w:rPr>
          <w:rFonts w:ascii="Times" w:eastAsia="Times" w:hAnsi="Times" w:cs="Times"/>
          <w:b/>
          <w:color w:val="000000" w:themeColor="text1"/>
        </w:rPr>
      </w:pPr>
    </w:p>
    <w:p w14:paraId="5FC25F7F" w14:textId="761B5A4B" w:rsidR="00371A08" w:rsidRPr="00C17A7B" w:rsidRDefault="00000000" w:rsidP="005E4144">
      <w:pPr>
        <w:spacing w:line="480" w:lineRule="auto"/>
        <w:rPr>
          <w:rFonts w:ascii="Times" w:eastAsia="Times" w:hAnsi="Times" w:cs="Times"/>
          <w:color w:val="000000" w:themeColor="text1"/>
        </w:rPr>
      </w:pPr>
      <w:r w:rsidRPr="00C17A7B">
        <w:rPr>
          <w:rFonts w:ascii="Times" w:eastAsia="Times" w:hAnsi="Times" w:cs="Times"/>
          <w:color w:val="000000" w:themeColor="text1"/>
        </w:rPr>
        <w:lastRenderedPageBreak/>
        <w:t xml:space="preserve">La red social Instagram no muestra una diferencia estadísticamente significativa </w:t>
      </w:r>
      <m:oMath>
        <m:r>
          <w:rPr>
            <w:rFonts w:ascii="Cambria Math" w:eastAsia="Cambria Math" w:hAnsi="Cambria Math" w:cs="Cambria Math"/>
            <w:color w:val="000000" w:themeColor="text1"/>
          </w:rPr>
          <m:t>χ2</m:t>
        </m:r>
      </m:oMath>
      <w:r w:rsidRPr="00C17A7B">
        <w:rPr>
          <w:rFonts w:ascii="Times" w:eastAsia="Times" w:hAnsi="Times" w:cs="Times"/>
          <w:color w:val="000000" w:themeColor="text1"/>
        </w:rPr>
        <w:t xml:space="preserve"> (42, </w:t>
      </w:r>
      <w:r w:rsidRPr="00C17A7B">
        <w:rPr>
          <w:rFonts w:ascii="Times" w:eastAsia="Times" w:hAnsi="Times" w:cs="Times"/>
          <w:i/>
          <w:color w:val="000000" w:themeColor="text1"/>
        </w:rPr>
        <w:t>N</w:t>
      </w:r>
      <w:r w:rsidRPr="00C17A7B">
        <w:rPr>
          <w:rFonts w:ascii="Times" w:eastAsia="Times" w:hAnsi="Times" w:cs="Times"/>
          <w:color w:val="000000" w:themeColor="text1"/>
        </w:rPr>
        <w:t xml:space="preserve">=163) = 36.9,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&lt;.69, lo que implica que hay un uso homogéneo de esta red social en todas las edades, por lo que se conforma como una variable independiente. Asimismo, el mayor tiempo de uso se conforma entre 1-2 horas diarias. </w:t>
      </w:r>
    </w:p>
    <w:p w14:paraId="1F503BAB" w14:textId="77777777" w:rsidR="005E4144" w:rsidRPr="00C17A7B" w:rsidRDefault="005E4144">
      <w:pPr>
        <w:spacing w:line="480" w:lineRule="auto"/>
        <w:jc w:val="both"/>
        <w:rPr>
          <w:rFonts w:ascii="Times" w:eastAsia="Times" w:hAnsi="Times" w:cs="Times"/>
          <w:color w:val="000000" w:themeColor="text1"/>
        </w:rPr>
      </w:pPr>
    </w:p>
    <w:p w14:paraId="0CA3975E" w14:textId="1263F239" w:rsidR="005E4144" w:rsidRPr="00C17A7B" w:rsidRDefault="005E4144">
      <w:pPr>
        <w:spacing w:line="480" w:lineRule="auto"/>
        <w:jc w:val="both"/>
        <w:rPr>
          <w:rFonts w:ascii="Times" w:eastAsia="Times" w:hAnsi="Times" w:cs="Times"/>
          <w:b/>
          <w:bCs/>
          <w:color w:val="000000" w:themeColor="text1"/>
        </w:rPr>
      </w:pPr>
      <w:r w:rsidRPr="00C17A7B">
        <w:rPr>
          <w:rFonts w:ascii="Times" w:eastAsia="Times" w:hAnsi="Times" w:cs="Times"/>
          <w:b/>
          <w:bCs/>
          <w:color w:val="000000" w:themeColor="text1"/>
        </w:rPr>
        <w:t xml:space="preserve">Tabla 2 </w:t>
      </w:r>
    </w:p>
    <w:p w14:paraId="7F035858" w14:textId="26780A6F" w:rsidR="005E4144" w:rsidRPr="00C17A7B" w:rsidRDefault="005E4144">
      <w:pPr>
        <w:spacing w:line="480" w:lineRule="auto"/>
        <w:jc w:val="both"/>
        <w:rPr>
          <w:rFonts w:ascii="Times" w:eastAsia="Times" w:hAnsi="Times" w:cs="Times"/>
          <w:i/>
          <w:iCs/>
          <w:color w:val="000000" w:themeColor="text1"/>
        </w:rPr>
      </w:pPr>
      <w:r w:rsidRPr="00C17A7B">
        <w:rPr>
          <w:rFonts w:ascii="Times" w:eastAsia="Times" w:hAnsi="Times" w:cs="Times"/>
          <w:i/>
          <w:iCs/>
          <w:color w:val="000000" w:themeColor="text1"/>
        </w:rPr>
        <w:t>Horas de uso de Instagram según la edad de las usuarias</w:t>
      </w:r>
    </w:p>
    <w:tbl>
      <w:tblPr>
        <w:tblStyle w:val="a2"/>
        <w:tblW w:w="7504" w:type="dxa"/>
        <w:jc w:val="center"/>
        <w:tblInd w:w="0" w:type="dxa"/>
        <w:tblLayout w:type="fixed"/>
        <w:tblLook w:val="0400" w:firstRow="0" w:lastRow="0" w:firstColumn="0" w:lastColumn="0" w:noHBand="0" w:noVBand="1"/>
      </w:tblPr>
      <w:tblGrid>
        <w:gridCol w:w="561"/>
        <w:gridCol w:w="186"/>
        <w:gridCol w:w="414"/>
        <w:gridCol w:w="304"/>
        <w:gridCol w:w="806"/>
        <w:gridCol w:w="414"/>
        <w:gridCol w:w="532"/>
        <w:gridCol w:w="279"/>
        <w:gridCol w:w="585"/>
        <w:gridCol w:w="305"/>
        <w:gridCol w:w="585"/>
        <w:gridCol w:w="305"/>
        <w:gridCol w:w="585"/>
        <w:gridCol w:w="305"/>
        <w:gridCol w:w="404"/>
        <w:gridCol w:w="215"/>
        <w:gridCol w:w="497"/>
        <w:gridCol w:w="222"/>
      </w:tblGrid>
      <w:tr w:rsidR="00C17A7B" w:rsidRPr="00C17A7B" w14:paraId="442B82A1" w14:textId="77777777">
        <w:trPr>
          <w:cantSplit/>
          <w:tblHeader/>
          <w:jc w:val="center"/>
        </w:trPr>
        <w:tc>
          <w:tcPr>
            <w:tcW w:w="7504" w:type="dxa"/>
            <w:gridSpan w:val="18"/>
            <w:tcBorders>
              <w:top w:val="nil"/>
              <w:left w:val="nil"/>
              <w:bottom w:val="single" w:sz="6" w:space="0" w:color="333333"/>
              <w:right w:val="nil"/>
            </w:tcBorders>
            <w:tcMar>
              <w:top w:w="60" w:type="dxa"/>
              <w:left w:w="0" w:type="dxa"/>
              <w:bottom w:w="60" w:type="dxa"/>
              <w:right w:w="120" w:type="dxa"/>
            </w:tcMar>
            <w:vAlign w:val="center"/>
          </w:tcPr>
          <w:p w14:paraId="3ED673F6" w14:textId="77777777" w:rsidR="00371A08" w:rsidRPr="00C17A7B" w:rsidRDefault="00000000">
            <w:pP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color w:val="000000" w:themeColor="text1"/>
                <w:sz w:val="18"/>
                <w:szCs w:val="18"/>
              </w:rPr>
              <w:t>Tablas de Contingencia</w:t>
            </w:r>
          </w:p>
        </w:tc>
      </w:tr>
      <w:tr w:rsidR="00C17A7B" w:rsidRPr="00C17A7B" w14:paraId="27CF4DBD" w14:textId="77777777">
        <w:trPr>
          <w:cantSplit/>
          <w:tblHeader/>
          <w:jc w:val="center"/>
        </w:trPr>
        <w:tc>
          <w:tcPr>
            <w:tcW w:w="747" w:type="dxa"/>
            <w:gridSpan w:val="2"/>
            <w:tcBorders>
              <w:top w:val="nil"/>
              <w:left w:val="nil"/>
              <w:bottom w:val="nil"/>
              <w:right w:val="nil"/>
            </w:tcBorders>
            <w:tcMar>
              <w:top w:w="60" w:type="dxa"/>
              <w:left w:w="120" w:type="dxa"/>
              <w:bottom w:w="60" w:type="dxa"/>
              <w:right w:w="120" w:type="dxa"/>
            </w:tcMar>
            <w:vAlign w:val="center"/>
          </w:tcPr>
          <w:p w14:paraId="543F214B" w14:textId="77777777" w:rsidR="00371A08" w:rsidRPr="00C17A7B" w:rsidRDefault="00371A08">
            <w:pPr>
              <w:rPr>
                <w:rFonts w:ascii="Quattrocento Sans" w:eastAsia="Quattrocento Sans" w:hAnsi="Quattrocento Sans" w:cs="Quattrocento Sans"/>
                <w:b/>
                <w:color w:val="000000" w:themeColor="text1"/>
                <w:sz w:val="18"/>
                <w:szCs w:val="18"/>
              </w:rPr>
            </w:pPr>
          </w:p>
        </w:tc>
        <w:tc>
          <w:tcPr>
            <w:tcW w:w="6038" w:type="dxa"/>
            <w:gridSpan w:val="14"/>
            <w:tcBorders>
              <w:top w:val="nil"/>
              <w:left w:val="nil"/>
              <w:bottom w:val="single" w:sz="6" w:space="0" w:color="333333"/>
              <w:right w:val="nil"/>
            </w:tcBorders>
            <w:tcMar>
              <w:top w:w="60" w:type="dxa"/>
              <w:left w:w="120" w:type="dxa"/>
              <w:bottom w:w="60" w:type="dxa"/>
              <w:right w:w="120" w:type="dxa"/>
            </w:tcMar>
            <w:vAlign w:val="center"/>
          </w:tcPr>
          <w:p w14:paraId="14ED2D0A"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Instagram</w:t>
            </w:r>
          </w:p>
        </w:tc>
        <w:tc>
          <w:tcPr>
            <w:tcW w:w="719" w:type="dxa"/>
            <w:gridSpan w:val="2"/>
            <w:tcBorders>
              <w:top w:val="nil"/>
              <w:left w:val="nil"/>
              <w:bottom w:val="nil"/>
              <w:right w:val="nil"/>
            </w:tcBorders>
            <w:tcMar>
              <w:top w:w="60" w:type="dxa"/>
              <w:left w:w="120" w:type="dxa"/>
              <w:bottom w:w="60" w:type="dxa"/>
              <w:right w:w="120" w:type="dxa"/>
            </w:tcMar>
            <w:vAlign w:val="center"/>
          </w:tcPr>
          <w:p w14:paraId="69E59699" w14:textId="77777777" w:rsidR="00371A08" w:rsidRPr="00C17A7B" w:rsidRDefault="00371A08">
            <w:pPr>
              <w:jc w:val="center"/>
              <w:rPr>
                <w:rFonts w:ascii="Quattrocento Sans" w:eastAsia="Quattrocento Sans" w:hAnsi="Quattrocento Sans" w:cs="Quattrocento Sans"/>
                <w:b/>
                <w:color w:val="000000" w:themeColor="text1"/>
                <w:sz w:val="18"/>
                <w:szCs w:val="18"/>
              </w:rPr>
            </w:pPr>
          </w:p>
        </w:tc>
      </w:tr>
      <w:tr w:rsidR="00C17A7B" w:rsidRPr="00C17A7B" w14:paraId="493649B5" w14:textId="77777777">
        <w:trPr>
          <w:cantSplit/>
          <w:tblHeader/>
          <w:jc w:val="center"/>
        </w:trPr>
        <w:tc>
          <w:tcPr>
            <w:tcW w:w="747" w:type="dxa"/>
            <w:gridSpan w:val="2"/>
            <w:tcBorders>
              <w:top w:val="nil"/>
              <w:left w:val="nil"/>
              <w:bottom w:val="single" w:sz="6" w:space="0" w:color="333333"/>
              <w:right w:val="nil"/>
            </w:tcBorders>
            <w:tcMar>
              <w:top w:w="60" w:type="dxa"/>
              <w:left w:w="120" w:type="dxa"/>
              <w:bottom w:w="60" w:type="dxa"/>
              <w:right w:w="120" w:type="dxa"/>
            </w:tcMar>
            <w:vAlign w:val="center"/>
          </w:tcPr>
          <w:p w14:paraId="56E6238D"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Edad</w:t>
            </w:r>
          </w:p>
        </w:tc>
        <w:tc>
          <w:tcPr>
            <w:tcW w:w="718" w:type="dxa"/>
            <w:gridSpan w:val="2"/>
            <w:tcBorders>
              <w:top w:val="nil"/>
              <w:left w:val="nil"/>
              <w:bottom w:val="single" w:sz="6" w:space="0" w:color="333333"/>
              <w:right w:val="nil"/>
            </w:tcBorders>
            <w:tcMar>
              <w:top w:w="60" w:type="dxa"/>
              <w:left w:w="120" w:type="dxa"/>
              <w:bottom w:w="60" w:type="dxa"/>
              <w:right w:w="120" w:type="dxa"/>
            </w:tcMar>
            <w:vAlign w:val="center"/>
          </w:tcPr>
          <w:p w14:paraId="55EEB489"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Nada</w:t>
            </w:r>
          </w:p>
        </w:tc>
        <w:tc>
          <w:tcPr>
            <w:tcW w:w="1220" w:type="dxa"/>
            <w:gridSpan w:val="2"/>
            <w:tcBorders>
              <w:top w:val="nil"/>
              <w:left w:val="nil"/>
              <w:bottom w:val="single" w:sz="6" w:space="0" w:color="333333"/>
              <w:right w:val="nil"/>
            </w:tcBorders>
            <w:tcMar>
              <w:top w:w="60" w:type="dxa"/>
              <w:left w:w="120" w:type="dxa"/>
              <w:bottom w:w="60" w:type="dxa"/>
              <w:right w:w="120" w:type="dxa"/>
            </w:tcMar>
            <w:vAlign w:val="center"/>
          </w:tcPr>
          <w:p w14:paraId="4190BD38"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30 minutos</w:t>
            </w:r>
          </w:p>
        </w:tc>
        <w:tc>
          <w:tcPr>
            <w:tcW w:w="811" w:type="dxa"/>
            <w:gridSpan w:val="2"/>
            <w:tcBorders>
              <w:top w:val="nil"/>
              <w:left w:val="nil"/>
              <w:bottom w:val="single" w:sz="6" w:space="0" w:color="333333"/>
              <w:right w:val="nil"/>
            </w:tcBorders>
            <w:tcMar>
              <w:top w:w="60" w:type="dxa"/>
              <w:left w:w="120" w:type="dxa"/>
              <w:bottom w:w="60" w:type="dxa"/>
              <w:right w:w="120" w:type="dxa"/>
            </w:tcMar>
            <w:vAlign w:val="center"/>
          </w:tcPr>
          <w:p w14:paraId="68B7D1D3"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1 hora</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6EF98C9A"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2 horas</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7693E0EF"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3 horas</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22292DBB"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4 horas</w:t>
            </w:r>
          </w:p>
        </w:tc>
        <w:tc>
          <w:tcPr>
            <w:tcW w:w="619" w:type="dxa"/>
            <w:gridSpan w:val="2"/>
            <w:tcBorders>
              <w:top w:val="nil"/>
              <w:left w:val="nil"/>
              <w:bottom w:val="single" w:sz="6" w:space="0" w:color="333333"/>
              <w:right w:val="nil"/>
            </w:tcBorders>
            <w:tcMar>
              <w:top w:w="60" w:type="dxa"/>
              <w:left w:w="120" w:type="dxa"/>
              <w:bottom w:w="60" w:type="dxa"/>
              <w:right w:w="120" w:type="dxa"/>
            </w:tcMar>
            <w:vAlign w:val="center"/>
          </w:tcPr>
          <w:p w14:paraId="20CC30FB"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Más</w:t>
            </w:r>
          </w:p>
        </w:tc>
        <w:tc>
          <w:tcPr>
            <w:tcW w:w="719" w:type="dxa"/>
            <w:gridSpan w:val="2"/>
            <w:tcBorders>
              <w:top w:val="nil"/>
              <w:left w:val="nil"/>
              <w:bottom w:val="single" w:sz="6" w:space="0" w:color="333333"/>
              <w:right w:val="nil"/>
            </w:tcBorders>
            <w:tcMar>
              <w:top w:w="60" w:type="dxa"/>
              <w:left w:w="120" w:type="dxa"/>
              <w:bottom w:w="60" w:type="dxa"/>
              <w:right w:w="120" w:type="dxa"/>
            </w:tcMar>
            <w:vAlign w:val="center"/>
          </w:tcPr>
          <w:p w14:paraId="547FE30D"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Total</w:t>
            </w:r>
          </w:p>
        </w:tc>
      </w:tr>
      <w:tr w:rsidR="00C17A7B" w:rsidRPr="00C17A7B" w14:paraId="256DD85A" w14:textId="77777777">
        <w:trPr>
          <w:cantSplit/>
          <w:jc w:val="center"/>
        </w:trPr>
        <w:tc>
          <w:tcPr>
            <w:tcW w:w="561" w:type="dxa"/>
            <w:tcBorders>
              <w:top w:val="nil"/>
              <w:left w:val="nil"/>
              <w:bottom w:val="nil"/>
              <w:right w:val="nil"/>
            </w:tcBorders>
            <w:tcMar>
              <w:top w:w="120" w:type="dxa"/>
              <w:left w:w="120" w:type="dxa"/>
              <w:bottom w:w="30" w:type="dxa"/>
              <w:right w:w="0" w:type="dxa"/>
            </w:tcMar>
            <w:vAlign w:val="center"/>
          </w:tcPr>
          <w:p w14:paraId="42B67261"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18</w:t>
            </w:r>
          </w:p>
        </w:tc>
        <w:tc>
          <w:tcPr>
            <w:tcW w:w="186" w:type="dxa"/>
            <w:tcBorders>
              <w:top w:val="nil"/>
              <w:left w:val="nil"/>
              <w:bottom w:val="nil"/>
              <w:right w:val="nil"/>
            </w:tcBorders>
            <w:tcMar>
              <w:top w:w="120" w:type="dxa"/>
              <w:left w:w="30" w:type="dxa"/>
              <w:bottom w:w="30" w:type="dxa"/>
              <w:right w:w="120" w:type="dxa"/>
            </w:tcMar>
            <w:vAlign w:val="center"/>
          </w:tcPr>
          <w:p w14:paraId="6C4ED3F8"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120" w:type="dxa"/>
              <w:left w:w="120" w:type="dxa"/>
              <w:bottom w:w="30" w:type="dxa"/>
              <w:right w:w="0" w:type="dxa"/>
            </w:tcMar>
            <w:vAlign w:val="center"/>
          </w:tcPr>
          <w:p w14:paraId="2726BE0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4" w:type="dxa"/>
            <w:tcBorders>
              <w:top w:val="nil"/>
              <w:left w:val="nil"/>
              <w:bottom w:val="nil"/>
              <w:right w:val="nil"/>
            </w:tcBorders>
            <w:tcMar>
              <w:top w:w="120" w:type="dxa"/>
              <w:left w:w="30" w:type="dxa"/>
              <w:bottom w:w="30" w:type="dxa"/>
              <w:right w:w="120" w:type="dxa"/>
            </w:tcMar>
            <w:vAlign w:val="center"/>
          </w:tcPr>
          <w:p w14:paraId="145563A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120" w:type="dxa"/>
              <w:left w:w="120" w:type="dxa"/>
              <w:bottom w:w="30" w:type="dxa"/>
              <w:right w:w="0" w:type="dxa"/>
            </w:tcMar>
            <w:vAlign w:val="center"/>
          </w:tcPr>
          <w:p w14:paraId="2ADD6F6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414" w:type="dxa"/>
            <w:tcBorders>
              <w:top w:val="nil"/>
              <w:left w:val="nil"/>
              <w:bottom w:val="nil"/>
              <w:right w:val="nil"/>
            </w:tcBorders>
            <w:tcMar>
              <w:top w:w="120" w:type="dxa"/>
              <w:left w:w="30" w:type="dxa"/>
              <w:bottom w:w="30" w:type="dxa"/>
              <w:right w:w="120" w:type="dxa"/>
            </w:tcMar>
            <w:vAlign w:val="center"/>
          </w:tcPr>
          <w:p w14:paraId="0C0701C2"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120" w:type="dxa"/>
              <w:left w:w="120" w:type="dxa"/>
              <w:bottom w:w="30" w:type="dxa"/>
              <w:right w:w="0" w:type="dxa"/>
            </w:tcMar>
            <w:vAlign w:val="center"/>
          </w:tcPr>
          <w:p w14:paraId="03DB2C5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w:t>
            </w:r>
          </w:p>
        </w:tc>
        <w:tc>
          <w:tcPr>
            <w:tcW w:w="279" w:type="dxa"/>
            <w:tcBorders>
              <w:top w:val="nil"/>
              <w:left w:val="nil"/>
              <w:bottom w:val="nil"/>
              <w:right w:val="nil"/>
            </w:tcBorders>
            <w:tcMar>
              <w:top w:w="120" w:type="dxa"/>
              <w:left w:w="30" w:type="dxa"/>
              <w:bottom w:w="30" w:type="dxa"/>
              <w:right w:w="120" w:type="dxa"/>
            </w:tcMar>
            <w:vAlign w:val="center"/>
          </w:tcPr>
          <w:p w14:paraId="0A400C26"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561ED6C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5</w:t>
            </w:r>
          </w:p>
        </w:tc>
        <w:tc>
          <w:tcPr>
            <w:tcW w:w="305" w:type="dxa"/>
            <w:tcBorders>
              <w:top w:val="nil"/>
              <w:left w:val="nil"/>
              <w:bottom w:val="nil"/>
              <w:right w:val="nil"/>
            </w:tcBorders>
            <w:tcMar>
              <w:top w:w="120" w:type="dxa"/>
              <w:left w:w="30" w:type="dxa"/>
              <w:bottom w:w="30" w:type="dxa"/>
              <w:right w:w="120" w:type="dxa"/>
            </w:tcMar>
            <w:vAlign w:val="center"/>
          </w:tcPr>
          <w:p w14:paraId="7822B3B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66552D06"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5" w:type="dxa"/>
            <w:tcBorders>
              <w:top w:val="nil"/>
              <w:left w:val="nil"/>
              <w:bottom w:val="nil"/>
              <w:right w:val="nil"/>
            </w:tcBorders>
            <w:tcMar>
              <w:top w:w="120" w:type="dxa"/>
              <w:left w:w="30" w:type="dxa"/>
              <w:bottom w:w="30" w:type="dxa"/>
              <w:right w:w="120" w:type="dxa"/>
            </w:tcMar>
            <w:vAlign w:val="center"/>
          </w:tcPr>
          <w:p w14:paraId="6CAD2C3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4A85856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5" w:type="dxa"/>
            <w:tcBorders>
              <w:top w:val="nil"/>
              <w:left w:val="nil"/>
              <w:bottom w:val="nil"/>
              <w:right w:val="nil"/>
            </w:tcBorders>
            <w:tcMar>
              <w:top w:w="120" w:type="dxa"/>
              <w:left w:w="30" w:type="dxa"/>
              <w:bottom w:w="30" w:type="dxa"/>
              <w:right w:w="120" w:type="dxa"/>
            </w:tcMar>
            <w:vAlign w:val="center"/>
          </w:tcPr>
          <w:p w14:paraId="7F5AC6F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120" w:type="dxa"/>
              <w:left w:w="120" w:type="dxa"/>
              <w:bottom w:w="30" w:type="dxa"/>
              <w:right w:w="0" w:type="dxa"/>
            </w:tcMar>
            <w:vAlign w:val="center"/>
          </w:tcPr>
          <w:p w14:paraId="588F945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215" w:type="dxa"/>
            <w:tcBorders>
              <w:top w:val="nil"/>
              <w:left w:val="nil"/>
              <w:bottom w:val="nil"/>
              <w:right w:val="nil"/>
            </w:tcBorders>
            <w:tcMar>
              <w:top w:w="120" w:type="dxa"/>
              <w:left w:w="30" w:type="dxa"/>
              <w:bottom w:w="30" w:type="dxa"/>
              <w:right w:w="120" w:type="dxa"/>
            </w:tcMar>
            <w:vAlign w:val="center"/>
          </w:tcPr>
          <w:p w14:paraId="173AF12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120" w:type="dxa"/>
              <w:left w:w="120" w:type="dxa"/>
              <w:bottom w:w="30" w:type="dxa"/>
              <w:right w:w="0" w:type="dxa"/>
            </w:tcMar>
            <w:vAlign w:val="center"/>
          </w:tcPr>
          <w:p w14:paraId="4B4312D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14</w:t>
            </w:r>
          </w:p>
        </w:tc>
        <w:tc>
          <w:tcPr>
            <w:tcW w:w="222" w:type="dxa"/>
            <w:tcBorders>
              <w:top w:val="nil"/>
              <w:left w:val="nil"/>
              <w:bottom w:val="nil"/>
              <w:right w:val="nil"/>
            </w:tcBorders>
            <w:tcMar>
              <w:top w:w="120" w:type="dxa"/>
              <w:left w:w="30" w:type="dxa"/>
              <w:bottom w:w="30" w:type="dxa"/>
              <w:right w:w="120" w:type="dxa"/>
            </w:tcMar>
            <w:vAlign w:val="center"/>
          </w:tcPr>
          <w:p w14:paraId="673633C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21856D51"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0211B3DD"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19</w:t>
            </w:r>
          </w:p>
        </w:tc>
        <w:tc>
          <w:tcPr>
            <w:tcW w:w="186" w:type="dxa"/>
            <w:tcBorders>
              <w:top w:val="nil"/>
              <w:left w:val="nil"/>
              <w:bottom w:val="nil"/>
              <w:right w:val="nil"/>
            </w:tcBorders>
            <w:tcMar>
              <w:top w:w="30" w:type="dxa"/>
              <w:left w:w="30" w:type="dxa"/>
              <w:bottom w:w="30" w:type="dxa"/>
              <w:right w:w="120" w:type="dxa"/>
            </w:tcMar>
            <w:vAlign w:val="center"/>
          </w:tcPr>
          <w:p w14:paraId="7C2DDD7A"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06969A5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4" w:type="dxa"/>
            <w:tcBorders>
              <w:top w:val="nil"/>
              <w:left w:val="nil"/>
              <w:bottom w:val="nil"/>
              <w:right w:val="nil"/>
            </w:tcBorders>
            <w:tcMar>
              <w:top w:w="30" w:type="dxa"/>
              <w:left w:w="30" w:type="dxa"/>
              <w:bottom w:w="30" w:type="dxa"/>
              <w:right w:w="120" w:type="dxa"/>
            </w:tcMar>
            <w:vAlign w:val="center"/>
          </w:tcPr>
          <w:p w14:paraId="5AACDB1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345E047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414" w:type="dxa"/>
            <w:tcBorders>
              <w:top w:val="nil"/>
              <w:left w:val="nil"/>
              <w:bottom w:val="nil"/>
              <w:right w:val="nil"/>
            </w:tcBorders>
            <w:tcMar>
              <w:top w:w="30" w:type="dxa"/>
              <w:left w:w="30" w:type="dxa"/>
              <w:bottom w:w="30" w:type="dxa"/>
              <w:right w:w="120" w:type="dxa"/>
            </w:tcMar>
            <w:vAlign w:val="center"/>
          </w:tcPr>
          <w:p w14:paraId="15DEB79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1C357AE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9</w:t>
            </w:r>
          </w:p>
        </w:tc>
        <w:tc>
          <w:tcPr>
            <w:tcW w:w="279" w:type="dxa"/>
            <w:tcBorders>
              <w:top w:val="nil"/>
              <w:left w:val="nil"/>
              <w:bottom w:val="nil"/>
              <w:right w:val="nil"/>
            </w:tcBorders>
            <w:tcMar>
              <w:top w:w="30" w:type="dxa"/>
              <w:left w:w="30" w:type="dxa"/>
              <w:bottom w:w="30" w:type="dxa"/>
              <w:right w:w="120" w:type="dxa"/>
            </w:tcMar>
            <w:vAlign w:val="center"/>
          </w:tcPr>
          <w:p w14:paraId="4AB8334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794ECD6"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9</w:t>
            </w:r>
          </w:p>
        </w:tc>
        <w:tc>
          <w:tcPr>
            <w:tcW w:w="305" w:type="dxa"/>
            <w:tcBorders>
              <w:top w:val="nil"/>
              <w:left w:val="nil"/>
              <w:bottom w:val="nil"/>
              <w:right w:val="nil"/>
            </w:tcBorders>
            <w:tcMar>
              <w:top w:w="30" w:type="dxa"/>
              <w:left w:w="30" w:type="dxa"/>
              <w:bottom w:w="30" w:type="dxa"/>
              <w:right w:w="120" w:type="dxa"/>
            </w:tcMar>
            <w:vAlign w:val="center"/>
          </w:tcPr>
          <w:p w14:paraId="474E9BBE"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DB9A53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4604C72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4058697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305" w:type="dxa"/>
            <w:tcBorders>
              <w:top w:val="nil"/>
              <w:left w:val="nil"/>
              <w:bottom w:val="nil"/>
              <w:right w:val="nil"/>
            </w:tcBorders>
            <w:tcMar>
              <w:top w:w="30" w:type="dxa"/>
              <w:left w:w="30" w:type="dxa"/>
              <w:bottom w:w="30" w:type="dxa"/>
              <w:right w:w="120" w:type="dxa"/>
            </w:tcMar>
            <w:vAlign w:val="center"/>
          </w:tcPr>
          <w:p w14:paraId="1AD3260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31673AB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215" w:type="dxa"/>
            <w:tcBorders>
              <w:top w:val="nil"/>
              <w:left w:val="nil"/>
              <w:bottom w:val="nil"/>
              <w:right w:val="nil"/>
            </w:tcBorders>
            <w:tcMar>
              <w:top w:w="30" w:type="dxa"/>
              <w:left w:w="30" w:type="dxa"/>
              <w:bottom w:w="30" w:type="dxa"/>
              <w:right w:w="120" w:type="dxa"/>
            </w:tcMar>
            <w:vAlign w:val="center"/>
          </w:tcPr>
          <w:p w14:paraId="6044DD64"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4CEE2DC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29</w:t>
            </w:r>
          </w:p>
        </w:tc>
        <w:tc>
          <w:tcPr>
            <w:tcW w:w="222" w:type="dxa"/>
            <w:tcBorders>
              <w:top w:val="nil"/>
              <w:left w:val="nil"/>
              <w:bottom w:val="nil"/>
              <w:right w:val="nil"/>
            </w:tcBorders>
            <w:tcMar>
              <w:top w:w="30" w:type="dxa"/>
              <w:left w:w="30" w:type="dxa"/>
              <w:bottom w:w="30" w:type="dxa"/>
              <w:right w:w="120" w:type="dxa"/>
            </w:tcMar>
            <w:vAlign w:val="center"/>
          </w:tcPr>
          <w:p w14:paraId="685F0D12"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50900072"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16BF86FB"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20</w:t>
            </w:r>
          </w:p>
        </w:tc>
        <w:tc>
          <w:tcPr>
            <w:tcW w:w="186" w:type="dxa"/>
            <w:tcBorders>
              <w:top w:val="nil"/>
              <w:left w:val="nil"/>
              <w:bottom w:val="nil"/>
              <w:right w:val="nil"/>
            </w:tcBorders>
            <w:tcMar>
              <w:top w:w="30" w:type="dxa"/>
              <w:left w:w="30" w:type="dxa"/>
              <w:bottom w:w="30" w:type="dxa"/>
              <w:right w:w="120" w:type="dxa"/>
            </w:tcMar>
            <w:vAlign w:val="center"/>
          </w:tcPr>
          <w:p w14:paraId="4CAA1AC2"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34D15A9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4" w:type="dxa"/>
            <w:tcBorders>
              <w:top w:val="nil"/>
              <w:left w:val="nil"/>
              <w:bottom w:val="nil"/>
              <w:right w:val="nil"/>
            </w:tcBorders>
            <w:tcMar>
              <w:top w:w="30" w:type="dxa"/>
              <w:left w:w="30" w:type="dxa"/>
              <w:bottom w:w="30" w:type="dxa"/>
              <w:right w:w="120" w:type="dxa"/>
            </w:tcMar>
            <w:vAlign w:val="center"/>
          </w:tcPr>
          <w:p w14:paraId="5E8C619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4A87B8F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414" w:type="dxa"/>
            <w:tcBorders>
              <w:top w:val="nil"/>
              <w:left w:val="nil"/>
              <w:bottom w:val="nil"/>
              <w:right w:val="nil"/>
            </w:tcBorders>
            <w:tcMar>
              <w:top w:w="30" w:type="dxa"/>
              <w:left w:w="30" w:type="dxa"/>
              <w:bottom w:w="30" w:type="dxa"/>
              <w:right w:w="120" w:type="dxa"/>
            </w:tcMar>
            <w:vAlign w:val="center"/>
          </w:tcPr>
          <w:p w14:paraId="53CEB10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3B6AD56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8</w:t>
            </w:r>
          </w:p>
        </w:tc>
        <w:tc>
          <w:tcPr>
            <w:tcW w:w="279" w:type="dxa"/>
            <w:tcBorders>
              <w:top w:val="nil"/>
              <w:left w:val="nil"/>
              <w:bottom w:val="nil"/>
              <w:right w:val="nil"/>
            </w:tcBorders>
            <w:tcMar>
              <w:top w:w="30" w:type="dxa"/>
              <w:left w:w="30" w:type="dxa"/>
              <w:bottom w:w="30" w:type="dxa"/>
              <w:right w:w="120" w:type="dxa"/>
            </w:tcMar>
            <w:vAlign w:val="center"/>
          </w:tcPr>
          <w:p w14:paraId="0C88B0A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2EE866E"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43A822E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44F8BA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1AAC4A3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5EA74E88"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537CA699"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70102AB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215" w:type="dxa"/>
            <w:tcBorders>
              <w:top w:val="nil"/>
              <w:left w:val="nil"/>
              <w:bottom w:val="nil"/>
              <w:right w:val="nil"/>
            </w:tcBorders>
            <w:tcMar>
              <w:top w:w="30" w:type="dxa"/>
              <w:left w:w="30" w:type="dxa"/>
              <w:bottom w:w="30" w:type="dxa"/>
              <w:right w:w="120" w:type="dxa"/>
            </w:tcMar>
            <w:vAlign w:val="center"/>
          </w:tcPr>
          <w:p w14:paraId="3742FD2E"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1FF793C5"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18</w:t>
            </w:r>
          </w:p>
        </w:tc>
        <w:tc>
          <w:tcPr>
            <w:tcW w:w="222" w:type="dxa"/>
            <w:tcBorders>
              <w:top w:val="nil"/>
              <w:left w:val="nil"/>
              <w:bottom w:val="nil"/>
              <w:right w:val="nil"/>
            </w:tcBorders>
            <w:tcMar>
              <w:top w:w="30" w:type="dxa"/>
              <w:left w:w="30" w:type="dxa"/>
              <w:bottom w:w="30" w:type="dxa"/>
              <w:right w:w="120" w:type="dxa"/>
            </w:tcMar>
            <w:vAlign w:val="center"/>
          </w:tcPr>
          <w:p w14:paraId="77ECC009"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75C8D1CB"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3F6DF3E6"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21</w:t>
            </w:r>
          </w:p>
        </w:tc>
        <w:tc>
          <w:tcPr>
            <w:tcW w:w="186" w:type="dxa"/>
            <w:tcBorders>
              <w:top w:val="nil"/>
              <w:left w:val="nil"/>
              <w:bottom w:val="nil"/>
              <w:right w:val="nil"/>
            </w:tcBorders>
            <w:tcMar>
              <w:top w:w="30" w:type="dxa"/>
              <w:left w:w="30" w:type="dxa"/>
              <w:bottom w:w="30" w:type="dxa"/>
              <w:right w:w="120" w:type="dxa"/>
            </w:tcMar>
            <w:vAlign w:val="center"/>
          </w:tcPr>
          <w:p w14:paraId="78329A44"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4855092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4" w:type="dxa"/>
            <w:tcBorders>
              <w:top w:val="nil"/>
              <w:left w:val="nil"/>
              <w:bottom w:val="nil"/>
              <w:right w:val="nil"/>
            </w:tcBorders>
            <w:tcMar>
              <w:top w:w="30" w:type="dxa"/>
              <w:left w:w="30" w:type="dxa"/>
              <w:bottom w:w="30" w:type="dxa"/>
              <w:right w:w="120" w:type="dxa"/>
            </w:tcMar>
            <w:vAlign w:val="center"/>
          </w:tcPr>
          <w:p w14:paraId="014C1C8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5FEED28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414" w:type="dxa"/>
            <w:tcBorders>
              <w:top w:val="nil"/>
              <w:left w:val="nil"/>
              <w:bottom w:val="nil"/>
              <w:right w:val="nil"/>
            </w:tcBorders>
            <w:tcMar>
              <w:top w:w="30" w:type="dxa"/>
              <w:left w:w="30" w:type="dxa"/>
              <w:bottom w:w="30" w:type="dxa"/>
              <w:right w:w="120" w:type="dxa"/>
            </w:tcMar>
            <w:vAlign w:val="center"/>
          </w:tcPr>
          <w:p w14:paraId="680ECE4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1B0C1AD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5</w:t>
            </w:r>
          </w:p>
        </w:tc>
        <w:tc>
          <w:tcPr>
            <w:tcW w:w="279" w:type="dxa"/>
            <w:tcBorders>
              <w:top w:val="nil"/>
              <w:left w:val="nil"/>
              <w:bottom w:val="nil"/>
              <w:right w:val="nil"/>
            </w:tcBorders>
            <w:tcMar>
              <w:top w:w="30" w:type="dxa"/>
              <w:left w:w="30" w:type="dxa"/>
              <w:bottom w:w="30" w:type="dxa"/>
              <w:right w:w="120" w:type="dxa"/>
            </w:tcMar>
            <w:vAlign w:val="center"/>
          </w:tcPr>
          <w:p w14:paraId="3A6E618E"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37A147F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4151F41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000D124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10823EE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6FB3DDF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625811A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67A9830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215" w:type="dxa"/>
            <w:tcBorders>
              <w:top w:val="nil"/>
              <w:left w:val="nil"/>
              <w:bottom w:val="nil"/>
              <w:right w:val="nil"/>
            </w:tcBorders>
            <w:tcMar>
              <w:top w:w="30" w:type="dxa"/>
              <w:left w:w="30" w:type="dxa"/>
              <w:bottom w:w="30" w:type="dxa"/>
              <w:right w:w="120" w:type="dxa"/>
            </w:tcMar>
            <w:vAlign w:val="center"/>
          </w:tcPr>
          <w:p w14:paraId="6D14F4E4"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5803BBF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11</w:t>
            </w:r>
          </w:p>
        </w:tc>
        <w:tc>
          <w:tcPr>
            <w:tcW w:w="222" w:type="dxa"/>
            <w:tcBorders>
              <w:top w:val="nil"/>
              <w:left w:val="nil"/>
              <w:bottom w:val="nil"/>
              <w:right w:val="nil"/>
            </w:tcBorders>
            <w:tcMar>
              <w:top w:w="30" w:type="dxa"/>
              <w:left w:w="30" w:type="dxa"/>
              <w:bottom w:w="30" w:type="dxa"/>
              <w:right w:w="120" w:type="dxa"/>
            </w:tcMar>
            <w:vAlign w:val="center"/>
          </w:tcPr>
          <w:p w14:paraId="2250188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0533AF1E"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34255D25"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22</w:t>
            </w:r>
          </w:p>
        </w:tc>
        <w:tc>
          <w:tcPr>
            <w:tcW w:w="186" w:type="dxa"/>
            <w:tcBorders>
              <w:top w:val="nil"/>
              <w:left w:val="nil"/>
              <w:bottom w:val="nil"/>
              <w:right w:val="nil"/>
            </w:tcBorders>
            <w:tcMar>
              <w:top w:w="30" w:type="dxa"/>
              <w:left w:w="30" w:type="dxa"/>
              <w:bottom w:w="30" w:type="dxa"/>
              <w:right w:w="120" w:type="dxa"/>
            </w:tcMar>
            <w:vAlign w:val="center"/>
          </w:tcPr>
          <w:p w14:paraId="18732CC9"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1589D46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4" w:type="dxa"/>
            <w:tcBorders>
              <w:top w:val="nil"/>
              <w:left w:val="nil"/>
              <w:bottom w:val="nil"/>
              <w:right w:val="nil"/>
            </w:tcBorders>
            <w:tcMar>
              <w:top w:w="30" w:type="dxa"/>
              <w:left w:w="30" w:type="dxa"/>
              <w:bottom w:w="30" w:type="dxa"/>
              <w:right w:w="120" w:type="dxa"/>
            </w:tcMar>
            <w:vAlign w:val="center"/>
          </w:tcPr>
          <w:p w14:paraId="63A6C59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0FF71EF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166B3C1A"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2AED738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279" w:type="dxa"/>
            <w:tcBorders>
              <w:top w:val="nil"/>
              <w:left w:val="nil"/>
              <w:bottom w:val="nil"/>
              <w:right w:val="nil"/>
            </w:tcBorders>
            <w:tcMar>
              <w:top w:w="30" w:type="dxa"/>
              <w:left w:w="30" w:type="dxa"/>
              <w:bottom w:w="30" w:type="dxa"/>
              <w:right w:w="120" w:type="dxa"/>
            </w:tcMar>
            <w:vAlign w:val="center"/>
          </w:tcPr>
          <w:p w14:paraId="72760A2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3571AED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7</w:t>
            </w:r>
          </w:p>
        </w:tc>
        <w:tc>
          <w:tcPr>
            <w:tcW w:w="305" w:type="dxa"/>
            <w:tcBorders>
              <w:top w:val="nil"/>
              <w:left w:val="nil"/>
              <w:bottom w:val="nil"/>
              <w:right w:val="nil"/>
            </w:tcBorders>
            <w:tcMar>
              <w:top w:w="30" w:type="dxa"/>
              <w:left w:w="30" w:type="dxa"/>
              <w:bottom w:w="30" w:type="dxa"/>
              <w:right w:w="120" w:type="dxa"/>
            </w:tcMar>
            <w:vAlign w:val="center"/>
          </w:tcPr>
          <w:p w14:paraId="654DABB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6FC2B45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1B8CAA3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E6C017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305" w:type="dxa"/>
            <w:tcBorders>
              <w:top w:val="nil"/>
              <w:left w:val="nil"/>
              <w:bottom w:val="nil"/>
              <w:right w:val="nil"/>
            </w:tcBorders>
            <w:tcMar>
              <w:top w:w="30" w:type="dxa"/>
              <w:left w:w="30" w:type="dxa"/>
              <w:bottom w:w="30" w:type="dxa"/>
              <w:right w:w="120" w:type="dxa"/>
            </w:tcMar>
            <w:vAlign w:val="center"/>
          </w:tcPr>
          <w:p w14:paraId="1081E0A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6193D15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215" w:type="dxa"/>
            <w:tcBorders>
              <w:top w:val="nil"/>
              <w:left w:val="nil"/>
              <w:bottom w:val="nil"/>
              <w:right w:val="nil"/>
            </w:tcBorders>
            <w:tcMar>
              <w:top w:w="30" w:type="dxa"/>
              <w:left w:w="30" w:type="dxa"/>
              <w:bottom w:w="30" w:type="dxa"/>
              <w:right w:w="120" w:type="dxa"/>
            </w:tcMar>
            <w:vAlign w:val="center"/>
          </w:tcPr>
          <w:p w14:paraId="7ED1CCD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51AB573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19</w:t>
            </w:r>
          </w:p>
        </w:tc>
        <w:tc>
          <w:tcPr>
            <w:tcW w:w="222" w:type="dxa"/>
            <w:tcBorders>
              <w:top w:val="nil"/>
              <w:left w:val="nil"/>
              <w:bottom w:val="nil"/>
              <w:right w:val="nil"/>
            </w:tcBorders>
            <w:tcMar>
              <w:top w:w="30" w:type="dxa"/>
              <w:left w:w="30" w:type="dxa"/>
              <w:bottom w:w="30" w:type="dxa"/>
              <w:right w:w="120" w:type="dxa"/>
            </w:tcMar>
            <w:vAlign w:val="center"/>
          </w:tcPr>
          <w:p w14:paraId="353D214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57690232"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2AD1B617"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23</w:t>
            </w:r>
          </w:p>
        </w:tc>
        <w:tc>
          <w:tcPr>
            <w:tcW w:w="186" w:type="dxa"/>
            <w:tcBorders>
              <w:top w:val="nil"/>
              <w:left w:val="nil"/>
              <w:bottom w:val="nil"/>
              <w:right w:val="nil"/>
            </w:tcBorders>
            <w:tcMar>
              <w:top w:w="30" w:type="dxa"/>
              <w:left w:w="30" w:type="dxa"/>
              <w:bottom w:w="30" w:type="dxa"/>
              <w:right w:w="120" w:type="dxa"/>
            </w:tcMar>
            <w:vAlign w:val="center"/>
          </w:tcPr>
          <w:p w14:paraId="4A435FEE"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15C4038E"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4" w:type="dxa"/>
            <w:tcBorders>
              <w:top w:val="nil"/>
              <w:left w:val="nil"/>
              <w:bottom w:val="nil"/>
              <w:right w:val="nil"/>
            </w:tcBorders>
            <w:tcMar>
              <w:top w:w="30" w:type="dxa"/>
              <w:left w:w="30" w:type="dxa"/>
              <w:bottom w:w="30" w:type="dxa"/>
              <w:right w:w="120" w:type="dxa"/>
            </w:tcMar>
            <w:vAlign w:val="center"/>
          </w:tcPr>
          <w:p w14:paraId="1BC92D1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0FD472CD"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414" w:type="dxa"/>
            <w:tcBorders>
              <w:top w:val="nil"/>
              <w:left w:val="nil"/>
              <w:bottom w:val="nil"/>
              <w:right w:val="nil"/>
            </w:tcBorders>
            <w:tcMar>
              <w:top w:w="30" w:type="dxa"/>
              <w:left w:w="30" w:type="dxa"/>
              <w:bottom w:w="30" w:type="dxa"/>
              <w:right w:w="120" w:type="dxa"/>
            </w:tcMar>
            <w:vAlign w:val="center"/>
          </w:tcPr>
          <w:p w14:paraId="6444DDF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41042F1D"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5</w:t>
            </w:r>
          </w:p>
        </w:tc>
        <w:tc>
          <w:tcPr>
            <w:tcW w:w="279" w:type="dxa"/>
            <w:tcBorders>
              <w:top w:val="nil"/>
              <w:left w:val="nil"/>
              <w:bottom w:val="nil"/>
              <w:right w:val="nil"/>
            </w:tcBorders>
            <w:tcMar>
              <w:top w:w="30" w:type="dxa"/>
              <w:left w:w="30" w:type="dxa"/>
              <w:bottom w:w="30" w:type="dxa"/>
              <w:right w:w="120" w:type="dxa"/>
            </w:tcMar>
            <w:vAlign w:val="center"/>
          </w:tcPr>
          <w:p w14:paraId="589031F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ED9C70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6</w:t>
            </w:r>
          </w:p>
        </w:tc>
        <w:tc>
          <w:tcPr>
            <w:tcW w:w="305" w:type="dxa"/>
            <w:tcBorders>
              <w:top w:val="nil"/>
              <w:left w:val="nil"/>
              <w:bottom w:val="nil"/>
              <w:right w:val="nil"/>
            </w:tcBorders>
            <w:tcMar>
              <w:top w:w="30" w:type="dxa"/>
              <w:left w:w="30" w:type="dxa"/>
              <w:bottom w:w="30" w:type="dxa"/>
              <w:right w:w="120" w:type="dxa"/>
            </w:tcMar>
            <w:vAlign w:val="center"/>
          </w:tcPr>
          <w:p w14:paraId="73B5C39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F1C71F6"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214CAD94"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5ABDDF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7D6FD08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459EDB66"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215" w:type="dxa"/>
            <w:tcBorders>
              <w:top w:val="nil"/>
              <w:left w:val="nil"/>
              <w:bottom w:val="nil"/>
              <w:right w:val="nil"/>
            </w:tcBorders>
            <w:tcMar>
              <w:top w:w="30" w:type="dxa"/>
              <w:left w:w="30" w:type="dxa"/>
              <w:bottom w:w="30" w:type="dxa"/>
              <w:right w:w="120" w:type="dxa"/>
            </w:tcMar>
            <w:vAlign w:val="center"/>
          </w:tcPr>
          <w:p w14:paraId="7A53BFA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79ED581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17</w:t>
            </w:r>
          </w:p>
        </w:tc>
        <w:tc>
          <w:tcPr>
            <w:tcW w:w="222" w:type="dxa"/>
            <w:tcBorders>
              <w:top w:val="nil"/>
              <w:left w:val="nil"/>
              <w:bottom w:val="nil"/>
              <w:right w:val="nil"/>
            </w:tcBorders>
            <w:tcMar>
              <w:top w:w="30" w:type="dxa"/>
              <w:left w:w="30" w:type="dxa"/>
              <w:bottom w:w="30" w:type="dxa"/>
              <w:right w:w="120" w:type="dxa"/>
            </w:tcMar>
            <w:vAlign w:val="center"/>
          </w:tcPr>
          <w:p w14:paraId="215866B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0FDBEC3C"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72862D33"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24</w:t>
            </w:r>
          </w:p>
        </w:tc>
        <w:tc>
          <w:tcPr>
            <w:tcW w:w="186" w:type="dxa"/>
            <w:tcBorders>
              <w:top w:val="nil"/>
              <w:left w:val="nil"/>
              <w:bottom w:val="nil"/>
              <w:right w:val="nil"/>
            </w:tcBorders>
            <w:tcMar>
              <w:top w:w="30" w:type="dxa"/>
              <w:left w:w="30" w:type="dxa"/>
              <w:bottom w:w="30" w:type="dxa"/>
              <w:right w:w="120" w:type="dxa"/>
            </w:tcMar>
            <w:vAlign w:val="center"/>
          </w:tcPr>
          <w:p w14:paraId="2080F318"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0DFA930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4" w:type="dxa"/>
            <w:tcBorders>
              <w:top w:val="nil"/>
              <w:left w:val="nil"/>
              <w:bottom w:val="nil"/>
              <w:right w:val="nil"/>
            </w:tcBorders>
            <w:tcMar>
              <w:top w:w="30" w:type="dxa"/>
              <w:left w:w="30" w:type="dxa"/>
              <w:bottom w:w="30" w:type="dxa"/>
              <w:right w:w="120" w:type="dxa"/>
            </w:tcMar>
            <w:vAlign w:val="center"/>
          </w:tcPr>
          <w:p w14:paraId="60E7F71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3DFF355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5</w:t>
            </w:r>
          </w:p>
        </w:tc>
        <w:tc>
          <w:tcPr>
            <w:tcW w:w="414" w:type="dxa"/>
            <w:tcBorders>
              <w:top w:val="nil"/>
              <w:left w:val="nil"/>
              <w:bottom w:val="nil"/>
              <w:right w:val="nil"/>
            </w:tcBorders>
            <w:tcMar>
              <w:top w:w="30" w:type="dxa"/>
              <w:left w:w="30" w:type="dxa"/>
              <w:bottom w:w="30" w:type="dxa"/>
              <w:right w:w="120" w:type="dxa"/>
            </w:tcMar>
            <w:vAlign w:val="center"/>
          </w:tcPr>
          <w:p w14:paraId="02AE8B2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7D1DE9C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w:t>
            </w:r>
          </w:p>
        </w:tc>
        <w:tc>
          <w:tcPr>
            <w:tcW w:w="279" w:type="dxa"/>
            <w:tcBorders>
              <w:top w:val="nil"/>
              <w:left w:val="nil"/>
              <w:bottom w:val="nil"/>
              <w:right w:val="nil"/>
            </w:tcBorders>
            <w:tcMar>
              <w:top w:w="30" w:type="dxa"/>
              <w:left w:w="30" w:type="dxa"/>
              <w:bottom w:w="30" w:type="dxa"/>
              <w:right w:w="120" w:type="dxa"/>
            </w:tcMar>
            <w:vAlign w:val="center"/>
          </w:tcPr>
          <w:p w14:paraId="7F9E6C7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BB49EE5"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8</w:t>
            </w:r>
          </w:p>
        </w:tc>
        <w:tc>
          <w:tcPr>
            <w:tcW w:w="305" w:type="dxa"/>
            <w:tcBorders>
              <w:top w:val="nil"/>
              <w:left w:val="nil"/>
              <w:bottom w:val="nil"/>
              <w:right w:val="nil"/>
            </w:tcBorders>
            <w:tcMar>
              <w:top w:w="30" w:type="dxa"/>
              <w:left w:w="30" w:type="dxa"/>
              <w:bottom w:w="30" w:type="dxa"/>
              <w:right w:w="120" w:type="dxa"/>
            </w:tcMar>
            <w:vAlign w:val="center"/>
          </w:tcPr>
          <w:p w14:paraId="5B40ACE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5B36018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41E6135A"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3281461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w:t>
            </w:r>
          </w:p>
        </w:tc>
        <w:tc>
          <w:tcPr>
            <w:tcW w:w="305" w:type="dxa"/>
            <w:tcBorders>
              <w:top w:val="nil"/>
              <w:left w:val="nil"/>
              <w:bottom w:val="nil"/>
              <w:right w:val="nil"/>
            </w:tcBorders>
            <w:tcMar>
              <w:top w:w="30" w:type="dxa"/>
              <w:left w:w="30" w:type="dxa"/>
              <w:bottom w:w="30" w:type="dxa"/>
              <w:right w:w="120" w:type="dxa"/>
            </w:tcMar>
            <w:vAlign w:val="center"/>
          </w:tcPr>
          <w:p w14:paraId="246A33B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194E29F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215" w:type="dxa"/>
            <w:tcBorders>
              <w:top w:val="nil"/>
              <w:left w:val="nil"/>
              <w:bottom w:val="nil"/>
              <w:right w:val="nil"/>
            </w:tcBorders>
            <w:tcMar>
              <w:top w:w="30" w:type="dxa"/>
              <w:left w:w="30" w:type="dxa"/>
              <w:bottom w:w="30" w:type="dxa"/>
              <w:right w:w="120" w:type="dxa"/>
            </w:tcMar>
            <w:vAlign w:val="center"/>
          </w:tcPr>
          <w:p w14:paraId="66AD2E64"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1CD9929D"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23</w:t>
            </w:r>
          </w:p>
        </w:tc>
        <w:tc>
          <w:tcPr>
            <w:tcW w:w="222" w:type="dxa"/>
            <w:tcBorders>
              <w:top w:val="nil"/>
              <w:left w:val="nil"/>
              <w:bottom w:val="nil"/>
              <w:right w:val="nil"/>
            </w:tcBorders>
            <w:tcMar>
              <w:top w:w="30" w:type="dxa"/>
              <w:left w:w="30" w:type="dxa"/>
              <w:bottom w:w="30" w:type="dxa"/>
              <w:right w:w="120" w:type="dxa"/>
            </w:tcMar>
            <w:vAlign w:val="center"/>
          </w:tcPr>
          <w:p w14:paraId="61DA542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16B7AE63"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030281E2"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25</w:t>
            </w:r>
          </w:p>
        </w:tc>
        <w:tc>
          <w:tcPr>
            <w:tcW w:w="186" w:type="dxa"/>
            <w:tcBorders>
              <w:top w:val="nil"/>
              <w:left w:val="nil"/>
              <w:bottom w:val="nil"/>
              <w:right w:val="nil"/>
            </w:tcBorders>
            <w:tcMar>
              <w:top w:w="30" w:type="dxa"/>
              <w:left w:w="30" w:type="dxa"/>
              <w:bottom w:w="30" w:type="dxa"/>
              <w:right w:w="120" w:type="dxa"/>
            </w:tcMar>
            <w:vAlign w:val="center"/>
          </w:tcPr>
          <w:p w14:paraId="123D648A"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nil"/>
              <w:right w:val="nil"/>
            </w:tcBorders>
            <w:tcMar>
              <w:top w:w="30" w:type="dxa"/>
              <w:left w:w="120" w:type="dxa"/>
              <w:bottom w:w="30" w:type="dxa"/>
              <w:right w:w="0" w:type="dxa"/>
            </w:tcMar>
            <w:vAlign w:val="center"/>
          </w:tcPr>
          <w:p w14:paraId="5846C6C5"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w:t>
            </w:r>
          </w:p>
        </w:tc>
        <w:tc>
          <w:tcPr>
            <w:tcW w:w="304" w:type="dxa"/>
            <w:tcBorders>
              <w:top w:val="nil"/>
              <w:left w:val="nil"/>
              <w:bottom w:val="nil"/>
              <w:right w:val="nil"/>
            </w:tcBorders>
            <w:tcMar>
              <w:top w:w="30" w:type="dxa"/>
              <w:left w:w="30" w:type="dxa"/>
              <w:bottom w:w="30" w:type="dxa"/>
              <w:right w:w="120" w:type="dxa"/>
            </w:tcMar>
            <w:vAlign w:val="center"/>
          </w:tcPr>
          <w:p w14:paraId="2E444CB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0D40819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6</w:t>
            </w:r>
          </w:p>
        </w:tc>
        <w:tc>
          <w:tcPr>
            <w:tcW w:w="414" w:type="dxa"/>
            <w:tcBorders>
              <w:top w:val="nil"/>
              <w:left w:val="nil"/>
              <w:bottom w:val="nil"/>
              <w:right w:val="nil"/>
            </w:tcBorders>
            <w:tcMar>
              <w:top w:w="30" w:type="dxa"/>
              <w:left w:w="30" w:type="dxa"/>
              <w:bottom w:w="30" w:type="dxa"/>
              <w:right w:w="120" w:type="dxa"/>
            </w:tcMar>
            <w:vAlign w:val="center"/>
          </w:tcPr>
          <w:p w14:paraId="7EB9628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29052CC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8</w:t>
            </w:r>
          </w:p>
        </w:tc>
        <w:tc>
          <w:tcPr>
            <w:tcW w:w="279" w:type="dxa"/>
            <w:tcBorders>
              <w:top w:val="nil"/>
              <w:left w:val="nil"/>
              <w:bottom w:val="nil"/>
              <w:right w:val="nil"/>
            </w:tcBorders>
            <w:tcMar>
              <w:top w:w="30" w:type="dxa"/>
              <w:left w:w="30" w:type="dxa"/>
              <w:bottom w:w="30" w:type="dxa"/>
              <w:right w:w="120" w:type="dxa"/>
            </w:tcMar>
            <w:vAlign w:val="center"/>
          </w:tcPr>
          <w:p w14:paraId="4694C65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548A83F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10</w:t>
            </w:r>
          </w:p>
        </w:tc>
        <w:tc>
          <w:tcPr>
            <w:tcW w:w="305" w:type="dxa"/>
            <w:tcBorders>
              <w:top w:val="nil"/>
              <w:left w:val="nil"/>
              <w:bottom w:val="nil"/>
              <w:right w:val="nil"/>
            </w:tcBorders>
            <w:tcMar>
              <w:top w:w="30" w:type="dxa"/>
              <w:left w:w="30" w:type="dxa"/>
              <w:bottom w:w="30" w:type="dxa"/>
              <w:right w:w="120" w:type="dxa"/>
            </w:tcMar>
            <w:vAlign w:val="center"/>
          </w:tcPr>
          <w:p w14:paraId="60F6BFE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52CDAD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305" w:type="dxa"/>
            <w:tcBorders>
              <w:top w:val="nil"/>
              <w:left w:val="nil"/>
              <w:bottom w:val="nil"/>
              <w:right w:val="nil"/>
            </w:tcBorders>
            <w:tcMar>
              <w:top w:w="30" w:type="dxa"/>
              <w:left w:w="30" w:type="dxa"/>
              <w:bottom w:w="30" w:type="dxa"/>
              <w:right w:w="120" w:type="dxa"/>
            </w:tcMar>
            <w:vAlign w:val="center"/>
          </w:tcPr>
          <w:p w14:paraId="54D3F60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6291F328"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142A417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nil"/>
              <w:right w:val="nil"/>
            </w:tcBorders>
            <w:tcMar>
              <w:top w:w="30" w:type="dxa"/>
              <w:left w:w="120" w:type="dxa"/>
              <w:bottom w:w="30" w:type="dxa"/>
              <w:right w:w="0" w:type="dxa"/>
            </w:tcMar>
            <w:vAlign w:val="center"/>
          </w:tcPr>
          <w:p w14:paraId="341E365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w:t>
            </w:r>
          </w:p>
        </w:tc>
        <w:tc>
          <w:tcPr>
            <w:tcW w:w="215" w:type="dxa"/>
            <w:tcBorders>
              <w:top w:val="nil"/>
              <w:left w:val="nil"/>
              <w:bottom w:val="nil"/>
              <w:right w:val="nil"/>
            </w:tcBorders>
            <w:tcMar>
              <w:top w:w="30" w:type="dxa"/>
              <w:left w:w="30" w:type="dxa"/>
              <w:bottom w:w="30" w:type="dxa"/>
              <w:right w:w="120" w:type="dxa"/>
            </w:tcMar>
            <w:vAlign w:val="center"/>
          </w:tcPr>
          <w:p w14:paraId="061785B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4F719CB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32</w:t>
            </w:r>
          </w:p>
        </w:tc>
        <w:tc>
          <w:tcPr>
            <w:tcW w:w="222" w:type="dxa"/>
            <w:tcBorders>
              <w:top w:val="nil"/>
              <w:left w:val="nil"/>
              <w:bottom w:val="nil"/>
              <w:right w:val="nil"/>
            </w:tcBorders>
            <w:tcMar>
              <w:top w:w="30" w:type="dxa"/>
              <w:left w:w="30" w:type="dxa"/>
              <w:bottom w:w="30" w:type="dxa"/>
              <w:right w:w="120" w:type="dxa"/>
            </w:tcMar>
            <w:vAlign w:val="center"/>
          </w:tcPr>
          <w:p w14:paraId="5495ED26"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0CAC6137" w14:textId="77777777">
        <w:trPr>
          <w:cantSplit/>
          <w:jc w:val="center"/>
        </w:trPr>
        <w:tc>
          <w:tcPr>
            <w:tcW w:w="561" w:type="dxa"/>
            <w:tcBorders>
              <w:top w:val="nil"/>
              <w:left w:val="nil"/>
              <w:bottom w:val="single" w:sz="12" w:space="0" w:color="333333"/>
              <w:right w:val="nil"/>
            </w:tcBorders>
            <w:tcMar>
              <w:top w:w="120" w:type="dxa"/>
              <w:left w:w="120" w:type="dxa"/>
              <w:bottom w:w="120" w:type="dxa"/>
              <w:right w:w="0" w:type="dxa"/>
            </w:tcMar>
            <w:vAlign w:val="center"/>
          </w:tcPr>
          <w:p w14:paraId="1FA9CECE"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Total</w:t>
            </w:r>
          </w:p>
        </w:tc>
        <w:tc>
          <w:tcPr>
            <w:tcW w:w="186" w:type="dxa"/>
            <w:tcBorders>
              <w:top w:val="nil"/>
              <w:left w:val="nil"/>
              <w:bottom w:val="single" w:sz="12" w:space="0" w:color="333333"/>
              <w:right w:val="nil"/>
            </w:tcBorders>
            <w:tcMar>
              <w:top w:w="30" w:type="dxa"/>
              <w:left w:w="30" w:type="dxa"/>
              <w:bottom w:w="120" w:type="dxa"/>
              <w:right w:w="120" w:type="dxa"/>
            </w:tcMar>
            <w:vAlign w:val="center"/>
          </w:tcPr>
          <w:p w14:paraId="506F6936"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414" w:type="dxa"/>
            <w:tcBorders>
              <w:top w:val="nil"/>
              <w:left w:val="nil"/>
              <w:bottom w:val="single" w:sz="12" w:space="0" w:color="333333"/>
              <w:right w:val="nil"/>
            </w:tcBorders>
            <w:tcMar>
              <w:top w:w="120" w:type="dxa"/>
              <w:left w:w="120" w:type="dxa"/>
              <w:bottom w:w="120" w:type="dxa"/>
              <w:right w:w="0" w:type="dxa"/>
            </w:tcMar>
            <w:vAlign w:val="center"/>
          </w:tcPr>
          <w:p w14:paraId="5D24152E"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7</w:t>
            </w:r>
          </w:p>
        </w:tc>
        <w:tc>
          <w:tcPr>
            <w:tcW w:w="304" w:type="dxa"/>
            <w:tcBorders>
              <w:top w:val="nil"/>
              <w:left w:val="nil"/>
              <w:bottom w:val="single" w:sz="12" w:space="0" w:color="333333"/>
              <w:right w:val="nil"/>
            </w:tcBorders>
            <w:tcMar>
              <w:top w:w="30" w:type="dxa"/>
              <w:left w:w="30" w:type="dxa"/>
              <w:bottom w:w="120" w:type="dxa"/>
              <w:right w:w="120" w:type="dxa"/>
            </w:tcMar>
            <w:vAlign w:val="center"/>
          </w:tcPr>
          <w:p w14:paraId="4C4D7A6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806" w:type="dxa"/>
            <w:tcBorders>
              <w:top w:val="nil"/>
              <w:left w:val="nil"/>
              <w:bottom w:val="single" w:sz="12" w:space="0" w:color="333333"/>
              <w:right w:val="nil"/>
            </w:tcBorders>
            <w:tcMar>
              <w:top w:w="120" w:type="dxa"/>
              <w:left w:w="120" w:type="dxa"/>
              <w:bottom w:w="120" w:type="dxa"/>
              <w:right w:w="0" w:type="dxa"/>
            </w:tcMar>
            <w:vAlign w:val="center"/>
          </w:tcPr>
          <w:p w14:paraId="535C8798"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23</w:t>
            </w:r>
          </w:p>
        </w:tc>
        <w:tc>
          <w:tcPr>
            <w:tcW w:w="414" w:type="dxa"/>
            <w:tcBorders>
              <w:top w:val="nil"/>
              <w:left w:val="nil"/>
              <w:bottom w:val="single" w:sz="12" w:space="0" w:color="333333"/>
              <w:right w:val="nil"/>
            </w:tcBorders>
            <w:tcMar>
              <w:top w:w="30" w:type="dxa"/>
              <w:left w:w="30" w:type="dxa"/>
              <w:bottom w:w="120" w:type="dxa"/>
              <w:right w:w="120" w:type="dxa"/>
            </w:tcMar>
            <w:vAlign w:val="center"/>
          </w:tcPr>
          <w:p w14:paraId="1FCAC07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32" w:type="dxa"/>
            <w:tcBorders>
              <w:top w:val="nil"/>
              <w:left w:val="nil"/>
              <w:bottom w:val="single" w:sz="12" w:space="0" w:color="333333"/>
              <w:right w:val="nil"/>
            </w:tcBorders>
            <w:tcMar>
              <w:top w:w="120" w:type="dxa"/>
              <w:left w:w="120" w:type="dxa"/>
              <w:bottom w:w="120" w:type="dxa"/>
              <w:right w:w="0" w:type="dxa"/>
            </w:tcMar>
            <w:vAlign w:val="center"/>
          </w:tcPr>
          <w:p w14:paraId="404569F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45</w:t>
            </w:r>
          </w:p>
        </w:tc>
        <w:tc>
          <w:tcPr>
            <w:tcW w:w="279" w:type="dxa"/>
            <w:tcBorders>
              <w:top w:val="nil"/>
              <w:left w:val="nil"/>
              <w:bottom w:val="single" w:sz="12" w:space="0" w:color="333333"/>
              <w:right w:val="nil"/>
            </w:tcBorders>
            <w:tcMar>
              <w:top w:w="30" w:type="dxa"/>
              <w:left w:w="30" w:type="dxa"/>
              <w:bottom w:w="120" w:type="dxa"/>
              <w:right w:w="120" w:type="dxa"/>
            </w:tcMar>
            <w:vAlign w:val="center"/>
          </w:tcPr>
          <w:p w14:paraId="41FE39E9"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5100870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49</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1C49A45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5031597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18</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10412FBA"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2FD0A6B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11</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7298CAD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04" w:type="dxa"/>
            <w:tcBorders>
              <w:top w:val="nil"/>
              <w:left w:val="nil"/>
              <w:bottom w:val="single" w:sz="12" w:space="0" w:color="333333"/>
              <w:right w:val="nil"/>
            </w:tcBorders>
            <w:tcMar>
              <w:top w:w="120" w:type="dxa"/>
              <w:left w:w="120" w:type="dxa"/>
              <w:bottom w:w="120" w:type="dxa"/>
              <w:right w:w="0" w:type="dxa"/>
            </w:tcMar>
            <w:vAlign w:val="center"/>
          </w:tcPr>
          <w:p w14:paraId="6AAB814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10</w:t>
            </w:r>
          </w:p>
        </w:tc>
        <w:tc>
          <w:tcPr>
            <w:tcW w:w="215" w:type="dxa"/>
            <w:tcBorders>
              <w:top w:val="nil"/>
              <w:left w:val="nil"/>
              <w:bottom w:val="single" w:sz="12" w:space="0" w:color="333333"/>
              <w:right w:val="nil"/>
            </w:tcBorders>
            <w:tcMar>
              <w:top w:w="30" w:type="dxa"/>
              <w:left w:w="30" w:type="dxa"/>
              <w:bottom w:w="120" w:type="dxa"/>
              <w:right w:w="120" w:type="dxa"/>
            </w:tcMar>
            <w:vAlign w:val="center"/>
          </w:tcPr>
          <w:p w14:paraId="508CABC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497" w:type="dxa"/>
            <w:tcBorders>
              <w:top w:val="nil"/>
              <w:left w:val="nil"/>
              <w:bottom w:val="single" w:sz="12" w:space="0" w:color="333333"/>
              <w:right w:val="nil"/>
            </w:tcBorders>
            <w:tcMar>
              <w:top w:w="120" w:type="dxa"/>
              <w:left w:w="120" w:type="dxa"/>
              <w:bottom w:w="120" w:type="dxa"/>
              <w:right w:w="0" w:type="dxa"/>
            </w:tcMar>
            <w:vAlign w:val="center"/>
          </w:tcPr>
          <w:p w14:paraId="3FA8048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163</w:t>
            </w:r>
          </w:p>
        </w:tc>
        <w:tc>
          <w:tcPr>
            <w:tcW w:w="222" w:type="dxa"/>
            <w:tcBorders>
              <w:top w:val="nil"/>
              <w:left w:val="nil"/>
              <w:bottom w:val="single" w:sz="12" w:space="0" w:color="333333"/>
              <w:right w:val="nil"/>
            </w:tcBorders>
            <w:tcMar>
              <w:top w:w="30" w:type="dxa"/>
              <w:left w:w="30" w:type="dxa"/>
              <w:bottom w:w="120" w:type="dxa"/>
              <w:right w:w="120" w:type="dxa"/>
            </w:tcMar>
            <w:vAlign w:val="center"/>
          </w:tcPr>
          <w:p w14:paraId="2BC3AC0E"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371A08" w:rsidRPr="00C17A7B" w14:paraId="2699EBF7" w14:textId="77777777">
        <w:trPr>
          <w:cantSplit/>
          <w:jc w:val="center"/>
        </w:trPr>
        <w:tc>
          <w:tcPr>
            <w:tcW w:w="7504" w:type="dxa"/>
            <w:gridSpan w:val="18"/>
            <w:tcBorders>
              <w:top w:val="nil"/>
              <w:left w:val="nil"/>
              <w:bottom w:val="nil"/>
              <w:right w:val="nil"/>
            </w:tcBorders>
            <w:tcMar>
              <w:top w:w="90" w:type="dxa"/>
              <w:left w:w="120" w:type="dxa"/>
              <w:bottom w:w="30" w:type="dxa"/>
              <w:right w:w="120" w:type="dxa"/>
            </w:tcMar>
            <w:vAlign w:val="center"/>
          </w:tcPr>
          <w:p w14:paraId="4C1A4370" w14:textId="77777777" w:rsidR="00371A08" w:rsidRPr="00C17A7B" w:rsidRDefault="00371A08">
            <w:pPr>
              <w:rPr>
                <w:color w:val="000000" w:themeColor="text1"/>
                <w:sz w:val="20"/>
                <w:szCs w:val="20"/>
              </w:rPr>
            </w:pPr>
          </w:p>
        </w:tc>
      </w:tr>
    </w:tbl>
    <w:p w14:paraId="79FE391F" w14:textId="77777777" w:rsidR="00371A08" w:rsidRPr="00C17A7B" w:rsidRDefault="00371A08">
      <w:pPr>
        <w:spacing w:line="480" w:lineRule="auto"/>
        <w:rPr>
          <w:rFonts w:ascii="Times" w:eastAsia="Times" w:hAnsi="Times" w:cs="Times"/>
          <w:b/>
          <w:color w:val="000000" w:themeColor="text1"/>
        </w:rPr>
      </w:pPr>
    </w:p>
    <w:p w14:paraId="4C26109F" w14:textId="48360D5C" w:rsidR="008C6DCA" w:rsidRPr="00C17A7B" w:rsidRDefault="00000000" w:rsidP="008C6DCA">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Sin embargo, en cuanto a Tik Tok sí que existe una diferencia significativa </w:t>
      </w:r>
      <m:oMath>
        <m:r>
          <w:rPr>
            <w:rFonts w:ascii="Cambria Math" w:eastAsia="Cambria Math" w:hAnsi="Cambria Math" w:cs="Cambria Math"/>
            <w:color w:val="000000" w:themeColor="text1"/>
          </w:rPr>
          <m:t>χ2</m:t>
        </m:r>
      </m:oMath>
      <w:r w:rsidRPr="00C17A7B">
        <w:rPr>
          <w:rFonts w:ascii="Times" w:eastAsia="Times" w:hAnsi="Times" w:cs="Times"/>
          <w:color w:val="000000" w:themeColor="text1"/>
        </w:rPr>
        <w:t xml:space="preserve"> (42, </w:t>
      </w:r>
      <w:r w:rsidRPr="00C17A7B">
        <w:rPr>
          <w:rFonts w:ascii="Times" w:eastAsia="Times" w:hAnsi="Times" w:cs="Times"/>
          <w:i/>
          <w:color w:val="000000" w:themeColor="text1"/>
        </w:rPr>
        <w:t>N</w:t>
      </w:r>
      <w:r w:rsidRPr="00C17A7B">
        <w:rPr>
          <w:rFonts w:ascii="Times" w:eastAsia="Times" w:hAnsi="Times" w:cs="Times"/>
          <w:color w:val="000000" w:themeColor="text1"/>
        </w:rPr>
        <w:t xml:space="preserve">=163) = 70.7,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&lt;.04, lo que nos indica que Tik Tok es una red social más usada por personas más jóvenes, generalmente alrededor de los 19 años, por lo que se trata de una red social dependiente de la edad. Por lo tanto, a mayor edad, menor frecuencia de uso de la red social Tik Tok. El mayor tiempo de uso en este caso, se conforma igualmente entre 1-2 horas diarias. </w:t>
      </w:r>
    </w:p>
    <w:p w14:paraId="375DCCBA" w14:textId="77777777" w:rsidR="008C6DCA" w:rsidRPr="00C17A7B" w:rsidRDefault="008C6DCA" w:rsidP="008C6DCA">
      <w:pPr>
        <w:spacing w:line="480" w:lineRule="auto"/>
        <w:ind w:firstLine="720"/>
        <w:rPr>
          <w:rFonts w:ascii="Times" w:eastAsia="Times" w:hAnsi="Times" w:cs="Times"/>
          <w:color w:val="000000" w:themeColor="text1"/>
        </w:rPr>
      </w:pPr>
    </w:p>
    <w:p w14:paraId="78599765" w14:textId="2011F85A" w:rsidR="005E4144" w:rsidRPr="00C17A7B" w:rsidRDefault="005E4144" w:rsidP="005E4144">
      <w:pPr>
        <w:spacing w:line="480" w:lineRule="auto"/>
        <w:rPr>
          <w:rFonts w:ascii="Times" w:eastAsia="Times" w:hAnsi="Times" w:cs="Times"/>
          <w:b/>
          <w:bCs/>
          <w:color w:val="000000" w:themeColor="text1"/>
        </w:rPr>
      </w:pPr>
      <w:r w:rsidRPr="00C17A7B">
        <w:rPr>
          <w:rFonts w:ascii="Times" w:eastAsia="Times" w:hAnsi="Times" w:cs="Times"/>
          <w:b/>
          <w:bCs/>
          <w:color w:val="000000" w:themeColor="text1"/>
        </w:rPr>
        <w:t>Tabla 3</w:t>
      </w:r>
    </w:p>
    <w:p w14:paraId="69DE1963" w14:textId="400613A4" w:rsidR="00920A6E" w:rsidRPr="00C17A7B" w:rsidRDefault="005E4144" w:rsidP="005E4144">
      <w:pPr>
        <w:spacing w:line="480" w:lineRule="auto"/>
        <w:jc w:val="both"/>
        <w:rPr>
          <w:rFonts w:ascii="Times" w:eastAsia="Times" w:hAnsi="Times" w:cs="Times"/>
          <w:i/>
          <w:iCs/>
          <w:color w:val="000000" w:themeColor="text1"/>
        </w:rPr>
      </w:pPr>
      <w:r w:rsidRPr="00C17A7B">
        <w:rPr>
          <w:rFonts w:ascii="Times" w:eastAsia="Times" w:hAnsi="Times" w:cs="Times"/>
          <w:i/>
          <w:iCs/>
          <w:color w:val="000000" w:themeColor="text1"/>
        </w:rPr>
        <w:t>Horas de uso de Tik Tok según la edad de las usuarias</w:t>
      </w:r>
    </w:p>
    <w:tbl>
      <w:tblPr>
        <w:tblStyle w:val="a3"/>
        <w:tblW w:w="7504" w:type="dxa"/>
        <w:jc w:val="center"/>
        <w:tblInd w:w="0" w:type="dxa"/>
        <w:tblLayout w:type="fixed"/>
        <w:tblLook w:val="0400" w:firstRow="0" w:lastRow="0" w:firstColumn="0" w:lastColumn="0" w:noHBand="0" w:noVBand="1"/>
      </w:tblPr>
      <w:tblGrid>
        <w:gridCol w:w="561"/>
        <w:gridCol w:w="186"/>
        <w:gridCol w:w="470"/>
        <w:gridCol w:w="248"/>
        <w:gridCol w:w="806"/>
        <w:gridCol w:w="414"/>
        <w:gridCol w:w="532"/>
        <w:gridCol w:w="279"/>
        <w:gridCol w:w="585"/>
        <w:gridCol w:w="305"/>
        <w:gridCol w:w="585"/>
        <w:gridCol w:w="305"/>
        <w:gridCol w:w="585"/>
        <w:gridCol w:w="305"/>
        <w:gridCol w:w="356"/>
        <w:gridCol w:w="263"/>
        <w:gridCol w:w="497"/>
        <w:gridCol w:w="222"/>
      </w:tblGrid>
      <w:tr w:rsidR="00C17A7B" w:rsidRPr="00C17A7B" w14:paraId="04161121" w14:textId="77777777">
        <w:trPr>
          <w:cantSplit/>
          <w:tblHeader/>
          <w:jc w:val="center"/>
        </w:trPr>
        <w:tc>
          <w:tcPr>
            <w:tcW w:w="7504" w:type="dxa"/>
            <w:gridSpan w:val="18"/>
            <w:tcBorders>
              <w:top w:val="nil"/>
              <w:left w:val="nil"/>
              <w:bottom w:val="single" w:sz="6" w:space="0" w:color="333333"/>
              <w:right w:val="nil"/>
            </w:tcBorders>
            <w:tcMar>
              <w:top w:w="60" w:type="dxa"/>
              <w:left w:w="0" w:type="dxa"/>
              <w:bottom w:w="60" w:type="dxa"/>
              <w:right w:w="120" w:type="dxa"/>
            </w:tcMar>
            <w:vAlign w:val="center"/>
          </w:tcPr>
          <w:p w14:paraId="0B70DE8A" w14:textId="77777777" w:rsidR="00371A08" w:rsidRPr="00C17A7B" w:rsidRDefault="00000000">
            <w:pP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color w:val="000000" w:themeColor="text1"/>
                <w:sz w:val="18"/>
                <w:szCs w:val="18"/>
              </w:rPr>
              <w:lastRenderedPageBreak/>
              <w:t>Tablas de Contingencia</w:t>
            </w:r>
          </w:p>
        </w:tc>
      </w:tr>
      <w:tr w:rsidR="00C17A7B" w:rsidRPr="00C17A7B" w14:paraId="7EAB20EB" w14:textId="77777777">
        <w:trPr>
          <w:cantSplit/>
          <w:tblHeader/>
          <w:jc w:val="center"/>
        </w:trPr>
        <w:tc>
          <w:tcPr>
            <w:tcW w:w="747" w:type="dxa"/>
            <w:gridSpan w:val="2"/>
            <w:tcBorders>
              <w:top w:val="nil"/>
              <w:left w:val="nil"/>
              <w:bottom w:val="nil"/>
              <w:right w:val="nil"/>
            </w:tcBorders>
            <w:tcMar>
              <w:top w:w="60" w:type="dxa"/>
              <w:left w:w="120" w:type="dxa"/>
              <w:bottom w:w="60" w:type="dxa"/>
              <w:right w:w="120" w:type="dxa"/>
            </w:tcMar>
            <w:vAlign w:val="center"/>
          </w:tcPr>
          <w:p w14:paraId="5D9BCCEB" w14:textId="77777777" w:rsidR="00371A08" w:rsidRPr="00C17A7B" w:rsidRDefault="00371A08">
            <w:pPr>
              <w:rPr>
                <w:b/>
                <w:color w:val="000000" w:themeColor="text1"/>
                <w:sz w:val="18"/>
                <w:szCs w:val="18"/>
              </w:rPr>
            </w:pPr>
          </w:p>
        </w:tc>
        <w:tc>
          <w:tcPr>
            <w:tcW w:w="6038" w:type="dxa"/>
            <w:gridSpan w:val="14"/>
            <w:tcBorders>
              <w:top w:val="nil"/>
              <w:left w:val="nil"/>
              <w:bottom w:val="single" w:sz="6" w:space="0" w:color="333333"/>
              <w:right w:val="nil"/>
            </w:tcBorders>
            <w:tcMar>
              <w:top w:w="60" w:type="dxa"/>
              <w:left w:w="120" w:type="dxa"/>
              <w:bottom w:w="60" w:type="dxa"/>
              <w:right w:w="120" w:type="dxa"/>
            </w:tcMar>
            <w:vAlign w:val="center"/>
          </w:tcPr>
          <w:p w14:paraId="3D113A79" w14:textId="77777777" w:rsidR="00371A08" w:rsidRPr="00C17A7B" w:rsidRDefault="00000000">
            <w:pPr>
              <w:jc w:val="center"/>
              <w:rPr>
                <w:b/>
                <w:color w:val="000000" w:themeColor="text1"/>
                <w:sz w:val="18"/>
                <w:szCs w:val="18"/>
              </w:rPr>
            </w:pPr>
            <w:r w:rsidRPr="00C17A7B">
              <w:rPr>
                <w:b/>
                <w:color w:val="000000" w:themeColor="text1"/>
                <w:sz w:val="18"/>
                <w:szCs w:val="18"/>
              </w:rPr>
              <w:t>Tik Tok</w:t>
            </w:r>
          </w:p>
        </w:tc>
        <w:tc>
          <w:tcPr>
            <w:tcW w:w="719" w:type="dxa"/>
            <w:gridSpan w:val="2"/>
            <w:tcBorders>
              <w:top w:val="nil"/>
              <w:left w:val="nil"/>
              <w:bottom w:val="nil"/>
              <w:right w:val="nil"/>
            </w:tcBorders>
            <w:tcMar>
              <w:top w:w="60" w:type="dxa"/>
              <w:left w:w="120" w:type="dxa"/>
              <w:bottom w:w="60" w:type="dxa"/>
              <w:right w:w="120" w:type="dxa"/>
            </w:tcMar>
            <w:vAlign w:val="center"/>
          </w:tcPr>
          <w:p w14:paraId="58FD0B66" w14:textId="77777777" w:rsidR="00371A08" w:rsidRPr="00C17A7B" w:rsidRDefault="00371A08">
            <w:pPr>
              <w:jc w:val="center"/>
              <w:rPr>
                <w:b/>
                <w:color w:val="000000" w:themeColor="text1"/>
                <w:sz w:val="18"/>
                <w:szCs w:val="18"/>
              </w:rPr>
            </w:pPr>
          </w:p>
        </w:tc>
      </w:tr>
      <w:tr w:rsidR="00C17A7B" w:rsidRPr="00C17A7B" w14:paraId="10E2A1CE" w14:textId="77777777">
        <w:trPr>
          <w:cantSplit/>
          <w:tblHeader/>
          <w:jc w:val="center"/>
        </w:trPr>
        <w:tc>
          <w:tcPr>
            <w:tcW w:w="747" w:type="dxa"/>
            <w:gridSpan w:val="2"/>
            <w:tcBorders>
              <w:top w:val="nil"/>
              <w:left w:val="nil"/>
              <w:bottom w:val="single" w:sz="6" w:space="0" w:color="333333"/>
              <w:right w:val="nil"/>
            </w:tcBorders>
            <w:tcMar>
              <w:top w:w="60" w:type="dxa"/>
              <w:left w:w="120" w:type="dxa"/>
              <w:bottom w:w="60" w:type="dxa"/>
              <w:right w:w="120" w:type="dxa"/>
            </w:tcMar>
            <w:vAlign w:val="center"/>
          </w:tcPr>
          <w:p w14:paraId="061AC18C" w14:textId="77777777" w:rsidR="00371A08" w:rsidRPr="00C17A7B" w:rsidRDefault="00000000">
            <w:pPr>
              <w:jc w:val="center"/>
              <w:rPr>
                <w:b/>
                <w:color w:val="000000" w:themeColor="text1"/>
                <w:sz w:val="18"/>
                <w:szCs w:val="18"/>
              </w:rPr>
            </w:pPr>
            <w:r w:rsidRPr="00C17A7B">
              <w:rPr>
                <w:b/>
                <w:color w:val="000000" w:themeColor="text1"/>
                <w:sz w:val="18"/>
                <w:szCs w:val="18"/>
              </w:rPr>
              <w:t>Edad</w:t>
            </w:r>
          </w:p>
        </w:tc>
        <w:tc>
          <w:tcPr>
            <w:tcW w:w="718" w:type="dxa"/>
            <w:gridSpan w:val="2"/>
            <w:tcBorders>
              <w:top w:val="nil"/>
              <w:left w:val="nil"/>
              <w:bottom w:val="single" w:sz="6" w:space="0" w:color="333333"/>
              <w:right w:val="nil"/>
            </w:tcBorders>
            <w:tcMar>
              <w:top w:w="60" w:type="dxa"/>
              <w:left w:w="120" w:type="dxa"/>
              <w:bottom w:w="60" w:type="dxa"/>
              <w:right w:w="120" w:type="dxa"/>
            </w:tcMar>
            <w:vAlign w:val="center"/>
          </w:tcPr>
          <w:p w14:paraId="4B7FDA2C" w14:textId="77777777" w:rsidR="00371A08" w:rsidRPr="00C17A7B" w:rsidRDefault="00000000">
            <w:pPr>
              <w:jc w:val="center"/>
              <w:rPr>
                <w:b/>
                <w:color w:val="000000" w:themeColor="text1"/>
                <w:sz w:val="18"/>
                <w:szCs w:val="18"/>
              </w:rPr>
            </w:pPr>
            <w:r w:rsidRPr="00C17A7B">
              <w:rPr>
                <w:b/>
                <w:color w:val="000000" w:themeColor="text1"/>
                <w:sz w:val="18"/>
                <w:szCs w:val="18"/>
              </w:rPr>
              <w:t>Nada</w:t>
            </w:r>
          </w:p>
        </w:tc>
        <w:tc>
          <w:tcPr>
            <w:tcW w:w="1220" w:type="dxa"/>
            <w:gridSpan w:val="2"/>
            <w:tcBorders>
              <w:top w:val="nil"/>
              <w:left w:val="nil"/>
              <w:bottom w:val="single" w:sz="6" w:space="0" w:color="333333"/>
              <w:right w:val="nil"/>
            </w:tcBorders>
            <w:tcMar>
              <w:top w:w="60" w:type="dxa"/>
              <w:left w:w="120" w:type="dxa"/>
              <w:bottom w:w="60" w:type="dxa"/>
              <w:right w:w="120" w:type="dxa"/>
            </w:tcMar>
            <w:vAlign w:val="center"/>
          </w:tcPr>
          <w:p w14:paraId="02E19A50" w14:textId="77777777" w:rsidR="00371A08" w:rsidRPr="00C17A7B" w:rsidRDefault="00000000">
            <w:pPr>
              <w:jc w:val="center"/>
              <w:rPr>
                <w:b/>
                <w:color w:val="000000" w:themeColor="text1"/>
                <w:sz w:val="18"/>
                <w:szCs w:val="18"/>
              </w:rPr>
            </w:pPr>
            <w:r w:rsidRPr="00C17A7B">
              <w:rPr>
                <w:b/>
                <w:color w:val="000000" w:themeColor="text1"/>
                <w:sz w:val="18"/>
                <w:szCs w:val="18"/>
              </w:rPr>
              <w:t>30 minutos</w:t>
            </w:r>
          </w:p>
        </w:tc>
        <w:tc>
          <w:tcPr>
            <w:tcW w:w="811" w:type="dxa"/>
            <w:gridSpan w:val="2"/>
            <w:tcBorders>
              <w:top w:val="nil"/>
              <w:left w:val="nil"/>
              <w:bottom w:val="single" w:sz="6" w:space="0" w:color="333333"/>
              <w:right w:val="nil"/>
            </w:tcBorders>
            <w:tcMar>
              <w:top w:w="60" w:type="dxa"/>
              <w:left w:w="120" w:type="dxa"/>
              <w:bottom w:w="60" w:type="dxa"/>
              <w:right w:w="120" w:type="dxa"/>
            </w:tcMar>
            <w:vAlign w:val="center"/>
          </w:tcPr>
          <w:p w14:paraId="23E997C0" w14:textId="77777777" w:rsidR="00371A08" w:rsidRPr="00C17A7B" w:rsidRDefault="00000000">
            <w:pPr>
              <w:jc w:val="center"/>
              <w:rPr>
                <w:b/>
                <w:color w:val="000000" w:themeColor="text1"/>
                <w:sz w:val="18"/>
                <w:szCs w:val="18"/>
              </w:rPr>
            </w:pPr>
            <w:r w:rsidRPr="00C17A7B">
              <w:rPr>
                <w:b/>
                <w:color w:val="000000" w:themeColor="text1"/>
                <w:sz w:val="18"/>
                <w:szCs w:val="18"/>
              </w:rPr>
              <w:t>1 hora</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536F6C6E" w14:textId="77777777" w:rsidR="00371A08" w:rsidRPr="00C17A7B" w:rsidRDefault="00000000">
            <w:pPr>
              <w:jc w:val="center"/>
              <w:rPr>
                <w:b/>
                <w:color w:val="000000" w:themeColor="text1"/>
                <w:sz w:val="18"/>
                <w:szCs w:val="18"/>
              </w:rPr>
            </w:pPr>
            <w:r w:rsidRPr="00C17A7B">
              <w:rPr>
                <w:b/>
                <w:color w:val="000000" w:themeColor="text1"/>
                <w:sz w:val="18"/>
                <w:szCs w:val="18"/>
              </w:rPr>
              <w:t>2 horas</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749F93F8" w14:textId="77777777" w:rsidR="00371A08" w:rsidRPr="00C17A7B" w:rsidRDefault="00000000">
            <w:pPr>
              <w:jc w:val="center"/>
              <w:rPr>
                <w:b/>
                <w:color w:val="000000" w:themeColor="text1"/>
                <w:sz w:val="18"/>
                <w:szCs w:val="18"/>
              </w:rPr>
            </w:pPr>
            <w:r w:rsidRPr="00C17A7B">
              <w:rPr>
                <w:b/>
                <w:color w:val="000000" w:themeColor="text1"/>
                <w:sz w:val="18"/>
                <w:szCs w:val="18"/>
              </w:rPr>
              <w:t>3 horas</w:t>
            </w:r>
          </w:p>
        </w:tc>
        <w:tc>
          <w:tcPr>
            <w:tcW w:w="890" w:type="dxa"/>
            <w:gridSpan w:val="2"/>
            <w:tcBorders>
              <w:top w:val="nil"/>
              <w:left w:val="nil"/>
              <w:bottom w:val="single" w:sz="6" w:space="0" w:color="333333"/>
              <w:right w:val="nil"/>
            </w:tcBorders>
            <w:tcMar>
              <w:top w:w="60" w:type="dxa"/>
              <w:left w:w="120" w:type="dxa"/>
              <w:bottom w:w="60" w:type="dxa"/>
              <w:right w:w="120" w:type="dxa"/>
            </w:tcMar>
            <w:vAlign w:val="center"/>
          </w:tcPr>
          <w:p w14:paraId="28FC9365" w14:textId="77777777" w:rsidR="00371A08" w:rsidRPr="00C17A7B" w:rsidRDefault="00000000">
            <w:pPr>
              <w:jc w:val="center"/>
              <w:rPr>
                <w:b/>
                <w:color w:val="000000" w:themeColor="text1"/>
                <w:sz w:val="18"/>
                <w:szCs w:val="18"/>
              </w:rPr>
            </w:pPr>
            <w:r w:rsidRPr="00C17A7B">
              <w:rPr>
                <w:b/>
                <w:color w:val="000000" w:themeColor="text1"/>
                <w:sz w:val="18"/>
                <w:szCs w:val="18"/>
              </w:rPr>
              <w:t>4 horas</w:t>
            </w:r>
          </w:p>
        </w:tc>
        <w:tc>
          <w:tcPr>
            <w:tcW w:w="619" w:type="dxa"/>
            <w:gridSpan w:val="2"/>
            <w:tcBorders>
              <w:top w:val="nil"/>
              <w:left w:val="nil"/>
              <w:bottom w:val="single" w:sz="6" w:space="0" w:color="333333"/>
              <w:right w:val="nil"/>
            </w:tcBorders>
            <w:tcMar>
              <w:top w:w="60" w:type="dxa"/>
              <w:left w:w="120" w:type="dxa"/>
              <w:bottom w:w="60" w:type="dxa"/>
              <w:right w:w="120" w:type="dxa"/>
            </w:tcMar>
            <w:vAlign w:val="center"/>
          </w:tcPr>
          <w:p w14:paraId="7CAF5EBB" w14:textId="77777777" w:rsidR="00371A08" w:rsidRPr="00C17A7B" w:rsidRDefault="00000000">
            <w:pPr>
              <w:jc w:val="center"/>
              <w:rPr>
                <w:b/>
                <w:color w:val="000000" w:themeColor="text1"/>
                <w:sz w:val="18"/>
                <w:szCs w:val="18"/>
              </w:rPr>
            </w:pPr>
            <w:r w:rsidRPr="00C17A7B">
              <w:rPr>
                <w:b/>
                <w:color w:val="000000" w:themeColor="text1"/>
                <w:sz w:val="18"/>
                <w:szCs w:val="18"/>
              </w:rPr>
              <w:t>Más</w:t>
            </w:r>
          </w:p>
        </w:tc>
        <w:tc>
          <w:tcPr>
            <w:tcW w:w="719" w:type="dxa"/>
            <w:gridSpan w:val="2"/>
            <w:tcBorders>
              <w:top w:val="nil"/>
              <w:left w:val="nil"/>
              <w:bottom w:val="single" w:sz="6" w:space="0" w:color="333333"/>
              <w:right w:val="nil"/>
            </w:tcBorders>
            <w:tcMar>
              <w:top w:w="60" w:type="dxa"/>
              <w:left w:w="120" w:type="dxa"/>
              <w:bottom w:w="60" w:type="dxa"/>
              <w:right w:w="120" w:type="dxa"/>
            </w:tcMar>
            <w:vAlign w:val="center"/>
          </w:tcPr>
          <w:p w14:paraId="6ED2325A" w14:textId="77777777" w:rsidR="00371A08" w:rsidRPr="00C17A7B" w:rsidRDefault="00000000">
            <w:pPr>
              <w:jc w:val="center"/>
              <w:rPr>
                <w:b/>
                <w:color w:val="000000" w:themeColor="text1"/>
                <w:sz w:val="18"/>
                <w:szCs w:val="18"/>
              </w:rPr>
            </w:pPr>
            <w:r w:rsidRPr="00C17A7B">
              <w:rPr>
                <w:b/>
                <w:color w:val="000000" w:themeColor="text1"/>
                <w:sz w:val="18"/>
                <w:szCs w:val="18"/>
              </w:rPr>
              <w:t>Total</w:t>
            </w:r>
          </w:p>
        </w:tc>
      </w:tr>
      <w:tr w:rsidR="00C17A7B" w:rsidRPr="00C17A7B" w14:paraId="10D56E78" w14:textId="77777777">
        <w:trPr>
          <w:cantSplit/>
          <w:jc w:val="center"/>
        </w:trPr>
        <w:tc>
          <w:tcPr>
            <w:tcW w:w="561" w:type="dxa"/>
            <w:tcBorders>
              <w:top w:val="nil"/>
              <w:left w:val="nil"/>
              <w:bottom w:val="nil"/>
              <w:right w:val="nil"/>
            </w:tcBorders>
            <w:tcMar>
              <w:top w:w="120" w:type="dxa"/>
              <w:left w:w="120" w:type="dxa"/>
              <w:bottom w:w="30" w:type="dxa"/>
              <w:right w:w="0" w:type="dxa"/>
            </w:tcMar>
            <w:vAlign w:val="center"/>
          </w:tcPr>
          <w:p w14:paraId="61662018" w14:textId="77777777" w:rsidR="00371A08" w:rsidRPr="00C17A7B" w:rsidRDefault="00000000">
            <w:pPr>
              <w:rPr>
                <w:color w:val="000000" w:themeColor="text1"/>
                <w:sz w:val="18"/>
                <w:szCs w:val="18"/>
              </w:rPr>
            </w:pPr>
            <w:r w:rsidRPr="00C17A7B">
              <w:rPr>
                <w:color w:val="000000" w:themeColor="text1"/>
                <w:sz w:val="18"/>
                <w:szCs w:val="18"/>
              </w:rPr>
              <w:t>18</w:t>
            </w:r>
          </w:p>
        </w:tc>
        <w:tc>
          <w:tcPr>
            <w:tcW w:w="186" w:type="dxa"/>
            <w:tcBorders>
              <w:top w:val="nil"/>
              <w:left w:val="nil"/>
              <w:bottom w:val="nil"/>
              <w:right w:val="nil"/>
            </w:tcBorders>
            <w:tcMar>
              <w:top w:w="120" w:type="dxa"/>
              <w:left w:w="30" w:type="dxa"/>
              <w:bottom w:w="30" w:type="dxa"/>
              <w:right w:w="120" w:type="dxa"/>
            </w:tcMar>
            <w:vAlign w:val="center"/>
          </w:tcPr>
          <w:p w14:paraId="25EA24C4"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120" w:type="dxa"/>
              <w:left w:w="120" w:type="dxa"/>
              <w:bottom w:w="30" w:type="dxa"/>
              <w:right w:w="0" w:type="dxa"/>
            </w:tcMar>
            <w:vAlign w:val="center"/>
          </w:tcPr>
          <w:p w14:paraId="22914A32"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248" w:type="dxa"/>
            <w:tcBorders>
              <w:top w:val="nil"/>
              <w:left w:val="nil"/>
              <w:bottom w:val="nil"/>
              <w:right w:val="nil"/>
            </w:tcBorders>
            <w:tcMar>
              <w:top w:w="120" w:type="dxa"/>
              <w:left w:w="30" w:type="dxa"/>
              <w:bottom w:w="30" w:type="dxa"/>
              <w:right w:w="120" w:type="dxa"/>
            </w:tcMar>
            <w:vAlign w:val="center"/>
          </w:tcPr>
          <w:p w14:paraId="3AD83595"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120" w:type="dxa"/>
              <w:left w:w="120" w:type="dxa"/>
              <w:bottom w:w="30" w:type="dxa"/>
              <w:right w:w="0" w:type="dxa"/>
            </w:tcMar>
            <w:vAlign w:val="center"/>
          </w:tcPr>
          <w:p w14:paraId="138C71AB"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414" w:type="dxa"/>
            <w:tcBorders>
              <w:top w:val="nil"/>
              <w:left w:val="nil"/>
              <w:bottom w:val="nil"/>
              <w:right w:val="nil"/>
            </w:tcBorders>
            <w:tcMar>
              <w:top w:w="120" w:type="dxa"/>
              <w:left w:w="30" w:type="dxa"/>
              <w:bottom w:w="30" w:type="dxa"/>
              <w:right w:w="120" w:type="dxa"/>
            </w:tcMar>
            <w:vAlign w:val="center"/>
          </w:tcPr>
          <w:p w14:paraId="0DF16D1D"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120" w:type="dxa"/>
              <w:left w:w="120" w:type="dxa"/>
              <w:bottom w:w="30" w:type="dxa"/>
              <w:right w:w="0" w:type="dxa"/>
            </w:tcMar>
            <w:vAlign w:val="center"/>
          </w:tcPr>
          <w:p w14:paraId="01F3A9A9"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279" w:type="dxa"/>
            <w:tcBorders>
              <w:top w:val="nil"/>
              <w:left w:val="nil"/>
              <w:bottom w:val="nil"/>
              <w:right w:val="nil"/>
            </w:tcBorders>
            <w:tcMar>
              <w:top w:w="120" w:type="dxa"/>
              <w:left w:w="30" w:type="dxa"/>
              <w:bottom w:w="30" w:type="dxa"/>
              <w:right w:w="120" w:type="dxa"/>
            </w:tcMar>
            <w:vAlign w:val="center"/>
          </w:tcPr>
          <w:p w14:paraId="7BC06DBD"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203EF874"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305" w:type="dxa"/>
            <w:tcBorders>
              <w:top w:val="nil"/>
              <w:left w:val="nil"/>
              <w:bottom w:val="nil"/>
              <w:right w:val="nil"/>
            </w:tcBorders>
            <w:tcMar>
              <w:top w:w="120" w:type="dxa"/>
              <w:left w:w="30" w:type="dxa"/>
              <w:bottom w:w="30" w:type="dxa"/>
              <w:right w:w="120" w:type="dxa"/>
            </w:tcMar>
            <w:vAlign w:val="center"/>
          </w:tcPr>
          <w:p w14:paraId="2ACE503C"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47E8DC52"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305" w:type="dxa"/>
            <w:tcBorders>
              <w:top w:val="nil"/>
              <w:left w:val="nil"/>
              <w:bottom w:val="nil"/>
              <w:right w:val="nil"/>
            </w:tcBorders>
            <w:tcMar>
              <w:top w:w="120" w:type="dxa"/>
              <w:left w:w="30" w:type="dxa"/>
              <w:bottom w:w="30" w:type="dxa"/>
              <w:right w:w="120" w:type="dxa"/>
            </w:tcMar>
            <w:vAlign w:val="center"/>
          </w:tcPr>
          <w:p w14:paraId="4B591D6A"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120" w:type="dxa"/>
              <w:left w:w="120" w:type="dxa"/>
              <w:bottom w:w="30" w:type="dxa"/>
              <w:right w:w="0" w:type="dxa"/>
            </w:tcMar>
            <w:vAlign w:val="center"/>
          </w:tcPr>
          <w:p w14:paraId="34CA4D5D"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305" w:type="dxa"/>
            <w:tcBorders>
              <w:top w:val="nil"/>
              <w:left w:val="nil"/>
              <w:bottom w:val="nil"/>
              <w:right w:val="nil"/>
            </w:tcBorders>
            <w:tcMar>
              <w:top w:w="120" w:type="dxa"/>
              <w:left w:w="30" w:type="dxa"/>
              <w:bottom w:w="30" w:type="dxa"/>
              <w:right w:w="120" w:type="dxa"/>
            </w:tcMar>
            <w:vAlign w:val="center"/>
          </w:tcPr>
          <w:p w14:paraId="5006CB2A"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120" w:type="dxa"/>
              <w:left w:w="120" w:type="dxa"/>
              <w:bottom w:w="30" w:type="dxa"/>
              <w:right w:w="0" w:type="dxa"/>
            </w:tcMar>
            <w:vAlign w:val="center"/>
          </w:tcPr>
          <w:p w14:paraId="2FACF70E"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63" w:type="dxa"/>
            <w:tcBorders>
              <w:top w:val="nil"/>
              <w:left w:val="nil"/>
              <w:bottom w:val="nil"/>
              <w:right w:val="nil"/>
            </w:tcBorders>
            <w:tcMar>
              <w:top w:w="120" w:type="dxa"/>
              <w:left w:w="30" w:type="dxa"/>
              <w:bottom w:w="30" w:type="dxa"/>
              <w:right w:w="120" w:type="dxa"/>
            </w:tcMar>
            <w:vAlign w:val="center"/>
          </w:tcPr>
          <w:p w14:paraId="198EA409"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120" w:type="dxa"/>
              <w:left w:w="120" w:type="dxa"/>
              <w:bottom w:w="30" w:type="dxa"/>
              <w:right w:w="0" w:type="dxa"/>
            </w:tcMar>
            <w:vAlign w:val="center"/>
          </w:tcPr>
          <w:p w14:paraId="1037BFD8" w14:textId="77777777" w:rsidR="00371A08" w:rsidRPr="00C17A7B" w:rsidRDefault="00000000">
            <w:pPr>
              <w:jc w:val="right"/>
              <w:rPr>
                <w:color w:val="000000" w:themeColor="text1"/>
                <w:sz w:val="18"/>
                <w:szCs w:val="18"/>
              </w:rPr>
            </w:pPr>
            <w:r w:rsidRPr="00C17A7B">
              <w:rPr>
                <w:color w:val="000000" w:themeColor="text1"/>
                <w:sz w:val="18"/>
                <w:szCs w:val="18"/>
              </w:rPr>
              <w:t>14</w:t>
            </w:r>
          </w:p>
        </w:tc>
        <w:tc>
          <w:tcPr>
            <w:tcW w:w="222" w:type="dxa"/>
            <w:tcBorders>
              <w:top w:val="nil"/>
              <w:left w:val="nil"/>
              <w:bottom w:val="nil"/>
              <w:right w:val="nil"/>
            </w:tcBorders>
            <w:tcMar>
              <w:top w:w="120" w:type="dxa"/>
              <w:left w:w="30" w:type="dxa"/>
              <w:bottom w:w="30" w:type="dxa"/>
              <w:right w:w="120" w:type="dxa"/>
            </w:tcMar>
            <w:vAlign w:val="center"/>
          </w:tcPr>
          <w:p w14:paraId="45C77B63" w14:textId="77777777" w:rsidR="00371A08" w:rsidRPr="00C17A7B" w:rsidRDefault="00371A08">
            <w:pPr>
              <w:jc w:val="right"/>
              <w:rPr>
                <w:color w:val="000000" w:themeColor="text1"/>
                <w:sz w:val="18"/>
                <w:szCs w:val="18"/>
              </w:rPr>
            </w:pPr>
          </w:p>
        </w:tc>
      </w:tr>
      <w:tr w:rsidR="00C17A7B" w:rsidRPr="00C17A7B" w14:paraId="0796A590"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66FB9B7A" w14:textId="77777777" w:rsidR="00371A08" w:rsidRPr="00C17A7B" w:rsidRDefault="00000000">
            <w:pPr>
              <w:rPr>
                <w:color w:val="000000" w:themeColor="text1"/>
                <w:sz w:val="18"/>
                <w:szCs w:val="18"/>
              </w:rPr>
            </w:pPr>
            <w:r w:rsidRPr="00C17A7B">
              <w:rPr>
                <w:color w:val="000000" w:themeColor="text1"/>
                <w:sz w:val="18"/>
                <w:szCs w:val="18"/>
              </w:rPr>
              <w:t>19</w:t>
            </w:r>
          </w:p>
        </w:tc>
        <w:tc>
          <w:tcPr>
            <w:tcW w:w="186" w:type="dxa"/>
            <w:tcBorders>
              <w:top w:val="nil"/>
              <w:left w:val="nil"/>
              <w:bottom w:val="nil"/>
              <w:right w:val="nil"/>
            </w:tcBorders>
            <w:tcMar>
              <w:top w:w="30" w:type="dxa"/>
              <w:left w:w="30" w:type="dxa"/>
              <w:bottom w:w="30" w:type="dxa"/>
              <w:right w:w="120" w:type="dxa"/>
            </w:tcMar>
            <w:vAlign w:val="center"/>
          </w:tcPr>
          <w:p w14:paraId="5D8885C3"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59808000"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248" w:type="dxa"/>
            <w:tcBorders>
              <w:top w:val="nil"/>
              <w:left w:val="nil"/>
              <w:bottom w:val="nil"/>
              <w:right w:val="nil"/>
            </w:tcBorders>
            <w:tcMar>
              <w:top w:w="30" w:type="dxa"/>
              <w:left w:w="30" w:type="dxa"/>
              <w:bottom w:w="30" w:type="dxa"/>
              <w:right w:w="120" w:type="dxa"/>
            </w:tcMar>
            <w:vAlign w:val="center"/>
          </w:tcPr>
          <w:p w14:paraId="31BB6B00"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7E04A129"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414" w:type="dxa"/>
            <w:tcBorders>
              <w:top w:val="nil"/>
              <w:left w:val="nil"/>
              <w:bottom w:val="nil"/>
              <w:right w:val="nil"/>
            </w:tcBorders>
            <w:tcMar>
              <w:top w:w="30" w:type="dxa"/>
              <w:left w:w="30" w:type="dxa"/>
              <w:bottom w:w="30" w:type="dxa"/>
              <w:right w:w="120" w:type="dxa"/>
            </w:tcMar>
            <w:vAlign w:val="center"/>
          </w:tcPr>
          <w:p w14:paraId="12A78AA6"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407EB362" w14:textId="77777777" w:rsidR="00371A08" w:rsidRPr="00C17A7B" w:rsidRDefault="00000000">
            <w:pPr>
              <w:jc w:val="right"/>
              <w:rPr>
                <w:color w:val="000000" w:themeColor="text1"/>
                <w:sz w:val="18"/>
                <w:szCs w:val="18"/>
              </w:rPr>
            </w:pPr>
            <w:r w:rsidRPr="00C17A7B">
              <w:rPr>
                <w:color w:val="000000" w:themeColor="text1"/>
                <w:sz w:val="18"/>
                <w:szCs w:val="18"/>
              </w:rPr>
              <w:t>7</w:t>
            </w:r>
          </w:p>
        </w:tc>
        <w:tc>
          <w:tcPr>
            <w:tcW w:w="279" w:type="dxa"/>
            <w:tcBorders>
              <w:top w:val="nil"/>
              <w:left w:val="nil"/>
              <w:bottom w:val="nil"/>
              <w:right w:val="nil"/>
            </w:tcBorders>
            <w:tcMar>
              <w:top w:w="30" w:type="dxa"/>
              <w:left w:w="30" w:type="dxa"/>
              <w:bottom w:w="30" w:type="dxa"/>
              <w:right w:w="120" w:type="dxa"/>
            </w:tcMar>
            <w:vAlign w:val="center"/>
          </w:tcPr>
          <w:p w14:paraId="57B48F77"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44F0B267" w14:textId="77777777" w:rsidR="00371A08" w:rsidRPr="00C17A7B" w:rsidRDefault="00000000">
            <w:pPr>
              <w:jc w:val="right"/>
              <w:rPr>
                <w:color w:val="000000" w:themeColor="text1"/>
                <w:sz w:val="18"/>
                <w:szCs w:val="18"/>
              </w:rPr>
            </w:pPr>
            <w:r w:rsidRPr="00C17A7B">
              <w:rPr>
                <w:color w:val="000000" w:themeColor="text1"/>
                <w:sz w:val="18"/>
                <w:szCs w:val="18"/>
              </w:rPr>
              <w:t>12</w:t>
            </w:r>
          </w:p>
        </w:tc>
        <w:tc>
          <w:tcPr>
            <w:tcW w:w="305" w:type="dxa"/>
            <w:tcBorders>
              <w:top w:val="nil"/>
              <w:left w:val="nil"/>
              <w:bottom w:val="nil"/>
              <w:right w:val="nil"/>
            </w:tcBorders>
            <w:tcMar>
              <w:top w:w="30" w:type="dxa"/>
              <w:left w:w="30" w:type="dxa"/>
              <w:bottom w:w="30" w:type="dxa"/>
              <w:right w:w="120" w:type="dxa"/>
            </w:tcMar>
            <w:vAlign w:val="center"/>
          </w:tcPr>
          <w:p w14:paraId="60F90204"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4BCF432C" w14:textId="77777777" w:rsidR="00371A08" w:rsidRPr="00C17A7B" w:rsidRDefault="00000000">
            <w:pPr>
              <w:jc w:val="right"/>
              <w:rPr>
                <w:color w:val="000000" w:themeColor="text1"/>
                <w:sz w:val="18"/>
                <w:szCs w:val="18"/>
              </w:rPr>
            </w:pPr>
            <w:r w:rsidRPr="00C17A7B">
              <w:rPr>
                <w:color w:val="000000" w:themeColor="text1"/>
                <w:sz w:val="18"/>
                <w:szCs w:val="18"/>
              </w:rPr>
              <w:t>5</w:t>
            </w:r>
          </w:p>
        </w:tc>
        <w:tc>
          <w:tcPr>
            <w:tcW w:w="305" w:type="dxa"/>
            <w:tcBorders>
              <w:top w:val="nil"/>
              <w:left w:val="nil"/>
              <w:bottom w:val="nil"/>
              <w:right w:val="nil"/>
            </w:tcBorders>
            <w:tcMar>
              <w:top w:w="30" w:type="dxa"/>
              <w:left w:w="30" w:type="dxa"/>
              <w:bottom w:w="30" w:type="dxa"/>
              <w:right w:w="120" w:type="dxa"/>
            </w:tcMar>
            <w:vAlign w:val="center"/>
          </w:tcPr>
          <w:p w14:paraId="6950C227"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5A3543D5" w14:textId="77777777" w:rsidR="00371A08" w:rsidRPr="00C17A7B" w:rsidRDefault="00000000">
            <w:pPr>
              <w:jc w:val="right"/>
              <w:rPr>
                <w:color w:val="000000" w:themeColor="text1"/>
                <w:sz w:val="18"/>
                <w:szCs w:val="18"/>
              </w:rPr>
            </w:pPr>
            <w:r w:rsidRPr="00C17A7B">
              <w:rPr>
                <w:color w:val="000000" w:themeColor="text1"/>
                <w:sz w:val="18"/>
                <w:szCs w:val="18"/>
              </w:rPr>
              <w:t>3</w:t>
            </w:r>
          </w:p>
        </w:tc>
        <w:tc>
          <w:tcPr>
            <w:tcW w:w="305" w:type="dxa"/>
            <w:tcBorders>
              <w:top w:val="nil"/>
              <w:left w:val="nil"/>
              <w:bottom w:val="nil"/>
              <w:right w:val="nil"/>
            </w:tcBorders>
            <w:tcMar>
              <w:top w:w="30" w:type="dxa"/>
              <w:left w:w="30" w:type="dxa"/>
              <w:bottom w:w="30" w:type="dxa"/>
              <w:right w:w="120" w:type="dxa"/>
            </w:tcMar>
            <w:vAlign w:val="center"/>
          </w:tcPr>
          <w:p w14:paraId="48783146"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46071DAD"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263" w:type="dxa"/>
            <w:tcBorders>
              <w:top w:val="nil"/>
              <w:left w:val="nil"/>
              <w:bottom w:val="nil"/>
              <w:right w:val="nil"/>
            </w:tcBorders>
            <w:tcMar>
              <w:top w:w="30" w:type="dxa"/>
              <w:left w:w="30" w:type="dxa"/>
              <w:bottom w:w="30" w:type="dxa"/>
              <w:right w:w="120" w:type="dxa"/>
            </w:tcMar>
            <w:vAlign w:val="center"/>
          </w:tcPr>
          <w:p w14:paraId="1A0A481F"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177D91AD" w14:textId="77777777" w:rsidR="00371A08" w:rsidRPr="00C17A7B" w:rsidRDefault="00000000">
            <w:pPr>
              <w:jc w:val="right"/>
              <w:rPr>
                <w:color w:val="000000" w:themeColor="text1"/>
                <w:sz w:val="18"/>
                <w:szCs w:val="18"/>
              </w:rPr>
            </w:pPr>
            <w:r w:rsidRPr="00C17A7B">
              <w:rPr>
                <w:color w:val="000000" w:themeColor="text1"/>
                <w:sz w:val="18"/>
                <w:szCs w:val="18"/>
              </w:rPr>
              <w:t>29</w:t>
            </w:r>
          </w:p>
        </w:tc>
        <w:tc>
          <w:tcPr>
            <w:tcW w:w="222" w:type="dxa"/>
            <w:tcBorders>
              <w:top w:val="nil"/>
              <w:left w:val="nil"/>
              <w:bottom w:val="nil"/>
              <w:right w:val="nil"/>
            </w:tcBorders>
            <w:tcMar>
              <w:top w:w="30" w:type="dxa"/>
              <w:left w:w="30" w:type="dxa"/>
              <w:bottom w:w="30" w:type="dxa"/>
              <w:right w:w="120" w:type="dxa"/>
            </w:tcMar>
            <w:vAlign w:val="center"/>
          </w:tcPr>
          <w:p w14:paraId="474A471B" w14:textId="77777777" w:rsidR="00371A08" w:rsidRPr="00C17A7B" w:rsidRDefault="00371A08">
            <w:pPr>
              <w:jc w:val="right"/>
              <w:rPr>
                <w:color w:val="000000" w:themeColor="text1"/>
                <w:sz w:val="18"/>
                <w:szCs w:val="18"/>
              </w:rPr>
            </w:pPr>
          </w:p>
        </w:tc>
      </w:tr>
      <w:tr w:rsidR="00C17A7B" w:rsidRPr="00C17A7B" w14:paraId="3B5DE201"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395A351E" w14:textId="77777777" w:rsidR="00371A08" w:rsidRPr="00C17A7B" w:rsidRDefault="00000000">
            <w:pPr>
              <w:rPr>
                <w:color w:val="000000" w:themeColor="text1"/>
                <w:sz w:val="18"/>
                <w:szCs w:val="18"/>
              </w:rPr>
            </w:pPr>
            <w:r w:rsidRPr="00C17A7B">
              <w:rPr>
                <w:color w:val="000000" w:themeColor="text1"/>
                <w:sz w:val="18"/>
                <w:szCs w:val="18"/>
              </w:rPr>
              <w:t>20</w:t>
            </w:r>
          </w:p>
        </w:tc>
        <w:tc>
          <w:tcPr>
            <w:tcW w:w="186" w:type="dxa"/>
            <w:tcBorders>
              <w:top w:val="nil"/>
              <w:left w:val="nil"/>
              <w:bottom w:val="nil"/>
              <w:right w:val="nil"/>
            </w:tcBorders>
            <w:tcMar>
              <w:top w:w="30" w:type="dxa"/>
              <w:left w:w="30" w:type="dxa"/>
              <w:bottom w:w="30" w:type="dxa"/>
              <w:right w:w="120" w:type="dxa"/>
            </w:tcMar>
            <w:vAlign w:val="center"/>
          </w:tcPr>
          <w:p w14:paraId="54B49564"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2ED400D6"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248" w:type="dxa"/>
            <w:tcBorders>
              <w:top w:val="nil"/>
              <w:left w:val="nil"/>
              <w:bottom w:val="nil"/>
              <w:right w:val="nil"/>
            </w:tcBorders>
            <w:tcMar>
              <w:top w:w="30" w:type="dxa"/>
              <w:left w:w="30" w:type="dxa"/>
              <w:bottom w:w="30" w:type="dxa"/>
              <w:right w:w="120" w:type="dxa"/>
            </w:tcMar>
            <w:vAlign w:val="center"/>
          </w:tcPr>
          <w:p w14:paraId="1630CD9D"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694CB887"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3F501199"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7DBFEC66" w14:textId="77777777" w:rsidR="00371A08" w:rsidRPr="00C17A7B" w:rsidRDefault="00000000">
            <w:pPr>
              <w:jc w:val="right"/>
              <w:rPr>
                <w:color w:val="000000" w:themeColor="text1"/>
                <w:sz w:val="18"/>
                <w:szCs w:val="18"/>
              </w:rPr>
            </w:pPr>
            <w:r w:rsidRPr="00C17A7B">
              <w:rPr>
                <w:color w:val="000000" w:themeColor="text1"/>
                <w:sz w:val="18"/>
                <w:szCs w:val="18"/>
              </w:rPr>
              <w:t>5</w:t>
            </w:r>
          </w:p>
        </w:tc>
        <w:tc>
          <w:tcPr>
            <w:tcW w:w="279" w:type="dxa"/>
            <w:tcBorders>
              <w:top w:val="nil"/>
              <w:left w:val="nil"/>
              <w:bottom w:val="nil"/>
              <w:right w:val="nil"/>
            </w:tcBorders>
            <w:tcMar>
              <w:top w:w="30" w:type="dxa"/>
              <w:left w:w="30" w:type="dxa"/>
              <w:bottom w:w="30" w:type="dxa"/>
              <w:right w:w="120" w:type="dxa"/>
            </w:tcMar>
            <w:vAlign w:val="center"/>
          </w:tcPr>
          <w:p w14:paraId="46DD12BE"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A24EF72" w14:textId="77777777" w:rsidR="00371A08" w:rsidRPr="00C17A7B" w:rsidRDefault="00000000">
            <w:pPr>
              <w:jc w:val="right"/>
              <w:rPr>
                <w:color w:val="000000" w:themeColor="text1"/>
                <w:sz w:val="18"/>
                <w:szCs w:val="18"/>
              </w:rPr>
            </w:pPr>
            <w:r w:rsidRPr="00C17A7B">
              <w:rPr>
                <w:color w:val="000000" w:themeColor="text1"/>
                <w:sz w:val="18"/>
                <w:szCs w:val="18"/>
              </w:rPr>
              <w:t>5</w:t>
            </w:r>
          </w:p>
        </w:tc>
        <w:tc>
          <w:tcPr>
            <w:tcW w:w="305" w:type="dxa"/>
            <w:tcBorders>
              <w:top w:val="nil"/>
              <w:left w:val="nil"/>
              <w:bottom w:val="nil"/>
              <w:right w:val="nil"/>
            </w:tcBorders>
            <w:tcMar>
              <w:top w:w="30" w:type="dxa"/>
              <w:left w:w="30" w:type="dxa"/>
              <w:bottom w:w="30" w:type="dxa"/>
              <w:right w:w="120" w:type="dxa"/>
            </w:tcMar>
            <w:vAlign w:val="center"/>
          </w:tcPr>
          <w:p w14:paraId="6602BBE2"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1EEB448"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305" w:type="dxa"/>
            <w:tcBorders>
              <w:top w:val="nil"/>
              <w:left w:val="nil"/>
              <w:bottom w:val="nil"/>
              <w:right w:val="nil"/>
            </w:tcBorders>
            <w:tcMar>
              <w:top w:w="30" w:type="dxa"/>
              <w:left w:w="30" w:type="dxa"/>
              <w:bottom w:w="30" w:type="dxa"/>
              <w:right w:w="120" w:type="dxa"/>
            </w:tcMar>
            <w:vAlign w:val="center"/>
          </w:tcPr>
          <w:p w14:paraId="0D86E635"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0B3A2DA3"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51F58A66"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53CB5022"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63" w:type="dxa"/>
            <w:tcBorders>
              <w:top w:val="nil"/>
              <w:left w:val="nil"/>
              <w:bottom w:val="nil"/>
              <w:right w:val="nil"/>
            </w:tcBorders>
            <w:tcMar>
              <w:top w:w="30" w:type="dxa"/>
              <w:left w:w="30" w:type="dxa"/>
              <w:bottom w:w="30" w:type="dxa"/>
              <w:right w:w="120" w:type="dxa"/>
            </w:tcMar>
            <w:vAlign w:val="center"/>
          </w:tcPr>
          <w:p w14:paraId="39CE0377"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2F67C147" w14:textId="77777777" w:rsidR="00371A08" w:rsidRPr="00C17A7B" w:rsidRDefault="00000000">
            <w:pPr>
              <w:jc w:val="right"/>
              <w:rPr>
                <w:color w:val="000000" w:themeColor="text1"/>
                <w:sz w:val="18"/>
                <w:szCs w:val="18"/>
              </w:rPr>
            </w:pPr>
            <w:r w:rsidRPr="00C17A7B">
              <w:rPr>
                <w:color w:val="000000" w:themeColor="text1"/>
                <w:sz w:val="18"/>
                <w:szCs w:val="18"/>
              </w:rPr>
              <w:t>18</w:t>
            </w:r>
          </w:p>
        </w:tc>
        <w:tc>
          <w:tcPr>
            <w:tcW w:w="222" w:type="dxa"/>
            <w:tcBorders>
              <w:top w:val="nil"/>
              <w:left w:val="nil"/>
              <w:bottom w:val="nil"/>
              <w:right w:val="nil"/>
            </w:tcBorders>
            <w:tcMar>
              <w:top w:w="30" w:type="dxa"/>
              <w:left w:w="30" w:type="dxa"/>
              <w:bottom w:w="30" w:type="dxa"/>
              <w:right w:w="120" w:type="dxa"/>
            </w:tcMar>
            <w:vAlign w:val="center"/>
          </w:tcPr>
          <w:p w14:paraId="3A6E7A7D" w14:textId="77777777" w:rsidR="00371A08" w:rsidRPr="00C17A7B" w:rsidRDefault="00371A08">
            <w:pPr>
              <w:jc w:val="right"/>
              <w:rPr>
                <w:color w:val="000000" w:themeColor="text1"/>
                <w:sz w:val="18"/>
                <w:szCs w:val="18"/>
              </w:rPr>
            </w:pPr>
          </w:p>
        </w:tc>
      </w:tr>
      <w:tr w:rsidR="00C17A7B" w:rsidRPr="00C17A7B" w14:paraId="0DA6F352"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1BB41CFA" w14:textId="77777777" w:rsidR="00371A08" w:rsidRPr="00C17A7B" w:rsidRDefault="00000000">
            <w:pPr>
              <w:rPr>
                <w:color w:val="000000" w:themeColor="text1"/>
                <w:sz w:val="18"/>
                <w:szCs w:val="18"/>
              </w:rPr>
            </w:pPr>
            <w:r w:rsidRPr="00C17A7B">
              <w:rPr>
                <w:color w:val="000000" w:themeColor="text1"/>
                <w:sz w:val="18"/>
                <w:szCs w:val="18"/>
              </w:rPr>
              <w:t>21</w:t>
            </w:r>
          </w:p>
        </w:tc>
        <w:tc>
          <w:tcPr>
            <w:tcW w:w="186" w:type="dxa"/>
            <w:tcBorders>
              <w:top w:val="nil"/>
              <w:left w:val="nil"/>
              <w:bottom w:val="nil"/>
              <w:right w:val="nil"/>
            </w:tcBorders>
            <w:tcMar>
              <w:top w:w="30" w:type="dxa"/>
              <w:left w:w="30" w:type="dxa"/>
              <w:bottom w:w="30" w:type="dxa"/>
              <w:right w:w="120" w:type="dxa"/>
            </w:tcMar>
            <w:vAlign w:val="center"/>
          </w:tcPr>
          <w:p w14:paraId="67C869C6"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0E8ED1A9"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248" w:type="dxa"/>
            <w:tcBorders>
              <w:top w:val="nil"/>
              <w:left w:val="nil"/>
              <w:bottom w:val="nil"/>
              <w:right w:val="nil"/>
            </w:tcBorders>
            <w:tcMar>
              <w:top w:w="30" w:type="dxa"/>
              <w:left w:w="30" w:type="dxa"/>
              <w:bottom w:w="30" w:type="dxa"/>
              <w:right w:w="120" w:type="dxa"/>
            </w:tcMar>
            <w:vAlign w:val="center"/>
          </w:tcPr>
          <w:p w14:paraId="180DF61F"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6AA7BFCD"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407612AF"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0CB79D0B"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79" w:type="dxa"/>
            <w:tcBorders>
              <w:top w:val="nil"/>
              <w:left w:val="nil"/>
              <w:bottom w:val="nil"/>
              <w:right w:val="nil"/>
            </w:tcBorders>
            <w:tcMar>
              <w:top w:w="30" w:type="dxa"/>
              <w:left w:w="30" w:type="dxa"/>
              <w:bottom w:w="30" w:type="dxa"/>
              <w:right w:w="120" w:type="dxa"/>
            </w:tcMar>
            <w:vAlign w:val="center"/>
          </w:tcPr>
          <w:p w14:paraId="7B105DD3"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3DEC55A6"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2E9E8DA8"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3AD4365"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78FF399A"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251C6D2"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305" w:type="dxa"/>
            <w:tcBorders>
              <w:top w:val="nil"/>
              <w:left w:val="nil"/>
              <w:bottom w:val="nil"/>
              <w:right w:val="nil"/>
            </w:tcBorders>
            <w:tcMar>
              <w:top w:w="30" w:type="dxa"/>
              <w:left w:w="30" w:type="dxa"/>
              <w:bottom w:w="30" w:type="dxa"/>
              <w:right w:w="120" w:type="dxa"/>
            </w:tcMar>
            <w:vAlign w:val="center"/>
          </w:tcPr>
          <w:p w14:paraId="46456C7C"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705FB72C"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63" w:type="dxa"/>
            <w:tcBorders>
              <w:top w:val="nil"/>
              <w:left w:val="nil"/>
              <w:bottom w:val="nil"/>
              <w:right w:val="nil"/>
            </w:tcBorders>
            <w:tcMar>
              <w:top w:w="30" w:type="dxa"/>
              <w:left w:w="30" w:type="dxa"/>
              <w:bottom w:w="30" w:type="dxa"/>
              <w:right w:w="120" w:type="dxa"/>
            </w:tcMar>
            <w:vAlign w:val="center"/>
          </w:tcPr>
          <w:p w14:paraId="230302EE"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45942653" w14:textId="77777777" w:rsidR="00371A08" w:rsidRPr="00C17A7B" w:rsidRDefault="00000000">
            <w:pPr>
              <w:jc w:val="right"/>
              <w:rPr>
                <w:color w:val="000000" w:themeColor="text1"/>
                <w:sz w:val="18"/>
                <w:szCs w:val="18"/>
              </w:rPr>
            </w:pPr>
            <w:r w:rsidRPr="00C17A7B">
              <w:rPr>
                <w:color w:val="000000" w:themeColor="text1"/>
                <w:sz w:val="18"/>
                <w:szCs w:val="18"/>
              </w:rPr>
              <w:t>11</w:t>
            </w:r>
          </w:p>
        </w:tc>
        <w:tc>
          <w:tcPr>
            <w:tcW w:w="222" w:type="dxa"/>
            <w:tcBorders>
              <w:top w:val="nil"/>
              <w:left w:val="nil"/>
              <w:bottom w:val="nil"/>
              <w:right w:val="nil"/>
            </w:tcBorders>
            <w:tcMar>
              <w:top w:w="30" w:type="dxa"/>
              <w:left w:w="30" w:type="dxa"/>
              <w:bottom w:w="30" w:type="dxa"/>
              <w:right w:w="120" w:type="dxa"/>
            </w:tcMar>
            <w:vAlign w:val="center"/>
          </w:tcPr>
          <w:p w14:paraId="5F8F0B07" w14:textId="77777777" w:rsidR="00371A08" w:rsidRPr="00C17A7B" w:rsidRDefault="00371A08">
            <w:pPr>
              <w:jc w:val="right"/>
              <w:rPr>
                <w:color w:val="000000" w:themeColor="text1"/>
                <w:sz w:val="18"/>
                <w:szCs w:val="18"/>
              </w:rPr>
            </w:pPr>
          </w:p>
        </w:tc>
      </w:tr>
      <w:tr w:rsidR="00C17A7B" w:rsidRPr="00C17A7B" w14:paraId="316F7595"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58D15A38" w14:textId="77777777" w:rsidR="00371A08" w:rsidRPr="00C17A7B" w:rsidRDefault="00000000">
            <w:pPr>
              <w:rPr>
                <w:color w:val="000000" w:themeColor="text1"/>
                <w:sz w:val="18"/>
                <w:szCs w:val="18"/>
              </w:rPr>
            </w:pPr>
            <w:r w:rsidRPr="00C17A7B">
              <w:rPr>
                <w:color w:val="000000" w:themeColor="text1"/>
                <w:sz w:val="18"/>
                <w:szCs w:val="18"/>
              </w:rPr>
              <w:t>22</w:t>
            </w:r>
          </w:p>
        </w:tc>
        <w:tc>
          <w:tcPr>
            <w:tcW w:w="186" w:type="dxa"/>
            <w:tcBorders>
              <w:top w:val="nil"/>
              <w:left w:val="nil"/>
              <w:bottom w:val="nil"/>
              <w:right w:val="nil"/>
            </w:tcBorders>
            <w:tcMar>
              <w:top w:w="30" w:type="dxa"/>
              <w:left w:w="30" w:type="dxa"/>
              <w:bottom w:w="30" w:type="dxa"/>
              <w:right w:w="120" w:type="dxa"/>
            </w:tcMar>
            <w:vAlign w:val="center"/>
          </w:tcPr>
          <w:p w14:paraId="727EF07B"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0ADC8C3B" w14:textId="77777777" w:rsidR="00371A08" w:rsidRPr="00C17A7B" w:rsidRDefault="00000000">
            <w:pPr>
              <w:jc w:val="right"/>
              <w:rPr>
                <w:color w:val="000000" w:themeColor="text1"/>
                <w:sz w:val="18"/>
                <w:szCs w:val="18"/>
              </w:rPr>
            </w:pPr>
            <w:r w:rsidRPr="00C17A7B">
              <w:rPr>
                <w:color w:val="000000" w:themeColor="text1"/>
                <w:sz w:val="18"/>
                <w:szCs w:val="18"/>
              </w:rPr>
              <w:t>7</w:t>
            </w:r>
          </w:p>
        </w:tc>
        <w:tc>
          <w:tcPr>
            <w:tcW w:w="248" w:type="dxa"/>
            <w:tcBorders>
              <w:top w:val="nil"/>
              <w:left w:val="nil"/>
              <w:bottom w:val="nil"/>
              <w:right w:val="nil"/>
            </w:tcBorders>
            <w:tcMar>
              <w:top w:w="30" w:type="dxa"/>
              <w:left w:w="30" w:type="dxa"/>
              <w:bottom w:w="30" w:type="dxa"/>
              <w:right w:w="120" w:type="dxa"/>
            </w:tcMar>
            <w:vAlign w:val="center"/>
          </w:tcPr>
          <w:p w14:paraId="49FC7C7D"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7640A511"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29097F54"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6C66809F"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279" w:type="dxa"/>
            <w:tcBorders>
              <w:top w:val="nil"/>
              <w:left w:val="nil"/>
              <w:bottom w:val="nil"/>
              <w:right w:val="nil"/>
            </w:tcBorders>
            <w:tcMar>
              <w:top w:w="30" w:type="dxa"/>
              <w:left w:w="30" w:type="dxa"/>
              <w:bottom w:w="30" w:type="dxa"/>
              <w:right w:w="120" w:type="dxa"/>
            </w:tcMar>
            <w:vAlign w:val="center"/>
          </w:tcPr>
          <w:p w14:paraId="33613C10"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344A05A9" w14:textId="77777777" w:rsidR="00371A08" w:rsidRPr="00C17A7B" w:rsidRDefault="00000000">
            <w:pPr>
              <w:jc w:val="right"/>
              <w:rPr>
                <w:color w:val="000000" w:themeColor="text1"/>
                <w:sz w:val="18"/>
                <w:szCs w:val="18"/>
              </w:rPr>
            </w:pPr>
            <w:r w:rsidRPr="00C17A7B">
              <w:rPr>
                <w:color w:val="000000" w:themeColor="text1"/>
                <w:sz w:val="18"/>
                <w:szCs w:val="18"/>
              </w:rPr>
              <w:t>5</w:t>
            </w:r>
          </w:p>
        </w:tc>
        <w:tc>
          <w:tcPr>
            <w:tcW w:w="305" w:type="dxa"/>
            <w:tcBorders>
              <w:top w:val="nil"/>
              <w:left w:val="nil"/>
              <w:bottom w:val="nil"/>
              <w:right w:val="nil"/>
            </w:tcBorders>
            <w:tcMar>
              <w:top w:w="30" w:type="dxa"/>
              <w:left w:w="30" w:type="dxa"/>
              <w:bottom w:w="30" w:type="dxa"/>
              <w:right w:w="120" w:type="dxa"/>
            </w:tcMar>
            <w:vAlign w:val="center"/>
          </w:tcPr>
          <w:p w14:paraId="16C7E1B0"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0D29E6BF"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305" w:type="dxa"/>
            <w:tcBorders>
              <w:top w:val="nil"/>
              <w:left w:val="nil"/>
              <w:bottom w:val="nil"/>
              <w:right w:val="nil"/>
            </w:tcBorders>
            <w:tcMar>
              <w:top w:w="30" w:type="dxa"/>
              <w:left w:w="30" w:type="dxa"/>
              <w:bottom w:w="30" w:type="dxa"/>
              <w:right w:w="120" w:type="dxa"/>
            </w:tcMar>
            <w:vAlign w:val="center"/>
          </w:tcPr>
          <w:p w14:paraId="1B85DDA5"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994B584"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305" w:type="dxa"/>
            <w:tcBorders>
              <w:top w:val="nil"/>
              <w:left w:val="nil"/>
              <w:bottom w:val="nil"/>
              <w:right w:val="nil"/>
            </w:tcBorders>
            <w:tcMar>
              <w:top w:w="30" w:type="dxa"/>
              <w:left w:w="30" w:type="dxa"/>
              <w:bottom w:w="30" w:type="dxa"/>
              <w:right w:w="120" w:type="dxa"/>
            </w:tcMar>
            <w:vAlign w:val="center"/>
          </w:tcPr>
          <w:p w14:paraId="59047A18"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1BCCCF5A"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263" w:type="dxa"/>
            <w:tcBorders>
              <w:top w:val="nil"/>
              <w:left w:val="nil"/>
              <w:bottom w:val="nil"/>
              <w:right w:val="nil"/>
            </w:tcBorders>
            <w:tcMar>
              <w:top w:w="30" w:type="dxa"/>
              <w:left w:w="30" w:type="dxa"/>
              <w:bottom w:w="30" w:type="dxa"/>
              <w:right w:w="120" w:type="dxa"/>
            </w:tcMar>
            <w:vAlign w:val="center"/>
          </w:tcPr>
          <w:p w14:paraId="1B3B6100"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50050468" w14:textId="77777777" w:rsidR="00371A08" w:rsidRPr="00C17A7B" w:rsidRDefault="00000000">
            <w:pPr>
              <w:jc w:val="right"/>
              <w:rPr>
                <w:color w:val="000000" w:themeColor="text1"/>
                <w:sz w:val="18"/>
                <w:szCs w:val="18"/>
              </w:rPr>
            </w:pPr>
            <w:r w:rsidRPr="00C17A7B">
              <w:rPr>
                <w:color w:val="000000" w:themeColor="text1"/>
                <w:sz w:val="18"/>
                <w:szCs w:val="18"/>
              </w:rPr>
              <w:t>19</w:t>
            </w:r>
          </w:p>
        </w:tc>
        <w:tc>
          <w:tcPr>
            <w:tcW w:w="222" w:type="dxa"/>
            <w:tcBorders>
              <w:top w:val="nil"/>
              <w:left w:val="nil"/>
              <w:bottom w:val="nil"/>
              <w:right w:val="nil"/>
            </w:tcBorders>
            <w:tcMar>
              <w:top w:w="30" w:type="dxa"/>
              <w:left w:w="30" w:type="dxa"/>
              <w:bottom w:w="30" w:type="dxa"/>
              <w:right w:w="120" w:type="dxa"/>
            </w:tcMar>
            <w:vAlign w:val="center"/>
          </w:tcPr>
          <w:p w14:paraId="6B86E797" w14:textId="77777777" w:rsidR="00371A08" w:rsidRPr="00C17A7B" w:rsidRDefault="00371A08">
            <w:pPr>
              <w:jc w:val="right"/>
              <w:rPr>
                <w:color w:val="000000" w:themeColor="text1"/>
                <w:sz w:val="18"/>
                <w:szCs w:val="18"/>
              </w:rPr>
            </w:pPr>
          </w:p>
        </w:tc>
      </w:tr>
      <w:tr w:rsidR="00C17A7B" w:rsidRPr="00C17A7B" w14:paraId="5E3DF2D1"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1BFE93FF" w14:textId="77777777" w:rsidR="00371A08" w:rsidRPr="00C17A7B" w:rsidRDefault="00000000">
            <w:pPr>
              <w:rPr>
                <w:color w:val="000000" w:themeColor="text1"/>
                <w:sz w:val="18"/>
                <w:szCs w:val="18"/>
              </w:rPr>
            </w:pPr>
            <w:r w:rsidRPr="00C17A7B">
              <w:rPr>
                <w:color w:val="000000" w:themeColor="text1"/>
                <w:sz w:val="18"/>
                <w:szCs w:val="18"/>
              </w:rPr>
              <w:t>23</w:t>
            </w:r>
          </w:p>
        </w:tc>
        <w:tc>
          <w:tcPr>
            <w:tcW w:w="186" w:type="dxa"/>
            <w:tcBorders>
              <w:top w:val="nil"/>
              <w:left w:val="nil"/>
              <w:bottom w:val="nil"/>
              <w:right w:val="nil"/>
            </w:tcBorders>
            <w:tcMar>
              <w:top w:w="30" w:type="dxa"/>
              <w:left w:w="30" w:type="dxa"/>
              <w:bottom w:w="30" w:type="dxa"/>
              <w:right w:w="120" w:type="dxa"/>
            </w:tcMar>
            <w:vAlign w:val="center"/>
          </w:tcPr>
          <w:p w14:paraId="10806053"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27FC1CF5" w14:textId="77777777" w:rsidR="00371A08" w:rsidRPr="00C17A7B" w:rsidRDefault="00000000">
            <w:pPr>
              <w:jc w:val="right"/>
              <w:rPr>
                <w:color w:val="000000" w:themeColor="text1"/>
                <w:sz w:val="18"/>
                <w:szCs w:val="18"/>
              </w:rPr>
            </w:pPr>
            <w:r w:rsidRPr="00C17A7B">
              <w:rPr>
                <w:color w:val="000000" w:themeColor="text1"/>
                <w:sz w:val="18"/>
                <w:szCs w:val="18"/>
              </w:rPr>
              <w:t>8</w:t>
            </w:r>
          </w:p>
        </w:tc>
        <w:tc>
          <w:tcPr>
            <w:tcW w:w="248" w:type="dxa"/>
            <w:tcBorders>
              <w:top w:val="nil"/>
              <w:left w:val="nil"/>
              <w:bottom w:val="nil"/>
              <w:right w:val="nil"/>
            </w:tcBorders>
            <w:tcMar>
              <w:top w:w="30" w:type="dxa"/>
              <w:left w:w="30" w:type="dxa"/>
              <w:bottom w:w="30" w:type="dxa"/>
              <w:right w:w="120" w:type="dxa"/>
            </w:tcMar>
            <w:vAlign w:val="center"/>
          </w:tcPr>
          <w:p w14:paraId="0DEF9D74"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3C781254"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6563FA47"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478566DC"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279" w:type="dxa"/>
            <w:tcBorders>
              <w:top w:val="nil"/>
              <w:left w:val="nil"/>
              <w:bottom w:val="nil"/>
              <w:right w:val="nil"/>
            </w:tcBorders>
            <w:tcMar>
              <w:top w:w="30" w:type="dxa"/>
              <w:left w:w="30" w:type="dxa"/>
              <w:bottom w:w="30" w:type="dxa"/>
              <w:right w:w="120" w:type="dxa"/>
            </w:tcMar>
            <w:vAlign w:val="center"/>
          </w:tcPr>
          <w:p w14:paraId="63C7E36E"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066CE72E"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1AED78A0"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3394C59"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305" w:type="dxa"/>
            <w:tcBorders>
              <w:top w:val="nil"/>
              <w:left w:val="nil"/>
              <w:bottom w:val="nil"/>
              <w:right w:val="nil"/>
            </w:tcBorders>
            <w:tcMar>
              <w:top w:w="30" w:type="dxa"/>
              <w:left w:w="30" w:type="dxa"/>
              <w:bottom w:w="30" w:type="dxa"/>
              <w:right w:w="120" w:type="dxa"/>
            </w:tcMar>
            <w:vAlign w:val="center"/>
          </w:tcPr>
          <w:p w14:paraId="6832AAFA"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AD61EF2"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036E19DC"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31E2CEC9"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263" w:type="dxa"/>
            <w:tcBorders>
              <w:top w:val="nil"/>
              <w:left w:val="nil"/>
              <w:bottom w:val="nil"/>
              <w:right w:val="nil"/>
            </w:tcBorders>
            <w:tcMar>
              <w:top w:w="30" w:type="dxa"/>
              <w:left w:w="30" w:type="dxa"/>
              <w:bottom w:w="30" w:type="dxa"/>
              <w:right w:w="120" w:type="dxa"/>
            </w:tcMar>
            <w:vAlign w:val="center"/>
          </w:tcPr>
          <w:p w14:paraId="6523C1E5"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27D255F8" w14:textId="77777777" w:rsidR="00371A08" w:rsidRPr="00C17A7B" w:rsidRDefault="00000000">
            <w:pPr>
              <w:jc w:val="right"/>
              <w:rPr>
                <w:color w:val="000000" w:themeColor="text1"/>
                <w:sz w:val="18"/>
                <w:szCs w:val="18"/>
              </w:rPr>
            </w:pPr>
            <w:r w:rsidRPr="00C17A7B">
              <w:rPr>
                <w:color w:val="000000" w:themeColor="text1"/>
                <w:sz w:val="18"/>
                <w:szCs w:val="18"/>
              </w:rPr>
              <w:t>17</w:t>
            </w:r>
          </w:p>
        </w:tc>
        <w:tc>
          <w:tcPr>
            <w:tcW w:w="222" w:type="dxa"/>
            <w:tcBorders>
              <w:top w:val="nil"/>
              <w:left w:val="nil"/>
              <w:bottom w:val="nil"/>
              <w:right w:val="nil"/>
            </w:tcBorders>
            <w:tcMar>
              <w:top w:w="30" w:type="dxa"/>
              <w:left w:w="30" w:type="dxa"/>
              <w:bottom w:w="30" w:type="dxa"/>
              <w:right w:w="120" w:type="dxa"/>
            </w:tcMar>
            <w:vAlign w:val="center"/>
          </w:tcPr>
          <w:p w14:paraId="4B38D486" w14:textId="77777777" w:rsidR="00371A08" w:rsidRPr="00C17A7B" w:rsidRDefault="00371A08">
            <w:pPr>
              <w:jc w:val="right"/>
              <w:rPr>
                <w:color w:val="000000" w:themeColor="text1"/>
                <w:sz w:val="18"/>
                <w:szCs w:val="18"/>
              </w:rPr>
            </w:pPr>
          </w:p>
        </w:tc>
      </w:tr>
      <w:tr w:rsidR="00C17A7B" w:rsidRPr="00C17A7B" w14:paraId="1DB43F23"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09992979" w14:textId="77777777" w:rsidR="00371A08" w:rsidRPr="00C17A7B" w:rsidRDefault="00000000">
            <w:pPr>
              <w:rPr>
                <w:color w:val="000000" w:themeColor="text1"/>
                <w:sz w:val="18"/>
                <w:szCs w:val="18"/>
              </w:rPr>
            </w:pPr>
            <w:r w:rsidRPr="00C17A7B">
              <w:rPr>
                <w:color w:val="000000" w:themeColor="text1"/>
                <w:sz w:val="18"/>
                <w:szCs w:val="18"/>
              </w:rPr>
              <w:t>24</w:t>
            </w:r>
          </w:p>
        </w:tc>
        <w:tc>
          <w:tcPr>
            <w:tcW w:w="186" w:type="dxa"/>
            <w:tcBorders>
              <w:top w:val="nil"/>
              <w:left w:val="nil"/>
              <w:bottom w:val="nil"/>
              <w:right w:val="nil"/>
            </w:tcBorders>
            <w:tcMar>
              <w:top w:w="30" w:type="dxa"/>
              <w:left w:w="30" w:type="dxa"/>
              <w:bottom w:w="30" w:type="dxa"/>
              <w:right w:w="120" w:type="dxa"/>
            </w:tcMar>
            <w:vAlign w:val="center"/>
          </w:tcPr>
          <w:p w14:paraId="53D8CFDD"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3FAB2102" w14:textId="77777777" w:rsidR="00371A08" w:rsidRPr="00C17A7B" w:rsidRDefault="00000000">
            <w:pPr>
              <w:jc w:val="right"/>
              <w:rPr>
                <w:color w:val="000000" w:themeColor="text1"/>
                <w:sz w:val="18"/>
                <w:szCs w:val="18"/>
              </w:rPr>
            </w:pPr>
            <w:r w:rsidRPr="00C17A7B">
              <w:rPr>
                <w:color w:val="000000" w:themeColor="text1"/>
                <w:sz w:val="18"/>
                <w:szCs w:val="18"/>
              </w:rPr>
              <w:t>11</w:t>
            </w:r>
          </w:p>
        </w:tc>
        <w:tc>
          <w:tcPr>
            <w:tcW w:w="248" w:type="dxa"/>
            <w:tcBorders>
              <w:top w:val="nil"/>
              <w:left w:val="nil"/>
              <w:bottom w:val="nil"/>
              <w:right w:val="nil"/>
            </w:tcBorders>
            <w:tcMar>
              <w:top w:w="30" w:type="dxa"/>
              <w:left w:w="30" w:type="dxa"/>
              <w:bottom w:w="30" w:type="dxa"/>
              <w:right w:w="120" w:type="dxa"/>
            </w:tcMar>
            <w:vAlign w:val="center"/>
          </w:tcPr>
          <w:p w14:paraId="231E2DC2"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57CE31C2"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414" w:type="dxa"/>
            <w:tcBorders>
              <w:top w:val="nil"/>
              <w:left w:val="nil"/>
              <w:bottom w:val="nil"/>
              <w:right w:val="nil"/>
            </w:tcBorders>
            <w:tcMar>
              <w:top w:w="30" w:type="dxa"/>
              <w:left w:w="30" w:type="dxa"/>
              <w:bottom w:w="30" w:type="dxa"/>
              <w:right w:w="120" w:type="dxa"/>
            </w:tcMar>
            <w:vAlign w:val="center"/>
          </w:tcPr>
          <w:p w14:paraId="1C57C7DB"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6E9AD102" w14:textId="77777777" w:rsidR="00371A08" w:rsidRPr="00C17A7B" w:rsidRDefault="00000000">
            <w:pPr>
              <w:jc w:val="right"/>
              <w:rPr>
                <w:color w:val="000000" w:themeColor="text1"/>
                <w:sz w:val="18"/>
                <w:szCs w:val="18"/>
              </w:rPr>
            </w:pPr>
            <w:r w:rsidRPr="00C17A7B">
              <w:rPr>
                <w:color w:val="000000" w:themeColor="text1"/>
                <w:sz w:val="18"/>
                <w:szCs w:val="18"/>
              </w:rPr>
              <w:t>3</w:t>
            </w:r>
          </w:p>
        </w:tc>
        <w:tc>
          <w:tcPr>
            <w:tcW w:w="279" w:type="dxa"/>
            <w:tcBorders>
              <w:top w:val="nil"/>
              <w:left w:val="nil"/>
              <w:bottom w:val="nil"/>
              <w:right w:val="nil"/>
            </w:tcBorders>
            <w:tcMar>
              <w:top w:w="30" w:type="dxa"/>
              <w:left w:w="30" w:type="dxa"/>
              <w:bottom w:w="30" w:type="dxa"/>
              <w:right w:w="120" w:type="dxa"/>
            </w:tcMar>
            <w:vAlign w:val="center"/>
          </w:tcPr>
          <w:p w14:paraId="44511943"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7642E997"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00084649"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587D1EE2"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53169F11"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25E123EC" w14:textId="77777777" w:rsidR="00371A08" w:rsidRPr="00C17A7B" w:rsidRDefault="00000000">
            <w:pPr>
              <w:jc w:val="right"/>
              <w:rPr>
                <w:color w:val="000000" w:themeColor="text1"/>
                <w:sz w:val="18"/>
                <w:szCs w:val="18"/>
              </w:rPr>
            </w:pPr>
            <w:r w:rsidRPr="00C17A7B">
              <w:rPr>
                <w:color w:val="000000" w:themeColor="text1"/>
                <w:sz w:val="18"/>
                <w:szCs w:val="18"/>
              </w:rPr>
              <w:t>4</w:t>
            </w:r>
          </w:p>
        </w:tc>
        <w:tc>
          <w:tcPr>
            <w:tcW w:w="305" w:type="dxa"/>
            <w:tcBorders>
              <w:top w:val="nil"/>
              <w:left w:val="nil"/>
              <w:bottom w:val="nil"/>
              <w:right w:val="nil"/>
            </w:tcBorders>
            <w:tcMar>
              <w:top w:w="30" w:type="dxa"/>
              <w:left w:w="30" w:type="dxa"/>
              <w:bottom w:w="30" w:type="dxa"/>
              <w:right w:w="120" w:type="dxa"/>
            </w:tcMar>
            <w:vAlign w:val="center"/>
          </w:tcPr>
          <w:p w14:paraId="492BD8EB"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322D9473"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63" w:type="dxa"/>
            <w:tcBorders>
              <w:top w:val="nil"/>
              <w:left w:val="nil"/>
              <w:bottom w:val="nil"/>
              <w:right w:val="nil"/>
            </w:tcBorders>
            <w:tcMar>
              <w:top w:w="30" w:type="dxa"/>
              <w:left w:w="30" w:type="dxa"/>
              <w:bottom w:w="30" w:type="dxa"/>
              <w:right w:w="120" w:type="dxa"/>
            </w:tcMar>
            <w:vAlign w:val="center"/>
          </w:tcPr>
          <w:p w14:paraId="19A4DAE5"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646E31DF" w14:textId="77777777" w:rsidR="00371A08" w:rsidRPr="00C17A7B" w:rsidRDefault="00000000">
            <w:pPr>
              <w:jc w:val="right"/>
              <w:rPr>
                <w:color w:val="000000" w:themeColor="text1"/>
                <w:sz w:val="18"/>
                <w:szCs w:val="18"/>
              </w:rPr>
            </w:pPr>
            <w:r w:rsidRPr="00C17A7B">
              <w:rPr>
                <w:color w:val="000000" w:themeColor="text1"/>
                <w:sz w:val="18"/>
                <w:szCs w:val="18"/>
              </w:rPr>
              <w:t>23</w:t>
            </w:r>
          </w:p>
        </w:tc>
        <w:tc>
          <w:tcPr>
            <w:tcW w:w="222" w:type="dxa"/>
            <w:tcBorders>
              <w:top w:val="nil"/>
              <w:left w:val="nil"/>
              <w:bottom w:val="nil"/>
              <w:right w:val="nil"/>
            </w:tcBorders>
            <w:tcMar>
              <w:top w:w="30" w:type="dxa"/>
              <w:left w:w="30" w:type="dxa"/>
              <w:bottom w:w="30" w:type="dxa"/>
              <w:right w:w="120" w:type="dxa"/>
            </w:tcMar>
            <w:vAlign w:val="center"/>
          </w:tcPr>
          <w:p w14:paraId="727C1811" w14:textId="77777777" w:rsidR="00371A08" w:rsidRPr="00C17A7B" w:rsidRDefault="00371A08">
            <w:pPr>
              <w:jc w:val="right"/>
              <w:rPr>
                <w:color w:val="000000" w:themeColor="text1"/>
                <w:sz w:val="18"/>
                <w:szCs w:val="18"/>
              </w:rPr>
            </w:pPr>
          </w:p>
        </w:tc>
      </w:tr>
      <w:tr w:rsidR="00C17A7B" w:rsidRPr="00C17A7B" w14:paraId="4AB5A7C6" w14:textId="77777777">
        <w:trPr>
          <w:cantSplit/>
          <w:jc w:val="center"/>
        </w:trPr>
        <w:tc>
          <w:tcPr>
            <w:tcW w:w="561" w:type="dxa"/>
            <w:tcBorders>
              <w:top w:val="nil"/>
              <w:left w:val="nil"/>
              <w:bottom w:val="nil"/>
              <w:right w:val="nil"/>
            </w:tcBorders>
            <w:tcMar>
              <w:top w:w="30" w:type="dxa"/>
              <w:left w:w="120" w:type="dxa"/>
              <w:bottom w:w="30" w:type="dxa"/>
              <w:right w:w="0" w:type="dxa"/>
            </w:tcMar>
            <w:vAlign w:val="center"/>
          </w:tcPr>
          <w:p w14:paraId="26E6D80A" w14:textId="77777777" w:rsidR="00371A08" w:rsidRPr="00C17A7B" w:rsidRDefault="00000000">
            <w:pPr>
              <w:rPr>
                <w:color w:val="000000" w:themeColor="text1"/>
                <w:sz w:val="18"/>
                <w:szCs w:val="18"/>
              </w:rPr>
            </w:pPr>
            <w:r w:rsidRPr="00C17A7B">
              <w:rPr>
                <w:color w:val="000000" w:themeColor="text1"/>
                <w:sz w:val="18"/>
                <w:szCs w:val="18"/>
              </w:rPr>
              <w:t>25</w:t>
            </w:r>
          </w:p>
        </w:tc>
        <w:tc>
          <w:tcPr>
            <w:tcW w:w="186" w:type="dxa"/>
            <w:tcBorders>
              <w:top w:val="nil"/>
              <w:left w:val="nil"/>
              <w:bottom w:val="nil"/>
              <w:right w:val="nil"/>
            </w:tcBorders>
            <w:tcMar>
              <w:top w:w="30" w:type="dxa"/>
              <w:left w:w="30" w:type="dxa"/>
              <w:bottom w:w="30" w:type="dxa"/>
              <w:right w:w="120" w:type="dxa"/>
            </w:tcMar>
            <w:vAlign w:val="center"/>
          </w:tcPr>
          <w:p w14:paraId="00FAC590" w14:textId="77777777" w:rsidR="00371A08" w:rsidRPr="00C17A7B" w:rsidRDefault="00371A08">
            <w:pPr>
              <w:rPr>
                <w:color w:val="000000" w:themeColor="text1"/>
                <w:sz w:val="18"/>
                <w:szCs w:val="18"/>
              </w:rPr>
            </w:pPr>
          </w:p>
        </w:tc>
        <w:tc>
          <w:tcPr>
            <w:tcW w:w="470" w:type="dxa"/>
            <w:tcBorders>
              <w:top w:val="nil"/>
              <w:left w:val="nil"/>
              <w:bottom w:val="nil"/>
              <w:right w:val="nil"/>
            </w:tcBorders>
            <w:tcMar>
              <w:top w:w="30" w:type="dxa"/>
              <w:left w:w="120" w:type="dxa"/>
              <w:bottom w:w="30" w:type="dxa"/>
              <w:right w:w="0" w:type="dxa"/>
            </w:tcMar>
            <w:vAlign w:val="center"/>
          </w:tcPr>
          <w:p w14:paraId="2F79D531" w14:textId="77777777" w:rsidR="00371A08" w:rsidRPr="00C17A7B" w:rsidRDefault="00000000">
            <w:pPr>
              <w:jc w:val="right"/>
              <w:rPr>
                <w:color w:val="000000" w:themeColor="text1"/>
                <w:sz w:val="18"/>
                <w:szCs w:val="18"/>
              </w:rPr>
            </w:pPr>
            <w:r w:rsidRPr="00C17A7B">
              <w:rPr>
                <w:color w:val="000000" w:themeColor="text1"/>
                <w:sz w:val="18"/>
                <w:szCs w:val="18"/>
              </w:rPr>
              <w:t>21</w:t>
            </w:r>
          </w:p>
        </w:tc>
        <w:tc>
          <w:tcPr>
            <w:tcW w:w="248" w:type="dxa"/>
            <w:tcBorders>
              <w:top w:val="nil"/>
              <w:left w:val="nil"/>
              <w:bottom w:val="nil"/>
              <w:right w:val="nil"/>
            </w:tcBorders>
            <w:tcMar>
              <w:top w:w="30" w:type="dxa"/>
              <w:left w:w="30" w:type="dxa"/>
              <w:bottom w:w="30" w:type="dxa"/>
              <w:right w:w="120" w:type="dxa"/>
            </w:tcMar>
            <w:vAlign w:val="center"/>
          </w:tcPr>
          <w:p w14:paraId="6FF49543" w14:textId="77777777" w:rsidR="00371A08" w:rsidRPr="00C17A7B" w:rsidRDefault="00371A08">
            <w:pPr>
              <w:jc w:val="right"/>
              <w:rPr>
                <w:color w:val="000000" w:themeColor="text1"/>
                <w:sz w:val="18"/>
                <w:szCs w:val="18"/>
              </w:rPr>
            </w:pPr>
          </w:p>
        </w:tc>
        <w:tc>
          <w:tcPr>
            <w:tcW w:w="806" w:type="dxa"/>
            <w:tcBorders>
              <w:top w:val="nil"/>
              <w:left w:val="nil"/>
              <w:bottom w:val="nil"/>
              <w:right w:val="nil"/>
            </w:tcBorders>
            <w:tcMar>
              <w:top w:w="30" w:type="dxa"/>
              <w:left w:w="120" w:type="dxa"/>
              <w:bottom w:w="30" w:type="dxa"/>
              <w:right w:w="0" w:type="dxa"/>
            </w:tcMar>
            <w:vAlign w:val="center"/>
          </w:tcPr>
          <w:p w14:paraId="150F163A" w14:textId="77777777" w:rsidR="00371A08" w:rsidRPr="00C17A7B" w:rsidRDefault="00000000">
            <w:pPr>
              <w:jc w:val="right"/>
              <w:rPr>
                <w:color w:val="000000" w:themeColor="text1"/>
                <w:sz w:val="18"/>
                <w:szCs w:val="18"/>
              </w:rPr>
            </w:pPr>
            <w:r w:rsidRPr="00C17A7B">
              <w:rPr>
                <w:color w:val="000000" w:themeColor="text1"/>
                <w:sz w:val="18"/>
                <w:szCs w:val="18"/>
              </w:rPr>
              <w:t>2</w:t>
            </w:r>
          </w:p>
        </w:tc>
        <w:tc>
          <w:tcPr>
            <w:tcW w:w="414" w:type="dxa"/>
            <w:tcBorders>
              <w:top w:val="nil"/>
              <w:left w:val="nil"/>
              <w:bottom w:val="nil"/>
              <w:right w:val="nil"/>
            </w:tcBorders>
            <w:tcMar>
              <w:top w:w="30" w:type="dxa"/>
              <w:left w:w="30" w:type="dxa"/>
              <w:bottom w:w="30" w:type="dxa"/>
              <w:right w:w="120" w:type="dxa"/>
            </w:tcMar>
            <w:vAlign w:val="center"/>
          </w:tcPr>
          <w:p w14:paraId="7ED47A12" w14:textId="77777777" w:rsidR="00371A08" w:rsidRPr="00C17A7B" w:rsidRDefault="00371A08">
            <w:pPr>
              <w:jc w:val="right"/>
              <w:rPr>
                <w:color w:val="000000" w:themeColor="text1"/>
                <w:sz w:val="18"/>
                <w:szCs w:val="18"/>
              </w:rPr>
            </w:pPr>
          </w:p>
        </w:tc>
        <w:tc>
          <w:tcPr>
            <w:tcW w:w="532" w:type="dxa"/>
            <w:tcBorders>
              <w:top w:val="nil"/>
              <w:left w:val="nil"/>
              <w:bottom w:val="nil"/>
              <w:right w:val="nil"/>
            </w:tcBorders>
            <w:tcMar>
              <w:top w:w="30" w:type="dxa"/>
              <w:left w:w="120" w:type="dxa"/>
              <w:bottom w:w="30" w:type="dxa"/>
              <w:right w:w="0" w:type="dxa"/>
            </w:tcMar>
            <w:vAlign w:val="center"/>
          </w:tcPr>
          <w:p w14:paraId="385BFDEC" w14:textId="77777777" w:rsidR="00371A08" w:rsidRPr="00C17A7B" w:rsidRDefault="00000000">
            <w:pPr>
              <w:jc w:val="right"/>
              <w:rPr>
                <w:color w:val="000000" w:themeColor="text1"/>
                <w:sz w:val="18"/>
                <w:szCs w:val="18"/>
              </w:rPr>
            </w:pPr>
            <w:r w:rsidRPr="00C17A7B">
              <w:rPr>
                <w:color w:val="000000" w:themeColor="text1"/>
                <w:sz w:val="18"/>
                <w:szCs w:val="18"/>
              </w:rPr>
              <w:t>5</w:t>
            </w:r>
          </w:p>
        </w:tc>
        <w:tc>
          <w:tcPr>
            <w:tcW w:w="279" w:type="dxa"/>
            <w:tcBorders>
              <w:top w:val="nil"/>
              <w:left w:val="nil"/>
              <w:bottom w:val="nil"/>
              <w:right w:val="nil"/>
            </w:tcBorders>
            <w:tcMar>
              <w:top w:w="30" w:type="dxa"/>
              <w:left w:w="30" w:type="dxa"/>
              <w:bottom w:w="30" w:type="dxa"/>
              <w:right w:w="120" w:type="dxa"/>
            </w:tcMar>
            <w:vAlign w:val="center"/>
          </w:tcPr>
          <w:p w14:paraId="3C292A77"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24EE802" w14:textId="77777777" w:rsidR="00371A08" w:rsidRPr="00C17A7B" w:rsidRDefault="00000000">
            <w:pPr>
              <w:jc w:val="right"/>
              <w:rPr>
                <w:color w:val="000000" w:themeColor="text1"/>
                <w:sz w:val="18"/>
                <w:szCs w:val="18"/>
              </w:rPr>
            </w:pPr>
            <w:r w:rsidRPr="00C17A7B">
              <w:rPr>
                <w:color w:val="000000" w:themeColor="text1"/>
                <w:sz w:val="18"/>
                <w:szCs w:val="18"/>
              </w:rPr>
              <w:t>3</w:t>
            </w:r>
          </w:p>
        </w:tc>
        <w:tc>
          <w:tcPr>
            <w:tcW w:w="305" w:type="dxa"/>
            <w:tcBorders>
              <w:top w:val="nil"/>
              <w:left w:val="nil"/>
              <w:bottom w:val="nil"/>
              <w:right w:val="nil"/>
            </w:tcBorders>
            <w:tcMar>
              <w:top w:w="30" w:type="dxa"/>
              <w:left w:w="30" w:type="dxa"/>
              <w:bottom w:w="30" w:type="dxa"/>
              <w:right w:w="120" w:type="dxa"/>
            </w:tcMar>
            <w:vAlign w:val="center"/>
          </w:tcPr>
          <w:p w14:paraId="782740DB"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14F0113D"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58D2186A" w14:textId="77777777" w:rsidR="00371A08" w:rsidRPr="00C17A7B" w:rsidRDefault="00371A08">
            <w:pPr>
              <w:jc w:val="right"/>
              <w:rPr>
                <w:color w:val="000000" w:themeColor="text1"/>
                <w:sz w:val="18"/>
                <w:szCs w:val="18"/>
              </w:rPr>
            </w:pPr>
          </w:p>
        </w:tc>
        <w:tc>
          <w:tcPr>
            <w:tcW w:w="585" w:type="dxa"/>
            <w:tcBorders>
              <w:top w:val="nil"/>
              <w:left w:val="nil"/>
              <w:bottom w:val="nil"/>
              <w:right w:val="nil"/>
            </w:tcBorders>
            <w:tcMar>
              <w:top w:w="30" w:type="dxa"/>
              <w:left w:w="120" w:type="dxa"/>
              <w:bottom w:w="30" w:type="dxa"/>
              <w:right w:w="0" w:type="dxa"/>
            </w:tcMar>
            <w:vAlign w:val="center"/>
          </w:tcPr>
          <w:p w14:paraId="0EFF90BF" w14:textId="77777777" w:rsidR="00371A08" w:rsidRPr="00C17A7B" w:rsidRDefault="00000000">
            <w:pPr>
              <w:jc w:val="right"/>
              <w:rPr>
                <w:color w:val="000000" w:themeColor="text1"/>
                <w:sz w:val="18"/>
                <w:szCs w:val="18"/>
              </w:rPr>
            </w:pPr>
            <w:r w:rsidRPr="00C17A7B">
              <w:rPr>
                <w:color w:val="000000" w:themeColor="text1"/>
                <w:sz w:val="18"/>
                <w:szCs w:val="18"/>
              </w:rPr>
              <w:t>0</w:t>
            </w:r>
          </w:p>
        </w:tc>
        <w:tc>
          <w:tcPr>
            <w:tcW w:w="305" w:type="dxa"/>
            <w:tcBorders>
              <w:top w:val="nil"/>
              <w:left w:val="nil"/>
              <w:bottom w:val="nil"/>
              <w:right w:val="nil"/>
            </w:tcBorders>
            <w:tcMar>
              <w:top w:w="30" w:type="dxa"/>
              <w:left w:w="30" w:type="dxa"/>
              <w:bottom w:w="30" w:type="dxa"/>
              <w:right w:w="120" w:type="dxa"/>
            </w:tcMar>
            <w:vAlign w:val="center"/>
          </w:tcPr>
          <w:p w14:paraId="7D60BAFC" w14:textId="77777777" w:rsidR="00371A08" w:rsidRPr="00C17A7B" w:rsidRDefault="00371A08">
            <w:pPr>
              <w:jc w:val="right"/>
              <w:rPr>
                <w:color w:val="000000" w:themeColor="text1"/>
                <w:sz w:val="18"/>
                <w:szCs w:val="18"/>
              </w:rPr>
            </w:pPr>
          </w:p>
        </w:tc>
        <w:tc>
          <w:tcPr>
            <w:tcW w:w="356" w:type="dxa"/>
            <w:tcBorders>
              <w:top w:val="nil"/>
              <w:left w:val="nil"/>
              <w:bottom w:val="nil"/>
              <w:right w:val="nil"/>
            </w:tcBorders>
            <w:tcMar>
              <w:top w:w="30" w:type="dxa"/>
              <w:left w:w="120" w:type="dxa"/>
              <w:bottom w:w="30" w:type="dxa"/>
              <w:right w:w="0" w:type="dxa"/>
            </w:tcMar>
            <w:vAlign w:val="center"/>
          </w:tcPr>
          <w:p w14:paraId="02F26051" w14:textId="77777777" w:rsidR="00371A08" w:rsidRPr="00C17A7B" w:rsidRDefault="00000000">
            <w:pPr>
              <w:jc w:val="right"/>
              <w:rPr>
                <w:color w:val="000000" w:themeColor="text1"/>
                <w:sz w:val="18"/>
                <w:szCs w:val="18"/>
              </w:rPr>
            </w:pPr>
            <w:r w:rsidRPr="00C17A7B">
              <w:rPr>
                <w:color w:val="000000" w:themeColor="text1"/>
                <w:sz w:val="18"/>
                <w:szCs w:val="18"/>
              </w:rPr>
              <w:t>1</w:t>
            </w:r>
          </w:p>
        </w:tc>
        <w:tc>
          <w:tcPr>
            <w:tcW w:w="263" w:type="dxa"/>
            <w:tcBorders>
              <w:top w:val="nil"/>
              <w:left w:val="nil"/>
              <w:bottom w:val="nil"/>
              <w:right w:val="nil"/>
            </w:tcBorders>
            <w:tcMar>
              <w:top w:w="30" w:type="dxa"/>
              <w:left w:w="30" w:type="dxa"/>
              <w:bottom w:w="30" w:type="dxa"/>
              <w:right w:w="120" w:type="dxa"/>
            </w:tcMar>
            <w:vAlign w:val="center"/>
          </w:tcPr>
          <w:p w14:paraId="2765C630" w14:textId="77777777" w:rsidR="00371A08" w:rsidRPr="00C17A7B" w:rsidRDefault="00371A08">
            <w:pPr>
              <w:jc w:val="right"/>
              <w:rPr>
                <w:color w:val="000000" w:themeColor="text1"/>
                <w:sz w:val="18"/>
                <w:szCs w:val="18"/>
              </w:rPr>
            </w:pPr>
          </w:p>
        </w:tc>
        <w:tc>
          <w:tcPr>
            <w:tcW w:w="497" w:type="dxa"/>
            <w:tcBorders>
              <w:top w:val="nil"/>
              <w:left w:val="nil"/>
              <w:bottom w:val="nil"/>
              <w:right w:val="nil"/>
            </w:tcBorders>
            <w:tcMar>
              <w:top w:w="30" w:type="dxa"/>
              <w:left w:w="120" w:type="dxa"/>
              <w:bottom w:w="30" w:type="dxa"/>
              <w:right w:w="0" w:type="dxa"/>
            </w:tcMar>
            <w:vAlign w:val="center"/>
          </w:tcPr>
          <w:p w14:paraId="0670F337" w14:textId="77777777" w:rsidR="00371A08" w:rsidRPr="00C17A7B" w:rsidRDefault="00000000">
            <w:pPr>
              <w:jc w:val="right"/>
              <w:rPr>
                <w:color w:val="000000" w:themeColor="text1"/>
                <w:sz w:val="18"/>
                <w:szCs w:val="18"/>
              </w:rPr>
            </w:pPr>
            <w:r w:rsidRPr="00C17A7B">
              <w:rPr>
                <w:color w:val="000000" w:themeColor="text1"/>
                <w:sz w:val="18"/>
                <w:szCs w:val="18"/>
              </w:rPr>
              <w:t>32</w:t>
            </w:r>
          </w:p>
        </w:tc>
        <w:tc>
          <w:tcPr>
            <w:tcW w:w="222" w:type="dxa"/>
            <w:tcBorders>
              <w:top w:val="nil"/>
              <w:left w:val="nil"/>
              <w:bottom w:val="nil"/>
              <w:right w:val="nil"/>
            </w:tcBorders>
            <w:tcMar>
              <w:top w:w="30" w:type="dxa"/>
              <w:left w:w="30" w:type="dxa"/>
              <w:bottom w:w="30" w:type="dxa"/>
              <w:right w:w="120" w:type="dxa"/>
            </w:tcMar>
            <w:vAlign w:val="center"/>
          </w:tcPr>
          <w:p w14:paraId="362F2BF2" w14:textId="77777777" w:rsidR="00371A08" w:rsidRPr="00C17A7B" w:rsidRDefault="00371A08">
            <w:pPr>
              <w:jc w:val="right"/>
              <w:rPr>
                <w:color w:val="000000" w:themeColor="text1"/>
                <w:sz w:val="18"/>
                <w:szCs w:val="18"/>
              </w:rPr>
            </w:pPr>
          </w:p>
        </w:tc>
      </w:tr>
      <w:tr w:rsidR="00C17A7B" w:rsidRPr="00C17A7B" w14:paraId="553E96CC" w14:textId="77777777">
        <w:trPr>
          <w:cantSplit/>
          <w:jc w:val="center"/>
        </w:trPr>
        <w:tc>
          <w:tcPr>
            <w:tcW w:w="561" w:type="dxa"/>
            <w:tcBorders>
              <w:top w:val="nil"/>
              <w:left w:val="nil"/>
              <w:bottom w:val="single" w:sz="12" w:space="0" w:color="333333"/>
              <w:right w:val="nil"/>
            </w:tcBorders>
            <w:tcMar>
              <w:top w:w="120" w:type="dxa"/>
              <w:left w:w="120" w:type="dxa"/>
              <w:bottom w:w="120" w:type="dxa"/>
              <w:right w:w="0" w:type="dxa"/>
            </w:tcMar>
            <w:vAlign w:val="center"/>
          </w:tcPr>
          <w:p w14:paraId="35F22DFF" w14:textId="77777777" w:rsidR="00371A08" w:rsidRPr="00C17A7B" w:rsidRDefault="00000000">
            <w:pPr>
              <w:rPr>
                <w:color w:val="000000" w:themeColor="text1"/>
                <w:sz w:val="18"/>
                <w:szCs w:val="18"/>
              </w:rPr>
            </w:pPr>
            <w:r w:rsidRPr="00C17A7B">
              <w:rPr>
                <w:color w:val="000000" w:themeColor="text1"/>
                <w:sz w:val="18"/>
                <w:szCs w:val="18"/>
              </w:rPr>
              <w:t>Total</w:t>
            </w:r>
          </w:p>
        </w:tc>
        <w:tc>
          <w:tcPr>
            <w:tcW w:w="186" w:type="dxa"/>
            <w:tcBorders>
              <w:top w:val="nil"/>
              <w:left w:val="nil"/>
              <w:bottom w:val="single" w:sz="12" w:space="0" w:color="333333"/>
              <w:right w:val="nil"/>
            </w:tcBorders>
            <w:tcMar>
              <w:top w:w="30" w:type="dxa"/>
              <w:left w:w="30" w:type="dxa"/>
              <w:bottom w:w="120" w:type="dxa"/>
              <w:right w:w="120" w:type="dxa"/>
            </w:tcMar>
            <w:vAlign w:val="center"/>
          </w:tcPr>
          <w:p w14:paraId="26DB6C06" w14:textId="77777777" w:rsidR="00371A08" w:rsidRPr="00C17A7B" w:rsidRDefault="00371A08">
            <w:pPr>
              <w:rPr>
                <w:color w:val="000000" w:themeColor="text1"/>
                <w:sz w:val="18"/>
                <w:szCs w:val="18"/>
              </w:rPr>
            </w:pPr>
          </w:p>
        </w:tc>
        <w:tc>
          <w:tcPr>
            <w:tcW w:w="470" w:type="dxa"/>
            <w:tcBorders>
              <w:top w:val="nil"/>
              <w:left w:val="nil"/>
              <w:bottom w:val="single" w:sz="12" w:space="0" w:color="333333"/>
              <w:right w:val="nil"/>
            </w:tcBorders>
            <w:tcMar>
              <w:top w:w="120" w:type="dxa"/>
              <w:left w:w="120" w:type="dxa"/>
              <w:bottom w:w="120" w:type="dxa"/>
              <w:right w:w="0" w:type="dxa"/>
            </w:tcMar>
            <w:vAlign w:val="center"/>
          </w:tcPr>
          <w:p w14:paraId="4ACBFA98" w14:textId="77777777" w:rsidR="00371A08" w:rsidRPr="00C17A7B" w:rsidRDefault="00000000">
            <w:pPr>
              <w:jc w:val="right"/>
              <w:rPr>
                <w:color w:val="000000" w:themeColor="text1"/>
                <w:sz w:val="18"/>
                <w:szCs w:val="18"/>
              </w:rPr>
            </w:pPr>
            <w:r w:rsidRPr="00C17A7B">
              <w:rPr>
                <w:color w:val="000000" w:themeColor="text1"/>
                <w:sz w:val="18"/>
                <w:szCs w:val="18"/>
              </w:rPr>
              <w:t>57</w:t>
            </w:r>
          </w:p>
        </w:tc>
        <w:tc>
          <w:tcPr>
            <w:tcW w:w="248" w:type="dxa"/>
            <w:tcBorders>
              <w:top w:val="nil"/>
              <w:left w:val="nil"/>
              <w:bottom w:val="single" w:sz="12" w:space="0" w:color="333333"/>
              <w:right w:val="nil"/>
            </w:tcBorders>
            <w:tcMar>
              <w:top w:w="30" w:type="dxa"/>
              <w:left w:w="30" w:type="dxa"/>
              <w:bottom w:w="120" w:type="dxa"/>
              <w:right w:w="120" w:type="dxa"/>
            </w:tcMar>
            <w:vAlign w:val="center"/>
          </w:tcPr>
          <w:p w14:paraId="0E597FF3" w14:textId="77777777" w:rsidR="00371A08" w:rsidRPr="00C17A7B" w:rsidRDefault="00371A08">
            <w:pPr>
              <w:jc w:val="right"/>
              <w:rPr>
                <w:color w:val="000000" w:themeColor="text1"/>
                <w:sz w:val="18"/>
                <w:szCs w:val="18"/>
              </w:rPr>
            </w:pPr>
          </w:p>
        </w:tc>
        <w:tc>
          <w:tcPr>
            <w:tcW w:w="806" w:type="dxa"/>
            <w:tcBorders>
              <w:top w:val="nil"/>
              <w:left w:val="nil"/>
              <w:bottom w:val="single" w:sz="12" w:space="0" w:color="333333"/>
              <w:right w:val="nil"/>
            </w:tcBorders>
            <w:tcMar>
              <w:top w:w="120" w:type="dxa"/>
              <w:left w:w="120" w:type="dxa"/>
              <w:bottom w:w="120" w:type="dxa"/>
              <w:right w:w="0" w:type="dxa"/>
            </w:tcMar>
            <w:vAlign w:val="center"/>
          </w:tcPr>
          <w:p w14:paraId="1A8E41E1" w14:textId="77777777" w:rsidR="00371A08" w:rsidRPr="00C17A7B" w:rsidRDefault="00000000">
            <w:pPr>
              <w:jc w:val="right"/>
              <w:rPr>
                <w:color w:val="000000" w:themeColor="text1"/>
                <w:sz w:val="18"/>
                <w:szCs w:val="18"/>
              </w:rPr>
            </w:pPr>
            <w:r w:rsidRPr="00C17A7B">
              <w:rPr>
                <w:color w:val="000000" w:themeColor="text1"/>
                <w:sz w:val="18"/>
                <w:szCs w:val="18"/>
              </w:rPr>
              <w:t>10</w:t>
            </w:r>
          </w:p>
        </w:tc>
        <w:tc>
          <w:tcPr>
            <w:tcW w:w="414" w:type="dxa"/>
            <w:tcBorders>
              <w:top w:val="nil"/>
              <w:left w:val="nil"/>
              <w:bottom w:val="single" w:sz="12" w:space="0" w:color="333333"/>
              <w:right w:val="nil"/>
            </w:tcBorders>
            <w:tcMar>
              <w:top w:w="30" w:type="dxa"/>
              <w:left w:w="30" w:type="dxa"/>
              <w:bottom w:w="120" w:type="dxa"/>
              <w:right w:w="120" w:type="dxa"/>
            </w:tcMar>
            <w:vAlign w:val="center"/>
          </w:tcPr>
          <w:p w14:paraId="5E821BD8" w14:textId="77777777" w:rsidR="00371A08" w:rsidRPr="00C17A7B" w:rsidRDefault="00371A08">
            <w:pPr>
              <w:jc w:val="right"/>
              <w:rPr>
                <w:color w:val="000000" w:themeColor="text1"/>
                <w:sz w:val="18"/>
                <w:szCs w:val="18"/>
              </w:rPr>
            </w:pPr>
          </w:p>
        </w:tc>
        <w:tc>
          <w:tcPr>
            <w:tcW w:w="532" w:type="dxa"/>
            <w:tcBorders>
              <w:top w:val="nil"/>
              <w:left w:val="nil"/>
              <w:bottom w:val="single" w:sz="12" w:space="0" w:color="333333"/>
              <w:right w:val="nil"/>
            </w:tcBorders>
            <w:tcMar>
              <w:top w:w="120" w:type="dxa"/>
              <w:left w:w="120" w:type="dxa"/>
              <w:bottom w:w="120" w:type="dxa"/>
              <w:right w:w="0" w:type="dxa"/>
            </w:tcMar>
            <w:vAlign w:val="center"/>
          </w:tcPr>
          <w:p w14:paraId="407315C5" w14:textId="77777777" w:rsidR="00371A08" w:rsidRPr="00C17A7B" w:rsidRDefault="00000000">
            <w:pPr>
              <w:jc w:val="right"/>
              <w:rPr>
                <w:color w:val="000000" w:themeColor="text1"/>
                <w:sz w:val="18"/>
                <w:szCs w:val="18"/>
              </w:rPr>
            </w:pPr>
            <w:r w:rsidRPr="00C17A7B">
              <w:rPr>
                <w:color w:val="000000" w:themeColor="text1"/>
                <w:sz w:val="18"/>
                <w:szCs w:val="18"/>
              </w:rPr>
              <w:t>27</w:t>
            </w:r>
          </w:p>
        </w:tc>
        <w:tc>
          <w:tcPr>
            <w:tcW w:w="279" w:type="dxa"/>
            <w:tcBorders>
              <w:top w:val="nil"/>
              <w:left w:val="nil"/>
              <w:bottom w:val="single" w:sz="12" w:space="0" w:color="333333"/>
              <w:right w:val="nil"/>
            </w:tcBorders>
            <w:tcMar>
              <w:top w:w="30" w:type="dxa"/>
              <w:left w:w="30" w:type="dxa"/>
              <w:bottom w:w="120" w:type="dxa"/>
              <w:right w:w="120" w:type="dxa"/>
            </w:tcMar>
            <w:vAlign w:val="center"/>
          </w:tcPr>
          <w:p w14:paraId="1A16FA6A" w14:textId="77777777" w:rsidR="00371A08" w:rsidRPr="00C17A7B" w:rsidRDefault="00371A08">
            <w:pPr>
              <w:jc w:val="right"/>
              <w:rPr>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7E9171CC" w14:textId="77777777" w:rsidR="00371A08" w:rsidRPr="00C17A7B" w:rsidRDefault="00000000">
            <w:pPr>
              <w:jc w:val="right"/>
              <w:rPr>
                <w:color w:val="000000" w:themeColor="text1"/>
                <w:sz w:val="18"/>
                <w:szCs w:val="18"/>
              </w:rPr>
            </w:pPr>
            <w:r w:rsidRPr="00C17A7B">
              <w:rPr>
                <w:color w:val="000000" w:themeColor="text1"/>
                <w:sz w:val="18"/>
                <w:szCs w:val="18"/>
              </w:rPr>
              <w:t>39</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2CC78F47" w14:textId="77777777" w:rsidR="00371A08" w:rsidRPr="00C17A7B" w:rsidRDefault="00371A08">
            <w:pPr>
              <w:jc w:val="right"/>
              <w:rPr>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7ED06D7B" w14:textId="77777777" w:rsidR="00371A08" w:rsidRPr="00C17A7B" w:rsidRDefault="00000000">
            <w:pPr>
              <w:jc w:val="right"/>
              <w:rPr>
                <w:color w:val="000000" w:themeColor="text1"/>
                <w:sz w:val="18"/>
                <w:szCs w:val="18"/>
              </w:rPr>
            </w:pPr>
            <w:r w:rsidRPr="00C17A7B">
              <w:rPr>
                <w:color w:val="000000" w:themeColor="text1"/>
                <w:sz w:val="18"/>
                <w:szCs w:val="18"/>
              </w:rPr>
              <w:t>10</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1D050DF5" w14:textId="77777777" w:rsidR="00371A08" w:rsidRPr="00C17A7B" w:rsidRDefault="00371A08">
            <w:pPr>
              <w:jc w:val="right"/>
              <w:rPr>
                <w:color w:val="000000" w:themeColor="text1"/>
                <w:sz w:val="18"/>
                <w:szCs w:val="18"/>
              </w:rPr>
            </w:pPr>
          </w:p>
        </w:tc>
        <w:tc>
          <w:tcPr>
            <w:tcW w:w="585" w:type="dxa"/>
            <w:tcBorders>
              <w:top w:val="nil"/>
              <w:left w:val="nil"/>
              <w:bottom w:val="single" w:sz="12" w:space="0" w:color="333333"/>
              <w:right w:val="nil"/>
            </w:tcBorders>
            <w:tcMar>
              <w:top w:w="120" w:type="dxa"/>
              <w:left w:w="120" w:type="dxa"/>
              <w:bottom w:w="120" w:type="dxa"/>
              <w:right w:w="0" w:type="dxa"/>
            </w:tcMar>
            <w:vAlign w:val="center"/>
          </w:tcPr>
          <w:p w14:paraId="65F536A9" w14:textId="77777777" w:rsidR="00371A08" w:rsidRPr="00C17A7B" w:rsidRDefault="00000000">
            <w:pPr>
              <w:jc w:val="right"/>
              <w:rPr>
                <w:color w:val="000000" w:themeColor="text1"/>
                <w:sz w:val="18"/>
                <w:szCs w:val="18"/>
              </w:rPr>
            </w:pPr>
            <w:r w:rsidRPr="00C17A7B">
              <w:rPr>
                <w:color w:val="000000" w:themeColor="text1"/>
                <w:sz w:val="18"/>
                <w:szCs w:val="18"/>
              </w:rPr>
              <w:t>11</w:t>
            </w:r>
          </w:p>
        </w:tc>
        <w:tc>
          <w:tcPr>
            <w:tcW w:w="305" w:type="dxa"/>
            <w:tcBorders>
              <w:top w:val="nil"/>
              <w:left w:val="nil"/>
              <w:bottom w:val="single" w:sz="12" w:space="0" w:color="333333"/>
              <w:right w:val="nil"/>
            </w:tcBorders>
            <w:tcMar>
              <w:top w:w="30" w:type="dxa"/>
              <w:left w:w="30" w:type="dxa"/>
              <w:bottom w:w="120" w:type="dxa"/>
              <w:right w:w="120" w:type="dxa"/>
            </w:tcMar>
            <w:vAlign w:val="center"/>
          </w:tcPr>
          <w:p w14:paraId="0B3ED640" w14:textId="77777777" w:rsidR="00371A08" w:rsidRPr="00C17A7B" w:rsidRDefault="00371A08">
            <w:pPr>
              <w:jc w:val="right"/>
              <w:rPr>
                <w:color w:val="000000" w:themeColor="text1"/>
                <w:sz w:val="18"/>
                <w:szCs w:val="18"/>
              </w:rPr>
            </w:pPr>
          </w:p>
        </w:tc>
        <w:tc>
          <w:tcPr>
            <w:tcW w:w="356" w:type="dxa"/>
            <w:tcBorders>
              <w:top w:val="nil"/>
              <w:left w:val="nil"/>
              <w:bottom w:val="single" w:sz="12" w:space="0" w:color="333333"/>
              <w:right w:val="nil"/>
            </w:tcBorders>
            <w:tcMar>
              <w:top w:w="120" w:type="dxa"/>
              <w:left w:w="120" w:type="dxa"/>
              <w:bottom w:w="120" w:type="dxa"/>
              <w:right w:w="0" w:type="dxa"/>
            </w:tcMar>
            <w:vAlign w:val="center"/>
          </w:tcPr>
          <w:p w14:paraId="04AE1B76" w14:textId="77777777" w:rsidR="00371A08" w:rsidRPr="00C17A7B" w:rsidRDefault="00000000">
            <w:pPr>
              <w:jc w:val="right"/>
              <w:rPr>
                <w:color w:val="000000" w:themeColor="text1"/>
                <w:sz w:val="18"/>
                <w:szCs w:val="18"/>
              </w:rPr>
            </w:pPr>
            <w:r w:rsidRPr="00C17A7B">
              <w:rPr>
                <w:color w:val="000000" w:themeColor="text1"/>
                <w:sz w:val="18"/>
                <w:szCs w:val="18"/>
              </w:rPr>
              <w:t>9</w:t>
            </w:r>
          </w:p>
        </w:tc>
        <w:tc>
          <w:tcPr>
            <w:tcW w:w="263" w:type="dxa"/>
            <w:tcBorders>
              <w:top w:val="nil"/>
              <w:left w:val="nil"/>
              <w:bottom w:val="single" w:sz="12" w:space="0" w:color="333333"/>
              <w:right w:val="nil"/>
            </w:tcBorders>
            <w:tcMar>
              <w:top w:w="30" w:type="dxa"/>
              <w:left w:w="30" w:type="dxa"/>
              <w:bottom w:w="120" w:type="dxa"/>
              <w:right w:w="120" w:type="dxa"/>
            </w:tcMar>
            <w:vAlign w:val="center"/>
          </w:tcPr>
          <w:p w14:paraId="266038EA" w14:textId="77777777" w:rsidR="00371A08" w:rsidRPr="00C17A7B" w:rsidRDefault="00371A08">
            <w:pPr>
              <w:jc w:val="right"/>
              <w:rPr>
                <w:color w:val="000000" w:themeColor="text1"/>
                <w:sz w:val="18"/>
                <w:szCs w:val="18"/>
              </w:rPr>
            </w:pPr>
          </w:p>
        </w:tc>
        <w:tc>
          <w:tcPr>
            <w:tcW w:w="497" w:type="dxa"/>
            <w:tcBorders>
              <w:top w:val="nil"/>
              <w:left w:val="nil"/>
              <w:bottom w:val="single" w:sz="12" w:space="0" w:color="333333"/>
              <w:right w:val="nil"/>
            </w:tcBorders>
            <w:tcMar>
              <w:top w:w="120" w:type="dxa"/>
              <w:left w:w="120" w:type="dxa"/>
              <w:bottom w:w="120" w:type="dxa"/>
              <w:right w:w="0" w:type="dxa"/>
            </w:tcMar>
            <w:vAlign w:val="center"/>
          </w:tcPr>
          <w:p w14:paraId="54742194" w14:textId="77777777" w:rsidR="00371A08" w:rsidRPr="00C17A7B" w:rsidRDefault="00000000">
            <w:pPr>
              <w:jc w:val="right"/>
              <w:rPr>
                <w:color w:val="000000" w:themeColor="text1"/>
                <w:sz w:val="18"/>
                <w:szCs w:val="18"/>
              </w:rPr>
            </w:pPr>
            <w:r w:rsidRPr="00C17A7B">
              <w:rPr>
                <w:color w:val="000000" w:themeColor="text1"/>
                <w:sz w:val="18"/>
                <w:szCs w:val="18"/>
              </w:rPr>
              <w:t>163</w:t>
            </w:r>
          </w:p>
        </w:tc>
        <w:tc>
          <w:tcPr>
            <w:tcW w:w="222" w:type="dxa"/>
            <w:tcBorders>
              <w:top w:val="nil"/>
              <w:left w:val="nil"/>
              <w:bottom w:val="single" w:sz="12" w:space="0" w:color="333333"/>
              <w:right w:val="nil"/>
            </w:tcBorders>
            <w:tcMar>
              <w:top w:w="30" w:type="dxa"/>
              <w:left w:w="30" w:type="dxa"/>
              <w:bottom w:w="120" w:type="dxa"/>
              <w:right w:w="120" w:type="dxa"/>
            </w:tcMar>
            <w:vAlign w:val="center"/>
          </w:tcPr>
          <w:p w14:paraId="063909EE" w14:textId="77777777" w:rsidR="00371A08" w:rsidRPr="00C17A7B" w:rsidRDefault="00371A08">
            <w:pPr>
              <w:jc w:val="right"/>
              <w:rPr>
                <w:color w:val="000000" w:themeColor="text1"/>
                <w:sz w:val="18"/>
                <w:szCs w:val="18"/>
              </w:rPr>
            </w:pPr>
          </w:p>
        </w:tc>
      </w:tr>
      <w:tr w:rsidR="00371A08" w:rsidRPr="00C17A7B" w14:paraId="7ACEA905" w14:textId="77777777">
        <w:trPr>
          <w:cantSplit/>
          <w:jc w:val="center"/>
        </w:trPr>
        <w:tc>
          <w:tcPr>
            <w:tcW w:w="7504" w:type="dxa"/>
            <w:gridSpan w:val="18"/>
            <w:tcBorders>
              <w:top w:val="nil"/>
              <w:left w:val="nil"/>
              <w:bottom w:val="nil"/>
              <w:right w:val="nil"/>
            </w:tcBorders>
            <w:tcMar>
              <w:top w:w="90" w:type="dxa"/>
              <w:left w:w="120" w:type="dxa"/>
              <w:bottom w:w="30" w:type="dxa"/>
              <w:right w:w="120" w:type="dxa"/>
            </w:tcMar>
            <w:vAlign w:val="center"/>
          </w:tcPr>
          <w:p w14:paraId="5D2BF7CF" w14:textId="77777777" w:rsidR="00371A08" w:rsidRPr="00C17A7B" w:rsidRDefault="00371A08">
            <w:pPr>
              <w:rPr>
                <w:color w:val="000000" w:themeColor="text1"/>
                <w:sz w:val="20"/>
                <w:szCs w:val="20"/>
              </w:rPr>
            </w:pPr>
          </w:p>
        </w:tc>
      </w:tr>
    </w:tbl>
    <w:p w14:paraId="65372970" w14:textId="77777777" w:rsidR="00371A08" w:rsidRPr="00C17A7B" w:rsidRDefault="00371A08">
      <w:pPr>
        <w:spacing w:line="480" w:lineRule="auto"/>
        <w:jc w:val="both"/>
        <w:rPr>
          <w:rFonts w:ascii="Times" w:eastAsia="Times" w:hAnsi="Times" w:cs="Times"/>
          <w:color w:val="000000" w:themeColor="text1"/>
        </w:rPr>
      </w:pPr>
    </w:p>
    <w:p w14:paraId="103D9B03"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 xml:space="preserve">Además, para explorar si un mayor tiempo de consumo de estas redes sociales influyen en la sintomatología TCA, la insatisfacción corporal y la autoestima, se llevó a cabo un análisis estadístico basado en una prueba de ANOVA de Un Factor para Instagram y Tik Tok por separado para poder ver si existen diferencias entre ellas. </w:t>
      </w:r>
    </w:p>
    <w:p w14:paraId="26707618" w14:textId="77777777" w:rsidR="00371A08" w:rsidRPr="00C17A7B" w:rsidRDefault="00371A08">
      <w:pPr>
        <w:spacing w:line="480" w:lineRule="auto"/>
        <w:ind w:firstLine="720"/>
        <w:jc w:val="both"/>
        <w:rPr>
          <w:rFonts w:ascii="Times" w:eastAsia="Times" w:hAnsi="Times" w:cs="Times"/>
          <w:color w:val="000000" w:themeColor="text1"/>
        </w:rPr>
      </w:pPr>
    </w:p>
    <w:p w14:paraId="436F2C71"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un lado, en cuanto a Instagram, los análisis de la varianza mostraron un efecto de ruido significativo en cuanto a la sintomatología TCA </w:t>
      </w:r>
      <w:r w:rsidRPr="00C17A7B">
        <w:rPr>
          <w:rFonts w:ascii="Times" w:eastAsia="Times" w:hAnsi="Times" w:cs="Times"/>
          <w:i/>
          <w:color w:val="000000" w:themeColor="text1"/>
        </w:rPr>
        <w:t xml:space="preserve">F </w:t>
      </w:r>
      <w:r w:rsidRPr="00C17A7B">
        <w:rPr>
          <w:rFonts w:ascii="Times" w:eastAsia="Times" w:hAnsi="Times" w:cs="Times"/>
          <w:color w:val="000000" w:themeColor="text1"/>
        </w:rPr>
        <w:t xml:space="preserve">(6, 156) = 5.46,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la insatisfacción corporal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(6, 156) = 4.30,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y la autoestima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(6, 156) = 3.62, </w:t>
      </w:r>
      <w:r w:rsidRPr="00C17A7B">
        <w:rPr>
          <w:rFonts w:ascii="Times" w:eastAsia="Times" w:hAnsi="Times" w:cs="Times"/>
          <w:i/>
          <w:color w:val="000000" w:themeColor="text1"/>
        </w:rPr>
        <w:t xml:space="preserve">p </w:t>
      </w:r>
      <w:r w:rsidRPr="00C17A7B">
        <w:rPr>
          <w:rFonts w:ascii="Times" w:eastAsia="Times" w:hAnsi="Times" w:cs="Times"/>
          <w:color w:val="000000" w:themeColor="text1"/>
        </w:rPr>
        <w:t xml:space="preserve">= 0.02. Se aplicó posteriormente la prueba Post-Hoc de Tukey para varianzas iguales. De esta manera, se puede confirmar estadísticamente que aquellas personas que consumen más de cuatro horas en Instagram se diferencian significativamente de aquellas que únicamente pasan de media hora a dos horas máximo. En este sentido, no se encuentran diferencias con la población que utiliza de tres a cuatro horas esta red social.  </w:t>
      </w:r>
    </w:p>
    <w:p w14:paraId="1B08CDF5" w14:textId="77777777" w:rsidR="00371A08" w:rsidRPr="00C17A7B" w:rsidRDefault="00371A08" w:rsidP="006C7746">
      <w:pPr>
        <w:spacing w:line="480" w:lineRule="auto"/>
        <w:rPr>
          <w:rFonts w:ascii="Times" w:eastAsia="Times" w:hAnsi="Times" w:cs="Times"/>
          <w:b/>
          <w:color w:val="000000" w:themeColor="text1"/>
        </w:rPr>
      </w:pPr>
    </w:p>
    <w:p w14:paraId="3BD200DA"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otro lado, en Tik Tok, se encontraron resultados ligeramente diferentes. El análisis de varianza mostró un efecto de ruido significativo en cuanto a la sintomatología TCA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(6, 156) = 10.91,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la insatisfacción corporal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(6, 156) = 8.63,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y la </w:t>
      </w:r>
      <w:r w:rsidRPr="00C17A7B">
        <w:rPr>
          <w:rFonts w:ascii="Times" w:eastAsia="Times" w:hAnsi="Times" w:cs="Times"/>
          <w:color w:val="000000" w:themeColor="text1"/>
        </w:rPr>
        <w:lastRenderedPageBreak/>
        <w:t xml:space="preserve">autoestima </w:t>
      </w:r>
      <w:r w:rsidRPr="00C17A7B">
        <w:rPr>
          <w:rFonts w:ascii="Times" w:eastAsia="Times" w:hAnsi="Times" w:cs="Times"/>
          <w:i/>
          <w:color w:val="000000" w:themeColor="text1"/>
        </w:rPr>
        <w:t xml:space="preserve">F </w:t>
      </w:r>
      <w:r w:rsidRPr="00C17A7B">
        <w:rPr>
          <w:rFonts w:ascii="Times" w:eastAsia="Times" w:hAnsi="Times" w:cs="Times"/>
          <w:color w:val="000000" w:themeColor="text1"/>
        </w:rPr>
        <w:t xml:space="preserve">(6, 156) = 4.69,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Tras aplicar la prueba Post-Hoc de Tukey para varianzas iguales, se obtuvieron los siguientes resultados.</w:t>
      </w:r>
    </w:p>
    <w:p w14:paraId="027784AA" w14:textId="77777777" w:rsidR="00371A08" w:rsidRPr="00C17A7B" w:rsidRDefault="00371A08" w:rsidP="006C7746">
      <w:pPr>
        <w:spacing w:line="480" w:lineRule="auto"/>
        <w:ind w:firstLine="720"/>
        <w:rPr>
          <w:rFonts w:ascii="Times" w:eastAsia="Times" w:hAnsi="Times" w:cs="Times"/>
          <w:b/>
          <w:color w:val="000000" w:themeColor="text1"/>
        </w:rPr>
      </w:pPr>
    </w:p>
    <w:p w14:paraId="3E291C97"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En cuanto a la sintomatología TCA, los resultados muestran que existen diferencias estadísticamente significativas a partir de las cuatro horas o más de uso de Tik Tok. Por lo tanto, aquellos que pasan cuatro o más de cuatro horas en Tik Tok, tienen una mayor presencia de sintomatología TCA, frente a aquellos que pasan menos horas en esta red social.</w:t>
      </w:r>
      <w:r w:rsidRPr="00C17A7B">
        <w:rPr>
          <w:rFonts w:ascii="Times" w:eastAsia="Times" w:hAnsi="Times" w:cs="Times"/>
          <w:b/>
          <w:color w:val="000000" w:themeColor="text1"/>
        </w:rPr>
        <w:t xml:space="preserve"> </w:t>
      </w:r>
    </w:p>
    <w:p w14:paraId="4A3A947D" w14:textId="77777777" w:rsidR="00371A08" w:rsidRPr="00C17A7B" w:rsidRDefault="00371A08" w:rsidP="006C7746">
      <w:pPr>
        <w:spacing w:line="480" w:lineRule="auto"/>
        <w:ind w:firstLine="720"/>
        <w:rPr>
          <w:rFonts w:ascii="Times" w:eastAsia="Times" w:hAnsi="Times" w:cs="Times"/>
          <w:b/>
          <w:color w:val="000000" w:themeColor="text1"/>
        </w:rPr>
      </w:pPr>
    </w:p>
    <w:p w14:paraId="445F62C4"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consiguiente, se encuentran diferencias estadísticamente significativas en cuanto a la insatisfacción corporal en aquellas personas emplean esta red social de cuatro horas o más, frente al resto. No obstante, no se encuentran diferencias respecto a aquellas personas que únicamente pasan 30 minutos visualizando esta red social.  Por lo tanto, a rasgos generales, a mayor tiempo de visualización de Tik Tok, mayor insatisfacción corporal. </w:t>
      </w:r>
    </w:p>
    <w:p w14:paraId="1A5CCD80" w14:textId="77777777" w:rsidR="00371A08" w:rsidRPr="00C17A7B" w:rsidRDefault="00371A08" w:rsidP="006C7746">
      <w:pPr>
        <w:spacing w:line="480" w:lineRule="auto"/>
        <w:ind w:firstLine="720"/>
        <w:rPr>
          <w:rFonts w:ascii="Times" w:eastAsia="Times" w:hAnsi="Times" w:cs="Times"/>
          <w:color w:val="000000" w:themeColor="text1"/>
        </w:rPr>
      </w:pPr>
    </w:p>
    <w:p w14:paraId="7544683C"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último, en cuanto a la autoestima, se ha encontrado diferencias estadísticamente significativas únicamente en aquellas personas que pasan más cuatro horas en Tik Tok. Por lo tanto, se arroja el resultado de que las personas que pasan más de cuatro horas en Tik Tok parecen puntuar más bajo en autoestima, que las personas que pasan un menor tiempo en esta red social. Sin embargo, nuevamente no se encuentran diferencias respecto a aquellas personas que pasan solo 30 minutos en esta red social. </w:t>
      </w:r>
    </w:p>
    <w:p w14:paraId="5C5FC39A" w14:textId="77777777" w:rsidR="00371A08" w:rsidRPr="00C17A7B" w:rsidRDefault="00371A08" w:rsidP="006C7746">
      <w:pPr>
        <w:spacing w:line="480" w:lineRule="auto"/>
        <w:rPr>
          <w:rFonts w:ascii="Times" w:eastAsia="Times" w:hAnsi="Times" w:cs="Times"/>
          <w:b/>
          <w:color w:val="000000" w:themeColor="text1"/>
        </w:rPr>
      </w:pPr>
    </w:p>
    <w:p w14:paraId="60DFC3E2"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Además, para valorar si existe una relación entre el tipo de contenido visualizado y la presencia de una mayor insatisfacción corporal se realizó un análisis estadístico basado en una prueba de ANOVA de Un Factor.</w:t>
      </w:r>
      <w:r w:rsidRPr="00C17A7B">
        <w:rPr>
          <w:rFonts w:ascii="Times" w:eastAsia="Times" w:hAnsi="Times" w:cs="Times"/>
          <w:b/>
          <w:color w:val="000000" w:themeColor="text1"/>
        </w:rPr>
        <w:t xml:space="preserve"> </w:t>
      </w:r>
      <w:r w:rsidRPr="00C17A7B">
        <w:rPr>
          <w:rFonts w:ascii="Times" w:eastAsia="Times" w:hAnsi="Times" w:cs="Times"/>
          <w:color w:val="000000" w:themeColor="text1"/>
        </w:rPr>
        <w:t xml:space="preserve">Para ello, y en base a la bibliografía encontrada, nos decantamos por incluir bajo el término </w:t>
      </w:r>
      <w:r w:rsidRPr="00C17A7B">
        <w:rPr>
          <w:rFonts w:ascii="Times" w:eastAsia="Times" w:hAnsi="Times" w:cs="Times"/>
          <w:i/>
          <w:color w:val="000000" w:themeColor="text1"/>
        </w:rPr>
        <w:t xml:space="preserve">fitspiration </w:t>
      </w:r>
      <w:r w:rsidRPr="00C17A7B">
        <w:rPr>
          <w:rFonts w:ascii="Times" w:eastAsia="Times" w:hAnsi="Times" w:cs="Times"/>
          <w:color w:val="000000" w:themeColor="text1"/>
        </w:rPr>
        <w:t xml:space="preserve">tres tipos de contenidos: Aquellos </w:t>
      </w:r>
      <w:r w:rsidRPr="00C17A7B">
        <w:rPr>
          <w:rFonts w:ascii="Times" w:eastAsia="Times" w:hAnsi="Times" w:cs="Times"/>
          <w:color w:val="000000" w:themeColor="text1"/>
        </w:rPr>
        <w:lastRenderedPageBreak/>
        <w:t xml:space="preserve">asociados al deporte, al estilo de vida / </w:t>
      </w:r>
      <w:r w:rsidRPr="00C17A7B">
        <w:rPr>
          <w:rFonts w:ascii="Times" w:eastAsia="Times" w:hAnsi="Times" w:cs="Times"/>
          <w:i/>
          <w:color w:val="000000" w:themeColor="text1"/>
        </w:rPr>
        <w:t xml:space="preserve">influencers </w:t>
      </w:r>
      <w:r w:rsidRPr="00C17A7B">
        <w:rPr>
          <w:rFonts w:ascii="Times" w:eastAsia="Times" w:hAnsi="Times" w:cs="Times"/>
          <w:color w:val="000000" w:themeColor="text1"/>
        </w:rPr>
        <w:t>y finalmente a la nutrición y dieta.</w:t>
      </w:r>
      <w:r w:rsidRPr="00C17A7B">
        <w:rPr>
          <w:rFonts w:ascii="Times" w:eastAsia="Times" w:hAnsi="Times" w:cs="Times"/>
          <w:b/>
          <w:color w:val="000000" w:themeColor="text1"/>
        </w:rPr>
        <w:t xml:space="preserve"> </w:t>
      </w:r>
      <w:r w:rsidRPr="00C17A7B">
        <w:rPr>
          <w:rFonts w:ascii="Times" w:eastAsia="Times" w:hAnsi="Times" w:cs="Times"/>
          <w:color w:val="000000" w:themeColor="text1"/>
        </w:rPr>
        <w:t>Para la ejecución del análisis, se valoró el número de criterios que visualizaba cada sujeto individualmente.</w:t>
      </w:r>
      <w:r w:rsidRPr="00C17A7B">
        <w:rPr>
          <w:rFonts w:ascii="Times" w:eastAsia="Times" w:hAnsi="Times" w:cs="Times"/>
          <w:b/>
          <w:color w:val="000000" w:themeColor="text1"/>
        </w:rPr>
        <w:t xml:space="preserve"> </w:t>
      </w:r>
    </w:p>
    <w:p w14:paraId="036AA63F" w14:textId="77777777" w:rsidR="00371A08" w:rsidRPr="00C17A7B" w:rsidRDefault="00371A08" w:rsidP="006C7746">
      <w:pPr>
        <w:spacing w:line="480" w:lineRule="auto"/>
        <w:ind w:firstLine="720"/>
        <w:rPr>
          <w:rFonts w:ascii="Times" w:eastAsia="Times" w:hAnsi="Times" w:cs="Times"/>
          <w:b/>
          <w:color w:val="000000" w:themeColor="text1"/>
        </w:rPr>
      </w:pPr>
    </w:p>
    <w:p w14:paraId="6556A49C" w14:textId="77777777" w:rsidR="00920A6E" w:rsidRPr="00C17A7B" w:rsidRDefault="00000000" w:rsidP="006C7746">
      <w:pPr>
        <w:spacing w:line="480" w:lineRule="auto"/>
        <w:ind w:firstLine="720"/>
        <w:rPr>
          <w:rFonts w:ascii="Quattrocento Sans" w:eastAsia="Quattrocento Sans" w:hAnsi="Quattrocento Sans" w:cs="Quattrocento Sans"/>
          <w:color w:val="000000" w:themeColor="text1"/>
          <w:sz w:val="18"/>
          <w:szCs w:val="18"/>
        </w:rPr>
      </w:pPr>
      <w:r w:rsidRPr="00C17A7B">
        <w:rPr>
          <w:rFonts w:ascii="Times" w:eastAsia="Times" w:hAnsi="Times" w:cs="Times"/>
          <w:color w:val="000000" w:themeColor="text1"/>
        </w:rPr>
        <w:t xml:space="preserve">Un análisis de la varianza mostró que el efecto del ruido fue significativo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(3, 159) = 7.30,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&lt;.01. Se aplicó la prueba Post-Hoc de Tukey para varianzas iguales, pudiendo así confirmar estadísticamente que, a mayor visualización de contenidos asociados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mayor insatisfacción corporal de los participantes. </w:t>
      </w:r>
    </w:p>
    <w:p w14:paraId="3C060901" w14:textId="77777777" w:rsidR="00920A6E" w:rsidRPr="00C17A7B" w:rsidRDefault="00920A6E" w:rsidP="006C7746">
      <w:pPr>
        <w:spacing w:line="480" w:lineRule="auto"/>
        <w:ind w:firstLine="720"/>
        <w:rPr>
          <w:rFonts w:ascii="Quattrocento Sans" w:eastAsia="Quattrocento Sans" w:hAnsi="Quattrocento Sans" w:cs="Quattrocento Sans"/>
          <w:color w:val="000000" w:themeColor="text1"/>
          <w:sz w:val="18"/>
          <w:szCs w:val="18"/>
        </w:rPr>
      </w:pPr>
    </w:p>
    <w:p w14:paraId="4489BF8A" w14:textId="47F5CEA9"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Para complementar el análisis anterior, también se quiso descubrir cómo afectaba la visualización del contenido asociado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en cuanto a la sintomatología TCA y la autoestima mediante un análisis estadístico basado en la prueba de ANOVA de Un Factor. </w:t>
      </w:r>
    </w:p>
    <w:p w14:paraId="7385EBDE" w14:textId="77777777" w:rsidR="00371A08" w:rsidRPr="00C17A7B" w:rsidRDefault="00371A08" w:rsidP="006C7746">
      <w:pPr>
        <w:spacing w:line="480" w:lineRule="auto"/>
        <w:ind w:firstLine="360"/>
        <w:rPr>
          <w:rFonts w:ascii="Times" w:eastAsia="Times" w:hAnsi="Times" w:cs="Times"/>
          <w:color w:val="000000" w:themeColor="text1"/>
        </w:rPr>
      </w:pPr>
    </w:p>
    <w:p w14:paraId="73B6A293"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Un análisis de la varianza arrojó los resultados de que el efecto del ruido fue significativo. Esto se aplica, tanto para la sintomatología TCA </w:t>
      </w:r>
      <w:r w:rsidRPr="00C17A7B">
        <w:rPr>
          <w:rFonts w:ascii="Times" w:eastAsia="Times" w:hAnsi="Times" w:cs="Times"/>
          <w:i/>
          <w:color w:val="000000" w:themeColor="text1"/>
        </w:rPr>
        <w:t>F</w:t>
      </w:r>
      <w:r w:rsidRPr="00C17A7B">
        <w:rPr>
          <w:rFonts w:ascii="Times" w:eastAsia="Times" w:hAnsi="Times" w:cs="Times"/>
          <w:color w:val="000000" w:themeColor="text1"/>
        </w:rPr>
        <w:t xml:space="preserve"> (3, 159) = 16.13,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como para la autoestima, </w:t>
      </w:r>
      <w:r w:rsidRPr="00C17A7B">
        <w:rPr>
          <w:rFonts w:ascii="Times" w:eastAsia="Times" w:hAnsi="Times" w:cs="Times"/>
          <w:i/>
          <w:color w:val="000000" w:themeColor="text1"/>
        </w:rPr>
        <w:t xml:space="preserve">F </w:t>
      </w:r>
      <w:r w:rsidRPr="00C17A7B">
        <w:rPr>
          <w:rFonts w:ascii="Times" w:eastAsia="Times" w:hAnsi="Times" w:cs="Times"/>
          <w:color w:val="000000" w:themeColor="text1"/>
        </w:rPr>
        <w:t xml:space="preserve">(3, 159) = 6.37, </w:t>
      </w:r>
      <w:r w:rsidRPr="00C17A7B">
        <w:rPr>
          <w:rFonts w:ascii="Times" w:eastAsia="Times" w:hAnsi="Times" w:cs="Times"/>
          <w:i/>
          <w:color w:val="000000" w:themeColor="text1"/>
        </w:rPr>
        <w:t xml:space="preserve">p </w:t>
      </w:r>
      <w:r w:rsidRPr="00C17A7B">
        <w:rPr>
          <w:rFonts w:ascii="Times" w:eastAsia="Times" w:hAnsi="Times" w:cs="Times"/>
          <w:color w:val="000000" w:themeColor="text1"/>
        </w:rPr>
        <w:t xml:space="preserve">&lt; .01. Nuevamente se aplicó la prueba Post-Hoc de Tukey para varianzas iguales. En este caso, existen diferencias estadísticamente significativas en el número de contenidos visualizados. </w:t>
      </w:r>
    </w:p>
    <w:p w14:paraId="4087D637" w14:textId="77777777" w:rsidR="00371A08" w:rsidRPr="00C17A7B" w:rsidRDefault="00371A08" w:rsidP="006C7746">
      <w:pPr>
        <w:spacing w:line="480" w:lineRule="auto"/>
        <w:ind w:firstLine="360"/>
        <w:rPr>
          <w:rFonts w:ascii="Times" w:eastAsia="Times" w:hAnsi="Times" w:cs="Times"/>
          <w:b/>
          <w:color w:val="000000" w:themeColor="text1"/>
        </w:rPr>
      </w:pPr>
    </w:p>
    <w:p w14:paraId="3631DCB7"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Por un lado, y en cuanto a la sintomatología TCA, el hecho de visualizar únicamente un tipo de contenido del grupo de </w:t>
      </w:r>
      <w:r w:rsidRPr="00C17A7B">
        <w:rPr>
          <w:rFonts w:ascii="Times" w:eastAsia="Times" w:hAnsi="Times" w:cs="Times"/>
          <w:i/>
          <w:color w:val="000000" w:themeColor="text1"/>
        </w:rPr>
        <w:t xml:space="preserve">fitspiration </w:t>
      </w:r>
      <w:r w:rsidRPr="00C17A7B">
        <w:rPr>
          <w:rFonts w:ascii="Times" w:eastAsia="Times" w:hAnsi="Times" w:cs="Times"/>
          <w:color w:val="000000" w:themeColor="text1"/>
        </w:rPr>
        <w:t>o no visualizar ninguno</w:t>
      </w:r>
      <w:r w:rsidRPr="00C17A7B">
        <w:rPr>
          <w:rFonts w:ascii="Times" w:eastAsia="Times" w:hAnsi="Times" w:cs="Times"/>
          <w:i/>
          <w:color w:val="000000" w:themeColor="text1"/>
        </w:rPr>
        <w:t xml:space="preserve">, </w:t>
      </w:r>
      <w:r w:rsidRPr="00C17A7B">
        <w:rPr>
          <w:rFonts w:ascii="Times" w:eastAsia="Times" w:hAnsi="Times" w:cs="Times"/>
          <w:color w:val="000000" w:themeColor="text1"/>
        </w:rPr>
        <w:t xml:space="preserve">no muestra diferencias significativas en la presencia o ausencia de sintomatología TCA. Sin embargo, si se encuentran diferencias al visualizar dos tipos de contenidos asociados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relación que es aún más marcada al visualizar los tres tipos de contenidos asociados. Por lo tanto, los resultados en cuanto a la sintomatología TCA nos permiten confirmar </w:t>
      </w:r>
      <w:r w:rsidRPr="00C17A7B">
        <w:rPr>
          <w:rFonts w:ascii="Times" w:eastAsia="Times" w:hAnsi="Times" w:cs="Times"/>
          <w:color w:val="000000" w:themeColor="text1"/>
        </w:rPr>
        <w:lastRenderedPageBreak/>
        <w:t xml:space="preserve">estadísticamente que, a mayor número visualización de contenido asociados al mundo de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mayor presencia de sintomatología TCA. </w:t>
      </w:r>
    </w:p>
    <w:p w14:paraId="31ED1F10" w14:textId="77777777" w:rsidR="00371A08" w:rsidRPr="00C17A7B" w:rsidRDefault="00371A08" w:rsidP="006C7746">
      <w:pPr>
        <w:spacing w:line="480" w:lineRule="auto"/>
        <w:ind w:firstLine="360"/>
        <w:rPr>
          <w:rFonts w:ascii="Times" w:eastAsia="Times" w:hAnsi="Times" w:cs="Times"/>
          <w:b/>
          <w:color w:val="000000" w:themeColor="text1"/>
        </w:rPr>
      </w:pPr>
    </w:p>
    <w:p w14:paraId="70CD86B2"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Por otro lado, en base a los resultados obtenidos en cuanto a la autoestima, podemos decir que no se presentan diferencias estadísticamente significativas con visualizar uno o dos criterios, pero sí con tres. Es decir, los resultados nos permiten confirmar estadísticamente que, la visualización del contenido</w:t>
      </w:r>
      <w:r w:rsidRPr="00C17A7B">
        <w:rPr>
          <w:rFonts w:ascii="Times" w:eastAsia="Times" w:hAnsi="Times" w:cs="Times"/>
          <w:i/>
          <w:color w:val="000000" w:themeColor="text1"/>
        </w:rPr>
        <w:t xml:space="preserve"> fitspiration </w:t>
      </w:r>
      <w:r w:rsidRPr="00C17A7B">
        <w:rPr>
          <w:rFonts w:ascii="Times" w:eastAsia="Times" w:hAnsi="Times" w:cs="Times"/>
          <w:color w:val="000000" w:themeColor="text1"/>
        </w:rPr>
        <w:t xml:space="preserve">en su totalidad, es decir con los tres criterios escogidos en base a la bibliografía encontrada, peor autoestima de los participantes. </w:t>
      </w:r>
    </w:p>
    <w:p w14:paraId="17B54B5C" w14:textId="77777777" w:rsidR="00371A08" w:rsidRPr="00C17A7B" w:rsidRDefault="00371A08" w:rsidP="006C7746">
      <w:pPr>
        <w:spacing w:line="480" w:lineRule="auto"/>
        <w:ind w:firstLine="360"/>
        <w:rPr>
          <w:rFonts w:ascii="Times" w:eastAsia="Times" w:hAnsi="Times" w:cs="Times"/>
          <w:color w:val="000000" w:themeColor="text1"/>
        </w:rPr>
      </w:pPr>
    </w:p>
    <w:p w14:paraId="2118C318"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En esta línea, para ponderar cuál de los contenidos incluidos bajo el término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(estilo de vida e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deporte y, por último, nutrición y dieta) tiene más peso sobre las variables analizadas en el transcurso de este trabajo (sintomatología TCA, insatisfacción corporal y autoestima) se realizaron unas pruebas T para Muestras independientes para cada uno de estos conceptos mencionados. </w:t>
      </w:r>
    </w:p>
    <w:p w14:paraId="4E012BD0" w14:textId="77777777" w:rsidR="00371A08" w:rsidRPr="00C17A7B" w:rsidRDefault="00371A08" w:rsidP="006C7746">
      <w:pPr>
        <w:spacing w:line="480" w:lineRule="auto"/>
        <w:ind w:firstLine="360"/>
        <w:rPr>
          <w:rFonts w:ascii="Times" w:eastAsia="Times" w:hAnsi="Times" w:cs="Times"/>
          <w:color w:val="000000" w:themeColor="text1"/>
        </w:rPr>
      </w:pPr>
    </w:p>
    <w:p w14:paraId="1DFA97F7"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Por un lado, en cuanto al contenido asociado al estilo de vida e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la prueba </w:t>
      </w:r>
      <w:r w:rsidRPr="00C17A7B">
        <w:rPr>
          <w:rFonts w:ascii="Times" w:eastAsia="Times" w:hAnsi="Times" w:cs="Times"/>
          <w:i/>
          <w:color w:val="000000" w:themeColor="text1"/>
        </w:rPr>
        <w:t xml:space="preserve">t </w:t>
      </w:r>
      <w:r w:rsidRPr="00C17A7B">
        <w:rPr>
          <w:rFonts w:ascii="Times" w:eastAsia="Times" w:hAnsi="Times" w:cs="Times"/>
          <w:color w:val="000000" w:themeColor="text1"/>
        </w:rPr>
        <w:t>evidencia, con un nivel de significación de .05, una diferencia estadísticamente significativa en cuanto a la sintomatología TCA,</w:t>
      </w:r>
      <w:r w:rsidRPr="00C17A7B">
        <w:rPr>
          <w:rFonts w:ascii="Times" w:eastAsia="Times" w:hAnsi="Times" w:cs="Times"/>
          <w:i/>
          <w:color w:val="000000" w:themeColor="text1"/>
        </w:rPr>
        <w:t xml:space="preserve"> t</w:t>
      </w:r>
      <w:r w:rsidRPr="00C17A7B">
        <w:rPr>
          <w:rFonts w:ascii="Times" w:eastAsia="Times" w:hAnsi="Times" w:cs="Times"/>
          <w:color w:val="000000" w:themeColor="text1"/>
        </w:rPr>
        <w:t xml:space="preserve"> (161) = 2456,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.02. Sin embargo, no se encuentran diferencias estadísticamente significativas en cuanto a la insatisfacción corporal,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-1.95,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.05; y la autoestima, </w:t>
      </w:r>
      <w:r w:rsidRPr="00C17A7B">
        <w:rPr>
          <w:rFonts w:ascii="Times" w:eastAsia="Times" w:hAnsi="Times" w:cs="Times"/>
          <w:i/>
          <w:color w:val="000000" w:themeColor="text1"/>
        </w:rPr>
        <w:t xml:space="preserve">t </w:t>
      </w:r>
      <w:r w:rsidRPr="00C17A7B">
        <w:rPr>
          <w:rFonts w:ascii="Times" w:eastAsia="Times" w:hAnsi="Times" w:cs="Times"/>
          <w:color w:val="000000" w:themeColor="text1"/>
        </w:rPr>
        <w:t xml:space="preserve">(161) = 1.06,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.29.</w:t>
      </w:r>
      <w:r w:rsidRPr="00C17A7B">
        <w:rPr>
          <w:rFonts w:ascii="Times" w:eastAsia="Times" w:hAnsi="Times" w:cs="Times"/>
          <w:color w:val="000000" w:themeColor="text1"/>
        </w:rPr>
        <w:br/>
      </w:r>
    </w:p>
    <w:p w14:paraId="31A4AA8F"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Por otro lado, para el contenido relacionado con la nutrición y la dieta muestra, con un nivel de significación de .05, la prueba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muestra diferencias estadísticamente significativas en cuanto a la sintomatología TCA,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1851,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y la insatisfacción corporal,</w:t>
      </w:r>
      <w:r w:rsidRPr="00C17A7B">
        <w:rPr>
          <w:rFonts w:ascii="Times" w:eastAsia="Times" w:hAnsi="Times" w:cs="Times"/>
          <w:i/>
          <w:color w:val="000000" w:themeColor="text1"/>
        </w:rPr>
        <w:t xml:space="preserve"> t </w:t>
      </w:r>
      <w:r w:rsidRPr="00C17A7B">
        <w:rPr>
          <w:rFonts w:ascii="Times" w:eastAsia="Times" w:hAnsi="Times" w:cs="Times"/>
          <w:color w:val="000000" w:themeColor="text1"/>
        </w:rPr>
        <w:lastRenderedPageBreak/>
        <w:t xml:space="preserve">(161) = -3.59, p &lt; .01. Nuevamente, no se encuentran diferencias estadísticamente significativas en cuanto a las puntuaciones en autoestima,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2655,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 .12.</w:t>
      </w:r>
    </w:p>
    <w:p w14:paraId="153002E6" w14:textId="77777777" w:rsidR="00371A08" w:rsidRPr="00C17A7B" w:rsidRDefault="00371A08" w:rsidP="006C7746">
      <w:pPr>
        <w:spacing w:line="480" w:lineRule="auto"/>
        <w:ind w:firstLine="360"/>
        <w:rPr>
          <w:rFonts w:ascii="Times" w:eastAsia="Times" w:hAnsi="Times" w:cs="Times"/>
          <w:b/>
          <w:color w:val="000000" w:themeColor="text1"/>
        </w:rPr>
      </w:pPr>
    </w:p>
    <w:p w14:paraId="6DEBE7F3"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Finalmente, en cuanto al último componente que es el deporte, la prueba </w:t>
      </w:r>
      <w:r w:rsidRPr="00C17A7B">
        <w:rPr>
          <w:rFonts w:ascii="Times" w:eastAsia="Times" w:hAnsi="Times" w:cs="Times"/>
          <w:i/>
          <w:color w:val="000000" w:themeColor="text1"/>
        </w:rPr>
        <w:t xml:space="preserve">t </w:t>
      </w:r>
      <w:r w:rsidRPr="00C17A7B">
        <w:rPr>
          <w:rFonts w:ascii="Times" w:eastAsia="Times" w:hAnsi="Times" w:cs="Times"/>
          <w:color w:val="000000" w:themeColor="text1"/>
        </w:rPr>
        <w:t xml:space="preserve">arroja, con un nivel de significación de .05, los siguientes resultados. En primer lugar, muestra diferencias estadísticamente significativas en cuanto a la sintomatología TCA,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2204, </w:t>
      </w:r>
      <w:r w:rsidRPr="00C17A7B">
        <w:rPr>
          <w:rFonts w:ascii="Times" w:eastAsia="Times" w:hAnsi="Times" w:cs="Times"/>
          <w:i/>
          <w:color w:val="000000" w:themeColor="text1"/>
        </w:rPr>
        <w:t xml:space="preserve">p </w:t>
      </w:r>
      <w:r w:rsidRPr="00C17A7B">
        <w:rPr>
          <w:rFonts w:ascii="Times" w:eastAsia="Times" w:hAnsi="Times" w:cs="Times"/>
          <w:color w:val="000000" w:themeColor="text1"/>
        </w:rPr>
        <w:t xml:space="preserve">= .02; y la insatisfacción corporal,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-2.12,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 .04. No obstante, no aparecen diferencias estadísticamente significativas en relación a la autoestima, </w:t>
      </w:r>
      <w:r w:rsidRPr="00C17A7B">
        <w:rPr>
          <w:rFonts w:ascii="Times" w:eastAsia="Times" w:hAnsi="Times" w:cs="Times"/>
          <w:i/>
          <w:color w:val="000000" w:themeColor="text1"/>
        </w:rPr>
        <w:t>t</w:t>
      </w:r>
      <w:r w:rsidRPr="00C17A7B">
        <w:rPr>
          <w:rFonts w:ascii="Times" w:eastAsia="Times" w:hAnsi="Times" w:cs="Times"/>
          <w:color w:val="000000" w:themeColor="text1"/>
        </w:rPr>
        <w:t xml:space="preserve"> (161) = 1.88,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 .62.</w:t>
      </w:r>
    </w:p>
    <w:p w14:paraId="0E2E508A" w14:textId="77777777" w:rsidR="00371A08" w:rsidRPr="00C17A7B" w:rsidRDefault="00371A08" w:rsidP="00B27A77">
      <w:pPr>
        <w:spacing w:line="480" w:lineRule="auto"/>
        <w:rPr>
          <w:rFonts w:ascii="Times" w:eastAsia="Times" w:hAnsi="Times" w:cs="Times"/>
          <w:color w:val="000000" w:themeColor="text1"/>
        </w:rPr>
      </w:pPr>
    </w:p>
    <w:p w14:paraId="21D469F8"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Para evaluar si las puntuaciones altas en insatisfacción corporal están relacionadas con mayor presencia de sintomatología TCA en los pacientes, se ha realizado una prueba de regresión para establecer una matriz de correlaciones. Los resultados nos permiten confirmar estadísticamente que, a mayor insatisfacción corporal, mayor presencia de sintomatología TCA. Además, se trata de una relación fuerte, </w:t>
      </w:r>
      <w:r w:rsidRPr="00C17A7B">
        <w:rPr>
          <w:rFonts w:ascii="Times" w:eastAsia="Times" w:hAnsi="Times" w:cs="Times"/>
          <w:i/>
          <w:color w:val="000000" w:themeColor="text1"/>
        </w:rPr>
        <w:t>r</w:t>
      </w:r>
      <w:r w:rsidRPr="00C17A7B">
        <w:rPr>
          <w:rFonts w:ascii="Times" w:eastAsia="Times" w:hAnsi="Times" w:cs="Times"/>
          <w:color w:val="000000" w:themeColor="text1"/>
        </w:rPr>
        <w:t xml:space="preserve"> (161) = 0.79,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&lt;.01.</w:t>
      </w:r>
    </w:p>
    <w:p w14:paraId="6CF20C88" w14:textId="77777777" w:rsidR="00371A08" w:rsidRPr="00C17A7B" w:rsidRDefault="00371A08" w:rsidP="006C7746">
      <w:pPr>
        <w:spacing w:line="480" w:lineRule="auto"/>
        <w:ind w:firstLine="360"/>
        <w:rPr>
          <w:rFonts w:ascii="Times" w:eastAsia="Times" w:hAnsi="Times" w:cs="Times"/>
          <w:b/>
          <w:color w:val="000000" w:themeColor="text1"/>
        </w:rPr>
      </w:pPr>
    </w:p>
    <w:p w14:paraId="1CD7BB83" w14:textId="77777777"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Adicionalmente, se ha analizado si aquellas personas que pasan más tiempo en las redes sociales tienen una autoestima más baja que el resto mediante una prueba de regresión para realizar una matriz de correlaciones.</w:t>
      </w:r>
      <w:r w:rsidRPr="00C17A7B">
        <w:rPr>
          <w:rFonts w:ascii="Times" w:eastAsia="Times" w:hAnsi="Times" w:cs="Times"/>
          <w:b/>
          <w:color w:val="000000" w:themeColor="text1"/>
        </w:rPr>
        <w:t xml:space="preserve"> </w:t>
      </w:r>
      <w:r w:rsidRPr="00C17A7B">
        <w:rPr>
          <w:rFonts w:ascii="Times" w:eastAsia="Times" w:hAnsi="Times" w:cs="Times"/>
          <w:color w:val="000000" w:themeColor="text1"/>
        </w:rPr>
        <w:t xml:space="preserve">Los resultados nos permiten confirmar estadísticamente que, a mayor horas de consumición de las redes sociales, peor autoestima </w:t>
      </w:r>
      <w:r w:rsidRPr="00C17A7B">
        <w:rPr>
          <w:rFonts w:ascii="Times" w:eastAsia="Times" w:hAnsi="Times" w:cs="Times"/>
          <w:i/>
          <w:color w:val="000000" w:themeColor="text1"/>
        </w:rPr>
        <w:t xml:space="preserve">r </w:t>
      </w:r>
      <w:r w:rsidRPr="00C17A7B">
        <w:rPr>
          <w:rFonts w:ascii="Times" w:eastAsia="Times" w:hAnsi="Times" w:cs="Times"/>
          <w:color w:val="000000" w:themeColor="text1"/>
        </w:rPr>
        <w:t xml:space="preserve">(161) = -0.36, </w:t>
      </w:r>
      <w:r w:rsidRPr="00C17A7B">
        <w:rPr>
          <w:rFonts w:ascii="Times" w:eastAsia="Times" w:hAnsi="Times" w:cs="Times"/>
          <w:i/>
          <w:color w:val="000000" w:themeColor="text1"/>
        </w:rPr>
        <w:t>p</w:t>
      </w:r>
      <w:r w:rsidRPr="00C17A7B">
        <w:rPr>
          <w:rFonts w:ascii="Times" w:eastAsia="Times" w:hAnsi="Times" w:cs="Times"/>
          <w:color w:val="000000" w:themeColor="text1"/>
        </w:rPr>
        <w:t xml:space="preserve"> &lt;. 01, tratándose por tanto de una relación moderada entre ambas variables.</w:t>
      </w:r>
    </w:p>
    <w:p w14:paraId="1B415F0B" w14:textId="77777777" w:rsidR="00371A08" w:rsidRPr="00C17A7B" w:rsidRDefault="00371A08" w:rsidP="006C7746">
      <w:pPr>
        <w:spacing w:line="480" w:lineRule="auto"/>
        <w:ind w:firstLine="360"/>
        <w:rPr>
          <w:rFonts w:ascii="Times" w:eastAsia="Times" w:hAnsi="Times" w:cs="Times"/>
          <w:color w:val="000000" w:themeColor="text1"/>
        </w:rPr>
      </w:pPr>
    </w:p>
    <w:p w14:paraId="35E7E34B"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Finalmente, se evalúo si aquellas personas que tienen una autoestima más baja tienen un mayor riesgo de padecer sintomatología TCA mediante una prueba de regresión para elaborar una matriz de correlaciones. Los resultados nos indican que, a peor autoestima, </w:t>
      </w:r>
      <w:r w:rsidRPr="00C17A7B">
        <w:rPr>
          <w:rFonts w:ascii="Times" w:eastAsia="Times" w:hAnsi="Times" w:cs="Times"/>
          <w:color w:val="000000" w:themeColor="text1"/>
        </w:rPr>
        <w:lastRenderedPageBreak/>
        <w:t xml:space="preserve">mayor riesgo de presentar una sintomatología TCA </w:t>
      </w:r>
      <w:r w:rsidRPr="00C17A7B">
        <w:rPr>
          <w:rFonts w:ascii="Times" w:eastAsia="Times" w:hAnsi="Times" w:cs="Times"/>
          <w:i/>
          <w:color w:val="000000" w:themeColor="text1"/>
        </w:rPr>
        <w:t>r</w:t>
      </w:r>
      <w:r w:rsidRPr="00C17A7B">
        <w:rPr>
          <w:rFonts w:ascii="Times" w:eastAsia="Times" w:hAnsi="Times" w:cs="Times"/>
          <w:color w:val="000000" w:themeColor="text1"/>
        </w:rPr>
        <w:t xml:space="preserve"> (161) = -0. 51, p</w:t>
      </w:r>
      <w:r w:rsidRPr="00C17A7B">
        <w:rPr>
          <w:rFonts w:ascii="Times" w:eastAsia="Times" w:hAnsi="Times" w:cs="Times"/>
          <w:i/>
          <w:color w:val="000000" w:themeColor="text1"/>
        </w:rPr>
        <w:t xml:space="preserve"> </w:t>
      </w:r>
      <w:r w:rsidRPr="00C17A7B">
        <w:rPr>
          <w:rFonts w:ascii="Times" w:eastAsia="Times" w:hAnsi="Times" w:cs="Times"/>
          <w:color w:val="000000" w:themeColor="text1"/>
        </w:rPr>
        <w:t>&lt; .01). Se trataría en este caso, de una relación moderada entre las variables.</w:t>
      </w:r>
    </w:p>
    <w:p w14:paraId="1C0773DD" w14:textId="77777777" w:rsidR="00371A08" w:rsidRPr="00C17A7B" w:rsidRDefault="00000000" w:rsidP="006C7746">
      <w:pPr>
        <w:spacing w:line="480" w:lineRule="auto"/>
        <w:rPr>
          <w:rFonts w:ascii="Times" w:eastAsia="Times" w:hAnsi="Times" w:cs="Times"/>
          <w:color w:val="000000" w:themeColor="text1"/>
        </w:rPr>
      </w:pPr>
      <w:r w:rsidRPr="00C17A7B">
        <w:rPr>
          <w:rFonts w:ascii="Times" w:eastAsia="Times" w:hAnsi="Times" w:cs="Times"/>
          <w:color w:val="000000" w:themeColor="text1"/>
        </w:rPr>
        <w:t xml:space="preserve"> </w:t>
      </w:r>
    </w:p>
    <w:p w14:paraId="1698D566" w14:textId="5FAB92C0" w:rsidR="00B27A77" w:rsidRPr="00C17A7B" w:rsidRDefault="00000000" w:rsidP="008C6DCA">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último, se ha querido descubrir cómo de relacionadas están entre sí la sintomatología TCA, la autoestima, el tiempo de consumo de redes sociales y la insatisfacción corporal en la muestra seleccionada mediante una prueba de regresión. La matriz de correlaciones nos indica que todas las variables, están íntimamente relacionadas, existiendo entre ellas una relación moderada-fuerte. </w:t>
      </w:r>
    </w:p>
    <w:p w14:paraId="1CE51A32" w14:textId="77777777" w:rsidR="00B27A77" w:rsidRPr="00C17A7B" w:rsidRDefault="00B27A77" w:rsidP="00B27A77">
      <w:pPr>
        <w:spacing w:line="480" w:lineRule="auto"/>
        <w:ind w:firstLine="720"/>
        <w:rPr>
          <w:rFonts w:ascii="Times" w:eastAsia="Times" w:hAnsi="Times" w:cs="Times"/>
          <w:color w:val="000000" w:themeColor="text1"/>
        </w:rPr>
      </w:pPr>
    </w:p>
    <w:p w14:paraId="17CE946B" w14:textId="77FFEC51" w:rsidR="00371A08" w:rsidRPr="00C17A7B" w:rsidRDefault="005E4144" w:rsidP="00B27A77">
      <w:pPr>
        <w:spacing w:line="480" w:lineRule="auto"/>
        <w:rPr>
          <w:rFonts w:ascii="Times" w:eastAsia="Times" w:hAnsi="Times" w:cs="Times"/>
          <w:color w:val="000000" w:themeColor="text1"/>
        </w:rPr>
      </w:pPr>
      <w:r w:rsidRPr="00C17A7B">
        <w:rPr>
          <w:rFonts w:ascii="Times" w:eastAsia="Times" w:hAnsi="Times" w:cs="Times"/>
          <w:b/>
          <w:bCs/>
          <w:color w:val="000000" w:themeColor="text1"/>
        </w:rPr>
        <w:t>Tabla 4</w:t>
      </w:r>
      <w:r w:rsidRPr="00C17A7B">
        <w:rPr>
          <w:rFonts w:ascii="Times" w:eastAsia="Times" w:hAnsi="Times" w:cs="Times"/>
          <w:color w:val="000000" w:themeColor="text1"/>
        </w:rPr>
        <w:br/>
      </w:r>
      <w:r w:rsidRPr="00C17A7B">
        <w:rPr>
          <w:rFonts w:ascii="Times" w:eastAsia="Times" w:hAnsi="Times" w:cs="Times"/>
          <w:i/>
          <w:iCs/>
          <w:color w:val="000000" w:themeColor="text1"/>
        </w:rPr>
        <w:t>Correlación entre</w:t>
      </w:r>
      <w:r w:rsidR="00B27A77" w:rsidRPr="00C17A7B">
        <w:rPr>
          <w:rFonts w:ascii="Times" w:eastAsia="Times" w:hAnsi="Times" w:cs="Times"/>
          <w:i/>
          <w:iCs/>
          <w:color w:val="000000" w:themeColor="text1"/>
        </w:rPr>
        <w:t>:</w:t>
      </w:r>
      <w:r w:rsidRPr="00C17A7B">
        <w:rPr>
          <w:rFonts w:ascii="Times" w:eastAsia="Times" w:hAnsi="Times" w:cs="Times"/>
          <w:i/>
          <w:iCs/>
          <w:color w:val="000000" w:themeColor="text1"/>
        </w:rPr>
        <w:t xml:space="preserve"> </w:t>
      </w:r>
      <w:r w:rsidR="00B27A77" w:rsidRPr="00C17A7B">
        <w:rPr>
          <w:rFonts w:ascii="Times" w:eastAsia="Times" w:hAnsi="Times" w:cs="Times"/>
          <w:i/>
          <w:iCs/>
          <w:color w:val="000000" w:themeColor="text1"/>
        </w:rPr>
        <w:t>C</w:t>
      </w:r>
      <w:r w:rsidRPr="00C17A7B">
        <w:rPr>
          <w:rFonts w:ascii="Times" w:eastAsia="Times" w:hAnsi="Times" w:cs="Times"/>
          <w:i/>
          <w:iCs/>
          <w:color w:val="000000" w:themeColor="text1"/>
        </w:rPr>
        <w:t>onsumo de redes sociales, sintomatología TCA, insatisfacción corporal y autoestima.</w:t>
      </w:r>
    </w:p>
    <w:tbl>
      <w:tblPr>
        <w:tblStyle w:val="a5"/>
        <w:tblW w:w="8123" w:type="dxa"/>
        <w:jc w:val="center"/>
        <w:tblInd w:w="0" w:type="dxa"/>
        <w:tblLayout w:type="fixed"/>
        <w:tblLook w:val="0400" w:firstRow="0" w:lastRow="0" w:firstColumn="0" w:lastColumn="0" w:noHBand="0" w:noVBand="1"/>
      </w:tblPr>
      <w:tblGrid>
        <w:gridCol w:w="2193"/>
        <w:gridCol w:w="212"/>
        <w:gridCol w:w="1368"/>
        <w:gridCol w:w="214"/>
        <w:gridCol w:w="747"/>
        <w:gridCol w:w="469"/>
        <w:gridCol w:w="747"/>
        <w:gridCol w:w="469"/>
        <w:gridCol w:w="747"/>
        <w:gridCol w:w="469"/>
        <w:gridCol w:w="228"/>
        <w:gridCol w:w="229"/>
        <w:gridCol w:w="17"/>
        <w:gridCol w:w="14"/>
      </w:tblGrid>
      <w:tr w:rsidR="00C17A7B" w:rsidRPr="00C17A7B" w14:paraId="5A83B582" w14:textId="77777777" w:rsidTr="00B27A77">
        <w:trPr>
          <w:cantSplit/>
          <w:trHeight w:val="187"/>
          <w:tblHeader/>
          <w:jc w:val="center"/>
        </w:trPr>
        <w:tc>
          <w:tcPr>
            <w:tcW w:w="8123" w:type="dxa"/>
            <w:gridSpan w:val="14"/>
            <w:tcBorders>
              <w:top w:val="nil"/>
              <w:left w:val="nil"/>
              <w:bottom w:val="single" w:sz="6" w:space="0" w:color="333333"/>
              <w:right w:val="nil"/>
            </w:tcBorders>
            <w:tcMar>
              <w:top w:w="60" w:type="dxa"/>
              <w:left w:w="0" w:type="dxa"/>
              <w:bottom w:w="60" w:type="dxa"/>
              <w:right w:w="120" w:type="dxa"/>
            </w:tcMar>
            <w:vAlign w:val="center"/>
          </w:tcPr>
          <w:p w14:paraId="6B208B0F" w14:textId="77777777" w:rsidR="00371A08" w:rsidRPr="00C17A7B" w:rsidRDefault="00000000">
            <w:pP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color w:val="000000" w:themeColor="text1"/>
                <w:sz w:val="18"/>
                <w:szCs w:val="18"/>
              </w:rPr>
              <w:t>Matriz de Correlaciones</w:t>
            </w:r>
          </w:p>
        </w:tc>
      </w:tr>
      <w:tr w:rsidR="00C17A7B" w:rsidRPr="00C17A7B" w14:paraId="36B0B1A4" w14:textId="77777777" w:rsidTr="00B27A77">
        <w:trPr>
          <w:gridAfter w:val="1"/>
          <w:wAfter w:w="10" w:type="dxa"/>
          <w:cantSplit/>
          <w:trHeight w:val="210"/>
          <w:tblHeader/>
          <w:jc w:val="center"/>
        </w:trPr>
        <w:tc>
          <w:tcPr>
            <w:tcW w:w="2408" w:type="dxa"/>
            <w:gridSpan w:val="2"/>
            <w:tcBorders>
              <w:top w:val="nil"/>
              <w:left w:val="nil"/>
              <w:bottom w:val="single" w:sz="6" w:space="0" w:color="333333"/>
              <w:right w:val="nil"/>
            </w:tcBorders>
            <w:tcMar>
              <w:top w:w="60" w:type="dxa"/>
              <w:left w:w="120" w:type="dxa"/>
              <w:bottom w:w="60" w:type="dxa"/>
              <w:right w:w="120" w:type="dxa"/>
            </w:tcMar>
            <w:vAlign w:val="center"/>
          </w:tcPr>
          <w:p w14:paraId="09D72E32"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 </w:t>
            </w:r>
          </w:p>
        </w:tc>
        <w:tc>
          <w:tcPr>
            <w:tcW w:w="1583" w:type="dxa"/>
            <w:gridSpan w:val="2"/>
            <w:tcBorders>
              <w:top w:val="nil"/>
              <w:left w:val="nil"/>
              <w:bottom w:val="single" w:sz="6" w:space="0" w:color="333333"/>
              <w:right w:val="nil"/>
            </w:tcBorders>
            <w:tcMar>
              <w:top w:w="60" w:type="dxa"/>
              <w:left w:w="120" w:type="dxa"/>
              <w:bottom w:w="60" w:type="dxa"/>
              <w:right w:w="120" w:type="dxa"/>
            </w:tcMar>
            <w:vAlign w:val="center"/>
          </w:tcPr>
          <w:p w14:paraId="1F13F235"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 </w:t>
            </w:r>
          </w:p>
        </w:tc>
        <w:tc>
          <w:tcPr>
            <w:tcW w:w="1216" w:type="dxa"/>
            <w:gridSpan w:val="2"/>
            <w:tcBorders>
              <w:top w:val="nil"/>
              <w:left w:val="nil"/>
              <w:bottom w:val="single" w:sz="6" w:space="0" w:color="333333"/>
              <w:right w:val="nil"/>
            </w:tcBorders>
            <w:tcMar>
              <w:top w:w="60" w:type="dxa"/>
              <w:left w:w="120" w:type="dxa"/>
              <w:bottom w:w="60" w:type="dxa"/>
              <w:right w:w="120" w:type="dxa"/>
            </w:tcMar>
            <w:vAlign w:val="center"/>
          </w:tcPr>
          <w:p w14:paraId="5B3F9E04"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BSQ</w:t>
            </w:r>
          </w:p>
        </w:tc>
        <w:tc>
          <w:tcPr>
            <w:tcW w:w="1216" w:type="dxa"/>
            <w:gridSpan w:val="2"/>
            <w:tcBorders>
              <w:top w:val="nil"/>
              <w:left w:val="nil"/>
              <w:bottom w:val="single" w:sz="6" w:space="0" w:color="333333"/>
              <w:right w:val="nil"/>
            </w:tcBorders>
            <w:tcMar>
              <w:top w:w="60" w:type="dxa"/>
              <w:left w:w="120" w:type="dxa"/>
              <w:bottom w:w="60" w:type="dxa"/>
              <w:right w:w="120" w:type="dxa"/>
            </w:tcMar>
            <w:vAlign w:val="center"/>
          </w:tcPr>
          <w:p w14:paraId="329DD339" w14:textId="77777777" w:rsidR="00371A08" w:rsidRPr="00C17A7B" w:rsidRDefault="00000000">
            <w:pPr>
              <w:jc w:val="cente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EAT-26</w:t>
            </w:r>
          </w:p>
        </w:tc>
        <w:tc>
          <w:tcPr>
            <w:tcW w:w="1216" w:type="dxa"/>
            <w:gridSpan w:val="2"/>
            <w:tcBorders>
              <w:top w:val="nil"/>
              <w:left w:val="nil"/>
              <w:bottom w:val="single" w:sz="6" w:space="0" w:color="333333"/>
              <w:right w:val="nil"/>
            </w:tcBorders>
            <w:tcMar>
              <w:top w:w="60" w:type="dxa"/>
              <w:left w:w="120" w:type="dxa"/>
              <w:bottom w:w="60" w:type="dxa"/>
              <w:right w:w="120" w:type="dxa"/>
            </w:tcMar>
            <w:vAlign w:val="center"/>
          </w:tcPr>
          <w:p w14:paraId="6BBD0E64" w14:textId="77777777" w:rsidR="00371A08" w:rsidRPr="00C17A7B" w:rsidRDefault="00000000">
            <w:pPr>
              <w:rPr>
                <w:rFonts w:ascii="Quattrocento Sans" w:eastAsia="Quattrocento Sans" w:hAnsi="Quattrocento Sans" w:cs="Quattrocento Sans"/>
                <w:b/>
                <w:color w:val="000000" w:themeColor="text1"/>
                <w:sz w:val="18"/>
                <w:szCs w:val="18"/>
              </w:rPr>
            </w:pPr>
            <w:r w:rsidRPr="00C17A7B">
              <w:rPr>
                <w:rFonts w:ascii="Quattrocento Sans" w:eastAsia="Quattrocento Sans" w:hAnsi="Quattrocento Sans" w:cs="Quattrocento Sans"/>
                <w:b/>
                <w:color w:val="000000" w:themeColor="text1"/>
                <w:sz w:val="18"/>
                <w:szCs w:val="18"/>
              </w:rPr>
              <w:t>RSE</w:t>
            </w:r>
          </w:p>
        </w:tc>
        <w:tc>
          <w:tcPr>
            <w:tcW w:w="474" w:type="dxa"/>
            <w:gridSpan w:val="3"/>
            <w:tcBorders>
              <w:top w:val="nil"/>
              <w:left w:val="nil"/>
              <w:bottom w:val="single" w:sz="6" w:space="0" w:color="333333"/>
              <w:right w:val="nil"/>
            </w:tcBorders>
            <w:tcMar>
              <w:top w:w="60" w:type="dxa"/>
              <w:left w:w="120" w:type="dxa"/>
              <w:bottom w:w="60" w:type="dxa"/>
              <w:right w:w="120" w:type="dxa"/>
            </w:tcMar>
            <w:vAlign w:val="center"/>
          </w:tcPr>
          <w:p w14:paraId="4EDE069E" w14:textId="77777777" w:rsidR="00371A08" w:rsidRPr="00C17A7B" w:rsidRDefault="00371A08">
            <w:pPr>
              <w:jc w:val="center"/>
              <w:rPr>
                <w:rFonts w:ascii="Quattrocento Sans" w:eastAsia="Quattrocento Sans" w:hAnsi="Quattrocento Sans" w:cs="Quattrocento Sans"/>
                <w:b/>
                <w:color w:val="000000" w:themeColor="text1"/>
                <w:sz w:val="18"/>
                <w:szCs w:val="18"/>
              </w:rPr>
            </w:pPr>
          </w:p>
        </w:tc>
      </w:tr>
      <w:tr w:rsidR="00C17A7B" w:rsidRPr="00C17A7B" w14:paraId="47209B51" w14:textId="77777777" w:rsidTr="00B27A77">
        <w:trPr>
          <w:gridAfter w:val="2"/>
          <w:wAfter w:w="31" w:type="dxa"/>
          <w:cantSplit/>
          <w:trHeight w:val="235"/>
          <w:jc w:val="center"/>
        </w:trPr>
        <w:tc>
          <w:tcPr>
            <w:tcW w:w="2195" w:type="dxa"/>
            <w:tcBorders>
              <w:top w:val="nil"/>
              <w:left w:val="nil"/>
              <w:bottom w:val="nil"/>
              <w:right w:val="nil"/>
            </w:tcBorders>
            <w:tcMar>
              <w:top w:w="120" w:type="dxa"/>
              <w:left w:w="120" w:type="dxa"/>
              <w:bottom w:w="30" w:type="dxa"/>
              <w:right w:w="0" w:type="dxa"/>
            </w:tcMar>
            <w:vAlign w:val="center"/>
          </w:tcPr>
          <w:p w14:paraId="339BBD0A"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EAT-26</w:t>
            </w:r>
          </w:p>
        </w:tc>
        <w:tc>
          <w:tcPr>
            <w:tcW w:w="212" w:type="dxa"/>
            <w:tcBorders>
              <w:top w:val="nil"/>
              <w:left w:val="nil"/>
              <w:bottom w:val="nil"/>
              <w:right w:val="nil"/>
            </w:tcBorders>
            <w:tcMar>
              <w:top w:w="30" w:type="dxa"/>
              <w:left w:w="30" w:type="dxa"/>
              <w:bottom w:w="30" w:type="dxa"/>
              <w:right w:w="120" w:type="dxa"/>
            </w:tcMar>
            <w:vAlign w:val="center"/>
          </w:tcPr>
          <w:p w14:paraId="78B00803"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120" w:type="dxa"/>
              <w:left w:w="120" w:type="dxa"/>
              <w:bottom w:w="30" w:type="dxa"/>
              <w:right w:w="0" w:type="dxa"/>
            </w:tcMar>
            <w:vAlign w:val="center"/>
          </w:tcPr>
          <w:p w14:paraId="14306410"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R de Pearson</w:t>
            </w:r>
          </w:p>
        </w:tc>
        <w:tc>
          <w:tcPr>
            <w:tcW w:w="214" w:type="dxa"/>
            <w:tcBorders>
              <w:top w:val="nil"/>
              <w:left w:val="nil"/>
              <w:bottom w:val="nil"/>
              <w:right w:val="nil"/>
            </w:tcBorders>
            <w:tcMar>
              <w:top w:w="30" w:type="dxa"/>
              <w:left w:w="30" w:type="dxa"/>
              <w:bottom w:w="30" w:type="dxa"/>
              <w:right w:w="120" w:type="dxa"/>
            </w:tcMar>
            <w:vAlign w:val="center"/>
          </w:tcPr>
          <w:p w14:paraId="1F7B6ECA"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120" w:type="dxa"/>
              <w:left w:w="120" w:type="dxa"/>
              <w:bottom w:w="30" w:type="dxa"/>
              <w:right w:w="0" w:type="dxa"/>
            </w:tcMar>
            <w:vAlign w:val="center"/>
          </w:tcPr>
          <w:p w14:paraId="5D55FEF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0.799</w:t>
            </w:r>
          </w:p>
        </w:tc>
        <w:tc>
          <w:tcPr>
            <w:tcW w:w="468" w:type="dxa"/>
            <w:tcBorders>
              <w:top w:val="nil"/>
              <w:left w:val="nil"/>
              <w:bottom w:val="nil"/>
              <w:right w:val="nil"/>
            </w:tcBorders>
            <w:tcMar>
              <w:top w:w="30" w:type="dxa"/>
              <w:left w:w="30" w:type="dxa"/>
              <w:bottom w:w="30" w:type="dxa"/>
              <w:right w:w="120" w:type="dxa"/>
            </w:tcMar>
            <w:vAlign w:val="center"/>
          </w:tcPr>
          <w:p w14:paraId="472343CA"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747" w:type="dxa"/>
            <w:tcBorders>
              <w:top w:val="nil"/>
              <w:left w:val="nil"/>
              <w:bottom w:val="nil"/>
              <w:right w:val="nil"/>
            </w:tcBorders>
            <w:tcMar>
              <w:top w:w="120" w:type="dxa"/>
              <w:left w:w="120" w:type="dxa"/>
              <w:bottom w:w="30" w:type="dxa"/>
              <w:right w:w="0" w:type="dxa"/>
            </w:tcMar>
            <w:vAlign w:val="center"/>
          </w:tcPr>
          <w:p w14:paraId="2EEC721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3FE2217E"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120" w:type="dxa"/>
              <w:left w:w="120" w:type="dxa"/>
              <w:bottom w:w="30" w:type="dxa"/>
              <w:right w:w="0" w:type="dxa"/>
            </w:tcMar>
            <w:vAlign w:val="center"/>
          </w:tcPr>
          <w:p w14:paraId="612BB4A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468" w:type="dxa"/>
            <w:tcBorders>
              <w:top w:val="nil"/>
              <w:left w:val="nil"/>
              <w:bottom w:val="nil"/>
              <w:right w:val="nil"/>
            </w:tcBorders>
            <w:tcMar>
              <w:top w:w="30" w:type="dxa"/>
              <w:left w:w="30" w:type="dxa"/>
              <w:bottom w:w="30" w:type="dxa"/>
              <w:right w:w="120" w:type="dxa"/>
            </w:tcMar>
            <w:vAlign w:val="center"/>
          </w:tcPr>
          <w:p w14:paraId="64BDD78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120" w:type="dxa"/>
              <w:left w:w="120" w:type="dxa"/>
              <w:bottom w:w="30" w:type="dxa"/>
              <w:right w:w="0" w:type="dxa"/>
            </w:tcMar>
            <w:vAlign w:val="center"/>
          </w:tcPr>
          <w:p w14:paraId="62037CF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3ADCE3E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20FB0D3C" w14:textId="77777777" w:rsidTr="00B27A77">
        <w:trPr>
          <w:gridAfter w:val="2"/>
          <w:wAfter w:w="31" w:type="dxa"/>
          <w:cantSplit/>
          <w:trHeight w:val="210"/>
          <w:jc w:val="center"/>
        </w:trPr>
        <w:tc>
          <w:tcPr>
            <w:tcW w:w="2195" w:type="dxa"/>
            <w:tcBorders>
              <w:top w:val="nil"/>
              <w:left w:val="nil"/>
              <w:bottom w:val="nil"/>
              <w:right w:val="nil"/>
            </w:tcBorders>
            <w:tcMar>
              <w:top w:w="30" w:type="dxa"/>
              <w:left w:w="120" w:type="dxa"/>
              <w:bottom w:w="30" w:type="dxa"/>
              <w:right w:w="0" w:type="dxa"/>
            </w:tcMar>
            <w:vAlign w:val="center"/>
          </w:tcPr>
          <w:p w14:paraId="48F35050"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nil"/>
              <w:right w:val="nil"/>
            </w:tcBorders>
            <w:tcMar>
              <w:top w:w="30" w:type="dxa"/>
              <w:left w:w="30" w:type="dxa"/>
              <w:bottom w:w="30" w:type="dxa"/>
              <w:right w:w="120" w:type="dxa"/>
            </w:tcMar>
            <w:vAlign w:val="center"/>
          </w:tcPr>
          <w:p w14:paraId="395CD764"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30" w:type="dxa"/>
              <w:left w:w="120" w:type="dxa"/>
              <w:bottom w:w="30" w:type="dxa"/>
              <w:right w:w="0" w:type="dxa"/>
            </w:tcMar>
            <w:vAlign w:val="center"/>
          </w:tcPr>
          <w:p w14:paraId="39BFF85C"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gl</w:t>
            </w:r>
          </w:p>
        </w:tc>
        <w:tc>
          <w:tcPr>
            <w:tcW w:w="214" w:type="dxa"/>
            <w:tcBorders>
              <w:top w:val="nil"/>
              <w:left w:val="nil"/>
              <w:bottom w:val="nil"/>
              <w:right w:val="nil"/>
            </w:tcBorders>
            <w:tcMar>
              <w:top w:w="30" w:type="dxa"/>
              <w:left w:w="30" w:type="dxa"/>
              <w:bottom w:w="30" w:type="dxa"/>
              <w:right w:w="120" w:type="dxa"/>
            </w:tcMar>
            <w:vAlign w:val="center"/>
          </w:tcPr>
          <w:p w14:paraId="14A7C3E1"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03125C25"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72659CE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3F41433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45BCFBD6"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7E160C9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468" w:type="dxa"/>
            <w:tcBorders>
              <w:top w:val="nil"/>
              <w:left w:val="nil"/>
              <w:bottom w:val="nil"/>
              <w:right w:val="nil"/>
            </w:tcBorders>
            <w:tcMar>
              <w:top w:w="30" w:type="dxa"/>
              <w:left w:w="30" w:type="dxa"/>
              <w:bottom w:w="30" w:type="dxa"/>
              <w:right w:w="120" w:type="dxa"/>
            </w:tcMar>
            <w:vAlign w:val="center"/>
          </w:tcPr>
          <w:p w14:paraId="2EED0FF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30" w:type="dxa"/>
              <w:left w:w="120" w:type="dxa"/>
              <w:bottom w:w="30" w:type="dxa"/>
              <w:right w:w="0" w:type="dxa"/>
            </w:tcMar>
            <w:vAlign w:val="center"/>
          </w:tcPr>
          <w:p w14:paraId="578B136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0D73727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6BD649FC" w14:textId="77777777" w:rsidTr="00B27A77">
        <w:trPr>
          <w:gridAfter w:val="2"/>
          <w:wAfter w:w="31" w:type="dxa"/>
          <w:cantSplit/>
          <w:trHeight w:val="258"/>
          <w:jc w:val="center"/>
        </w:trPr>
        <w:tc>
          <w:tcPr>
            <w:tcW w:w="2195" w:type="dxa"/>
            <w:tcBorders>
              <w:top w:val="nil"/>
              <w:left w:val="nil"/>
              <w:bottom w:val="nil"/>
              <w:right w:val="nil"/>
            </w:tcBorders>
            <w:tcMar>
              <w:top w:w="30" w:type="dxa"/>
              <w:left w:w="120" w:type="dxa"/>
              <w:bottom w:w="30" w:type="dxa"/>
              <w:right w:w="0" w:type="dxa"/>
            </w:tcMar>
            <w:vAlign w:val="center"/>
          </w:tcPr>
          <w:p w14:paraId="5A376DA5"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nil"/>
              <w:right w:val="nil"/>
            </w:tcBorders>
            <w:tcMar>
              <w:top w:w="30" w:type="dxa"/>
              <w:left w:w="30" w:type="dxa"/>
              <w:bottom w:w="30" w:type="dxa"/>
              <w:right w:w="120" w:type="dxa"/>
            </w:tcMar>
            <w:vAlign w:val="center"/>
          </w:tcPr>
          <w:p w14:paraId="1B762B49"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30" w:type="dxa"/>
              <w:left w:w="120" w:type="dxa"/>
              <w:bottom w:w="30" w:type="dxa"/>
              <w:right w:w="0" w:type="dxa"/>
            </w:tcMar>
            <w:vAlign w:val="center"/>
          </w:tcPr>
          <w:p w14:paraId="1F6748EB"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valor p</w:t>
            </w:r>
          </w:p>
        </w:tc>
        <w:tc>
          <w:tcPr>
            <w:tcW w:w="214" w:type="dxa"/>
            <w:tcBorders>
              <w:top w:val="nil"/>
              <w:left w:val="nil"/>
              <w:bottom w:val="nil"/>
              <w:right w:val="nil"/>
            </w:tcBorders>
            <w:tcMar>
              <w:top w:w="30" w:type="dxa"/>
              <w:left w:w="30" w:type="dxa"/>
              <w:bottom w:w="30" w:type="dxa"/>
              <w:right w:w="120" w:type="dxa"/>
            </w:tcMar>
            <w:vAlign w:val="center"/>
          </w:tcPr>
          <w:p w14:paraId="58651817"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395A1774"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nil"/>
              <w:right w:val="nil"/>
            </w:tcBorders>
            <w:tcMar>
              <w:top w:w="30" w:type="dxa"/>
              <w:left w:w="30" w:type="dxa"/>
              <w:bottom w:w="30" w:type="dxa"/>
              <w:right w:w="120" w:type="dxa"/>
            </w:tcMar>
            <w:vAlign w:val="center"/>
          </w:tcPr>
          <w:p w14:paraId="50428299"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2299100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6508E4B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213A0F5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468" w:type="dxa"/>
            <w:tcBorders>
              <w:top w:val="nil"/>
              <w:left w:val="nil"/>
              <w:bottom w:val="nil"/>
              <w:right w:val="nil"/>
            </w:tcBorders>
            <w:tcMar>
              <w:top w:w="30" w:type="dxa"/>
              <w:left w:w="30" w:type="dxa"/>
              <w:bottom w:w="30" w:type="dxa"/>
              <w:right w:w="120" w:type="dxa"/>
            </w:tcMar>
            <w:vAlign w:val="center"/>
          </w:tcPr>
          <w:p w14:paraId="4B6BBA4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30" w:type="dxa"/>
              <w:left w:w="120" w:type="dxa"/>
              <w:bottom w:w="30" w:type="dxa"/>
              <w:right w:w="0" w:type="dxa"/>
            </w:tcMar>
            <w:vAlign w:val="center"/>
          </w:tcPr>
          <w:p w14:paraId="7ED4F8D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4B5A8CB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6622ADD0" w14:textId="77777777" w:rsidTr="00B27A77">
        <w:trPr>
          <w:gridAfter w:val="2"/>
          <w:wAfter w:w="31" w:type="dxa"/>
          <w:cantSplit/>
          <w:trHeight w:val="447"/>
          <w:jc w:val="center"/>
        </w:trPr>
        <w:tc>
          <w:tcPr>
            <w:tcW w:w="2195" w:type="dxa"/>
            <w:tcBorders>
              <w:top w:val="nil"/>
              <w:left w:val="nil"/>
              <w:bottom w:val="nil"/>
              <w:right w:val="nil"/>
            </w:tcBorders>
            <w:tcMar>
              <w:top w:w="120" w:type="dxa"/>
              <w:left w:w="120" w:type="dxa"/>
              <w:bottom w:w="30" w:type="dxa"/>
              <w:right w:w="0" w:type="dxa"/>
            </w:tcMar>
            <w:vAlign w:val="center"/>
          </w:tcPr>
          <w:p w14:paraId="16E13725"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RSE</w:t>
            </w:r>
          </w:p>
        </w:tc>
        <w:tc>
          <w:tcPr>
            <w:tcW w:w="212" w:type="dxa"/>
            <w:tcBorders>
              <w:top w:val="nil"/>
              <w:left w:val="nil"/>
              <w:bottom w:val="nil"/>
              <w:right w:val="nil"/>
            </w:tcBorders>
            <w:tcMar>
              <w:top w:w="30" w:type="dxa"/>
              <w:left w:w="30" w:type="dxa"/>
              <w:bottom w:w="30" w:type="dxa"/>
              <w:right w:w="120" w:type="dxa"/>
            </w:tcMar>
            <w:vAlign w:val="center"/>
          </w:tcPr>
          <w:p w14:paraId="590D3DD0"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120" w:type="dxa"/>
              <w:left w:w="120" w:type="dxa"/>
              <w:bottom w:w="30" w:type="dxa"/>
              <w:right w:w="0" w:type="dxa"/>
            </w:tcMar>
            <w:vAlign w:val="center"/>
          </w:tcPr>
          <w:p w14:paraId="6C093751"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R de Pearson</w:t>
            </w:r>
          </w:p>
        </w:tc>
        <w:tc>
          <w:tcPr>
            <w:tcW w:w="214" w:type="dxa"/>
            <w:tcBorders>
              <w:top w:val="nil"/>
              <w:left w:val="nil"/>
              <w:bottom w:val="nil"/>
              <w:right w:val="nil"/>
            </w:tcBorders>
            <w:tcMar>
              <w:top w:w="30" w:type="dxa"/>
              <w:left w:w="30" w:type="dxa"/>
              <w:bottom w:w="30" w:type="dxa"/>
              <w:right w:w="120" w:type="dxa"/>
            </w:tcMar>
            <w:vAlign w:val="center"/>
          </w:tcPr>
          <w:p w14:paraId="389C07B3"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120" w:type="dxa"/>
              <w:left w:w="120" w:type="dxa"/>
              <w:bottom w:w="30" w:type="dxa"/>
              <w:right w:w="0" w:type="dxa"/>
            </w:tcMar>
            <w:vAlign w:val="center"/>
          </w:tcPr>
          <w:p w14:paraId="54E03FCF"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-0.597</w:t>
            </w:r>
          </w:p>
        </w:tc>
        <w:tc>
          <w:tcPr>
            <w:tcW w:w="468" w:type="dxa"/>
            <w:tcBorders>
              <w:top w:val="nil"/>
              <w:left w:val="nil"/>
              <w:bottom w:val="nil"/>
              <w:right w:val="nil"/>
            </w:tcBorders>
            <w:tcMar>
              <w:top w:w="30" w:type="dxa"/>
              <w:left w:w="30" w:type="dxa"/>
              <w:bottom w:w="30" w:type="dxa"/>
              <w:right w:w="120" w:type="dxa"/>
            </w:tcMar>
            <w:vAlign w:val="center"/>
          </w:tcPr>
          <w:p w14:paraId="39FCC39D"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747" w:type="dxa"/>
            <w:tcBorders>
              <w:top w:val="nil"/>
              <w:left w:val="nil"/>
              <w:bottom w:val="nil"/>
              <w:right w:val="nil"/>
            </w:tcBorders>
            <w:tcMar>
              <w:top w:w="120" w:type="dxa"/>
              <w:left w:w="120" w:type="dxa"/>
              <w:bottom w:w="30" w:type="dxa"/>
              <w:right w:w="0" w:type="dxa"/>
            </w:tcMar>
            <w:vAlign w:val="center"/>
          </w:tcPr>
          <w:p w14:paraId="30E92897"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-0.509</w:t>
            </w:r>
          </w:p>
        </w:tc>
        <w:tc>
          <w:tcPr>
            <w:tcW w:w="468" w:type="dxa"/>
            <w:tcBorders>
              <w:top w:val="nil"/>
              <w:left w:val="nil"/>
              <w:bottom w:val="nil"/>
              <w:right w:val="nil"/>
            </w:tcBorders>
            <w:tcMar>
              <w:top w:w="30" w:type="dxa"/>
              <w:left w:w="30" w:type="dxa"/>
              <w:bottom w:w="30" w:type="dxa"/>
              <w:right w:w="120" w:type="dxa"/>
            </w:tcMar>
            <w:vAlign w:val="center"/>
          </w:tcPr>
          <w:p w14:paraId="7BC6F86D"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747" w:type="dxa"/>
            <w:tcBorders>
              <w:top w:val="nil"/>
              <w:left w:val="nil"/>
              <w:bottom w:val="nil"/>
              <w:right w:val="nil"/>
            </w:tcBorders>
            <w:tcMar>
              <w:top w:w="120" w:type="dxa"/>
              <w:left w:w="120" w:type="dxa"/>
              <w:bottom w:w="30" w:type="dxa"/>
              <w:right w:w="0" w:type="dxa"/>
            </w:tcMar>
            <w:vAlign w:val="center"/>
          </w:tcPr>
          <w:p w14:paraId="1B356A0E"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6B3269A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120" w:type="dxa"/>
              <w:left w:w="120" w:type="dxa"/>
              <w:bottom w:w="30" w:type="dxa"/>
              <w:right w:w="0" w:type="dxa"/>
            </w:tcMar>
            <w:vAlign w:val="center"/>
          </w:tcPr>
          <w:p w14:paraId="080D4D2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0156485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0BD1B2CE" w14:textId="77777777" w:rsidTr="00B27A77">
        <w:trPr>
          <w:gridAfter w:val="2"/>
          <w:wAfter w:w="31" w:type="dxa"/>
          <w:cantSplit/>
          <w:trHeight w:val="210"/>
          <w:jc w:val="center"/>
        </w:trPr>
        <w:tc>
          <w:tcPr>
            <w:tcW w:w="2195" w:type="dxa"/>
            <w:tcBorders>
              <w:top w:val="nil"/>
              <w:left w:val="nil"/>
              <w:bottom w:val="nil"/>
              <w:right w:val="nil"/>
            </w:tcBorders>
            <w:tcMar>
              <w:top w:w="30" w:type="dxa"/>
              <w:left w:w="120" w:type="dxa"/>
              <w:bottom w:w="30" w:type="dxa"/>
              <w:right w:w="0" w:type="dxa"/>
            </w:tcMar>
            <w:vAlign w:val="center"/>
          </w:tcPr>
          <w:p w14:paraId="5B72EDD6"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nil"/>
              <w:right w:val="nil"/>
            </w:tcBorders>
            <w:tcMar>
              <w:top w:w="30" w:type="dxa"/>
              <w:left w:w="30" w:type="dxa"/>
              <w:bottom w:w="30" w:type="dxa"/>
              <w:right w:w="120" w:type="dxa"/>
            </w:tcMar>
            <w:vAlign w:val="center"/>
          </w:tcPr>
          <w:p w14:paraId="631B17E9"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30" w:type="dxa"/>
              <w:left w:w="120" w:type="dxa"/>
              <w:bottom w:w="30" w:type="dxa"/>
              <w:right w:w="0" w:type="dxa"/>
            </w:tcMar>
            <w:vAlign w:val="center"/>
          </w:tcPr>
          <w:p w14:paraId="21713870"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gl</w:t>
            </w:r>
          </w:p>
        </w:tc>
        <w:tc>
          <w:tcPr>
            <w:tcW w:w="214" w:type="dxa"/>
            <w:tcBorders>
              <w:top w:val="nil"/>
              <w:left w:val="nil"/>
              <w:bottom w:val="nil"/>
              <w:right w:val="nil"/>
            </w:tcBorders>
            <w:tcMar>
              <w:top w:w="30" w:type="dxa"/>
              <w:left w:w="30" w:type="dxa"/>
              <w:bottom w:w="30" w:type="dxa"/>
              <w:right w:w="120" w:type="dxa"/>
            </w:tcMar>
            <w:vAlign w:val="center"/>
          </w:tcPr>
          <w:p w14:paraId="0F8EDEA8"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77008ED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6B740C8A"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5E120CE2"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75851297"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0D27188E"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2FE5B01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30" w:type="dxa"/>
              <w:left w:w="120" w:type="dxa"/>
              <w:bottom w:w="30" w:type="dxa"/>
              <w:right w:w="0" w:type="dxa"/>
            </w:tcMar>
            <w:vAlign w:val="center"/>
          </w:tcPr>
          <w:p w14:paraId="19A043A9"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345068D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72D9AF9D" w14:textId="77777777" w:rsidTr="00B27A77">
        <w:trPr>
          <w:gridAfter w:val="2"/>
          <w:wAfter w:w="31" w:type="dxa"/>
          <w:cantSplit/>
          <w:trHeight w:val="258"/>
          <w:jc w:val="center"/>
        </w:trPr>
        <w:tc>
          <w:tcPr>
            <w:tcW w:w="2195" w:type="dxa"/>
            <w:tcBorders>
              <w:top w:val="nil"/>
              <w:left w:val="nil"/>
              <w:bottom w:val="nil"/>
              <w:right w:val="nil"/>
            </w:tcBorders>
            <w:tcMar>
              <w:top w:w="30" w:type="dxa"/>
              <w:left w:w="120" w:type="dxa"/>
              <w:bottom w:w="30" w:type="dxa"/>
              <w:right w:w="0" w:type="dxa"/>
            </w:tcMar>
            <w:vAlign w:val="center"/>
          </w:tcPr>
          <w:p w14:paraId="06C54801"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nil"/>
              <w:right w:val="nil"/>
            </w:tcBorders>
            <w:tcMar>
              <w:top w:w="30" w:type="dxa"/>
              <w:left w:w="30" w:type="dxa"/>
              <w:bottom w:w="30" w:type="dxa"/>
              <w:right w:w="120" w:type="dxa"/>
            </w:tcMar>
            <w:vAlign w:val="center"/>
          </w:tcPr>
          <w:p w14:paraId="5968068F"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30" w:type="dxa"/>
              <w:left w:w="120" w:type="dxa"/>
              <w:bottom w:w="30" w:type="dxa"/>
              <w:right w:w="0" w:type="dxa"/>
            </w:tcMar>
            <w:vAlign w:val="center"/>
          </w:tcPr>
          <w:p w14:paraId="06D07EA2"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valor p</w:t>
            </w:r>
          </w:p>
        </w:tc>
        <w:tc>
          <w:tcPr>
            <w:tcW w:w="214" w:type="dxa"/>
            <w:tcBorders>
              <w:top w:val="nil"/>
              <w:left w:val="nil"/>
              <w:bottom w:val="nil"/>
              <w:right w:val="nil"/>
            </w:tcBorders>
            <w:tcMar>
              <w:top w:w="30" w:type="dxa"/>
              <w:left w:w="30" w:type="dxa"/>
              <w:bottom w:w="30" w:type="dxa"/>
              <w:right w:w="120" w:type="dxa"/>
            </w:tcMar>
            <w:vAlign w:val="center"/>
          </w:tcPr>
          <w:p w14:paraId="0796C8CC"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3EA1F99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nil"/>
              <w:right w:val="nil"/>
            </w:tcBorders>
            <w:tcMar>
              <w:top w:w="30" w:type="dxa"/>
              <w:left w:w="30" w:type="dxa"/>
              <w:bottom w:w="30" w:type="dxa"/>
              <w:right w:w="120" w:type="dxa"/>
            </w:tcMar>
            <w:vAlign w:val="center"/>
          </w:tcPr>
          <w:p w14:paraId="66F0507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2C4C0428"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nil"/>
              <w:right w:val="nil"/>
            </w:tcBorders>
            <w:tcMar>
              <w:top w:w="30" w:type="dxa"/>
              <w:left w:w="30" w:type="dxa"/>
              <w:bottom w:w="30" w:type="dxa"/>
              <w:right w:w="120" w:type="dxa"/>
            </w:tcMar>
            <w:vAlign w:val="center"/>
          </w:tcPr>
          <w:p w14:paraId="7B482FF8"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1B653B33"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468" w:type="dxa"/>
            <w:tcBorders>
              <w:top w:val="nil"/>
              <w:left w:val="nil"/>
              <w:bottom w:val="nil"/>
              <w:right w:val="nil"/>
            </w:tcBorders>
            <w:tcMar>
              <w:top w:w="30" w:type="dxa"/>
              <w:left w:w="30" w:type="dxa"/>
              <w:bottom w:w="30" w:type="dxa"/>
              <w:right w:w="120" w:type="dxa"/>
            </w:tcMar>
            <w:vAlign w:val="center"/>
          </w:tcPr>
          <w:p w14:paraId="159CE1FB"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30" w:type="dxa"/>
              <w:left w:w="120" w:type="dxa"/>
              <w:bottom w:w="30" w:type="dxa"/>
              <w:right w:w="0" w:type="dxa"/>
            </w:tcMar>
            <w:vAlign w:val="center"/>
          </w:tcPr>
          <w:p w14:paraId="3E96147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29" w:type="dxa"/>
            <w:tcBorders>
              <w:top w:val="nil"/>
              <w:left w:val="nil"/>
              <w:bottom w:val="nil"/>
              <w:right w:val="nil"/>
            </w:tcBorders>
            <w:tcMar>
              <w:top w:w="30" w:type="dxa"/>
              <w:left w:w="30" w:type="dxa"/>
              <w:bottom w:w="30" w:type="dxa"/>
              <w:right w:w="120" w:type="dxa"/>
            </w:tcMar>
            <w:vAlign w:val="center"/>
          </w:tcPr>
          <w:p w14:paraId="1E9C724D"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6A68FDA2" w14:textId="77777777" w:rsidTr="00B27A77">
        <w:trPr>
          <w:gridAfter w:val="2"/>
          <w:wAfter w:w="31" w:type="dxa"/>
          <w:cantSplit/>
          <w:trHeight w:val="424"/>
          <w:jc w:val="center"/>
        </w:trPr>
        <w:tc>
          <w:tcPr>
            <w:tcW w:w="2195" w:type="dxa"/>
            <w:tcBorders>
              <w:top w:val="nil"/>
              <w:left w:val="nil"/>
              <w:bottom w:val="nil"/>
              <w:right w:val="nil"/>
            </w:tcBorders>
            <w:tcMar>
              <w:top w:w="120" w:type="dxa"/>
              <w:left w:w="120" w:type="dxa"/>
              <w:bottom w:w="30" w:type="dxa"/>
              <w:right w:w="0" w:type="dxa"/>
            </w:tcMar>
            <w:vAlign w:val="center"/>
          </w:tcPr>
          <w:p w14:paraId="24330A5B"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Tiempo total en horas</w:t>
            </w:r>
          </w:p>
        </w:tc>
        <w:tc>
          <w:tcPr>
            <w:tcW w:w="212" w:type="dxa"/>
            <w:tcBorders>
              <w:top w:val="nil"/>
              <w:left w:val="nil"/>
              <w:bottom w:val="nil"/>
              <w:right w:val="nil"/>
            </w:tcBorders>
            <w:tcMar>
              <w:top w:w="30" w:type="dxa"/>
              <w:left w:w="30" w:type="dxa"/>
              <w:bottom w:w="30" w:type="dxa"/>
              <w:right w:w="120" w:type="dxa"/>
            </w:tcMar>
            <w:vAlign w:val="center"/>
          </w:tcPr>
          <w:p w14:paraId="55210353"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120" w:type="dxa"/>
              <w:left w:w="120" w:type="dxa"/>
              <w:bottom w:w="30" w:type="dxa"/>
              <w:right w:w="0" w:type="dxa"/>
            </w:tcMar>
            <w:vAlign w:val="center"/>
          </w:tcPr>
          <w:p w14:paraId="6E895ED1"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R de Pearson</w:t>
            </w:r>
          </w:p>
        </w:tc>
        <w:tc>
          <w:tcPr>
            <w:tcW w:w="214" w:type="dxa"/>
            <w:tcBorders>
              <w:top w:val="nil"/>
              <w:left w:val="nil"/>
              <w:bottom w:val="nil"/>
              <w:right w:val="nil"/>
            </w:tcBorders>
            <w:tcMar>
              <w:top w:w="30" w:type="dxa"/>
              <w:left w:w="30" w:type="dxa"/>
              <w:bottom w:w="30" w:type="dxa"/>
              <w:right w:w="120" w:type="dxa"/>
            </w:tcMar>
            <w:vAlign w:val="center"/>
          </w:tcPr>
          <w:p w14:paraId="270765B3"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120" w:type="dxa"/>
              <w:left w:w="120" w:type="dxa"/>
              <w:bottom w:w="30" w:type="dxa"/>
              <w:right w:w="0" w:type="dxa"/>
            </w:tcMar>
            <w:vAlign w:val="center"/>
          </w:tcPr>
          <w:p w14:paraId="61D53B8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0.450</w:t>
            </w:r>
          </w:p>
        </w:tc>
        <w:tc>
          <w:tcPr>
            <w:tcW w:w="468" w:type="dxa"/>
            <w:tcBorders>
              <w:top w:val="nil"/>
              <w:left w:val="nil"/>
              <w:bottom w:val="nil"/>
              <w:right w:val="nil"/>
            </w:tcBorders>
            <w:tcMar>
              <w:top w:w="30" w:type="dxa"/>
              <w:left w:w="30" w:type="dxa"/>
              <w:bottom w:w="30" w:type="dxa"/>
              <w:right w:w="120" w:type="dxa"/>
            </w:tcMar>
            <w:vAlign w:val="center"/>
          </w:tcPr>
          <w:p w14:paraId="4C5A5A8D"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747" w:type="dxa"/>
            <w:tcBorders>
              <w:top w:val="nil"/>
              <w:left w:val="nil"/>
              <w:bottom w:val="nil"/>
              <w:right w:val="nil"/>
            </w:tcBorders>
            <w:tcMar>
              <w:top w:w="120" w:type="dxa"/>
              <w:left w:w="120" w:type="dxa"/>
              <w:bottom w:w="30" w:type="dxa"/>
              <w:right w:w="0" w:type="dxa"/>
            </w:tcMar>
            <w:vAlign w:val="center"/>
          </w:tcPr>
          <w:p w14:paraId="4150B44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0.443</w:t>
            </w:r>
          </w:p>
        </w:tc>
        <w:tc>
          <w:tcPr>
            <w:tcW w:w="468" w:type="dxa"/>
            <w:tcBorders>
              <w:top w:val="nil"/>
              <w:left w:val="nil"/>
              <w:bottom w:val="nil"/>
              <w:right w:val="nil"/>
            </w:tcBorders>
            <w:tcMar>
              <w:top w:w="30" w:type="dxa"/>
              <w:left w:w="30" w:type="dxa"/>
              <w:bottom w:w="30" w:type="dxa"/>
              <w:right w:w="120" w:type="dxa"/>
            </w:tcMar>
            <w:vAlign w:val="center"/>
          </w:tcPr>
          <w:p w14:paraId="50200412"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747" w:type="dxa"/>
            <w:tcBorders>
              <w:top w:val="nil"/>
              <w:left w:val="nil"/>
              <w:bottom w:val="nil"/>
              <w:right w:val="nil"/>
            </w:tcBorders>
            <w:tcMar>
              <w:top w:w="120" w:type="dxa"/>
              <w:left w:w="120" w:type="dxa"/>
              <w:bottom w:w="30" w:type="dxa"/>
              <w:right w:w="0" w:type="dxa"/>
            </w:tcMar>
            <w:vAlign w:val="center"/>
          </w:tcPr>
          <w:p w14:paraId="7748F3F0"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-0.335</w:t>
            </w:r>
          </w:p>
        </w:tc>
        <w:tc>
          <w:tcPr>
            <w:tcW w:w="468" w:type="dxa"/>
            <w:tcBorders>
              <w:top w:val="nil"/>
              <w:left w:val="nil"/>
              <w:bottom w:val="nil"/>
              <w:right w:val="nil"/>
            </w:tcBorders>
            <w:tcMar>
              <w:top w:w="30" w:type="dxa"/>
              <w:left w:w="30" w:type="dxa"/>
              <w:bottom w:w="30" w:type="dxa"/>
              <w:right w:w="120" w:type="dxa"/>
            </w:tcMar>
            <w:vAlign w:val="center"/>
          </w:tcPr>
          <w:p w14:paraId="44C33061"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w:t>
            </w:r>
          </w:p>
        </w:tc>
        <w:tc>
          <w:tcPr>
            <w:tcW w:w="228" w:type="dxa"/>
            <w:tcBorders>
              <w:top w:val="nil"/>
              <w:left w:val="nil"/>
              <w:bottom w:val="nil"/>
              <w:right w:val="nil"/>
            </w:tcBorders>
            <w:tcMar>
              <w:top w:w="120" w:type="dxa"/>
              <w:left w:w="120" w:type="dxa"/>
              <w:bottom w:w="30" w:type="dxa"/>
              <w:right w:w="0" w:type="dxa"/>
            </w:tcMar>
            <w:vAlign w:val="center"/>
          </w:tcPr>
          <w:p w14:paraId="0F23CC30"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9" w:type="dxa"/>
            <w:tcBorders>
              <w:top w:val="nil"/>
              <w:left w:val="nil"/>
              <w:bottom w:val="nil"/>
              <w:right w:val="nil"/>
            </w:tcBorders>
            <w:tcMar>
              <w:top w:w="30" w:type="dxa"/>
              <w:left w:w="30" w:type="dxa"/>
              <w:bottom w:w="30" w:type="dxa"/>
              <w:right w:w="120" w:type="dxa"/>
            </w:tcMar>
            <w:vAlign w:val="center"/>
          </w:tcPr>
          <w:p w14:paraId="6B5D03D5"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51DDE240" w14:textId="77777777" w:rsidTr="00B27A77">
        <w:trPr>
          <w:gridAfter w:val="2"/>
          <w:wAfter w:w="31" w:type="dxa"/>
          <w:cantSplit/>
          <w:trHeight w:val="235"/>
          <w:jc w:val="center"/>
        </w:trPr>
        <w:tc>
          <w:tcPr>
            <w:tcW w:w="2195" w:type="dxa"/>
            <w:tcBorders>
              <w:top w:val="nil"/>
              <w:left w:val="nil"/>
              <w:bottom w:val="nil"/>
              <w:right w:val="nil"/>
            </w:tcBorders>
            <w:tcMar>
              <w:top w:w="30" w:type="dxa"/>
              <w:left w:w="120" w:type="dxa"/>
              <w:bottom w:w="30" w:type="dxa"/>
              <w:right w:w="0" w:type="dxa"/>
            </w:tcMar>
            <w:vAlign w:val="center"/>
          </w:tcPr>
          <w:p w14:paraId="58D72869"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nil"/>
              <w:right w:val="nil"/>
            </w:tcBorders>
            <w:tcMar>
              <w:top w:w="30" w:type="dxa"/>
              <w:left w:w="30" w:type="dxa"/>
              <w:bottom w:w="30" w:type="dxa"/>
              <w:right w:w="120" w:type="dxa"/>
            </w:tcMar>
            <w:vAlign w:val="center"/>
          </w:tcPr>
          <w:p w14:paraId="513627F3"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nil"/>
              <w:right w:val="nil"/>
            </w:tcBorders>
            <w:tcMar>
              <w:top w:w="30" w:type="dxa"/>
              <w:left w:w="120" w:type="dxa"/>
              <w:bottom w:w="30" w:type="dxa"/>
              <w:right w:w="0" w:type="dxa"/>
            </w:tcMar>
            <w:vAlign w:val="center"/>
          </w:tcPr>
          <w:p w14:paraId="25A76D05"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gl</w:t>
            </w:r>
          </w:p>
        </w:tc>
        <w:tc>
          <w:tcPr>
            <w:tcW w:w="214" w:type="dxa"/>
            <w:tcBorders>
              <w:top w:val="nil"/>
              <w:left w:val="nil"/>
              <w:bottom w:val="nil"/>
              <w:right w:val="nil"/>
            </w:tcBorders>
            <w:tcMar>
              <w:top w:w="30" w:type="dxa"/>
              <w:left w:w="30" w:type="dxa"/>
              <w:bottom w:w="30" w:type="dxa"/>
              <w:right w:w="120" w:type="dxa"/>
            </w:tcMar>
            <w:vAlign w:val="center"/>
          </w:tcPr>
          <w:p w14:paraId="230E2732"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71025C7D"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02A3118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44E389D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682C8A66"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nil"/>
              <w:right w:val="nil"/>
            </w:tcBorders>
            <w:tcMar>
              <w:top w:w="30" w:type="dxa"/>
              <w:left w:w="120" w:type="dxa"/>
              <w:bottom w:w="30" w:type="dxa"/>
              <w:right w:w="0" w:type="dxa"/>
            </w:tcMar>
            <w:vAlign w:val="center"/>
          </w:tcPr>
          <w:p w14:paraId="0FC654DB"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161</w:t>
            </w:r>
          </w:p>
        </w:tc>
        <w:tc>
          <w:tcPr>
            <w:tcW w:w="468" w:type="dxa"/>
            <w:tcBorders>
              <w:top w:val="nil"/>
              <w:left w:val="nil"/>
              <w:bottom w:val="nil"/>
              <w:right w:val="nil"/>
            </w:tcBorders>
            <w:tcMar>
              <w:top w:w="30" w:type="dxa"/>
              <w:left w:w="30" w:type="dxa"/>
              <w:bottom w:w="30" w:type="dxa"/>
              <w:right w:w="120" w:type="dxa"/>
            </w:tcMar>
            <w:vAlign w:val="center"/>
          </w:tcPr>
          <w:p w14:paraId="46B21B51"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nil"/>
              <w:right w:val="nil"/>
            </w:tcBorders>
            <w:tcMar>
              <w:top w:w="30" w:type="dxa"/>
              <w:left w:w="120" w:type="dxa"/>
              <w:bottom w:w="30" w:type="dxa"/>
              <w:right w:w="0" w:type="dxa"/>
            </w:tcMar>
            <w:vAlign w:val="center"/>
          </w:tcPr>
          <w:p w14:paraId="39CED063"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9" w:type="dxa"/>
            <w:tcBorders>
              <w:top w:val="nil"/>
              <w:left w:val="nil"/>
              <w:bottom w:val="nil"/>
              <w:right w:val="nil"/>
            </w:tcBorders>
            <w:tcMar>
              <w:top w:w="30" w:type="dxa"/>
              <w:left w:w="30" w:type="dxa"/>
              <w:bottom w:w="30" w:type="dxa"/>
              <w:right w:w="120" w:type="dxa"/>
            </w:tcMar>
            <w:vAlign w:val="center"/>
          </w:tcPr>
          <w:p w14:paraId="4E1D3743" w14:textId="77777777" w:rsidR="00371A08" w:rsidRPr="00C17A7B" w:rsidRDefault="00371A08">
            <w:pPr>
              <w:jc w:val="center"/>
              <w:rPr>
                <w:rFonts w:ascii="Quattrocento Sans" w:eastAsia="Quattrocento Sans" w:hAnsi="Quattrocento Sans" w:cs="Quattrocento Sans"/>
                <w:color w:val="000000" w:themeColor="text1"/>
                <w:sz w:val="18"/>
                <w:szCs w:val="18"/>
              </w:rPr>
            </w:pPr>
          </w:p>
        </w:tc>
      </w:tr>
      <w:tr w:rsidR="00C17A7B" w:rsidRPr="00C17A7B" w14:paraId="6C915F97" w14:textId="77777777" w:rsidTr="00B27A77">
        <w:trPr>
          <w:gridAfter w:val="2"/>
          <w:wAfter w:w="31" w:type="dxa"/>
          <w:cantSplit/>
          <w:trHeight w:val="235"/>
          <w:jc w:val="center"/>
        </w:trPr>
        <w:tc>
          <w:tcPr>
            <w:tcW w:w="2195" w:type="dxa"/>
            <w:tcBorders>
              <w:top w:val="nil"/>
              <w:left w:val="nil"/>
              <w:bottom w:val="single" w:sz="12" w:space="0" w:color="333333"/>
              <w:right w:val="nil"/>
            </w:tcBorders>
            <w:tcMar>
              <w:top w:w="30" w:type="dxa"/>
              <w:left w:w="120" w:type="dxa"/>
              <w:bottom w:w="120" w:type="dxa"/>
              <w:right w:w="0" w:type="dxa"/>
            </w:tcMar>
            <w:vAlign w:val="center"/>
          </w:tcPr>
          <w:p w14:paraId="483D9415"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w:t>
            </w:r>
          </w:p>
        </w:tc>
        <w:tc>
          <w:tcPr>
            <w:tcW w:w="212" w:type="dxa"/>
            <w:tcBorders>
              <w:top w:val="nil"/>
              <w:left w:val="nil"/>
              <w:bottom w:val="single" w:sz="12" w:space="0" w:color="333333"/>
              <w:right w:val="nil"/>
            </w:tcBorders>
            <w:tcMar>
              <w:top w:w="30" w:type="dxa"/>
              <w:left w:w="30" w:type="dxa"/>
              <w:bottom w:w="120" w:type="dxa"/>
              <w:right w:w="120" w:type="dxa"/>
            </w:tcMar>
            <w:vAlign w:val="center"/>
          </w:tcPr>
          <w:p w14:paraId="7D66B381"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1369" w:type="dxa"/>
            <w:tcBorders>
              <w:top w:val="nil"/>
              <w:left w:val="nil"/>
              <w:bottom w:val="single" w:sz="12" w:space="0" w:color="333333"/>
              <w:right w:val="nil"/>
            </w:tcBorders>
            <w:tcMar>
              <w:top w:w="30" w:type="dxa"/>
              <w:left w:w="120" w:type="dxa"/>
              <w:bottom w:w="120" w:type="dxa"/>
              <w:right w:w="0" w:type="dxa"/>
            </w:tcMar>
            <w:vAlign w:val="center"/>
          </w:tcPr>
          <w:p w14:paraId="68015FCF"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valor p</w:t>
            </w:r>
          </w:p>
        </w:tc>
        <w:tc>
          <w:tcPr>
            <w:tcW w:w="214" w:type="dxa"/>
            <w:tcBorders>
              <w:top w:val="nil"/>
              <w:left w:val="nil"/>
              <w:bottom w:val="single" w:sz="12" w:space="0" w:color="333333"/>
              <w:right w:val="nil"/>
            </w:tcBorders>
            <w:tcMar>
              <w:top w:w="30" w:type="dxa"/>
              <w:left w:w="30" w:type="dxa"/>
              <w:bottom w:w="120" w:type="dxa"/>
              <w:right w:w="120" w:type="dxa"/>
            </w:tcMar>
            <w:vAlign w:val="center"/>
          </w:tcPr>
          <w:p w14:paraId="17C58376" w14:textId="77777777" w:rsidR="00371A08" w:rsidRPr="00C17A7B" w:rsidRDefault="00371A08">
            <w:pPr>
              <w:rPr>
                <w:rFonts w:ascii="Quattrocento Sans" w:eastAsia="Quattrocento Sans" w:hAnsi="Quattrocento Sans" w:cs="Quattrocento Sans"/>
                <w:color w:val="000000" w:themeColor="text1"/>
                <w:sz w:val="18"/>
                <w:szCs w:val="18"/>
              </w:rPr>
            </w:pPr>
          </w:p>
        </w:tc>
        <w:tc>
          <w:tcPr>
            <w:tcW w:w="747" w:type="dxa"/>
            <w:tcBorders>
              <w:top w:val="nil"/>
              <w:left w:val="nil"/>
              <w:bottom w:val="single" w:sz="12" w:space="0" w:color="333333"/>
              <w:right w:val="nil"/>
            </w:tcBorders>
            <w:tcMar>
              <w:top w:w="30" w:type="dxa"/>
              <w:left w:w="120" w:type="dxa"/>
              <w:bottom w:w="120" w:type="dxa"/>
              <w:right w:w="0" w:type="dxa"/>
            </w:tcMar>
            <w:vAlign w:val="center"/>
          </w:tcPr>
          <w:p w14:paraId="0F50F1A1"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single" w:sz="12" w:space="0" w:color="333333"/>
              <w:right w:val="nil"/>
            </w:tcBorders>
            <w:tcMar>
              <w:top w:w="30" w:type="dxa"/>
              <w:left w:w="30" w:type="dxa"/>
              <w:bottom w:w="120" w:type="dxa"/>
              <w:right w:w="120" w:type="dxa"/>
            </w:tcMar>
            <w:vAlign w:val="center"/>
          </w:tcPr>
          <w:p w14:paraId="2F5263F6"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single" w:sz="12" w:space="0" w:color="333333"/>
              <w:right w:val="nil"/>
            </w:tcBorders>
            <w:tcMar>
              <w:top w:w="30" w:type="dxa"/>
              <w:left w:w="120" w:type="dxa"/>
              <w:bottom w:w="120" w:type="dxa"/>
              <w:right w:w="0" w:type="dxa"/>
            </w:tcMar>
            <w:vAlign w:val="center"/>
          </w:tcPr>
          <w:p w14:paraId="06D1B03C"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single" w:sz="12" w:space="0" w:color="333333"/>
              <w:right w:val="nil"/>
            </w:tcBorders>
            <w:tcMar>
              <w:top w:w="30" w:type="dxa"/>
              <w:left w:w="30" w:type="dxa"/>
              <w:bottom w:w="120" w:type="dxa"/>
              <w:right w:w="120" w:type="dxa"/>
            </w:tcMar>
            <w:vAlign w:val="center"/>
          </w:tcPr>
          <w:p w14:paraId="3562956F"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747" w:type="dxa"/>
            <w:tcBorders>
              <w:top w:val="nil"/>
              <w:left w:val="nil"/>
              <w:bottom w:val="single" w:sz="12" w:space="0" w:color="333333"/>
              <w:right w:val="nil"/>
            </w:tcBorders>
            <w:tcMar>
              <w:top w:w="30" w:type="dxa"/>
              <w:left w:w="120" w:type="dxa"/>
              <w:bottom w:w="120" w:type="dxa"/>
              <w:right w:w="0" w:type="dxa"/>
            </w:tcMar>
            <w:vAlign w:val="center"/>
          </w:tcPr>
          <w:p w14:paraId="220BA08A" w14:textId="77777777" w:rsidR="00371A08" w:rsidRPr="00C17A7B" w:rsidRDefault="00000000">
            <w:pPr>
              <w:jc w:val="right"/>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&lt; .001</w:t>
            </w:r>
          </w:p>
        </w:tc>
        <w:tc>
          <w:tcPr>
            <w:tcW w:w="468" w:type="dxa"/>
            <w:tcBorders>
              <w:top w:val="nil"/>
              <w:left w:val="nil"/>
              <w:bottom w:val="single" w:sz="12" w:space="0" w:color="333333"/>
              <w:right w:val="nil"/>
            </w:tcBorders>
            <w:tcMar>
              <w:top w:w="30" w:type="dxa"/>
              <w:left w:w="30" w:type="dxa"/>
              <w:bottom w:w="120" w:type="dxa"/>
              <w:right w:w="120" w:type="dxa"/>
            </w:tcMar>
            <w:vAlign w:val="center"/>
          </w:tcPr>
          <w:p w14:paraId="331A801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c>
          <w:tcPr>
            <w:tcW w:w="228" w:type="dxa"/>
            <w:tcBorders>
              <w:top w:val="nil"/>
              <w:left w:val="nil"/>
              <w:bottom w:val="single" w:sz="12" w:space="0" w:color="333333"/>
              <w:right w:val="nil"/>
            </w:tcBorders>
            <w:tcMar>
              <w:top w:w="30" w:type="dxa"/>
              <w:left w:w="120" w:type="dxa"/>
              <w:bottom w:w="120" w:type="dxa"/>
              <w:right w:w="0" w:type="dxa"/>
            </w:tcMar>
            <w:vAlign w:val="center"/>
          </w:tcPr>
          <w:p w14:paraId="1AB191EF" w14:textId="77777777" w:rsidR="00371A08" w:rsidRPr="00C17A7B" w:rsidRDefault="00371A08">
            <w:pPr>
              <w:jc w:val="center"/>
              <w:rPr>
                <w:rFonts w:ascii="Quattrocento Sans" w:eastAsia="Quattrocento Sans" w:hAnsi="Quattrocento Sans" w:cs="Quattrocento Sans"/>
                <w:color w:val="000000" w:themeColor="text1"/>
                <w:sz w:val="18"/>
                <w:szCs w:val="18"/>
              </w:rPr>
            </w:pPr>
          </w:p>
        </w:tc>
        <w:tc>
          <w:tcPr>
            <w:tcW w:w="229" w:type="dxa"/>
            <w:tcBorders>
              <w:top w:val="nil"/>
              <w:left w:val="nil"/>
              <w:bottom w:val="single" w:sz="12" w:space="0" w:color="333333"/>
              <w:right w:val="nil"/>
            </w:tcBorders>
            <w:tcMar>
              <w:top w:w="30" w:type="dxa"/>
              <w:left w:w="30" w:type="dxa"/>
              <w:bottom w:w="120" w:type="dxa"/>
              <w:right w:w="120" w:type="dxa"/>
            </w:tcMar>
            <w:vAlign w:val="center"/>
          </w:tcPr>
          <w:p w14:paraId="2938368C" w14:textId="77777777" w:rsidR="00371A08" w:rsidRPr="00C17A7B" w:rsidRDefault="00371A08">
            <w:pPr>
              <w:jc w:val="right"/>
              <w:rPr>
                <w:rFonts w:ascii="Quattrocento Sans" w:eastAsia="Quattrocento Sans" w:hAnsi="Quattrocento Sans" w:cs="Quattrocento Sans"/>
                <w:color w:val="000000" w:themeColor="text1"/>
                <w:sz w:val="18"/>
                <w:szCs w:val="18"/>
              </w:rPr>
            </w:pPr>
          </w:p>
        </w:tc>
      </w:tr>
      <w:tr w:rsidR="00C17A7B" w:rsidRPr="00C17A7B" w14:paraId="1428DAA2" w14:textId="77777777" w:rsidTr="00B27A77">
        <w:trPr>
          <w:cantSplit/>
          <w:trHeight w:val="849"/>
          <w:jc w:val="center"/>
        </w:trPr>
        <w:tc>
          <w:tcPr>
            <w:tcW w:w="8123" w:type="dxa"/>
            <w:gridSpan w:val="14"/>
            <w:tcBorders>
              <w:top w:val="nil"/>
              <w:left w:val="nil"/>
              <w:bottom w:val="nil"/>
              <w:right w:val="nil"/>
            </w:tcBorders>
            <w:tcMar>
              <w:top w:w="90" w:type="dxa"/>
              <w:left w:w="120" w:type="dxa"/>
              <w:bottom w:w="30" w:type="dxa"/>
              <w:right w:w="120" w:type="dxa"/>
            </w:tcMar>
            <w:vAlign w:val="center"/>
          </w:tcPr>
          <w:p w14:paraId="200D0FAE"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Nota. * p &lt; .05, ** p &lt; .01, *** p &lt; .001</w:t>
            </w:r>
          </w:p>
          <w:p w14:paraId="301F4860"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xml:space="preserve">BSQ: </w:t>
            </w:r>
            <w:bookmarkStart w:id="0" w:name="bookmark=id.gjdgxs" w:colFirst="0" w:colLast="0"/>
            <w:bookmarkEnd w:id="0"/>
            <w:r w:rsidRPr="00C17A7B">
              <w:rPr>
                <w:rFonts w:ascii="Quattrocento Sans" w:eastAsia="Quattrocento Sans" w:hAnsi="Quattrocento Sans" w:cs="Quattrocento Sans"/>
                <w:color w:val="000000" w:themeColor="text1"/>
                <w:sz w:val="18"/>
                <w:szCs w:val="18"/>
              </w:rPr>
              <w:t>Evaluación de la insatisfacción corporal y autoimagen</w:t>
            </w:r>
            <w:r w:rsidRPr="00C17A7B">
              <w:rPr>
                <w:rFonts w:ascii="Quattrocento Sans" w:eastAsia="Quattrocento Sans" w:hAnsi="Quattrocento Sans" w:cs="Quattrocento Sans"/>
                <w:color w:val="000000" w:themeColor="text1"/>
                <w:sz w:val="18"/>
                <w:szCs w:val="18"/>
              </w:rPr>
              <w:br/>
              <w:t xml:space="preserve">EAT-26: Escala para la evaluación de la sintomatología TCA </w:t>
            </w:r>
          </w:p>
          <w:p w14:paraId="3B284D43" w14:textId="77777777" w:rsidR="00371A08" w:rsidRPr="00C17A7B" w:rsidRDefault="00000000">
            <w:pPr>
              <w:rPr>
                <w:rFonts w:ascii="Quattrocento Sans" w:eastAsia="Quattrocento Sans" w:hAnsi="Quattrocento Sans" w:cs="Quattrocento Sans"/>
                <w:color w:val="000000" w:themeColor="text1"/>
                <w:sz w:val="18"/>
                <w:szCs w:val="18"/>
              </w:rPr>
            </w:pPr>
            <w:r w:rsidRPr="00C17A7B">
              <w:rPr>
                <w:rFonts w:ascii="Quattrocento Sans" w:eastAsia="Quattrocento Sans" w:hAnsi="Quattrocento Sans" w:cs="Quattrocento Sans"/>
                <w:color w:val="000000" w:themeColor="text1"/>
                <w:sz w:val="18"/>
                <w:szCs w:val="18"/>
              </w:rPr>
              <w:t xml:space="preserve">RSE: Escala de Autoestima de Rosenberg </w:t>
            </w:r>
          </w:p>
        </w:tc>
      </w:tr>
      <w:tr w:rsidR="00371A08" w:rsidRPr="00C17A7B" w14:paraId="1B2D1BB6" w14:textId="77777777" w:rsidTr="00B27A77">
        <w:trPr>
          <w:cantSplit/>
          <w:trHeight w:val="235"/>
          <w:jc w:val="center"/>
        </w:trPr>
        <w:tc>
          <w:tcPr>
            <w:tcW w:w="8123" w:type="dxa"/>
            <w:gridSpan w:val="14"/>
            <w:tcBorders>
              <w:top w:val="nil"/>
              <w:left w:val="nil"/>
              <w:bottom w:val="nil"/>
              <w:right w:val="nil"/>
            </w:tcBorders>
            <w:tcMar>
              <w:top w:w="30" w:type="dxa"/>
              <w:left w:w="120" w:type="dxa"/>
              <w:bottom w:w="30" w:type="dxa"/>
              <w:right w:w="120" w:type="dxa"/>
            </w:tcMar>
            <w:vAlign w:val="center"/>
          </w:tcPr>
          <w:p w14:paraId="7E5843C7" w14:textId="77777777" w:rsidR="00371A08" w:rsidRPr="00C17A7B" w:rsidRDefault="00371A08">
            <w:pPr>
              <w:rPr>
                <w:rFonts w:ascii="Quattrocento Sans" w:eastAsia="Quattrocento Sans" w:hAnsi="Quattrocento Sans" w:cs="Quattrocento Sans"/>
                <w:color w:val="000000" w:themeColor="text1"/>
                <w:sz w:val="18"/>
                <w:szCs w:val="18"/>
              </w:rPr>
            </w:pPr>
          </w:p>
        </w:tc>
      </w:tr>
    </w:tbl>
    <w:p w14:paraId="04DF0E00" w14:textId="77777777" w:rsidR="008C6DCA" w:rsidRPr="00C17A7B" w:rsidRDefault="008C6DCA" w:rsidP="008C6DCA">
      <w:pPr>
        <w:spacing w:line="480" w:lineRule="auto"/>
        <w:rPr>
          <w:rFonts w:ascii="Times" w:eastAsia="Times" w:hAnsi="Times" w:cs="Times"/>
          <w:b/>
          <w:color w:val="000000" w:themeColor="text1"/>
        </w:rPr>
      </w:pPr>
    </w:p>
    <w:p w14:paraId="6CB97BB1" w14:textId="77777777" w:rsidR="008C6DCA" w:rsidRPr="00C17A7B" w:rsidRDefault="008C6DCA">
      <w:pPr>
        <w:spacing w:line="480" w:lineRule="auto"/>
        <w:jc w:val="center"/>
        <w:rPr>
          <w:rFonts w:ascii="Times" w:eastAsia="Times" w:hAnsi="Times" w:cs="Times"/>
          <w:b/>
          <w:color w:val="000000" w:themeColor="text1"/>
        </w:rPr>
      </w:pPr>
    </w:p>
    <w:p w14:paraId="6494B870" w14:textId="77777777" w:rsidR="008C6DCA" w:rsidRPr="00C17A7B" w:rsidRDefault="008C6DCA">
      <w:pPr>
        <w:spacing w:line="480" w:lineRule="auto"/>
        <w:jc w:val="center"/>
        <w:rPr>
          <w:rFonts w:ascii="Times" w:eastAsia="Times" w:hAnsi="Times" w:cs="Times"/>
          <w:b/>
          <w:color w:val="000000" w:themeColor="text1"/>
        </w:rPr>
      </w:pPr>
    </w:p>
    <w:p w14:paraId="6C6FC675" w14:textId="77777777" w:rsidR="008C6DCA" w:rsidRPr="00C17A7B" w:rsidRDefault="008C6DCA">
      <w:pPr>
        <w:spacing w:line="480" w:lineRule="auto"/>
        <w:jc w:val="center"/>
        <w:rPr>
          <w:rFonts w:ascii="Times" w:eastAsia="Times" w:hAnsi="Times" w:cs="Times"/>
          <w:b/>
          <w:color w:val="000000" w:themeColor="text1"/>
        </w:rPr>
      </w:pPr>
    </w:p>
    <w:p w14:paraId="3214A894" w14:textId="38749B1F" w:rsidR="00371A08" w:rsidRPr="00C17A7B" w:rsidRDefault="00000000">
      <w:pPr>
        <w:spacing w:line="480" w:lineRule="auto"/>
        <w:jc w:val="center"/>
        <w:rPr>
          <w:rFonts w:ascii="Times" w:eastAsia="Times" w:hAnsi="Times" w:cs="Times"/>
          <w:b/>
          <w:color w:val="000000" w:themeColor="text1"/>
        </w:rPr>
      </w:pPr>
      <w:r w:rsidRPr="00C17A7B">
        <w:rPr>
          <w:rFonts w:ascii="Times" w:eastAsia="Times" w:hAnsi="Times" w:cs="Times"/>
          <w:b/>
          <w:color w:val="000000" w:themeColor="text1"/>
        </w:rPr>
        <w:lastRenderedPageBreak/>
        <w:t>Discusión</w:t>
      </w:r>
    </w:p>
    <w:p w14:paraId="5D9407A9" w14:textId="77777777" w:rsidR="00371A08" w:rsidRPr="00C17A7B" w:rsidRDefault="00371A08">
      <w:pPr>
        <w:spacing w:line="480" w:lineRule="auto"/>
        <w:jc w:val="center"/>
        <w:rPr>
          <w:rFonts w:ascii="Times" w:eastAsia="Times" w:hAnsi="Times" w:cs="Times"/>
          <w:b/>
          <w:color w:val="000000" w:themeColor="text1"/>
        </w:rPr>
      </w:pPr>
    </w:p>
    <w:p w14:paraId="12F6CCB1"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El presente estudio tiene el objetivo general de estudiar el uso de redes sociales y el desarrollo de sintomatología TCA en mujeres jóvenes en población española en relación con la insatisfacción corporal y la autoestima. Los datos expuestos a lo largo de este trabajo recalcan la importancia de considerar a las redes sociales como objeto de análisis fundamental a la hora de estudiar la presencia de sintomatología TCA en la población jóven, sobre todo considerando que nos encontramos actualmente en una era digital.</w:t>
      </w:r>
      <w:r w:rsidRPr="00C17A7B">
        <w:rPr>
          <w:rFonts w:ascii="Times" w:eastAsia="Times" w:hAnsi="Times" w:cs="Times"/>
          <w:b/>
          <w:color w:val="000000" w:themeColor="text1"/>
        </w:rPr>
        <w:t xml:space="preserve"> </w:t>
      </w:r>
      <w:r w:rsidRPr="00C17A7B">
        <w:rPr>
          <w:rFonts w:ascii="Times" w:eastAsia="Times" w:hAnsi="Times" w:cs="Times"/>
          <w:color w:val="000000" w:themeColor="text1"/>
        </w:rPr>
        <w:t>Hoy en día,</w:t>
      </w:r>
      <w:r w:rsidRPr="00C17A7B">
        <w:rPr>
          <w:rFonts w:ascii="Times" w:eastAsia="Times" w:hAnsi="Times" w:cs="Times"/>
          <w:b/>
          <w:color w:val="000000" w:themeColor="text1"/>
        </w:rPr>
        <w:t xml:space="preserve"> </w:t>
      </w:r>
      <w:r w:rsidRPr="00C17A7B">
        <w:rPr>
          <w:rFonts w:ascii="Times" w:eastAsia="Times" w:hAnsi="Times" w:cs="Times"/>
          <w:color w:val="000000" w:themeColor="text1"/>
        </w:rPr>
        <w:t>casi todo el mundo cuenta con un dispositivo electrónico.</w:t>
      </w:r>
      <w:r w:rsidRPr="00C17A7B">
        <w:rPr>
          <w:rFonts w:ascii="Times" w:eastAsia="Times" w:hAnsi="Times" w:cs="Times"/>
          <w:b/>
          <w:color w:val="000000" w:themeColor="text1"/>
        </w:rPr>
        <w:t xml:space="preserve"> </w:t>
      </w:r>
      <w:r w:rsidRPr="00C17A7B">
        <w:rPr>
          <w:rFonts w:ascii="Times" w:eastAsia="Times" w:hAnsi="Times" w:cs="Times"/>
          <w:color w:val="000000" w:themeColor="text1"/>
        </w:rPr>
        <w:t>En la población general, pero especialmente en la jóven, esto conlleva el uso de redes sociales que proyecta de forma constante imágenes de distinta índole. En cuanto al tema que nos concierne, se recalcan los numerosos contenidos asociados al culto a la belleza y al cuerpo encontrados en Instagram, y especialmente en Tik Tok, al tratarse de una red social más nueva y, por ende, menos estudiada. Gracias a este estudio, se han podido comprobar los efectos adversos y riesgos asociados que puede tener el uso de estas redes sociales que se explicarán a continuación, por lo que se refuerza la importancia de este trabajo.</w:t>
      </w:r>
    </w:p>
    <w:p w14:paraId="2117642A" w14:textId="77777777" w:rsidR="00371A08" w:rsidRPr="00C17A7B" w:rsidRDefault="00371A08" w:rsidP="006C7746">
      <w:pPr>
        <w:spacing w:line="480" w:lineRule="auto"/>
        <w:rPr>
          <w:rFonts w:ascii="Times" w:eastAsia="Times" w:hAnsi="Times" w:cs="Times"/>
          <w:color w:val="000000" w:themeColor="text1"/>
        </w:rPr>
      </w:pPr>
    </w:p>
    <w:p w14:paraId="196A6C23"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El primer objetivo de este trabajo se basa en estudiar la relación existente entre la sintomatología TCA, la insatisfacción corporal, la baja autoestima y las redes sociales. Los resultados mostraron que, aquellas personas que pasan un mayor tiempo en las redes sociales tienen una mayor presencia de sintomatología TCA y una autoestima más baja, confirmándose por tanto la hipótesis inicialmente planteada. Esto concuerda con los estudios anteriormente realizados en este ámbito. </w:t>
      </w:r>
    </w:p>
    <w:p w14:paraId="22C33C21" w14:textId="77777777" w:rsidR="00371A08" w:rsidRPr="00C17A7B" w:rsidRDefault="00371A08" w:rsidP="006C7746">
      <w:pPr>
        <w:spacing w:line="480" w:lineRule="auto"/>
        <w:ind w:firstLine="720"/>
        <w:rPr>
          <w:rFonts w:ascii="Times" w:eastAsia="Times" w:hAnsi="Times" w:cs="Times"/>
          <w:color w:val="000000" w:themeColor="text1"/>
        </w:rPr>
      </w:pPr>
    </w:p>
    <w:p w14:paraId="36E6876B"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lastRenderedPageBreak/>
        <w:t xml:space="preserve">Por un lado, Puertas (2020) encontró los mismos resultados en lo que respecta a la sintomatología TCA, por lo que cabe confirmar que las redes sociales se conforman como uno de los factores de riesgo para el desarrollo de un trastorno de la conducta alimentaria. Las redes sociales podrían estar ejerciendo una presión adicional (mayor a la ya existente) sobre las mujeres. Aquellas personas con un físico no aceptado social y/o culturalmente son frecuentemente objeto de burlas y censura (Sámano Orozco, 2013). Esto posiblemente puede llegar a provocar en la persona la necesidad de remediar esta situación por miedo a engordar, y, por ende, padecer este sufrimiento (Bennett et al., 2020). </w:t>
      </w:r>
    </w:p>
    <w:p w14:paraId="44E5EE03" w14:textId="77777777" w:rsidR="00371A08" w:rsidRPr="00C17A7B" w:rsidRDefault="00371A08" w:rsidP="006C7746">
      <w:pPr>
        <w:spacing w:line="480" w:lineRule="auto"/>
        <w:ind w:firstLine="720"/>
        <w:rPr>
          <w:rFonts w:ascii="Times" w:eastAsia="Times" w:hAnsi="Times" w:cs="Times"/>
          <w:color w:val="000000" w:themeColor="text1"/>
        </w:rPr>
      </w:pPr>
    </w:p>
    <w:p w14:paraId="43E8B046"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otro lado, podemos decir que, si una persona pasa un mayor tiempo en las redes sociales, entonces tendrá una autoestima más baja: esto consolida los hallazgos de investigaciones anteriores, ya que Fernández y Morales (2022) también encontraron que, a mayor frecuencia de uso de las redes sociales, peor autoestima. Cuestión que también fue hallada por Errasti et al. (2018, citado por Fernández y Morales, 2022). Como estas mismas autoras mencionan, esto podría explicarse por la interiorización de los ideales corporales, aunque Puglia (2017, citado por Fernández y Morales, 2022) sostiene que, para ello, el requisito es que se genere una comparación de uno mismo con aquel material visualizado. Siguiendo esto, Ruiz (2017) sostiene que una autoestima baja puede conducir a una autovaloración desfavorable de sí mismo. En este sentido y siguiendo a estos autores, todo ello resulta en que la autoestima baja se conforma como un gran factor de riesgo, cuya peligrosidad se ve notablemente incrementada si se une al uso inadecuado de las redes sociales. </w:t>
      </w:r>
    </w:p>
    <w:p w14:paraId="50BF3656" w14:textId="77777777" w:rsidR="00371A08" w:rsidRPr="00C17A7B" w:rsidRDefault="00371A08" w:rsidP="006C7746">
      <w:pPr>
        <w:spacing w:line="480" w:lineRule="auto"/>
        <w:ind w:firstLine="720"/>
        <w:rPr>
          <w:rFonts w:ascii="Times" w:eastAsia="Times" w:hAnsi="Times" w:cs="Times"/>
          <w:color w:val="000000" w:themeColor="text1"/>
        </w:rPr>
      </w:pPr>
    </w:p>
    <w:p w14:paraId="529450F7" w14:textId="77777777" w:rsidR="00371A08" w:rsidRPr="00C17A7B" w:rsidRDefault="00000000" w:rsidP="006C7746">
      <w:pPr>
        <w:spacing w:line="480" w:lineRule="auto"/>
        <w:ind w:firstLine="720"/>
        <w:rPr>
          <w:rFonts w:ascii="Times" w:eastAsia="Times" w:hAnsi="Times" w:cs="Times"/>
          <w:color w:val="000000" w:themeColor="text1"/>
          <w:shd w:val="clear" w:color="auto" w:fill="B6D7A8"/>
        </w:rPr>
      </w:pPr>
      <w:r w:rsidRPr="00C17A7B">
        <w:rPr>
          <w:rFonts w:ascii="Times" w:eastAsia="Times" w:hAnsi="Times" w:cs="Times"/>
          <w:color w:val="000000" w:themeColor="text1"/>
        </w:rPr>
        <w:t xml:space="preserve">Este hallazgo subraya la importancia de que los profesionales de la salud mental estén actualizados e informados sobre las redes sociales. Se sugiere que adquieran herramientas y </w:t>
      </w:r>
      <w:r w:rsidRPr="00C17A7B">
        <w:rPr>
          <w:rFonts w:ascii="Times" w:eastAsia="Times" w:hAnsi="Times" w:cs="Times"/>
          <w:color w:val="000000" w:themeColor="text1"/>
        </w:rPr>
        <w:lastRenderedPageBreak/>
        <w:t xml:space="preserve">competencias relacionadas con las nuevas tecnologías para poder trabajar de manera efectiva con sus clientes, tanto en la prevención como en la intervención. Ignorar o minimizar el impacto de las redes sociales en las personas en riesgo de padecer trastornos de la conducta alimentaria y  una autoestima más baja solo perjudicaría el proceso terapéutico. </w:t>
      </w:r>
    </w:p>
    <w:p w14:paraId="1EF2F7C3" w14:textId="77777777" w:rsidR="00371A08" w:rsidRPr="00C17A7B" w:rsidRDefault="00371A08" w:rsidP="006C7746">
      <w:pPr>
        <w:spacing w:line="480" w:lineRule="auto"/>
        <w:rPr>
          <w:rFonts w:ascii="Times" w:eastAsia="Times" w:hAnsi="Times" w:cs="Times"/>
          <w:color w:val="000000" w:themeColor="text1"/>
        </w:rPr>
      </w:pPr>
    </w:p>
    <w:p w14:paraId="6A17BA1F"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En segundo lugar, se ha valorado qué efectos tiene la red social Tik Tok sobre los participantes. Como se ha mostrado en los resultados, Tik Tok es más utilizada por la población más joven (alrededor de los 19 años aproximadamente), motivo por el que podrían ser una población más vulnerable y susceptible a los riesgos relacionados con las variables trabajadas en el transcurso de este trabajo. Así, se baraja la hipótesis de que aquellas personas que pasan un mayor tiempo en Tik Tok, tendrán un mayor riesgo de padecer sintomatología TCA, insatisfacción corporal y peor autoestima. Los resultados han demostrado que la hipótesis se confirma, indicándonos que, por lo general, el mayor riesgo se encuentra a partir de las cuatro horas de consumo de Tik Tok. Estos hallazgos coinciden con los resultados obtenidos por Santarossa y Woodruff (2017): encontraron en su estudio un uso de las redes sociales por parte de la población femenina de entre tres a cuatro horas diarias. Estos autores consideran, que el uso excesivo de las redes sociales se relaciona con la preocupación con la propia imagen corporal, los trastornos de la conducta alimentaria y la autoestima. Por otro lado, Tiggemann y Slater (2014), gracias a su estudio transversal sobre la red social Facebook, encontraron un aumento de la preocupación por la imagen corporal y de la búsqueda de delgadez. Concluyeron, que el tiempo de uso de las redes sociales mantiene una mayor correlación con la preocupación por la imagen corporal que con la exposición general a Internet, lo que para ellos representa la poderosa influencia sociocultural (Tiggemann y Slater, 2014). Todo esto reitera la necesidad de concienciar a la población, especialmente a la ciudadanía más joven, del uso responsable de las redes sociales. Esto no solo implicaría </w:t>
      </w:r>
      <w:r w:rsidRPr="00C17A7B">
        <w:rPr>
          <w:rFonts w:ascii="Times" w:eastAsia="Times" w:hAnsi="Times" w:cs="Times"/>
          <w:color w:val="000000" w:themeColor="text1"/>
        </w:rPr>
        <w:lastRenderedPageBreak/>
        <w:t xml:space="preserve">educar y tomar medidas en cuanto al uso saludable de estas aplicaciones, sino también la construcción de una mirada crítica en cuanto a lo visualizado en las redes sociales. Esto último es un aspecto importante para tener en cuenta, ya que según Tiggemann et al. (2013) si la imagen corporal es percibida como un objetivo poco realista, será menos probable que las adolescentes se comparen socialmente con dichas imágenes. Esta reflexión se podría extrapolar no solo a las adolescentes, sino también a la población jóven en general. </w:t>
      </w:r>
    </w:p>
    <w:p w14:paraId="2B4C1FA3" w14:textId="77777777" w:rsidR="00371A08" w:rsidRPr="00C17A7B" w:rsidRDefault="00371A08" w:rsidP="006C7746">
      <w:pPr>
        <w:spacing w:line="480" w:lineRule="auto"/>
        <w:ind w:firstLine="720"/>
        <w:rPr>
          <w:rFonts w:ascii="Times" w:eastAsia="Times" w:hAnsi="Times" w:cs="Times"/>
          <w:color w:val="000000" w:themeColor="text1"/>
        </w:rPr>
      </w:pPr>
    </w:p>
    <w:p w14:paraId="18B7A9B5" w14:textId="77777777" w:rsidR="00920A6E"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Una de las aportaciones de esta investigación es el descubrimiento de una franja de tiempo de uso (30 minutos) que no parece influir sobre la insatisfacción corporal ni la autoestima de los participantes. Sin embargo, sí que parece haber un impacto sobre la sintomatología TCA, lo que se podría deberse a numerosas razones, posiblemente la gran influencia sociocultural y la presión en cuanto a los cánones de belleza de la actualidad, que no se conforma como objetivo de estudio de este trabajo. De cualquier manera, se podría barajar la hipótesis de que el uso de Instagram y/o Tik Tok durante 30 minutos se conforma como una duración adecuada o no nociva para la autoestima y la insatisfacción corporal. Esto podría abrir las puertas a un mayor número de investigaciones en este campo, así como a la elaboración de programas psicoeducativos de prevención e intervención para implementar un hábito más saludable de uso de las redes sociales. </w:t>
      </w:r>
    </w:p>
    <w:p w14:paraId="7C8116F1" w14:textId="77777777" w:rsidR="00920A6E" w:rsidRPr="00C17A7B" w:rsidRDefault="00920A6E" w:rsidP="006C7746">
      <w:pPr>
        <w:spacing w:line="480" w:lineRule="auto"/>
        <w:ind w:firstLine="720"/>
        <w:rPr>
          <w:rFonts w:ascii="Times" w:eastAsia="Times" w:hAnsi="Times" w:cs="Times"/>
          <w:color w:val="000000" w:themeColor="text1"/>
        </w:rPr>
      </w:pPr>
    </w:p>
    <w:p w14:paraId="6FAD161A" w14:textId="77777777" w:rsidR="00920A6E"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consiguiente, se ha analizado cómo los contenidos visualizados en las redes sociales pueden afectar a la insatisfacción corporal, la sintomatología TCA y la autoestima de los participantes. Los resultados encontrados demuestran que, una vez se visualicen un mínimo de dos contenidos ligados a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independientemente del tipo, el riesgo de padecer sintomatología TCA e insatisfacción corporal es mayor. Esta amenaza es incluso mayor cuando se reproducen estos tres contenidos en las redes sociales, incluyéndose aquí la </w:t>
      </w:r>
      <w:r w:rsidRPr="00C17A7B">
        <w:rPr>
          <w:rFonts w:ascii="Times" w:eastAsia="Times" w:hAnsi="Times" w:cs="Times"/>
          <w:color w:val="000000" w:themeColor="text1"/>
        </w:rPr>
        <w:lastRenderedPageBreak/>
        <w:t xml:space="preserve">autoestima, que únicamente se ve afectada en este caso. Por tanto, se confirma la hipótesis planteada, basada en que, a una mayor visualización de contenido asociado al mundo de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mayor presencia de insatisfacción corporal, sintomatología TCA y una autoestima más baja. Estos mismos resultados fueron encontrados por otros autores, tales como Holland y Tiggemann (2017), que resaltan la relación del contenido de</w:t>
      </w:r>
      <w:r w:rsidRPr="00C17A7B">
        <w:rPr>
          <w:rFonts w:ascii="Times" w:eastAsia="Times" w:hAnsi="Times" w:cs="Times"/>
          <w:i/>
          <w:color w:val="000000" w:themeColor="text1"/>
        </w:rPr>
        <w:t xml:space="preserve"> fitspiration </w:t>
      </w:r>
      <w:r w:rsidRPr="00C17A7B">
        <w:rPr>
          <w:rFonts w:ascii="Times" w:eastAsia="Times" w:hAnsi="Times" w:cs="Times"/>
          <w:color w:val="000000" w:themeColor="text1"/>
        </w:rPr>
        <w:t xml:space="preserve">con la sintomatología TCA. Por otro lado, Turner y Lefevre (2017) asociaron el contenido de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a una mayor presencia de ortorexia nerviosa, descrito como la fijación por alimentarse de comida sana. Por consiguiente, la investigación de Prichard et al. (2020) reveló que las mujeres de entre 17 y 25 años expuestas al contenido de tipo</w:t>
      </w:r>
      <w:r w:rsidRPr="00C17A7B">
        <w:rPr>
          <w:rFonts w:ascii="Times" w:eastAsia="Times" w:hAnsi="Times" w:cs="Times"/>
          <w:i/>
          <w:color w:val="000000" w:themeColor="text1"/>
        </w:rPr>
        <w:t xml:space="preserve"> fitspiration </w:t>
      </w:r>
      <w:r w:rsidRPr="00C17A7B">
        <w:rPr>
          <w:rFonts w:ascii="Times" w:eastAsia="Times" w:hAnsi="Times" w:cs="Times"/>
          <w:color w:val="000000" w:themeColor="text1"/>
        </w:rPr>
        <w:t xml:space="preserve">padecían una mayor insatisfacción corporal y un estado de ánimo negativo. Finalmente, y como mencionado anteriormente, Tiggemann y Zaccardo (2015) advierten sobre una afectación de la autoestima tras la visualización de contenido relacionado con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w:t>
      </w:r>
    </w:p>
    <w:p w14:paraId="5234E29A" w14:textId="77777777" w:rsidR="00920A6E" w:rsidRPr="00C17A7B" w:rsidRDefault="00920A6E" w:rsidP="006C7746">
      <w:pPr>
        <w:spacing w:line="480" w:lineRule="auto"/>
        <w:ind w:firstLine="720"/>
        <w:rPr>
          <w:rFonts w:ascii="Times" w:eastAsia="Times" w:hAnsi="Times" w:cs="Times"/>
          <w:color w:val="000000" w:themeColor="text1"/>
        </w:rPr>
      </w:pPr>
    </w:p>
    <w:p w14:paraId="091740EE" w14:textId="77777777" w:rsidR="00920A6E"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Siguiendo esta idea, se ha deseado comprobar cuál de los contenidos incluidos bajo el término paraguas de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es decir el estilo de vida /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deporte y dieta y nutrición, tiene un mayor impacto sobre las variables estudiadas en este trabajo. Encontramos, que la visualización del contenido asociado al deporte y a la nutrición y dieta impactan sobre la sintomatología TCA y la insatisfacción corporal, mientras que las publicaciones ligadas al estilo de vida e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únicamente afectan a la sintomatología TCA. Por ende, ninguno de estos tres contenidos tiene una influencia significativa sobre la autoestima. En base a todo lo comentado anteriormente podríamos decir que una de las conclusiones de esta investigación, es que el tipo concreto de contenido asociado al fenómeno de la</w:t>
      </w:r>
      <w:r w:rsidRPr="00C17A7B">
        <w:rPr>
          <w:rFonts w:ascii="Times" w:eastAsia="Times" w:hAnsi="Times" w:cs="Times"/>
          <w:i/>
          <w:color w:val="000000" w:themeColor="text1"/>
        </w:rPr>
        <w:t xml:space="preserve"> fitspiration</w:t>
      </w:r>
      <w:r w:rsidRPr="00C17A7B">
        <w:rPr>
          <w:rFonts w:ascii="Times" w:eastAsia="Times" w:hAnsi="Times" w:cs="Times"/>
          <w:color w:val="000000" w:themeColor="text1"/>
        </w:rPr>
        <w:t xml:space="preserve"> no es lo esencial. De forma genérica podríamos sostener, que lo verdaderamente importante o peligroso es la mera visualización de estos tres tipos de contenido (deporte, nutrición y dieta y estilo de vida e </w:t>
      </w:r>
      <w:r w:rsidRPr="00C17A7B">
        <w:rPr>
          <w:rFonts w:ascii="Times" w:eastAsia="Times" w:hAnsi="Times" w:cs="Times"/>
          <w:i/>
          <w:color w:val="000000" w:themeColor="text1"/>
        </w:rPr>
        <w:t>influencers)</w:t>
      </w:r>
      <w:r w:rsidRPr="00C17A7B">
        <w:rPr>
          <w:rFonts w:ascii="Times" w:eastAsia="Times" w:hAnsi="Times" w:cs="Times"/>
          <w:color w:val="000000" w:themeColor="text1"/>
        </w:rPr>
        <w:t xml:space="preserve"> de forma combinada.  </w:t>
      </w:r>
    </w:p>
    <w:p w14:paraId="3711E03D" w14:textId="77777777" w:rsidR="00920A6E" w:rsidRPr="00C17A7B" w:rsidRDefault="00920A6E" w:rsidP="006C7746">
      <w:pPr>
        <w:spacing w:line="480" w:lineRule="auto"/>
        <w:ind w:firstLine="720"/>
        <w:rPr>
          <w:rFonts w:ascii="Times" w:eastAsia="Times" w:hAnsi="Times" w:cs="Times"/>
          <w:color w:val="000000" w:themeColor="text1"/>
        </w:rPr>
      </w:pPr>
    </w:p>
    <w:p w14:paraId="679C0F82" w14:textId="5C229DF0"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En este sentido, llama la atención el estudio realizado por Ortega et al. (2022), que sostiene que el contenido relacionado con la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tiene una mayor prevalencia en Tik Tok. Por tanto, esta declaración sugiere, que el público de Tik Tok puede verse sometido a un mayor riesgo de padecer las consecuencias negativas asociadas a la visualización del contenido de </w:t>
      </w:r>
      <w:r w:rsidRPr="00C17A7B">
        <w:rPr>
          <w:rFonts w:ascii="Times" w:eastAsia="Times" w:hAnsi="Times" w:cs="Times"/>
          <w:i/>
          <w:color w:val="000000" w:themeColor="text1"/>
        </w:rPr>
        <w:t>fitspiration</w:t>
      </w:r>
      <w:r w:rsidRPr="00C17A7B">
        <w:rPr>
          <w:rFonts w:ascii="Times" w:eastAsia="Times" w:hAnsi="Times" w:cs="Times"/>
          <w:color w:val="000000" w:themeColor="text1"/>
        </w:rPr>
        <w:t xml:space="preserve"> nombradas anteriormente. Esto indica la urgencia de abordar esta incipiente situación de amenaza, debido a que el uso de redes sociales, y por tanto la visualización de su contenido, no tiene intención de disminuir, si no de aumentar en popularidad, y con ello incrementándose el riesgo para la población joven. Esto señala la pertinencia de medidas de salud basadas en un mayor número de investigaciones acerca de esta cuestión con la finalidad de intervenir sobre la probable precariedad en la que se encuentran los jóvenes. Como el contenido emitido por los </w:t>
      </w:r>
      <w:r w:rsidRPr="00C17A7B">
        <w:rPr>
          <w:rFonts w:ascii="Times" w:eastAsia="Times" w:hAnsi="Times" w:cs="Times"/>
          <w:i/>
          <w:color w:val="000000" w:themeColor="text1"/>
        </w:rPr>
        <w:t xml:space="preserve">influencers </w:t>
      </w:r>
      <w:r w:rsidRPr="00C17A7B">
        <w:rPr>
          <w:rFonts w:ascii="Times" w:eastAsia="Times" w:hAnsi="Times" w:cs="Times"/>
          <w:color w:val="000000" w:themeColor="text1"/>
        </w:rPr>
        <w:t xml:space="preserve">se modifica según las tendencias comunes a la sociedad, no son directamente susceptibles de cambio. No obstante, si se puede trabajar sobre la percepción y capacidad de crítica que tienen los consumidores de estos materiales, a través de la psicoeducación. Eso permite promover y mejorar el autoconcepto, la capacidad crítica y el cuidado personal saludable, entre otros. </w:t>
      </w:r>
    </w:p>
    <w:p w14:paraId="42135B1B" w14:textId="77777777" w:rsidR="00920A6E" w:rsidRPr="00C17A7B" w:rsidRDefault="00920A6E" w:rsidP="006C7746">
      <w:pPr>
        <w:spacing w:line="480" w:lineRule="auto"/>
        <w:ind w:firstLine="360"/>
        <w:rPr>
          <w:rFonts w:ascii="Times" w:eastAsia="Times" w:hAnsi="Times" w:cs="Times"/>
          <w:color w:val="000000" w:themeColor="text1"/>
        </w:rPr>
      </w:pPr>
    </w:p>
    <w:p w14:paraId="25314730" w14:textId="77777777" w:rsidR="00920A6E"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Finalmente, se investiga la posible correlación positiva entre la sintomatología TCA y la insatisfacción corporal, así como una correlación positiva entre la sintomatología </w:t>
      </w:r>
      <w:r w:rsidR="00920A6E" w:rsidRPr="00C17A7B">
        <w:rPr>
          <w:rFonts w:ascii="Times" w:eastAsia="Times" w:hAnsi="Times" w:cs="Times"/>
          <w:color w:val="000000" w:themeColor="text1"/>
        </w:rPr>
        <w:t>TCA y</w:t>
      </w:r>
      <w:r w:rsidRPr="00C17A7B">
        <w:rPr>
          <w:rFonts w:ascii="Times" w:eastAsia="Times" w:hAnsi="Times" w:cs="Times"/>
          <w:color w:val="000000" w:themeColor="text1"/>
        </w:rPr>
        <w:t xml:space="preserve"> la baja autoestima. Los datos arrojaron que, a mayor presencia de sintomatología TCA, mayor insatisfacción corporal, y una autoestima más baja, confirmándose así la hipótesis planteada al principio del trabajo y consolidando los hallazgos encontrados por otros estudios. </w:t>
      </w:r>
    </w:p>
    <w:p w14:paraId="785F7BFF" w14:textId="77777777" w:rsidR="00920A6E" w:rsidRPr="00C17A7B" w:rsidRDefault="00920A6E" w:rsidP="006C7746">
      <w:pPr>
        <w:spacing w:line="480" w:lineRule="auto"/>
        <w:ind w:firstLine="360"/>
        <w:rPr>
          <w:rFonts w:ascii="Times" w:eastAsia="Times" w:hAnsi="Times" w:cs="Times"/>
          <w:color w:val="000000" w:themeColor="text1"/>
        </w:rPr>
      </w:pPr>
    </w:p>
    <w:p w14:paraId="2BE9292F" w14:textId="77777777" w:rsidR="00920A6E"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Según el estudio de Behar et al., (2011) la insatisfacción corporal se conforma como un factor predictivo del desarrollo de un TCA. Esto se ve apoyado por el descubrimiento de </w:t>
      </w:r>
      <w:r w:rsidRPr="00C17A7B">
        <w:rPr>
          <w:rFonts w:ascii="Times" w:eastAsia="Times" w:hAnsi="Times" w:cs="Times"/>
          <w:color w:val="000000" w:themeColor="text1"/>
        </w:rPr>
        <w:lastRenderedPageBreak/>
        <w:t xml:space="preserve">Alves et al. (2008), que sostiene que la insatisfacción corporal en la juventud se conforma como el factor de riesgo más significativo para la sintomatología asociada a la anorexia nerviosa. En apartados anteriores mencionamos a Rodgers y Melioli (2016), que subrayan el hecho de que la insatisfacción corporal puede tener parcialmente su origen en las imágenes visualizadas en internet y redes sociales relacionadas con el aspecto físico, entre los que destacan los contenidos de </w:t>
      </w:r>
      <w:r w:rsidRPr="00C17A7B">
        <w:rPr>
          <w:rFonts w:ascii="Times" w:eastAsia="Times" w:hAnsi="Times" w:cs="Times"/>
          <w:i/>
          <w:color w:val="000000" w:themeColor="text1"/>
        </w:rPr>
        <w:t xml:space="preserve">fitspiration. </w:t>
      </w:r>
      <w:r w:rsidRPr="00C17A7B">
        <w:rPr>
          <w:rFonts w:ascii="Times" w:eastAsia="Times" w:hAnsi="Times" w:cs="Times"/>
          <w:color w:val="000000" w:themeColor="text1"/>
        </w:rPr>
        <w:t>Así, se reitera nuevamente la importancia que tiene la realización de este trabajo, ya que se incide especialmente en este aspecto, como podemos ver en apartados anteriores.</w:t>
      </w:r>
    </w:p>
    <w:p w14:paraId="172DE37D" w14:textId="77777777" w:rsidR="00920A6E" w:rsidRPr="00C17A7B" w:rsidRDefault="00920A6E" w:rsidP="006C7746">
      <w:pPr>
        <w:spacing w:line="480" w:lineRule="auto"/>
        <w:ind w:firstLine="360"/>
        <w:rPr>
          <w:rFonts w:ascii="Times" w:eastAsia="Times" w:hAnsi="Times" w:cs="Times"/>
          <w:color w:val="000000" w:themeColor="text1"/>
        </w:rPr>
      </w:pPr>
    </w:p>
    <w:p w14:paraId="3FF6FF6C" w14:textId="2ADDB9CE" w:rsidR="00371A08" w:rsidRPr="00C17A7B" w:rsidRDefault="00000000" w:rsidP="006C7746">
      <w:pPr>
        <w:spacing w:line="480" w:lineRule="auto"/>
        <w:ind w:firstLine="360"/>
        <w:rPr>
          <w:rFonts w:ascii="Times" w:eastAsia="Times" w:hAnsi="Times" w:cs="Times"/>
          <w:color w:val="000000" w:themeColor="text1"/>
        </w:rPr>
      </w:pPr>
      <w:r w:rsidRPr="00C17A7B">
        <w:rPr>
          <w:rFonts w:ascii="Times" w:eastAsia="Times" w:hAnsi="Times" w:cs="Times"/>
          <w:color w:val="000000" w:themeColor="text1"/>
        </w:rPr>
        <w:t xml:space="preserve">Del mismo modo, la mayoría de las investigaciones reiteran en numerosas ocasiones el gran peso que tiene la baja autoestima sobre el desarrollo de un TCA. En esta línea, Fairburn y Brownell (2013) remarcan que ya desde edades muy jóvenes, la baja autoestima se conforma como un factor de riesgo clave para el desarrollo futuro de conductas dirigidas a reducir el propio peso. De la misma forma, una autoestima alta funciona como un factor de protección ante la sintomatología TCA (Cervera et al., 2003). </w:t>
      </w:r>
    </w:p>
    <w:p w14:paraId="01B1AA6E" w14:textId="77777777" w:rsidR="00371A08" w:rsidRPr="00C17A7B" w:rsidRDefault="00371A08" w:rsidP="006C7746">
      <w:pPr>
        <w:spacing w:line="480" w:lineRule="auto"/>
        <w:ind w:firstLine="720"/>
        <w:rPr>
          <w:rFonts w:ascii="Times" w:eastAsia="Times" w:hAnsi="Times" w:cs="Times"/>
          <w:color w:val="000000" w:themeColor="text1"/>
        </w:rPr>
      </w:pPr>
    </w:p>
    <w:p w14:paraId="17E3E96C"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Sin embargo, hay algunos autores que dudan en afirmar una relación causal únicamente entre estas dos variables. Entre ellos, Raykos et al. (2017) definen la autoestima como una variable mediadora entre el TCA y la evaluación social negativa y los problemas en la socialización, y Puttevils et al. (2019) con el perfeccionismo. Cabría resumir esta contraposición a los resultados encontrados en el transcurso de esta investigación de la siguiente manera: La baja autoestima genera un TCA en la medida en que sea complementada con otros factores.  Por este motivo, habría sido interesante realizar en mi estudio un análisis de mediación para comprobar este supuesto con los datos encontrados. A efectos prácticos, todo lo anteriormente mencionado se resume en que, pese a la diferencia de </w:t>
      </w:r>
      <w:r w:rsidRPr="00C17A7B">
        <w:rPr>
          <w:rFonts w:ascii="Times" w:eastAsia="Times" w:hAnsi="Times" w:cs="Times"/>
          <w:color w:val="000000" w:themeColor="text1"/>
        </w:rPr>
        <w:lastRenderedPageBreak/>
        <w:t>puntos de vista de los autores, en ningún momento estos infravaloran la influencia que tiene la autoestima sobre el TCA, ya sea de forma directa o indirecta. Por ello, es de gran importancia el poder detectar a tiempo la población de riesgo, es decir aquella con una baja autoestima. Mediante la promoción de un autoconcepto y una autoestima más positiva, este factor de riesgo se podría convertir no solo en un factor de protección para el TCA, sino que también para otro tipo de psicopatologías que se encuentran en estrecha relación con ello.</w:t>
      </w:r>
    </w:p>
    <w:p w14:paraId="1D7E9534" w14:textId="77777777" w:rsidR="00371A08" w:rsidRPr="00C17A7B" w:rsidRDefault="00371A08" w:rsidP="006C7746">
      <w:pPr>
        <w:spacing w:line="480" w:lineRule="auto"/>
        <w:rPr>
          <w:rFonts w:ascii="Times" w:eastAsia="Times" w:hAnsi="Times" w:cs="Times"/>
          <w:b/>
          <w:color w:val="000000" w:themeColor="text1"/>
        </w:rPr>
      </w:pPr>
    </w:p>
    <w:p w14:paraId="1C2EA284" w14:textId="77777777" w:rsidR="00371A08" w:rsidRPr="00C17A7B" w:rsidRDefault="00000000" w:rsidP="006C7746">
      <w:pPr>
        <w:spacing w:line="480" w:lineRule="auto"/>
        <w:rPr>
          <w:rFonts w:ascii="Times" w:eastAsia="Times" w:hAnsi="Times" w:cs="Times"/>
          <w:b/>
          <w:color w:val="000000" w:themeColor="text1"/>
        </w:rPr>
      </w:pPr>
      <w:r w:rsidRPr="00C17A7B">
        <w:rPr>
          <w:rFonts w:ascii="Times" w:eastAsia="Times" w:hAnsi="Times" w:cs="Times"/>
          <w:b/>
          <w:color w:val="000000" w:themeColor="text1"/>
        </w:rPr>
        <w:t xml:space="preserve">Limitaciones y recomendaciones </w:t>
      </w:r>
      <w:r w:rsidRPr="00C17A7B">
        <w:rPr>
          <w:rFonts w:ascii="Times" w:eastAsia="Times" w:hAnsi="Times" w:cs="Times"/>
          <w:b/>
          <w:color w:val="000000" w:themeColor="text1"/>
        </w:rPr>
        <w:br/>
      </w:r>
    </w:p>
    <w:p w14:paraId="441D6563"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En el transcurso de la elaboración de este trabajo se han encontrado varias limitaciones, acompañadas por recomendaciones de mejora para solventar los errores encontrados, que serán abordadas en las próximas líneas. </w:t>
      </w:r>
    </w:p>
    <w:p w14:paraId="36C77316" w14:textId="77777777" w:rsidR="00371A08" w:rsidRPr="00C17A7B" w:rsidRDefault="00371A08" w:rsidP="006C7746">
      <w:pPr>
        <w:spacing w:line="480" w:lineRule="auto"/>
        <w:ind w:firstLine="720"/>
        <w:rPr>
          <w:rFonts w:ascii="Times" w:eastAsia="Times" w:hAnsi="Times" w:cs="Times"/>
          <w:color w:val="000000" w:themeColor="text1"/>
        </w:rPr>
      </w:pPr>
    </w:p>
    <w:p w14:paraId="1C96F0F4"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En primer lugar, el tamaño de la muestra (N=163) podría ser mayor, además de estar únicamente representada por mujeres de 18-25 años. Pese a que otro punto de interés sería descubrir esta relación en los adolescentes, la falta de acceso a la muestra dificulta este tipo de estudio. Sin embargo, se les invita encarecidamente a otros investigadores con acceso al mismo a realizar un estudio sobre ello. Lo mismo ocurre con el género de los participantes. Pese a que este estudio se centre en el género femenino debido a la bibliografía anteriormente expuesta, sería de interés científico el realizar este tipo de investigación en los hombres para poder encontrar y comparar las posibles diferencias existentes entre sexos. En el caso de hacerlo, los resultados encontrados en este estudio serían mayormente generalizables a la población general. </w:t>
      </w:r>
    </w:p>
    <w:p w14:paraId="65A691F0" w14:textId="77777777" w:rsidR="00371A08" w:rsidRPr="00C17A7B" w:rsidRDefault="00371A08" w:rsidP="006C7746">
      <w:pPr>
        <w:spacing w:line="480" w:lineRule="auto"/>
        <w:ind w:firstLine="720"/>
        <w:rPr>
          <w:rFonts w:ascii="Times" w:eastAsia="Times" w:hAnsi="Times" w:cs="Times"/>
          <w:color w:val="000000" w:themeColor="text1"/>
        </w:rPr>
      </w:pPr>
    </w:p>
    <w:p w14:paraId="331A7EEA" w14:textId="30D2683A"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lastRenderedPageBreak/>
        <w:t>En segundo lugar, el análisis realizado se basa en datos transversales, por lo que no se puede plasmar cómo podrían cambiar los hallazgos encontrados a lo largo del tiempo. Por este motivo, se excluye la posibilidad de establecer relaciones causales determinantes, ya que sería necesario un estudio longitudinal de las variables encontradas para poder extraer conclusiones más fundamentadas.</w:t>
      </w:r>
    </w:p>
    <w:p w14:paraId="62A12F1C" w14:textId="77777777" w:rsidR="005E4144" w:rsidRPr="00C17A7B" w:rsidRDefault="005E4144" w:rsidP="006C7746">
      <w:pPr>
        <w:spacing w:line="480" w:lineRule="auto"/>
        <w:ind w:firstLine="720"/>
        <w:rPr>
          <w:rFonts w:ascii="Times" w:eastAsia="Times" w:hAnsi="Times" w:cs="Times"/>
          <w:color w:val="000000" w:themeColor="text1"/>
        </w:rPr>
      </w:pPr>
    </w:p>
    <w:p w14:paraId="1A83A0E4" w14:textId="4F7BFCE1"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Asimismo, habría sido útil conocer con mayor profundidad y exactitud tanto el tiempo de uso de las redes sociales (ya que se preguntó por una estimación de tiempo, que está sujeto a la subjetividad del participante), como el tipo de contenido visualizado durante este tiempo, ya que pueden ver consejos y técnicas “sanas” u otras más nocivas para la salud (como por ejemplo las dietas milagrosas, etc.). Por ello, se recomienda la realización de más estudios de investigación que incidan sobre estos aspectos no tratados en este trabajo. En este sentido, cabe destacar el resultado encontrado en esta investigación sobre la franja horaria de 30 minutos de uso, que parece no incidir sobre la insatisfacción corporal ni la autoestima. Gracias a este hallazgo, se propone encarecidamente un mayor número de estudios destinados a indagar en este avance, ya que podría ser de utilidad para posibles propuestas de intervención y prevención. </w:t>
      </w:r>
    </w:p>
    <w:p w14:paraId="46C0020D" w14:textId="77777777" w:rsidR="00371A08" w:rsidRPr="00C17A7B" w:rsidRDefault="00371A08" w:rsidP="006C7746">
      <w:pPr>
        <w:spacing w:line="480" w:lineRule="auto"/>
        <w:ind w:firstLine="720"/>
        <w:rPr>
          <w:rFonts w:ascii="Times" w:eastAsia="Times" w:hAnsi="Times" w:cs="Times"/>
          <w:color w:val="000000" w:themeColor="text1"/>
        </w:rPr>
      </w:pPr>
    </w:p>
    <w:p w14:paraId="4F1B818A"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Además, uno de los objetivos era descubrir el impacto que tiene Tik Tok sobre las variables estudiadas en esta investigación, ya que se trata de una red social relativamente nueva, y, por tanto, poco estudiada. Como únicamente hay cuatro personas (2,5%) que usan Tik Tok, sin utilizar Instagram, la comparación del riesgo asociada a cada una se dificulta enormemente. </w:t>
      </w:r>
    </w:p>
    <w:p w14:paraId="6D457CA6" w14:textId="77777777" w:rsidR="00371A08" w:rsidRPr="00C17A7B" w:rsidRDefault="00371A08" w:rsidP="006C7746">
      <w:pPr>
        <w:spacing w:line="480" w:lineRule="auto"/>
        <w:ind w:firstLine="720"/>
        <w:rPr>
          <w:rFonts w:ascii="Times" w:eastAsia="Times" w:hAnsi="Times" w:cs="Times"/>
          <w:color w:val="000000" w:themeColor="text1"/>
        </w:rPr>
      </w:pPr>
    </w:p>
    <w:p w14:paraId="1DCBCD44"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lastRenderedPageBreak/>
        <w:t xml:space="preserve">En este sentido, también cabe destacar que se han encontrado dificultades a la hora de analizar los contenidos visualizados por los participantes del estudio. Aunque existan diferencias en la visualización de determinados contenidos y su impacto sobre las variables estudiadas, estos resultados no nos permiten sacar una conclusión lo suficientemente contundente como para realizar afirmaciones rotundas. Esto se debe principalmente al hecho de que el 60% de los participantes del presente estudio visualizan varios contenidos de </w:t>
      </w:r>
      <w:r w:rsidRPr="00C17A7B">
        <w:rPr>
          <w:rFonts w:ascii="Times" w:eastAsia="Times" w:hAnsi="Times" w:cs="Times"/>
          <w:i/>
          <w:color w:val="000000" w:themeColor="text1"/>
        </w:rPr>
        <w:t xml:space="preserve">fitspiration </w:t>
      </w:r>
      <w:r w:rsidRPr="00C17A7B">
        <w:rPr>
          <w:rFonts w:ascii="Times" w:eastAsia="Times" w:hAnsi="Times" w:cs="Times"/>
          <w:color w:val="000000" w:themeColor="text1"/>
        </w:rPr>
        <w:t xml:space="preserve">a la vez. Para poder identificar las diferencias, los contenidos tendrían que haber ser analizados individualmente, lo que implicaría en sí mismo un análisis muy escaso. Sin embargo, y como se ha podido comprobar en los resultados obtenidos, el contenido parece ser un punto central de análisis, motivo por el cual se sugiere la realización de un estudio de contenido de las redes sociales más pormenorizado. </w:t>
      </w:r>
    </w:p>
    <w:p w14:paraId="2E8E5EFB" w14:textId="77777777" w:rsidR="00371A08" w:rsidRPr="00C17A7B" w:rsidRDefault="00371A08" w:rsidP="006C7746">
      <w:pPr>
        <w:spacing w:line="480" w:lineRule="auto"/>
        <w:ind w:firstLine="720"/>
        <w:rPr>
          <w:rFonts w:ascii="Times" w:eastAsia="Times" w:hAnsi="Times" w:cs="Times"/>
          <w:color w:val="000000" w:themeColor="text1"/>
        </w:rPr>
      </w:pPr>
    </w:p>
    <w:p w14:paraId="26DE7C48"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consiguiente, conviene destacar que pueden existir otras variables no tratadas en este estudio que podrían afectar sustancialmente a la relación entre las redes sociales y la sintomatología TCA en la población jóven. Entre ellas se pueden poner como ejemplo tanto el </w:t>
      </w:r>
      <w:r w:rsidRPr="00C17A7B">
        <w:rPr>
          <w:rFonts w:ascii="Times" w:eastAsia="Times" w:hAnsi="Times" w:cs="Times"/>
          <w:i/>
          <w:color w:val="000000" w:themeColor="text1"/>
        </w:rPr>
        <w:t>drive for thinness</w:t>
      </w:r>
      <w:r w:rsidRPr="00C17A7B">
        <w:rPr>
          <w:rFonts w:ascii="Times" w:eastAsia="Times" w:hAnsi="Times" w:cs="Times"/>
          <w:color w:val="000000" w:themeColor="text1"/>
        </w:rPr>
        <w:t xml:space="preserve"> o necesidad de delgadez y/o el perfeccionismo, como la sintomatología depresiva, ansiosa y/o el abuso de sustancias, entre otros, que son los trastornos frecuentemente comórbidos con los TCA (American Psychological Association, 2014). Esto imposibilita el hecho de excluir argumentos alternativos que podrían estar mediando en esta relación. </w:t>
      </w:r>
    </w:p>
    <w:p w14:paraId="4052995E" w14:textId="77777777" w:rsidR="00371A08" w:rsidRPr="00C17A7B" w:rsidRDefault="00371A08" w:rsidP="006C7746">
      <w:pPr>
        <w:spacing w:line="480" w:lineRule="auto"/>
        <w:ind w:firstLine="720"/>
        <w:rPr>
          <w:rFonts w:ascii="Times" w:eastAsia="Times" w:hAnsi="Times" w:cs="Times"/>
          <w:color w:val="000000" w:themeColor="text1"/>
        </w:rPr>
      </w:pPr>
    </w:p>
    <w:p w14:paraId="3BD2825E" w14:textId="77777777" w:rsidR="00371A08" w:rsidRPr="00C17A7B" w:rsidRDefault="00000000" w:rsidP="006C7746">
      <w:pPr>
        <w:spacing w:line="480" w:lineRule="auto"/>
        <w:ind w:firstLine="720"/>
        <w:rPr>
          <w:rFonts w:ascii="Times" w:eastAsia="Times" w:hAnsi="Times" w:cs="Times"/>
          <w:color w:val="000000" w:themeColor="text1"/>
        </w:rPr>
      </w:pPr>
      <w:r w:rsidRPr="00C17A7B">
        <w:rPr>
          <w:rFonts w:ascii="Times" w:eastAsia="Times" w:hAnsi="Times" w:cs="Times"/>
          <w:color w:val="000000" w:themeColor="text1"/>
        </w:rPr>
        <w:t xml:space="preserve">Por último, y dados los resultados encontrados en este escrito, se recomienda la elaboración de un programa de prevención primaria desde el ámbito de la psicología de la salud dirigida a institutos. El objetivo de esta propuesta sería el evitar, o al menos disminuir las probabilidades, de que se desarrolle de forma temprana una sintomatología asociada a los </w:t>
      </w:r>
      <w:r w:rsidRPr="00C17A7B">
        <w:rPr>
          <w:rFonts w:ascii="Times" w:eastAsia="Times" w:hAnsi="Times" w:cs="Times"/>
          <w:color w:val="000000" w:themeColor="text1"/>
        </w:rPr>
        <w:lastRenderedPageBreak/>
        <w:t>trastornos de la conducta alimentaria, la insatisfacción corporal y una baja autoestima. Asimismo, también podría ser interesante implementar un programa de prevención secundaria de la misma índole en universidades, ya que se ha encontrado que a estas edades ya se han desarrollado la sintomatología planteada anteriormente. Estos programas podrían abordar distintas temáticas basadas en la psicoeducación y las actividades adecuadas para poner en práctica estos contenidos. Entre las distintas materias que se pueden ofrecer en este programa se podrían encontrar el uso adecuado de las redes sociales, el desarrollo de la capacidad para adoptar una postura crítica ante la visualización de los contenidos encontrados en las mismas, el establecimiento de una mejor relación con el propio cuerpo y con uno mismo para trabajar la autoestima, entre otros.</w:t>
      </w:r>
    </w:p>
    <w:p w14:paraId="15E0141C" w14:textId="77777777" w:rsidR="00371A08" w:rsidRPr="00C17A7B" w:rsidRDefault="00371A08" w:rsidP="006C7746">
      <w:pPr>
        <w:spacing w:line="480" w:lineRule="auto"/>
        <w:ind w:firstLine="720"/>
        <w:rPr>
          <w:rFonts w:ascii="Times" w:eastAsia="Times" w:hAnsi="Times" w:cs="Times"/>
          <w:color w:val="000000" w:themeColor="text1"/>
        </w:rPr>
      </w:pPr>
    </w:p>
    <w:p w14:paraId="50704658" w14:textId="77777777" w:rsidR="00371A08" w:rsidRPr="00C17A7B" w:rsidRDefault="00000000" w:rsidP="006C7746">
      <w:pPr>
        <w:spacing w:line="480" w:lineRule="auto"/>
        <w:rPr>
          <w:rFonts w:ascii="Times" w:eastAsia="Times" w:hAnsi="Times" w:cs="Times"/>
          <w:b/>
          <w:color w:val="000000" w:themeColor="text1"/>
        </w:rPr>
      </w:pPr>
      <w:r w:rsidRPr="00C17A7B">
        <w:rPr>
          <w:rFonts w:ascii="Times" w:eastAsia="Times" w:hAnsi="Times" w:cs="Times"/>
          <w:b/>
          <w:color w:val="000000" w:themeColor="text1"/>
        </w:rPr>
        <w:t>Conflictos de intereses</w:t>
      </w:r>
    </w:p>
    <w:p w14:paraId="7E478571" w14:textId="77777777" w:rsidR="00371A08" w:rsidRPr="00C17A7B" w:rsidRDefault="00371A08" w:rsidP="006C7746">
      <w:pPr>
        <w:spacing w:line="480" w:lineRule="auto"/>
        <w:rPr>
          <w:rFonts w:ascii="Times" w:eastAsia="Times" w:hAnsi="Times" w:cs="Times"/>
          <w:b/>
          <w:color w:val="000000" w:themeColor="text1"/>
        </w:rPr>
      </w:pPr>
    </w:p>
    <w:p w14:paraId="18D73A56" w14:textId="77777777" w:rsidR="00371A08" w:rsidRPr="00C17A7B" w:rsidRDefault="00000000" w:rsidP="006C7746">
      <w:pPr>
        <w:spacing w:line="480" w:lineRule="auto"/>
        <w:ind w:firstLine="720"/>
        <w:rPr>
          <w:rFonts w:ascii="Times" w:eastAsia="Times" w:hAnsi="Times" w:cs="Times"/>
          <w:b/>
          <w:color w:val="000000" w:themeColor="text1"/>
        </w:rPr>
      </w:pPr>
      <w:r w:rsidRPr="00C17A7B">
        <w:rPr>
          <w:rFonts w:ascii="Times" w:eastAsia="Times" w:hAnsi="Times" w:cs="Times"/>
          <w:color w:val="000000" w:themeColor="text1"/>
        </w:rPr>
        <w:t xml:space="preserve">No se declara ningún conflicto de interés. </w:t>
      </w:r>
    </w:p>
    <w:p w14:paraId="5687F291" w14:textId="77777777" w:rsidR="001A4400" w:rsidRPr="00C17A7B" w:rsidRDefault="001A4400" w:rsidP="005E4144">
      <w:pPr>
        <w:spacing w:line="360" w:lineRule="auto"/>
        <w:rPr>
          <w:rFonts w:ascii="Times" w:eastAsia="Times" w:hAnsi="Times" w:cs="Times"/>
          <w:b/>
          <w:color w:val="000000" w:themeColor="text1"/>
        </w:rPr>
      </w:pPr>
    </w:p>
    <w:p w14:paraId="775F45B2" w14:textId="77777777" w:rsidR="008C6DCA" w:rsidRPr="00C17A7B" w:rsidRDefault="008C6DCA" w:rsidP="005E4144">
      <w:pPr>
        <w:spacing w:line="360" w:lineRule="auto"/>
        <w:rPr>
          <w:rFonts w:ascii="Times" w:eastAsia="Times" w:hAnsi="Times" w:cs="Times"/>
          <w:b/>
          <w:color w:val="000000" w:themeColor="text1"/>
        </w:rPr>
      </w:pPr>
    </w:p>
    <w:p w14:paraId="632375DE" w14:textId="77777777" w:rsidR="008C6DCA" w:rsidRPr="00C17A7B" w:rsidRDefault="008C6DCA" w:rsidP="005E4144">
      <w:pPr>
        <w:spacing w:line="360" w:lineRule="auto"/>
        <w:rPr>
          <w:rFonts w:ascii="Times" w:eastAsia="Times" w:hAnsi="Times" w:cs="Times"/>
          <w:b/>
          <w:color w:val="000000" w:themeColor="text1"/>
        </w:rPr>
      </w:pPr>
    </w:p>
    <w:p w14:paraId="5C1E6070" w14:textId="77777777" w:rsidR="008C6DCA" w:rsidRPr="00C17A7B" w:rsidRDefault="008C6DCA" w:rsidP="005E4144">
      <w:pPr>
        <w:spacing w:line="360" w:lineRule="auto"/>
        <w:rPr>
          <w:rFonts w:ascii="Times" w:eastAsia="Times" w:hAnsi="Times" w:cs="Times"/>
          <w:b/>
          <w:color w:val="000000" w:themeColor="text1"/>
        </w:rPr>
      </w:pPr>
    </w:p>
    <w:p w14:paraId="3FB2384A" w14:textId="77777777" w:rsidR="008C6DCA" w:rsidRPr="00C17A7B" w:rsidRDefault="008C6DCA" w:rsidP="005E4144">
      <w:pPr>
        <w:spacing w:line="360" w:lineRule="auto"/>
        <w:rPr>
          <w:rFonts w:ascii="Times" w:eastAsia="Times" w:hAnsi="Times" w:cs="Times"/>
          <w:b/>
          <w:color w:val="000000" w:themeColor="text1"/>
        </w:rPr>
      </w:pPr>
    </w:p>
    <w:p w14:paraId="5B70B907" w14:textId="77777777" w:rsidR="008C6DCA" w:rsidRPr="00C17A7B" w:rsidRDefault="008C6DCA" w:rsidP="005E4144">
      <w:pPr>
        <w:spacing w:line="360" w:lineRule="auto"/>
        <w:rPr>
          <w:rFonts w:ascii="Times" w:eastAsia="Times" w:hAnsi="Times" w:cs="Times"/>
          <w:b/>
          <w:color w:val="000000" w:themeColor="text1"/>
        </w:rPr>
      </w:pPr>
    </w:p>
    <w:p w14:paraId="0E47C367" w14:textId="77777777" w:rsidR="008C6DCA" w:rsidRPr="00C17A7B" w:rsidRDefault="008C6DCA" w:rsidP="005E4144">
      <w:pPr>
        <w:spacing w:line="360" w:lineRule="auto"/>
        <w:rPr>
          <w:rFonts w:ascii="Times" w:eastAsia="Times" w:hAnsi="Times" w:cs="Times"/>
          <w:b/>
          <w:color w:val="000000" w:themeColor="text1"/>
        </w:rPr>
      </w:pPr>
    </w:p>
    <w:p w14:paraId="4E1C0AE0" w14:textId="77777777" w:rsidR="008C6DCA" w:rsidRPr="00C17A7B" w:rsidRDefault="008C6DCA" w:rsidP="005E4144">
      <w:pPr>
        <w:spacing w:line="360" w:lineRule="auto"/>
        <w:rPr>
          <w:rFonts w:ascii="Times" w:eastAsia="Times" w:hAnsi="Times" w:cs="Times"/>
          <w:b/>
          <w:color w:val="000000" w:themeColor="text1"/>
        </w:rPr>
      </w:pPr>
    </w:p>
    <w:p w14:paraId="5AF7D723" w14:textId="77777777" w:rsidR="008C6DCA" w:rsidRPr="00C17A7B" w:rsidRDefault="008C6DCA" w:rsidP="005E4144">
      <w:pPr>
        <w:spacing w:line="360" w:lineRule="auto"/>
        <w:rPr>
          <w:rFonts w:ascii="Times" w:eastAsia="Times" w:hAnsi="Times" w:cs="Times"/>
          <w:b/>
          <w:color w:val="000000" w:themeColor="text1"/>
        </w:rPr>
      </w:pPr>
    </w:p>
    <w:p w14:paraId="6FB45EF6" w14:textId="77777777" w:rsidR="008C6DCA" w:rsidRPr="00C17A7B" w:rsidRDefault="008C6DCA" w:rsidP="005E4144">
      <w:pPr>
        <w:spacing w:line="360" w:lineRule="auto"/>
        <w:rPr>
          <w:rFonts w:ascii="Times" w:eastAsia="Times" w:hAnsi="Times" w:cs="Times"/>
          <w:b/>
          <w:color w:val="000000" w:themeColor="text1"/>
        </w:rPr>
      </w:pPr>
    </w:p>
    <w:p w14:paraId="62934F79" w14:textId="77777777" w:rsidR="008C6DCA" w:rsidRPr="00C17A7B" w:rsidRDefault="008C6DCA" w:rsidP="005E4144">
      <w:pPr>
        <w:spacing w:line="360" w:lineRule="auto"/>
        <w:rPr>
          <w:rFonts w:ascii="Times" w:eastAsia="Times" w:hAnsi="Times" w:cs="Times"/>
          <w:b/>
          <w:color w:val="000000" w:themeColor="text1"/>
        </w:rPr>
      </w:pPr>
    </w:p>
    <w:p w14:paraId="2BD4DE4B" w14:textId="77777777" w:rsidR="008C6DCA" w:rsidRPr="00C17A7B" w:rsidRDefault="008C6DCA" w:rsidP="005E4144">
      <w:pPr>
        <w:spacing w:line="360" w:lineRule="auto"/>
        <w:rPr>
          <w:rFonts w:ascii="Times" w:eastAsia="Times" w:hAnsi="Times" w:cs="Times"/>
          <w:b/>
          <w:color w:val="000000" w:themeColor="text1"/>
        </w:rPr>
      </w:pPr>
    </w:p>
    <w:p w14:paraId="37D022DC" w14:textId="77777777" w:rsidR="008C6DCA" w:rsidRPr="00C17A7B" w:rsidRDefault="008C6DCA" w:rsidP="005E4144">
      <w:pPr>
        <w:spacing w:line="360" w:lineRule="auto"/>
        <w:rPr>
          <w:rFonts w:ascii="Times" w:eastAsia="Times" w:hAnsi="Times" w:cs="Times"/>
          <w:b/>
          <w:color w:val="000000" w:themeColor="text1"/>
        </w:rPr>
      </w:pPr>
    </w:p>
    <w:p w14:paraId="272F7AAC" w14:textId="77777777" w:rsidR="008C6DCA" w:rsidRPr="00C17A7B" w:rsidRDefault="008C6DCA" w:rsidP="005E4144">
      <w:pPr>
        <w:spacing w:line="360" w:lineRule="auto"/>
        <w:rPr>
          <w:rFonts w:ascii="Times" w:eastAsia="Times" w:hAnsi="Times" w:cs="Times"/>
          <w:b/>
          <w:color w:val="000000" w:themeColor="text1"/>
        </w:rPr>
      </w:pPr>
    </w:p>
    <w:p w14:paraId="6F0A4F8B" w14:textId="77777777" w:rsidR="00371A08" w:rsidRPr="00C17A7B" w:rsidRDefault="00000000" w:rsidP="00920A6E">
      <w:pPr>
        <w:spacing w:line="360" w:lineRule="auto"/>
        <w:jc w:val="center"/>
        <w:rPr>
          <w:rFonts w:ascii="Times" w:eastAsia="Times" w:hAnsi="Times" w:cs="Times"/>
          <w:b/>
          <w:color w:val="000000" w:themeColor="text1"/>
        </w:rPr>
      </w:pPr>
      <w:r w:rsidRPr="00C17A7B">
        <w:rPr>
          <w:rFonts w:ascii="Times" w:eastAsia="Times" w:hAnsi="Times" w:cs="Times"/>
          <w:b/>
          <w:color w:val="000000" w:themeColor="text1"/>
        </w:rPr>
        <w:lastRenderedPageBreak/>
        <w:t>Referencias bibliográficas</w:t>
      </w:r>
      <w:r w:rsidRPr="00C17A7B">
        <w:rPr>
          <w:rFonts w:ascii="Times" w:eastAsia="Times" w:hAnsi="Times" w:cs="Times"/>
          <w:b/>
          <w:color w:val="000000" w:themeColor="text1"/>
        </w:rPr>
        <w:br/>
      </w:r>
    </w:p>
    <w:p w14:paraId="4ED73D21" w14:textId="5B69F051" w:rsidR="00920A6E" w:rsidRPr="00C17A7B" w:rsidRDefault="00920A6E"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Alves, E., Vasconcelos, F.G., Calvo, M. M. y Neves, J. (2008). </w:t>
      </w:r>
      <w:r w:rsidRPr="00C17A7B">
        <w:rPr>
          <w:rFonts w:ascii="Times" w:eastAsia="Times" w:hAnsi="Times" w:cs="Times"/>
          <w:color w:val="000000" w:themeColor="text1"/>
          <w:highlight w:val="white"/>
          <w:lang w:val="en-US"/>
        </w:rPr>
        <w:t>Prevalence of symptoms of anorexia nervosa and dissatisfaction with body image among female adolescents in Florianópolis, Santa Catarina State, Brazil</w:t>
      </w:r>
      <w:r w:rsidRPr="00C17A7B">
        <w:rPr>
          <w:rFonts w:ascii="Times" w:eastAsia="Times" w:hAnsi="Times" w:cs="Times"/>
          <w:i/>
          <w:iCs/>
          <w:color w:val="000000" w:themeColor="text1"/>
          <w:highlight w:val="white"/>
          <w:lang w:val="en-US"/>
        </w:rPr>
        <w:t xml:space="preserve">. </w:t>
      </w:r>
      <w:r w:rsidRPr="00C17A7B">
        <w:rPr>
          <w:rFonts w:ascii="Times" w:eastAsia="Times" w:hAnsi="Times" w:cs="Times"/>
          <w:i/>
          <w:iCs/>
          <w:color w:val="000000" w:themeColor="text1"/>
          <w:highlight w:val="white"/>
        </w:rPr>
        <w:t>Cadernos de Saúde Pública, 24 (3)</w:t>
      </w:r>
      <w:r w:rsidRPr="00C17A7B">
        <w:rPr>
          <w:rFonts w:ascii="Times" w:eastAsia="Times" w:hAnsi="Times" w:cs="Times"/>
          <w:color w:val="000000" w:themeColor="text1"/>
          <w:highlight w:val="white"/>
        </w:rPr>
        <w:t>, 503-512. http://doi.org/10.1590/s0102-311x2008000300004</w:t>
      </w:r>
    </w:p>
    <w:p w14:paraId="37E774B0"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540F3C7C" w14:textId="19E7417B" w:rsidR="00920A6E"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American Pyschiatric Association (2014). DSM-5. Manual diagnóstico de los trastornos mentales (5ª edición). Panamericana: Barcelona. </w:t>
      </w:r>
    </w:p>
    <w:p w14:paraId="1DB41C28"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21A8DEE9"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Anderson, M. y Jiang, J. (31 de mayo de 2018).</w:t>
      </w:r>
      <w:r w:rsidRPr="00C17A7B">
        <w:rPr>
          <w:rFonts w:ascii="Times" w:eastAsia="Times" w:hAnsi="Times" w:cs="Times"/>
          <w:i/>
          <w:color w:val="000000" w:themeColor="text1"/>
          <w:highlight w:val="white"/>
        </w:rPr>
        <w:t xml:space="preserve"> </w:t>
      </w:r>
      <w:r w:rsidRPr="00C17A7B">
        <w:rPr>
          <w:rFonts w:ascii="Times" w:eastAsia="Times" w:hAnsi="Times" w:cs="Times"/>
          <w:i/>
          <w:color w:val="000000" w:themeColor="text1"/>
          <w:highlight w:val="white"/>
          <w:lang w:val="en-US"/>
        </w:rPr>
        <w:t xml:space="preserve">Teens, Social Media and Technology 2018. </w:t>
      </w:r>
      <w:r w:rsidRPr="00C17A7B">
        <w:rPr>
          <w:rFonts w:ascii="Times" w:eastAsia="Times" w:hAnsi="Times" w:cs="Times"/>
          <w:color w:val="000000" w:themeColor="text1"/>
          <w:highlight w:val="white"/>
          <w:lang w:val="en-US"/>
        </w:rPr>
        <w:t>Pew Research Center. https://www.pewresearch.org/internet/2018/05/31/teens-social-media-technology-2018/</w:t>
      </w:r>
    </w:p>
    <w:p w14:paraId="667C42D8"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481D4D22"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Aparicio-Martínez, P., Perea-Moreno, A.J., Martinez-Jimenez, M.P., Suarez-Varela Varo, I. y Varquero-Abellán, M. (2017). </w:t>
      </w:r>
      <w:r w:rsidRPr="00C17A7B">
        <w:rPr>
          <w:rFonts w:ascii="Times" w:eastAsia="Times" w:hAnsi="Times" w:cs="Times"/>
          <w:color w:val="000000" w:themeColor="text1"/>
          <w:highlight w:val="white"/>
          <w:lang w:val="en-US"/>
        </w:rPr>
        <w:t xml:space="preserve">Social networks’ unnoticed influence on body image in Spanish university students. </w:t>
      </w:r>
      <w:r w:rsidRPr="00C17A7B">
        <w:rPr>
          <w:rFonts w:ascii="Times" w:eastAsia="Times" w:hAnsi="Times" w:cs="Times"/>
          <w:i/>
          <w:color w:val="000000" w:themeColor="text1"/>
          <w:highlight w:val="white"/>
        </w:rPr>
        <w:t>Telematics and Informatics, 34 (8),</w:t>
      </w:r>
      <w:r w:rsidRPr="00C17A7B">
        <w:rPr>
          <w:rFonts w:ascii="Times" w:eastAsia="Times" w:hAnsi="Times" w:cs="Times"/>
          <w:color w:val="000000" w:themeColor="text1"/>
          <w:highlight w:val="white"/>
        </w:rPr>
        <w:t xml:space="preserve"> 1685-1692. </w:t>
      </w:r>
      <w:hyperlink r:id="rId11">
        <w:r w:rsidRPr="00C17A7B">
          <w:rPr>
            <w:rFonts w:ascii="Times" w:eastAsia="Times" w:hAnsi="Times" w:cs="Times"/>
            <w:color w:val="000000" w:themeColor="text1"/>
            <w:highlight w:val="white"/>
          </w:rPr>
          <w:t>https://doi.org/10.1016/j.tele.2017.08.001</w:t>
        </w:r>
      </w:hyperlink>
    </w:p>
    <w:p w14:paraId="2724E413"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4D4E74C2"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Asselin, C. (13 de enero de 2022) </w:t>
      </w:r>
      <w:r w:rsidRPr="00C17A7B">
        <w:rPr>
          <w:rFonts w:ascii="Times" w:eastAsia="Times" w:hAnsi="Times" w:cs="Times"/>
          <w:i/>
          <w:iCs/>
          <w:color w:val="000000" w:themeColor="text1"/>
          <w:highlight w:val="white"/>
        </w:rPr>
        <w:t>TikTok: cifras y estadísticas clave en España, Latam y el mundo 2022.</w:t>
      </w:r>
      <w:r w:rsidRPr="00C17A7B">
        <w:rPr>
          <w:rFonts w:ascii="Times" w:eastAsia="Times" w:hAnsi="Times" w:cs="Times"/>
          <w:color w:val="000000" w:themeColor="text1"/>
          <w:highlight w:val="white"/>
        </w:rPr>
        <w:t xml:space="preserve"> </w:t>
      </w:r>
      <w:r w:rsidRPr="00C17A7B">
        <w:rPr>
          <w:rFonts w:ascii="Times" w:eastAsia="Times" w:hAnsi="Times" w:cs="Times"/>
          <w:color w:val="000000" w:themeColor="text1"/>
          <w:highlight w:val="white"/>
          <w:lang w:val="en-US"/>
        </w:rPr>
        <w:t xml:space="preserve">Digimind. </w:t>
      </w:r>
      <w:hyperlink r:id="rId12" w:anchor="users">
        <w:r w:rsidRPr="00C17A7B">
          <w:rPr>
            <w:rFonts w:ascii="Times" w:eastAsia="Times" w:hAnsi="Times" w:cs="Times"/>
            <w:color w:val="000000" w:themeColor="text1"/>
            <w:highlight w:val="white"/>
            <w:lang w:val="en-US"/>
          </w:rPr>
          <w:t>https://blog.digimind.com/es/agencias/tiktok-cifras-y-estadisticas-2020#users</w:t>
        </w:r>
      </w:hyperlink>
    </w:p>
    <w:p w14:paraId="55E217BC"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5DB5584B"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Atienza, F. L., Moreno, Y. y Balaguer I. (2000) Análisis de la Dimensionalidad de la Escala de Autoestima de Rosenberg en una Muestra de Adolescentes Valencianos. </w:t>
      </w:r>
      <w:r w:rsidRPr="00C17A7B">
        <w:rPr>
          <w:rFonts w:ascii="Times" w:eastAsia="Times" w:hAnsi="Times" w:cs="Times"/>
          <w:i/>
          <w:color w:val="000000" w:themeColor="text1"/>
          <w:highlight w:val="white"/>
        </w:rPr>
        <w:t>Revista de Psicología Universitas Tarraconensis, 22 (1-2),</w:t>
      </w:r>
      <w:r w:rsidRPr="00C17A7B">
        <w:rPr>
          <w:rFonts w:ascii="Times" w:eastAsia="Times" w:hAnsi="Times" w:cs="Times"/>
          <w:color w:val="000000" w:themeColor="text1"/>
          <w:highlight w:val="white"/>
        </w:rPr>
        <w:t xml:space="preserve"> 29-42.</w:t>
      </w:r>
    </w:p>
    <w:p w14:paraId="11091CA6" w14:textId="77777777" w:rsidR="00371A08" w:rsidRPr="00C17A7B" w:rsidRDefault="00371A08" w:rsidP="005E4144">
      <w:pPr>
        <w:spacing w:line="360" w:lineRule="auto"/>
        <w:rPr>
          <w:rFonts w:ascii="Times" w:eastAsia="Times" w:hAnsi="Times" w:cs="Times"/>
          <w:color w:val="000000" w:themeColor="text1"/>
          <w:highlight w:val="white"/>
          <w:u w:val="single"/>
        </w:rPr>
      </w:pPr>
    </w:p>
    <w:p w14:paraId="259CD942"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Baile, J. I. B., Guillén Grima, F. y Garrido Landívar, E. (2002) Insatisfacción corporal en adolescentes medida con el Body Shape Questionnaire (BSQ): Efecto del anonimato, el sexo y la edad</w:t>
      </w:r>
      <w:r w:rsidRPr="00C17A7B">
        <w:rPr>
          <w:rFonts w:ascii="Times" w:eastAsia="Times" w:hAnsi="Times" w:cs="Times"/>
          <w:i/>
          <w:color w:val="000000" w:themeColor="text1"/>
          <w:highlight w:val="white"/>
        </w:rPr>
        <w:t xml:space="preserve">. </w:t>
      </w:r>
      <w:r w:rsidRPr="00C17A7B">
        <w:rPr>
          <w:rFonts w:ascii="Times" w:eastAsia="Times" w:hAnsi="Times" w:cs="Times"/>
          <w:i/>
          <w:color w:val="000000" w:themeColor="text1"/>
          <w:highlight w:val="white"/>
          <w:lang w:val="en-US"/>
        </w:rPr>
        <w:t>International Journal of Clinical and Health Psychology, 2(3),</w:t>
      </w:r>
      <w:r w:rsidRPr="00C17A7B">
        <w:rPr>
          <w:rFonts w:ascii="Times" w:eastAsia="Times" w:hAnsi="Times" w:cs="Times"/>
          <w:color w:val="000000" w:themeColor="text1"/>
          <w:highlight w:val="white"/>
          <w:lang w:val="en-US"/>
        </w:rPr>
        <w:t xml:space="preserve"> 439-450. </w:t>
      </w:r>
    </w:p>
    <w:p w14:paraId="0D47815C"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0B3A6BBC"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lastRenderedPageBreak/>
        <w:t xml:space="preserve">Bailey, A., Parker, A., Colautti, L., Hart, L., Liu, P., &amp; Hetrick, S. (2014). Mapping the evidence for the prevention and treatment of eating disorders in young people. </w:t>
      </w:r>
      <w:r w:rsidRPr="00C17A7B">
        <w:rPr>
          <w:rFonts w:ascii="Times" w:eastAsia="Times" w:hAnsi="Times" w:cs="Times"/>
          <w:i/>
          <w:color w:val="000000" w:themeColor="text1"/>
          <w:highlight w:val="white"/>
          <w:lang w:val="en-US"/>
        </w:rPr>
        <w:t>Journal of Eating Disorders</w:t>
      </w:r>
      <w:r w:rsidRPr="00C17A7B">
        <w:rPr>
          <w:rFonts w:ascii="Times" w:eastAsia="Times" w:hAnsi="Times" w:cs="Times"/>
          <w:color w:val="000000" w:themeColor="text1"/>
          <w:highlight w:val="white"/>
          <w:lang w:val="en-US"/>
        </w:rPr>
        <w:t>, 2, 5. https://doi.org/10.1186/2050-2974-2-5</w:t>
      </w:r>
    </w:p>
    <w:p w14:paraId="5B43BF72"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51146270"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Barrio, C. (2 de junio de 2022). </w:t>
      </w:r>
      <w:r w:rsidRPr="00C17A7B">
        <w:rPr>
          <w:rFonts w:ascii="Times" w:eastAsia="Times" w:hAnsi="Times" w:cs="Times"/>
          <w:i/>
          <w:color w:val="000000" w:themeColor="text1"/>
          <w:highlight w:val="white"/>
        </w:rPr>
        <w:t xml:space="preserve">Trastornos de conducta alimentaria, una enfermedad con 400.000 casos en España. </w:t>
      </w:r>
      <w:r w:rsidRPr="00C17A7B">
        <w:rPr>
          <w:rFonts w:ascii="Times" w:eastAsia="Times" w:hAnsi="Times" w:cs="Times"/>
          <w:color w:val="000000" w:themeColor="text1"/>
          <w:highlight w:val="white"/>
        </w:rPr>
        <w:t>EFE: Salud. https://efesalud.com/trastornos-conducta-alimentaria-casos-espana/</w:t>
      </w:r>
    </w:p>
    <w:p w14:paraId="16113D5B"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2E6B774B"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Beato, F. L., Rodríguez, C. T, Belmonte, L. A. y Martínez, D. C. (2004). </w:t>
      </w:r>
      <w:r w:rsidRPr="00C17A7B">
        <w:rPr>
          <w:rFonts w:ascii="Times" w:eastAsia="Times" w:hAnsi="Times" w:cs="Times"/>
          <w:color w:val="000000" w:themeColor="text1"/>
          <w:highlight w:val="white"/>
          <w:lang w:val="en-US"/>
        </w:rPr>
        <w:t>Risk factor for eating disorders in adolescents: A Spanish community based longitudinal study. </w:t>
      </w:r>
      <w:r w:rsidRPr="00C17A7B">
        <w:rPr>
          <w:rFonts w:ascii="Times" w:eastAsia="Times" w:hAnsi="Times" w:cs="Times"/>
          <w:i/>
          <w:color w:val="000000" w:themeColor="text1"/>
          <w:highlight w:val="white"/>
        </w:rPr>
        <w:t>European Child Adolescent Psychiatry, 13 (5)</w:t>
      </w:r>
      <w:r w:rsidRPr="00C17A7B">
        <w:rPr>
          <w:rFonts w:ascii="Times" w:eastAsia="Times" w:hAnsi="Times" w:cs="Times"/>
          <w:color w:val="000000" w:themeColor="text1"/>
          <w:highlight w:val="white"/>
        </w:rPr>
        <w:t>, 287-294. </w:t>
      </w:r>
      <w:hyperlink r:id="rId13">
        <w:r w:rsidRPr="00C17A7B">
          <w:rPr>
            <w:color w:val="000000" w:themeColor="text1"/>
            <w:highlight w:val="white"/>
          </w:rPr>
          <w:t>https://doi.org</w:t>
        </w:r>
      </w:hyperlink>
      <w:r w:rsidRPr="00C17A7B">
        <w:rPr>
          <w:color w:val="000000" w:themeColor="text1"/>
          <w:highlight w:val="white"/>
        </w:rPr>
        <w:t>/</w:t>
      </w:r>
      <w:r w:rsidRPr="00C17A7B">
        <w:rPr>
          <w:rFonts w:ascii="Times" w:eastAsia="Times" w:hAnsi="Times" w:cs="Times"/>
          <w:color w:val="000000" w:themeColor="text1"/>
          <w:highlight w:val="white"/>
        </w:rPr>
        <w:t>10.1007/s00787-004-0407-x.</w:t>
      </w:r>
    </w:p>
    <w:p w14:paraId="6BCC4AAA"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17595478"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Behar, R. A., Vargas, C. F. y Cabrera, E.V. (2011). Insatisfacción corporal en los trastornos de la conducta alimentaria: un estudio comparativo. </w:t>
      </w:r>
      <w:r w:rsidRPr="00C17A7B">
        <w:rPr>
          <w:rFonts w:ascii="Times" w:eastAsia="Times" w:hAnsi="Times" w:cs="Times"/>
          <w:i/>
          <w:color w:val="000000" w:themeColor="text1"/>
          <w:highlight w:val="white"/>
        </w:rPr>
        <w:t>Revista chilena de neuropsiquiatría, 49 (1),</w:t>
      </w:r>
      <w:r w:rsidRPr="00C17A7B">
        <w:rPr>
          <w:rFonts w:ascii="Times" w:eastAsia="Times" w:hAnsi="Times" w:cs="Times"/>
          <w:color w:val="000000" w:themeColor="text1"/>
          <w:highlight w:val="white"/>
        </w:rPr>
        <w:t xml:space="preserve"> 26-36. http://dx.doi.org/10.4067/S0717-92272011000100004</w:t>
      </w:r>
    </w:p>
    <w:p w14:paraId="590A4B0C" w14:textId="77777777" w:rsidR="00371A08" w:rsidRPr="00C17A7B" w:rsidRDefault="00371A08" w:rsidP="005E4144">
      <w:pPr>
        <w:spacing w:line="360" w:lineRule="auto"/>
        <w:rPr>
          <w:rFonts w:ascii="Times" w:eastAsia="Times" w:hAnsi="Times" w:cs="Times"/>
          <w:color w:val="000000" w:themeColor="text1"/>
          <w:highlight w:val="white"/>
        </w:rPr>
      </w:pPr>
    </w:p>
    <w:p w14:paraId="7AEDE1D3" w14:textId="77777777" w:rsidR="00371A08" w:rsidRPr="00C17A7B" w:rsidRDefault="00000000" w:rsidP="005E4144">
      <w:pPr>
        <w:spacing w:line="360" w:lineRule="auto"/>
        <w:ind w:left="720" w:hanging="720"/>
        <w:rPr>
          <w:rFonts w:ascii="Times" w:eastAsia="Times" w:hAnsi="Times" w:cs="Times"/>
          <w:color w:val="000000" w:themeColor="text1"/>
          <w:highlight w:val="white"/>
          <w:u w:val="single"/>
          <w:lang w:val="en-US"/>
        </w:rPr>
      </w:pPr>
      <w:r w:rsidRPr="00C17A7B">
        <w:rPr>
          <w:rFonts w:ascii="Times" w:eastAsia="Times" w:hAnsi="Times" w:cs="Times"/>
          <w:color w:val="000000" w:themeColor="text1"/>
          <w:highlight w:val="white"/>
        </w:rPr>
        <w:t xml:space="preserve">Benton, C. y Karazsia, B.T. (2015). </w:t>
      </w:r>
      <w:r w:rsidRPr="00C17A7B">
        <w:rPr>
          <w:rFonts w:ascii="Times" w:eastAsia="Times" w:hAnsi="Times" w:cs="Times"/>
          <w:color w:val="000000" w:themeColor="text1"/>
          <w:highlight w:val="white"/>
          <w:lang w:val="en-US"/>
        </w:rPr>
        <w:t xml:space="preserve">The effect of thin and muscular images on women’s body satisfaction. </w:t>
      </w:r>
      <w:r w:rsidRPr="00C17A7B">
        <w:rPr>
          <w:rFonts w:ascii="Times" w:eastAsia="Times" w:hAnsi="Times" w:cs="Times"/>
          <w:i/>
          <w:color w:val="000000" w:themeColor="text1"/>
          <w:highlight w:val="white"/>
          <w:lang w:val="en-US"/>
        </w:rPr>
        <w:t>Body Image, 13</w:t>
      </w:r>
      <w:r w:rsidRPr="00C17A7B">
        <w:rPr>
          <w:rFonts w:ascii="Times" w:eastAsia="Times" w:hAnsi="Times" w:cs="Times"/>
          <w:color w:val="000000" w:themeColor="text1"/>
          <w:highlight w:val="white"/>
          <w:lang w:val="en-US"/>
        </w:rPr>
        <w:t>, 22-27. https://doi.org/</w:t>
      </w:r>
      <w:hyperlink r:id="rId14">
        <w:r w:rsidRPr="00C17A7B">
          <w:rPr>
            <w:rFonts w:ascii="Times" w:eastAsia="Times" w:hAnsi="Times" w:cs="Times"/>
            <w:color w:val="000000" w:themeColor="text1"/>
            <w:highlight w:val="white"/>
            <w:lang w:val="en-US"/>
          </w:rPr>
          <w:t>10.1016/j.bodyim.2014.11.001</w:t>
        </w:r>
      </w:hyperlink>
      <w:r w:rsidRPr="00C17A7B">
        <w:rPr>
          <w:rFonts w:ascii="Times" w:eastAsia="Times" w:hAnsi="Times" w:cs="Times"/>
          <w:color w:val="000000" w:themeColor="text1"/>
          <w:highlight w:val="white"/>
          <w:u w:val="single"/>
          <w:lang w:val="en-US"/>
        </w:rPr>
        <w:br/>
      </w:r>
    </w:p>
    <w:p w14:paraId="12FD4D06" w14:textId="77777777" w:rsidR="00371A08" w:rsidRPr="00C17A7B" w:rsidRDefault="00000000" w:rsidP="005E4144">
      <w:pPr>
        <w:spacing w:line="360" w:lineRule="auto"/>
        <w:ind w:left="720" w:hanging="720"/>
        <w:rPr>
          <w:rFonts w:ascii="Times" w:eastAsia="Times" w:hAnsi="Times" w:cs="Times"/>
          <w:color w:val="000000" w:themeColor="text1"/>
          <w:highlight w:val="white"/>
          <w:u w:val="single"/>
          <w:lang w:val="en-US"/>
        </w:rPr>
      </w:pPr>
      <w:r w:rsidRPr="00C17A7B">
        <w:rPr>
          <w:rFonts w:ascii="Times" w:eastAsia="Times" w:hAnsi="Times" w:cs="Times"/>
          <w:color w:val="000000" w:themeColor="text1"/>
          <w:highlight w:val="white"/>
          <w:lang w:val="en-US"/>
        </w:rPr>
        <w:t xml:space="preserve">Bennett, B. L., Wagner, A. F., Obleada, K. T., y Latner, J.D. (2020). Appearance-focused media use as a moderator of the relationship between fear of fat and weight bias: an exploratory study. </w:t>
      </w:r>
      <w:hyperlink r:id="rId15">
        <w:r w:rsidRPr="00C17A7B">
          <w:rPr>
            <w:rFonts w:ascii="Times" w:eastAsia="Times" w:hAnsi="Times" w:cs="Times"/>
            <w:i/>
            <w:color w:val="000000" w:themeColor="text1"/>
            <w:highlight w:val="white"/>
            <w:lang w:val="en-US"/>
          </w:rPr>
          <w:t>Eating and Weight Disorders - Studies on Anorexia, Bulimia and Obesity</w:t>
        </w:r>
      </w:hyperlink>
      <w:r w:rsidRPr="00C17A7B">
        <w:rPr>
          <w:rFonts w:ascii="Times" w:eastAsia="Times" w:hAnsi="Times" w:cs="Times"/>
          <w:color w:val="000000" w:themeColor="text1"/>
          <w:highlight w:val="white"/>
          <w:lang w:val="en-US"/>
        </w:rPr>
        <w:t xml:space="preserve">, </w:t>
      </w:r>
      <w:r w:rsidRPr="00C17A7B">
        <w:rPr>
          <w:rFonts w:ascii="Times" w:eastAsia="Times" w:hAnsi="Times" w:cs="Times"/>
          <w:i/>
          <w:color w:val="000000" w:themeColor="text1"/>
          <w:highlight w:val="white"/>
          <w:lang w:val="en-US"/>
        </w:rPr>
        <w:t xml:space="preserve">25, </w:t>
      </w:r>
      <w:r w:rsidRPr="00C17A7B">
        <w:rPr>
          <w:rFonts w:ascii="Times" w:eastAsia="Times" w:hAnsi="Times" w:cs="Times"/>
          <w:color w:val="000000" w:themeColor="text1"/>
          <w:highlight w:val="white"/>
          <w:lang w:val="en-US"/>
        </w:rPr>
        <w:t>643-648. https://doi.org/10.1007/s40519-019-00666-z</w:t>
      </w:r>
    </w:p>
    <w:p w14:paraId="1A808BEA"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50845457"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Boyd, D. M. y Ellison, N. B. (2008). </w:t>
      </w:r>
      <w:r w:rsidRPr="00C17A7B">
        <w:rPr>
          <w:rFonts w:ascii="Times" w:eastAsia="Times" w:hAnsi="Times" w:cs="Times"/>
          <w:color w:val="000000" w:themeColor="text1"/>
          <w:highlight w:val="white"/>
          <w:lang w:val="en-US"/>
        </w:rPr>
        <w:t xml:space="preserve">Social Network Sites: Definition, History and Scholarship. </w:t>
      </w:r>
      <w:r w:rsidRPr="00C17A7B">
        <w:rPr>
          <w:rFonts w:ascii="Times" w:eastAsia="Times" w:hAnsi="Times" w:cs="Times"/>
          <w:i/>
          <w:color w:val="000000" w:themeColor="text1"/>
          <w:highlight w:val="white"/>
          <w:lang w:val="en-US"/>
        </w:rPr>
        <w:t xml:space="preserve">Journal of Computer-Mediated Communication, 13, </w:t>
      </w:r>
      <w:r w:rsidRPr="00C17A7B">
        <w:rPr>
          <w:rFonts w:ascii="Times" w:eastAsia="Times" w:hAnsi="Times" w:cs="Times"/>
          <w:color w:val="000000" w:themeColor="text1"/>
          <w:highlight w:val="white"/>
          <w:lang w:val="en-US"/>
        </w:rPr>
        <w:t xml:space="preserve">210-230. </w:t>
      </w:r>
      <w:hyperlink r:id="rId16">
        <w:r w:rsidRPr="00C17A7B">
          <w:rPr>
            <w:color w:val="000000" w:themeColor="text1"/>
            <w:highlight w:val="white"/>
            <w:lang w:val="en-US"/>
          </w:rPr>
          <w:t>https://doi.org</w:t>
        </w:r>
      </w:hyperlink>
      <w:r w:rsidRPr="00C17A7B">
        <w:rPr>
          <w:color w:val="000000" w:themeColor="text1"/>
          <w:highlight w:val="white"/>
          <w:lang w:val="en-US"/>
        </w:rPr>
        <w:t>/</w:t>
      </w:r>
      <w:r w:rsidRPr="00C17A7B">
        <w:rPr>
          <w:rFonts w:ascii="Times" w:eastAsia="Times" w:hAnsi="Times" w:cs="Times"/>
          <w:color w:val="000000" w:themeColor="text1"/>
          <w:highlight w:val="white"/>
          <w:lang w:val="en-US"/>
        </w:rPr>
        <w:t xml:space="preserve">10.1111/j.1083-6101.2007.00393.x </w:t>
      </w:r>
      <w:r w:rsidRPr="00C17A7B">
        <w:rPr>
          <w:rFonts w:ascii="Times" w:eastAsia="Times" w:hAnsi="Times" w:cs="Times"/>
          <w:color w:val="000000" w:themeColor="text1"/>
          <w:highlight w:val="white"/>
          <w:lang w:val="en-US"/>
        </w:rPr>
        <w:br/>
      </w:r>
    </w:p>
    <w:p w14:paraId="7FA4809E"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Cervera, S., Lahortiga, F., Martínez-González, M.A., Gual, P., de Irala-Estévez, J. y Alonso, Y. (2003). </w:t>
      </w:r>
      <w:r w:rsidRPr="00C17A7B">
        <w:rPr>
          <w:rFonts w:ascii="Times" w:eastAsia="Times" w:hAnsi="Times" w:cs="Times"/>
          <w:color w:val="000000" w:themeColor="text1"/>
          <w:highlight w:val="white"/>
          <w:lang w:val="en-US"/>
        </w:rPr>
        <w:t xml:space="preserve">Neuroticism and low self-esteem as risk factors for incident eating </w:t>
      </w:r>
      <w:r w:rsidRPr="00C17A7B">
        <w:rPr>
          <w:rFonts w:ascii="Times" w:eastAsia="Times" w:hAnsi="Times" w:cs="Times"/>
          <w:color w:val="000000" w:themeColor="text1"/>
          <w:highlight w:val="white"/>
          <w:lang w:val="en-US"/>
        </w:rPr>
        <w:lastRenderedPageBreak/>
        <w:t>disorders in a prospective cohort study. </w:t>
      </w:r>
      <w:r w:rsidRPr="00C17A7B">
        <w:rPr>
          <w:rFonts w:ascii="Times" w:eastAsia="Times" w:hAnsi="Times" w:cs="Times"/>
          <w:i/>
          <w:color w:val="000000" w:themeColor="text1"/>
          <w:highlight w:val="white"/>
          <w:lang w:val="en-US"/>
        </w:rPr>
        <w:t>International Journal of Eating Disorders, 33 (3)</w:t>
      </w:r>
      <w:r w:rsidRPr="00C17A7B">
        <w:rPr>
          <w:rFonts w:ascii="Times" w:eastAsia="Times" w:hAnsi="Times" w:cs="Times"/>
          <w:color w:val="000000" w:themeColor="text1"/>
          <w:highlight w:val="white"/>
          <w:lang w:val="en-US"/>
        </w:rPr>
        <w:t>, 271-280. https://doi.org/</w:t>
      </w:r>
      <w:hyperlink r:id="rId17">
        <w:r w:rsidRPr="00C17A7B">
          <w:rPr>
            <w:rFonts w:ascii="Times" w:eastAsia="Times" w:hAnsi="Times" w:cs="Times"/>
            <w:color w:val="000000" w:themeColor="text1"/>
            <w:highlight w:val="white"/>
            <w:lang w:val="en-US"/>
          </w:rPr>
          <w:t>10.1016/j.bodyim.2015.06.003</w:t>
        </w:r>
      </w:hyperlink>
      <w:r w:rsidRPr="00C17A7B">
        <w:rPr>
          <w:rFonts w:ascii="Times" w:eastAsia="Times" w:hAnsi="Times" w:cs="Times"/>
          <w:color w:val="000000" w:themeColor="text1"/>
          <w:highlight w:val="white"/>
          <w:lang w:val="en-US"/>
        </w:rPr>
        <w:t>:</w:t>
      </w:r>
      <w:hyperlink r:id="rId18">
        <w:r w:rsidRPr="00C17A7B">
          <w:rPr>
            <w:rFonts w:ascii="Times" w:eastAsia="Times" w:hAnsi="Times" w:cs="Times"/>
            <w:color w:val="000000" w:themeColor="text1"/>
            <w:highlight w:val="white"/>
            <w:lang w:val="en-US"/>
          </w:rPr>
          <w:t>10.1002/eat.10147</w:t>
        </w:r>
      </w:hyperlink>
      <w:r w:rsidRPr="00C17A7B">
        <w:rPr>
          <w:rFonts w:ascii="Times" w:eastAsia="Times" w:hAnsi="Times" w:cs="Times"/>
          <w:color w:val="000000" w:themeColor="text1"/>
          <w:highlight w:val="white"/>
          <w:lang w:val="en-US"/>
        </w:rPr>
        <w:t> </w:t>
      </w:r>
    </w:p>
    <w:p w14:paraId="64E726A1"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12C1EACC"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Cohen, R., Newton-John, T. y Slater, A. (2017). The relationship between Facebook and Instagram appearance-focused activities and body image concerns in young women. </w:t>
      </w:r>
      <w:r w:rsidRPr="00C17A7B">
        <w:rPr>
          <w:rFonts w:ascii="Times" w:eastAsia="Times" w:hAnsi="Times" w:cs="Times"/>
          <w:i/>
          <w:color w:val="000000" w:themeColor="text1"/>
          <w:highlight w:val="white"/>
          <w:lang w:val="en-US"/>
        </w:rPr>
        <w:t>Body Image, 23,</w:t>
      </w:r>
      <w:r w:rsidRPr="00C17A7B">
        <w:rPr>
          <w:rFonts w:ascii="Times" w:eastAsia="Times" w:hAnsi="Times" w:cs="Times"/>
          <w:color w:val="000000" w:themeColor="text1"/>
          <w:highlight w:val="white"/>
          <w:lang w:val="en-US"/>
        </w:rPr>
        <w:t xml:space="preserve"> 183-187. </w:t>
      </w:r>
      <w:hyperlink r:id="rId19">
        <w:r w:rsidRPr="00C17A7B">
          <w:rPr>
            <w:color w:val="000000" w:themeColor="text1"/>
            <w:highlight w:val="white"/>
            <w:lang w:val="en-US"/>
          </w:rPr>
          <w:t>https://doi.org</w:t>
        </w:r>
      </w:hyperlink>
      <w:r w:rsidRPr="00C17A7B">
        <w:rPr>
          <w:color w:val="000000" w:themeColor="text1"/>
          <w:highlight w:val="white"/>
          <w:lang w:val="en-US"/>
        </w:rPr>
        <w:t>/</w:t>
      </w:r>
      <w:hyperlink r:id="rId20">
        <w:r w:rsidRPr="00C17A7B">
          <w:rPr>
            <w:rFonts w:ascii="Times" w:eastAsia="Times" w:hAnsi="Times" w:cs="Times"/>
            <w:color w:val="000000" w:themeColor="text1"/>
            <w:highlight w:val="white"/>
            <w:lang w:val="en-US"/>
          </w:rPr>
          <w:t>10.1016/j.bodyim.2017.10.002</w:t>
        </w:r>
      </w:hyperlink>
    </w:p>
    <w:p w14:paraId="345954B3"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62132088" w14:textId="4E40B2FC"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Cooper, P. J., Taylor, M. J., Cooper, Z., &amp; Fairbum, C. G. (1987). The development and validation of the body shape questionnaire. </w:t>
      </w:r>
      <w:r w:rsidRPr="00C17A7B">
        <w:rPr>
          <w:rFonts w:ascii="Times" w:eastAsia="Times" w:hAnsi="Times" w:cs="Times"/>
          <w:i/>
          <w:color w:val="000000" w:themeColor="text1"/>
          <w:highlight w:val="white"/>
          <w:lang w:val="en-US"/>
        </w:rPr>
        <w:t>International Journal of Eating Disorders</w:t>
      </w:r>
      <w:r w:rsidRPr="00C17A7B">
        <w:rPr>
          <w:rFonts w:ascii="Times" w:eastAsia="Times" w:hAnsi="Times" w:cs="Times"/>
          <w:color w:val="000000" w:themeColor="text1"/>
          <w:highlight w:val="white"/>
          <w:lang w:val="en-US"/>
        </w:rPr>
        <w:t xml:space="preserve">, </w:t>
      </w:r>
      <w:r w:rsidRPr="00C17A7B">
        <w:rPr>
          <w:rFonts w:ascii="Times" w:eastAsia="Times" w:hAnsi="Times" w:cs="Times"/>
          <w:i/>
          <w:color w:val="000000" w:themeColor="text1"/>
          <w:highlight w:val="white"/>
          <w:lang w:val="en-US"/>
        </w:rPr>
        <w:t>6</w:t>
      </w:r>
      <w:r w:rsidR="00920A6E" w:rsidRPr="00C17A7B">
        <w:rPr>
          <w:rFonts w:ascii="Times" w:eastAsia="Times" w:hAnsi="Times" w:cs="Times"/>
          <w:i/>
          <w:color w:val="000000" w:themeColor="text1"/>
          <w:highlight w:val="white"/>
          <w:lang w:val="en-US"/>
        </w:rPr>
        <w:t xml:space="preserve"> </w:t>
      </w:r>
      <w:r w:rsidRPr="00C17A7B">
        <w:rPr>
          <w:rFonts w:ascii="Times" w:eastAsia="Times" w:hAnsi="Times" w:cs="Times"/>
          <w:i/>
          <w:color w:val="000000" w:themeColor="text1"/>
          <w:highlight w:val="white"/>
          <w:lang w:val="en-US"/>
        </w:rPr>
        <w:t>(4),</w:t>
      </w:r>
      <w:r w:rsidRPr="00C17A7B">
        <w:rPr>
          <w:rFonts w:ascii="Times" w:eastAsia="Times" w:hAnsi="Times" w:cs="Times"/>
          <w:color w:val="000000" w:themeColor="text1"/>
          <w:highlight w:val="white"/>
          <w:lang w:val="en-US"/>
        </w:rPr>
        <w:t xml:space="preserve"> 485-494. </w:t>
      </w:r>
      <w:hyperlink r:id="rId21">
        <w:r w:rsidRPr="00C17A7B">
          <w:rPr>
            <w:rFonts w:ascii="Times" w:eastAsia="Times" w:hAnsi="Times" w:cs="Times"/>
            <w:color w:val="000000" w:themeColor="text1"/>
            <w:highlight w:val="white"/>
            <w:lang w:val="en-US"/>
          </w:rPr>
          <w:t>https://doi.org/10.1002/1098-108X(198707)6:4&lt;485::AID-EAT2260060405&gt;3.0.CO;2-O</w:t>
        </w:r>
      </w:hyperlink>
    </w:p>
    <w:p w14:paraId="12D3E284"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65A5A503"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Djafarova, E., &amp; Rushworth, C. (2017). Exploring the credibility of online celebrities’ Instagram profiles in influencing the purchase decisions of young female users. </w:t>
      </w:r>
      <w:r w:rsidRPr="00C17A7B">
        <w:rPr>
          <w:rFonts w:ascii="Times" w:eastAsia="Times" w:hAnsi="Times" w:cs="Times"/>
          <w:i/>
          <w:color w:val="000000" w:themeColor="text1"/>
          <w:highlight w:val="white"/>
          <w:lang w:val="en-US"/>
        </w:rPr>
        <w:t>Computers in Human Behavior</w:t>
      </w:r>
      <w:r w:rsidRPr="00C17A7B">
        <w:rPr>
          <w:rFonts w:ascii="Times" w:eastAsia="Times" w:hAnsi="Times" w:cs="Times"/>
          <w:color w:val="000000" w:themeColor="text1"/>
          <w:highlight w:val="white"/>
          <w:lang w:val="en-US"/>
        </w:rPr>
        <w:t xml:space="preserve">, </w:t>
      </w:r>
      <w:r w:rsidRPr="00C17A7B">
        <w:rPr>
          <w:rFonts w:ascii="Times" w:eastAsia="Times" w:hAnsi="Times" w:cs="Times"/>
          <w:i/>
          <w:color w:val="000000" w:themeColor="text1"/>
          <w:highlight w:val="white"/>
          <w:lang w:val="en-US"/>
        </w:rPr>
        <w:t>68</w:t>
      </w:r>
      <w:r w:rsidRPr="00C17A7B">
        <w:rPr>
          <w:rFonts w:ascii="Times" w:eastAsia="Times" w:hAnsi="Times" w:cs="Times"/>
          <w:color w:val="000000" w:themeColor="text1"/>
          <w:highlight w:val="white"/>
          <w:lang w:val="en-US"/>
        </w:rPr>
        <w:t>, 1-7.</w:t>
      </w:r>
      <w:hyperlink r:id="rId22">
        <w:r w:rsidRPr="00C17A7B">
          <w:rPr>
            <w:rFonts w:ascii="Times" w:eastAsia="Times" w:hAnsi="Times" w:cs="Times"/>
            <w:color w:val="000000" w:themeColor="text1"/>
            <w:highlight w:val="white"/>
            <w:lang w:val="en-US"/>
          </w:rPr>
          <w:t xml:space="preserve"> https://doi.org/10.1016/j.chb.2016.11.009</w:t>
        </w:r>
      </w:hyperlink>
    </w:p>
    <w:p w14:paraId="1EB853BC"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20711F80"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Eckler, P., Kalyango, Y. y Paasch, E. (2016). Facebook use and negative body image among U.S. college women. </w:t>
      </w:r>
      <w:r w:rsidRPr="00C17A7B">
        <w:rPr>
          <w:rFonts w:ascii="Times" w:eastAsia="Times" w:hAnsi="Times" w:cs="Times"/>
          <w:i/>
          <w:color w:val="000000" w:themeColor="text1"/>
          <w:highlight w:val="white"/>
          <w:lang w:val="en-US"/>
        </w:rPr>
        <w:t>Women Health, 57 (2),</w:t>
      </w:r>
      <w:r w:rsidRPr="00C17A7B">
        <w:rPr>
          <w:rFonts w:ascii="Times" w:eastAsia="Times" w:hAnsi="Times" w:cs="Times"/>
          <w:color w:val="000000" w:themeColor="text1"/>
          <w:highlight w:val="white"/>
          <w:lang w:val="en-US"/>
        </w:rPr>
        <w:t xml:space="preserve"> 249-267. Doi: https://doi.org/</w:t>
      </w:r>
      <w:hyperlink r:id="rId23">
        <w:r w:rsidRPr="00C17A7B">
          <w:rPr>
            <w:rFonts w:ascii="Times" w:eastAsia="Times" w:hAnsi="Times" w:cs="Times"/>
            <w:color w:val="000000" w:themeColor="text1"/>
            <w:highlight w:val="white"/>
            <w:lang w:val="en-US"/>
          </w:rPr>
          <w:t>10.1080/03630242.2016.1159268</w:t>
        </w:r>
      </w:hyperlink>
    </w:p>
    <w:p w14:paraId="2ED240ED"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53118C41"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Fardouly, J., &amp; Vartanian, L. R. (2016). Social media and body image concerns: Current research and future directions. </w:t>
      </w:r>
      <w:r w:rsidRPr="00C17A7B">
        <w:rPr>
          <w:rFonts w:ascii="Times" w:eastAsia="Times" w:hAnsi="Times" w:cs="Times"/>
          <w:i/>
          <w:color w:val="000000" w:themeColor="text1"/>
          <w:highlight w:val="white"/>
        </w:rPr>
        <w:t>Current Opinion in Psychology</w:t>
      </w:r>
      <w:r w:rsidRPr="00C17A7B">
        <w:rPr>
          <w:rFonts w:ascii="Times" w:eastAsia="Times" w:hAnsi="Times" w:cs="Times"/>
          <w:color w:val="000000" w:themeColor="text1"/>
          <w:highlight w:val="white"/>
        </w:rPr>
        <w:t xml:space="preserve">, </w:t>
      </w:r>
      <w:r w:rsidRPr="00C17A7B">
        <w:rPr>
          <w:rFonts w:ascii="Times" w:eastAsia="Times" w:hAnsi="Times" w:cs="Times"/>
          <w:i/>
          <w:color w:val="000000" w:themeColor="text1"/>
          <w:highlight w:val="white"/>
        </w:rPr>
        <w:t>9</w:t>
      </w:r>
      <w:r w:rsidRPr="00C17A7B">
        <w:rPr>
          <w:rFonts w:ascii="Times" w:eastAsia="Times" w:hAnsi="Times" w:cs="Times"/>
          <w:color w:val="000000" w:themeColor="text1"/>
          <w:highlight w:val="white"/>
        </w:rPr>
        <w:t>, 1-5.</w:t>
      </w:r>
      <w:hyperlink r:id="rId24">
        <w:r w:rsidRPr="00C17A7B">
          <w:rPr>
            <w:rFonts w:ascii="Times" w:eastAsia="Times" w:hAnsi="Times" w:cs="Times"/>
            <w:color w:val="000000" w:themeColor="text1"/>
            <w:highlight w:val="white"/>
          </w:rPr>
          <w:t xml:space="preserve"> </w:t>
        </w:r>
      </w:hyperlink>
      <w:hyperlink r:id="rId25">
        <w:r w:rsidRPr="00C17A7B">
          <w:rPr>
            <w:rFonts w:ascii="Times" w:eastAsia="Times" w:hAnsi="Times" w:cs="Times"/>
            <w:color w:val="000000" w:themeColor="text1"/>
            <w:highlight w:val="white"/>
          </w:rPr>
          <w:t>https://doi.org/10.1016/j.copsyc.2015.09.005</w:t>
        </w:r>
      </w:hyperlink>
    </w:p>
    <w:p w14:paraId="633E7061"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6D6A201D"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Fairburn, C.G. y Brownell, K.D. (2013) </w:t>
      </w:r>
      <w:r w:rsidRPr="00C17A7B">
        <w:rPr>
          <w:rFonts w:ascii="Times" w:eastAsia="Times" w:hAnsi="Times" w:cs="Times"/>
          <w:i/>
          <w:color w:val="000000" w:themeColor="text1"/>
          <w:highlight w:val="white"/>
          <w:lang w:val="en-US"/>
        </w:rPr>
        <w:t>Eating Disorders and Obesity, Second Edition: A Comprehensive Handbook</w:t>
      </w:r>
      <w:r w:rsidRPr="00C17A7B">
        <w:rPr>
          <w:rFonts w:ascii="Times" w:eastAsia="Times" w:hAnsi="Times" w:cs="Times"/>
          <w:color w:val="000000" w:themeColor="text1"/>
          <w:highlight w:val="white"/>
          <w:lang w:val="en-US"/>
        </w:rPr>
        <w:t xml:space="preserve">. </w:t>
      </w:r>
      <w:r w:rsidRPr="00C17A7B">
        <w:rPr>
          <w:rFonts w:ascii="Times" w:eastAsia="Times" w:hAnsi="Times" w:cs="Times"/>
          <w:color w:val="000000" w:themeColor="text1"/>
          <w:highlight w:val="white"/>
        </w:rPr>
        <w:t>Guilford Publications.</w:t>
      </w:r>
    </w:p>
    <w:p w14:paraId="1B5EE170"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21FB448E"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Fernández Pérez, N. y Morales Gil, (2022). Relación entre el uso de redes sociales y los problemas alimentarios adolescentes. </w:t>
      </w:r>
      <w:r w:rsidRPr="00C17A7B">
        <w:rPr>
          <w:rFonts w:ascii="Times" w:eastAsia="Times" w:hAnsi="Times" w:cs="Times"/>
          <w:i/>
          <w:color w:val="000000" w:themeColor="text1"/>
          <w:highlight w:val="white"/>
        </w:rPr>
        <w:t>Análisis y Modificación de Conducta, 48 (177),</w:t>
      </w:r>
      <w:r w:rsidRPr="00C17A7B">
        <w:rPr>
          <w:rFonts w:ascii="Times" w:eastAsia="Times" w:hAnsi="Times" w:cs="Times"/>
          <w:color w:val="000000" w:themeColor="text1"/>
          <w:highlight w:val="white"/>
        </w:rPr>
        <w:t xml:space="preserve"> 73-88. http://dx.doi.org/10.33776/amc.v48i177.6879 </w:t>
      </w:r>
    </w:p>
    <w:p w14:paraId="3F81BE46"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6F6D503B"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rPr>
        <w:t xml:space="preserve">Grupo de trabajo de la Guía de Práctica Clínica sobre Trastornos de la Conducta Alimentaria (2009). Guía de Práctica Clínica sobre Trastornos de la Conducta Alimentaria. </w:t>
      </w:r>
      <w:r w:rsidRPr="00C17A7B">
        <w:rPr>
          <w:rFonts w:ascii="Times" w:eastAsia="Times" w:hAnsi="Times" w:cs="Times"/>
          <w:color w:val="000000" w:themeColor="text1"/>
        </w:rPr>
        <w:lastRenderedPageBreak/>
        <w:t>Madrid. www.guiasalud.es/GPC/GPC_440_Tt_Conduc_Alim_compl_(4_jun).pdf.</w:t>
      </w:r>
      <w:r w:rsidRPr="00C17A7B">
        <w:rPr>
          <w:rFonts w:ascii="Times" w:eastAsia="Times" w:hAnsi="Times" w:cs="Times"/>
          <w:b/>
          <w:color w:val="000000" w:themeColor="text1"/>
        </w:rPr>
        <w:br/>
      </w:r>
    </w:p>
    <w:p w14:paraId="4FABC83E"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Hay, P. (2020). Current approach to eating disorders: a clinical update. </w:t>
      </w:r>
      <w:r w:rsidRPr="00C17A7B">
        <w:rPr>
          <w:rFonts w:ascii="Times" w:eastAsia="Times" w:hAnsi="Times" w:cs="Times"/>
          <w:i/>
          <w:color w:val="000000" w:themeColor="text1"/>
          <w:highlight w:val="white"/>
        </w:rPr>
        <w:t>Clinical Perspectives, 50 (1</w:t>
      </w:r>
      <w:r w:rsidRPr="00C17A7B">
        <w:rPr>
          <w:rFonts w:ascii="Times" w:eastAsia="Times" w:hAnsi="Times" w:cs="Times"/>
          <w:color w:val="000000" w:themeColor="text1"/>
          <w:highlight w:val="white"/>
        </w:rPr>
        <w:t xml:space="preserve">), 24-29. </w:t>
      </w:r>
      <w:hyperlink r:id="rId26">
        <w:r w:rsidRPr="00C17A7B">
          <w:rPr>
            <w:rFonts w:ascii="Times" w:eastAsia="Times" w:hAnsi="Times" w:cs="Times"/>
            <w:color w:val="000000" w:themeColor="text1"/>
            <w:highlight w:val="white"/>
          </w:rPr>
          <w:t>https://doi.org/10.1111/imj.14691</w:t>
        </w:r>
      </w:hyperlink>
    </w:p>
    <w:p w14:paraId="0C2DC014"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522E72AA" w14:textId="231F56E6"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Holland, G., y Tiggemann, M. (2017). </w:t>
      </w:r>
      <w:r w:rsidRPr="00C17A7B">
        <w:rPr>
          <w:rFonts w:ascii="Times" w:eastAsia="Times" w:hAnsi="Times" w:cs="Times"/>
          <w:color w:val="000000" w:themeColor="text1"/>
          <w:highlight w:val="white"/>
          <w:lang w:val="en-US"/>
        </w:rPr>
        <w:t xml:space="preserve">Strong beats skinny every time”: Disordered eating and compulsive exercise in women who post fitspiration on Instagram. </w:t>
      </w:r>
      <w:r w:rsidRPr="00C17A7B">
        <w:rPr>
          <w:rFonts w:ascii="Times" w:eastAsia="Times" w:hAnsi="Times" w:cs="Times"/>
          <w:i/>
          <w:color w:val="000000" w:themeColor="text1"/>
          <w:highlight w:val="white"/>
          <w:lang w:val="en-US"/>
        </w:rPr>
        <w:t>International Journal of Eating Disorders, 50</w:t>
      </w:r>
      <w:r w:rsidR="00920A6E" w:rsidRPr="00C17A7B">
        <w:rPr>
          <w:rFonts w:ascii="Times" w:eastAsia="Times" w:hAnsi="Times" w:cs="Times"/>
          <w:i/>
          <w:color w:val="000000" w:themeColor="text1"/>
          <w:highlight w:val="white"/>
          <w:lang w:val="en-US"/>
        </w:rPr>
        <w:t xml:space="preserve"> </w:t>
      </w:r>
      <w:r w:rsidRPr="00C17A7B">
        <w:rPr>
          <w:rFonts w:ascii="Times" w:eastAsia="Times" w:hAnsi="Times" w:cs="Times"/>
          <w:i/>
          <w:color w:val="000000" w:themeColor="text1"/>
          <w:highlight w:val="white"/>
          <w:lang w:val="en-US"/>
        </w:rPr>
        <w:t>(1),</w:t>
      </w:r>
      <w:r w:rsidRPr="00C17A7B">
        <w:rPr>
          <w:rFonts w:ascii="Times" w:eastAsia="Times" w:hAnsi="Times" w:cs="Times"/>
          <w:color w:val="000000" w:themeColor="text1"/>
          <w:highlight w:val="white"/>
          <w:lang w:val="en-US"/>
        </w:rPr>
        <w:t xml:space="preserve"> 76-79. </w:t>
      </w:r>
      <w:hyperlink r:id="rId27">
        <w:r w:rsidRPr="00C17A7B">
          <w:rPr>
            <w:rFonts w:ascii="Times" w:eastAsia="Times" w:hAnsi="Times" w:cs="Times"/>
            <w:color w:val="000000" w:themeColor="text1"/>
            <w:highlight w:val="white"/>
            <w:lang w:val="en-US"/>
          </w:rPr>
          <w:t>https://doi.org/10.1002/eat.22559</w:t>
        </w:r>
      </w:hyperlink>
    </w:p>
    <w:p w14:paraId="5AF1D4D3"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0A7E802B" w14:textId="77777777" w:rsidR="00371A08" w:rsidRPr="00C17A7B" w:rsidRDefault="00000000" w:rsidP="005E4144">
      <w:pPr>
        <w:spacing w:line="360" w:lineRule="auto"/>
        <w:ind w:left="720" w:hanging="720"/>
        <w:rPr>
          <w:color w:val="000000" w:themeColor="text1"/>
          <w:highlight w:val="white"/>
          <w:lang w:val="en-US"/>
        </w:rPr>
      </w:pPr>
      <w:r w:rsidRPr="00C17A7B">
        <w:rPr>
          <w:color w:val="000000" w:themeColor="text1"/>
          <w:highlight w:val="white"/>
          <w:lang w:val="en-US"/>
        </w:rPr>
        <w:t xml:space="preserve">Jong, S.T. y Drummond, M.J. (2016) Exploring online fitness culture and young females. </w:t>
      </w:r>
      <w:r w:rsidRPr="00C17A7B">
        <w:rPr>
          <w:i/>
          <w:color w:val="000000" w:themeColor="text1"/>
          <w:highlight w:val="white"/>
          <w:lang w:val="en-US"/>
        </w:rPr>
        <w:t>Leisure Studies, 35 (6),</w:t>
      </w:r>
      <w:r w:rsidRPr="00C17A7B">
        <w:rPr>
          <w:color w:val="000000" w:themeColor="text1"/>
          <w:highlight w:val="white"/>
          <w:lang w:val="en-US"/>
        </w:rPr>
        <w:t xml:space="preserve"> 758-770. </w:t>
      </w:r>
      <w:hyperlink r:id="rId28">
        <w:r w:rsidRPr="00C17A7B">
          <w:rPr>
            <w:color w:val="000000" w:themeColor="text1"/>
            <w:highlight w:val="white"/>
            <w:lang w:val="en-US"/>
          </w:rPr>
          <w:t>https://doi.org</w:t>
        </w:r>
      </w:hyperlink>
      <w:r w:rsidRPr="00C17A7B">
        <w:rPr>
          <w:color w:val="000000" w:themeColor="text1"/>
          <w:highlight w:val="white"/>
          <w:lang w:val="en-US"/>
        </w:rPr>
        <w:t>/1</w:t>
      </w:r>
      <w:hyperlink r:id="rId29">
        <w:r w:rsidRPr="00C17A7B">
          <w:rPr>
            <w:color w:val="000000" w:themeColor="text1"/>
            <w:highlight w:val="white"/>
            <w:lang w:val="en-US"/>
          </w:rPr>
          <w:t>0.1080/02614367.2016.1182202</w:t>
        </w:r>
      </w:hyperlink>
    </w:p>
    <w:p w14:paraId="3207991C"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68899672"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Knobloch-Westerwick, S. (2015). Thinspiration: self-improvement versus self-evaluation social comparisons with thin-ideal media potrayals. </w:t>
      </w:r>
      <w:r w:rsidRPr="00C17A7B">
        <w:rPr>
          <w:rFonts w:ascii="Times" w:eastAsia="Times" w:hAnsi="Times" w:cs="Times"/>
          <w:i/>
          <w:color w:val="000000" w:themeColor="text1"/>
          <w:highlight w:val="white"/>
          <w:lang w:val="en-US"/>
        </w:rPr>
        <w:t xml:space="preserve">Health Commun, 30 (11), </w:t>
      </w:r>
      <w:r w:rsidRPr="00C17A7B">
        <w:rPr>
          <w:rFonts w:ascii="Times" w:eastAsia="Times" w:hAnsi="Times" w:cs="Times"/>
          <w:color w:val="000000" w:themeColor="text1"/>
          <w:highlight w:val="white"/>
          <w:lang w:val="en-US"/>
        </w:rPr>
        <w:t xml:space="preserve">1089-1101. </w:t>
      </w:r>
      <w:hyperlink r:id="rId30">
        <w:r w:rsidRPr="00C17A7B">
          <w:rPr>
            <w:rFonts w:ascii="Times" w:eastAsia="Times" w:hAnsi="Times" w:cs="Times"/>
            <w:color w:val="000000" w:themeColor="text1"/>
            <w:highlight w:val="white"/>
            <w:lang w:val="en-US"/>
          </w:rPr>
          <w:t>https://doi.org/</w:t>
        </w:r>
      </w:hyperlink>
      <w:hyperlink r:id="rId31">
        <w:r w:rsidRPr="00C17A7B">
          <w:rPr>
            <w:rFonts w:ascii="Times" w:eastAsia="Times" w:hAnsi="Times" w:cs="Times"/>
            <w:color w:val="000000" w:themeColor="text1"/>
            <w:highlight w:val="white"/>
            <w:lang w:val="en-US"/>
          </w:rPr>
          <w:t>10.1080/10410236.2014.921270</w:t>
        </w:r>
      </w:hyperlink>
    </w:p>
    <w:p w14:paraId="015D7400" w14:textId="77777777" w:rsidR="00371A08" w:rsidRPr="00C17A7B" w:rsidRDefault="00371A08" w:rsidP="005E4144">
      <w:pPr>
        <w:spacing w:line="360" w:lineRule="auto"/>
        <w:ind w:left="720" w:hanging="720"/>
        <w:rPr>
          <w:rFonts w:ascii="Roboto" w:eastAsia="Roboto" w:hAnsi="Roboto" w:cs="Roboto"/>
          <w:color w:val="000000" w:themeColor="text1"/>
          <w:highlight w:val="white"/>
          <w:lang w:val="en-US"/>
        </w:rPr>
      </w:pPr>
    </w:p>
    <w:p w14:paraId="7937DCA5"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Khamis, S., Ang, L., &amp; Welling, R. (2017). Self-branding, ‘micro-celebrity’ and the rise of Social Media Influencers. </w:t>
      </w:r>
      <w:r w:rsidRPr="00C17A7B">
        <w:rPr>
          <w:rFonts w:ascii="Times" w:eastAsia="Times" w:hAnsi="Times" w:cs="Times"/>
          <w:i/>
          <w:color w:val="000000" w:themeColor="text1"/>
          <w:highlight w:val="white"/>
          <w:lang w:val="en-US"/>
        </w:rPr>
        <w:t>Celebrity Studies</w:t>
      </w:r>
      <w:r w:rsidRPr="00C17A7B">
        <w:rPr>
          <w:rFonts w:ascii="Times" w:eastAsia="Times" w:hAnsi="Times" w:cs="Times"/>
          <w:color w:val="000000" w:themeColor="text1"/>
          <w:highlight w:val="white"/>
          <w:lang w:val="en-US"/>
        </w:rPr>
        <w:t xml:space="preserve">, </w:t>
      </w:r>
      <w:r w:rsidRPr="00C17A7B">
        <w:rPr>
          <w:rFonts w:ascii="Times" w:eastAsia="Times" w:hAnsi="Times" w:cs="Times"/>
          <w:i/>
          <w:color w:val="000000" w:themeColor="text1"/>
          <w:highlight w:val="white"/>
          <w:lang w:val="en-US"/>
        </w:rPr>
        <w:t>8 (2),</w:t>
      </w:r>
      <w:r w:rsidRPr="00C17A7B">
        <w:rPr>
          <w:rFonts w:ascii="Times" w:eastAsia="Times" w:hAnsi="Times" w:cs="Times"/>
          <w:color w:val="000000" w:themeColor="text1"/>
          <w:highlight w:val="white"/>
          <w:lang w:val="en-US"/>
        </w:rPr>
        <w:t xml:space="preserve"> 191-208.</w:t>
      </w:r>
      <w:hyperlink r:id="rId32">
        <w:r w:rsidRPr="00C17A7B">
          <w:rPr>
            <w:rFonts w:ascii="Times" w:eastAsia="Times" w:hAnsi="Times" w:cs="Times"/>
            <w:color w:val="000000" w:themeColor="text1"/>
            <w:highlight w:val="white"/>
            <w:lang w:val="en-US"/>
          </w:rPr>
          <w:t xml:space="preserve"> https://doi.org/10.1080/19392397.2016.1218292</w:t>
        </w:r>
      </w:hyperlink>
    </w:p>
    <w:p w14:paraId="6F188C11"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1BC263BC"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López, C. y Treasure, J. (2011). </w:t>
      </w:r>
      <w:r w:rsidRPr="00C17A7B">
        <w:rPr>
          <w:rFonts w:ascii="Times" w:eastAsia="Times" w:hAnsi="Times" w:cs="Times"/>
          <w:color w:val="000000" w:themeColor="text1"/>
          <w:highlight w:val="white"/>
        </w:rPr>
        <w:t xml:space="preserve">Trastornos de la conducta alimentaria en adolescentes: Descripción y manejo. </w:t>
      </w:r>
      <w:r w:rsidRPr="00C17A7B">
        <w:rPr>
          <w:rFonts w:ascii="Times" w:eastAsia="Times" w:hAnsi="Times" w:cs="Times"/>
          <w:i/>
          <w:color w:val="000000" w:themeColor="text1"/>
          <w:highlight w:val="white"/>
        </w:rPr>
        <w:t>Revista Médica Clínica Las Condes, 22 (1)</w:t>
      </w:r>
      <w:r w:rsidRPr="00C17A7B">
        <w:rPr>
          <w:rFonts w:ascii="Times" w:eastAsia="Times" w:hAnsi="Times" w:cs="Times"/>
          <w:color w:val="000000" w:themeColor="text1"/>
          <w:highlight w:val="white"/>
        </w:rPr>
        <w:t>, 85-97</w:t>
      </w:r>
    </w:p>
    <w:p w14:paraId="0B78EB02"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38DC58AF"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Marketing News. (23 de mayo de 2023). </w:t>
      </w:r>
      <w:r w:rsidRPr="00C17A7B">
        <w:rPr>
          <w:rFonts w:ascii="Times" w:eastAsia="Times" w:hAnsi="Times" w:cs="Times"/>
          <w:i/>
          <w:color w:val="000000" w:themeColor="text1"/>
          <w:highlight w:val="white"/>
        </w:rPr>
        <w:t xml:space="preserve">Las mujeres utilizan las redes sociales un 7% más que los hombres. </w:t>
      </w:r>
      <w:r w:rsidRPr="00C17A7B">
        <w:rPr>
          <w:rFonts w:ascii="Times" w:eastAsia="Times" w:hAnsi="Times" w:cs="Times"/>
          <w:color w:val="000000" w:themeColor="text1"/>
          <w:highlight w:val="white"/>
        </w:rPr>
        <w:t>https://www.marketingnews.es/investigacion/noticia/1113054031605/mujeres-utilizan-redes-sociales-7-mas-hombres.1.html</w:t>
      </w:r>
      <w:r w:rsidRPr="00C17A7B">
        <w:rPr>
          <w:rFonts w:ascii="Times" w:eastAsia="Times" w:hAnsi="Times" w:cs="Times"/>
          <w:color w:val="000000" w:themeColor="text1"/>
          <w:highlight w:val="white"/>
        </w:rPr>
        <w:br/>
      </w:r>
    </w:p>
    <w:p w14:paraId="78430AD0"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Markula, P., Yiannakis, A., y Melnick, M. (2001). Firm but shapely, fit but sexy, strong but thin: the postmodern aerobicizing female bodies. </w:t>
      </w:r>
      <w:r w:rsidRPr="00C17A7B">
        <w:rPr>
          <w:rFonts w:ascii="Times" w:eastAsia="Times" w:hAnsi="Times" w:cs="Times"/>
          <w:i/>
          <w:color w:val="000000" w:themeColor="text1"/>
          <w:highlight w:val="white"/>
          <w:lang w:val="en-US"/>
        </w:rPr>
        <w:t>Contemporary Issues in Sociology of Sport, 12 (4)</w:t>
      </w:r>
      <w:r w:rsidRPr="00C17A7B">
        <w:rPr>
          <w:rFonts w:ascii="Times" w:eastAsia="Times" w:hAnsi="Times" w:cs="Times"/>
          <w:color w:val="000000" w:themeColor="text1"/>
          <w:highlight w:val="white"/>
          <w:lang w:val="en-US"/>
        </w:rPr>
        <w:t xml:space="preserve">, 424-453. </w:t>
      </w:r>
      <w:hyperlink r:id="rId33">
        <w:r w:rsidRPr="00C17A7B">
          <w:rPr>
            <w:rFonts w:ascii="Times" w:eastAsia="Times" w:hAnsi="Times" w:cs="Times"/>
            <w:color w:val="000000" w:themeColor="text1"/>
            <w:highlight w:val="white"/>
            <w:lang w:val="en-US"/>
          </w:rPr>
          <w:t>https://doi.org/10.1123/ssj.12.4.424</w:t>
        </w:r>
      </w:hyperlink>
    </w:p>
    <w:p w14:paraId="3F02B437" w14:textId="77777777" w:rsidR="00371A08" w:rsidRPr="00C17A7B" w:rsidRDefault="00371A08" w:rsidP="005E4144">
      <w:pPr>
        <w:spacing w:line="360" w:lineRule="auto"/>
        <w:ind w:left="720" w:hanging="720"/>
        <w:rPr>
          <w:rFonts w:ascii="Times" w:eastAsia="Times" w:hAnsi="Times" w:cs="Times"/>
          <w:color w:val="000000" w:themeColor="text1"/>
          <w:lang w:val="en-US"/>
        </w:rPr>
      </w:pPr>
    </w:p>
    <w:p w14:paraId="65C8761F" w14:textId="1DE5FB3A" w:rsidR="00371A08" w:rsidRPr="00C17A7B" w:rsidRDefault="00000000" w:rsidP="005E4144">
      <w:pPr>
        <w:spacing w:line="360" w:lineRule="auto"/>
        <w:ind w:left="720" w:hanging="720"/>
        <w:rPr>
          <w:rFonts w:ascii="Times" w:eastAsia="Times" w:hAnsi="Times" w:cs="Times"/>
          <w:color w:val="000000" w:themeColor="text1"/>
        </w:rPr>
      </w:pPr>
      <w:r w:rsidRPr="00C17A7B">
        <w:rPr>
          <w:rFonts w:ascii="Times" w:eastAsia="Times" w:hAnsi="Times" w:cs="Times"/>
          <w:color w:val="000000" w:themeColor="text1"/>
        </w:rPr>
        <w:lastRenderedPageBreak/>
        <w:t xml:space="preserve">Mejía, A., Pastrana, J. &amp; Mejía, J. M. (2011). autoestima, factor fundamental para el desarrollo de la autonomía personal y profesional. </w:t>
      </w:r>
      <w:r w:rsidR="005E4144" w:rsidRPr="00C17A7B">
        <w:rPr>
          <w:rFonts w:ascii="Times" w:eastAsia="Times" w:hAnsi="Times" w:cs="Times"/>
          <w:i/>
          <w:iCs/>
          <w:color w:val="000000" w:themeColor="text1"/>
        </w:rPr>
        <w:t>XII Congreso Internacional de Teoría de la Educación.</w:t>
      </w:r>
    </w:p>
    <w:p w14:paraId="566882CA"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026E5F12"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Muñoz, R. y Martínez, A. (2007). Ortorexia y vigorexia: ¿Nuevos trastornos de la conducta alimentaria? </w:t>
      </w:r>
      <w:r w:rsidRPr="00C17A7B">
        <w:rPr>
          <w:rFonts w:ascii="Times" w:eastAsia="Times" w:hAnsi="Times" w:cs="Times"/>
          <w:i/>
          <w:color w:val="000000" w:themeColor="text1"/>
          <w:highlight w:val="white"/>
        </w:rPr>
        <w:t>Trastornos de la conducta alimentaria, 5</w:t>
      </w:r>
      <w:r w:rsidRPr="00C17A7B">
        <w:rPr>
          <w:rFonts w:ascii="Times" w:eastAsia="Times" w:hAnsi="Times" w:cs="Times"/>
          <w:color w:val="000000" w:themeColor="text1"/>
          <w:highlight w:val="white"/>
        </w:rPr>
        <w:t>, 457-482.</w:t>
      </w:r>
      <w:r w:rsidRPr="00C17A7B">
        <w:rPr>
          <w:rFonts w:ascii="Times" w:eastAsia="Times" w:hAnsi="Times" w:cs="Times"/>
          <w:color w:val="000000" w:themeColor="text1"/>
          <w:highlight w:val="white"/>
        </w:rPr>
        <w:br/>
      </w:r>
    </w:p>
    <w:p w14:paraId="5F41E74A" w14:textId="045577DF"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Muth, J. L., y Cash, T. F. (2006). Body-Image Attitudes: What Difference Does Gender Make? </w:t>
      </w:r>
      <w:r w:rsidRPr="00C17A7B">
        <w:rPr>
          <w:rFonts w:ascii="Times" w:eastAsia="Times" w:hAnsi="Times" w:cs="Times"/>
          <w:i/>
          <w:color w:val="000000" w:themeColor="text1"/>
          <w:highlight w:val="white"/>
          <w:lang w:val="en-US"/>
        </w:rPr>
        <w:t>Journal of Applied Social Psychology, 27</w:t>
      </w:r>
      <w:r w:rsidR="00920A6E" w:rsidRPr="00C17A7B">
        <w:rPr>
          <w:rFonts w:ascii="Times" w:eastAsia="Times" w:hAnsi="Times" w:cs="Times"/>
          <w:i/>
          <w:color w:val="000000" w:themeColor="text1"/>
          <w:highlight w:val="white"/>
          <w:lang w:val="en-US"/>
        </w:rPr>
        <w:t xml:space="preserve"> </w:t>
      </w:r>
      <w:r w:rsidRPr="00C17A7B">
        <w:rPr>
          <w:rFonts w:ascii="Times" w:eastAsia="Times" w:hAnsi="Times" w:cs="Times"/>
          <w:i/>
          <w:color w:val="000000" w:themeColor="text1"/>
          <w:highlight w:val="white"/>
          <w:lang w:val="en-US"/>
        </w:rPr>
        <w:t>(16),</w:t>
      </w:r>
      <w:r w:rsidRPr="00C17A7B">
        <w:rPr>
          <w:rFonts w:ascii="Times" w:eastAsia="Times" w:hAnsi="Times" w:cs="Times"/>
          <w:color w:val="000000" w:themeColor="text1"/>
          <w:highlight w:val="white"/>
          <w:lang w:val="en-US"/>
        </w:rPr>
        <w:t xml:space="preserve"> 1438–1452. http://doi.org/10.1111/j.1559- 1816.1997.tb01607.x</w:t>
      </w:r>
    </w:p>
    <w:p w14:paraId="7E52F319"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4F450888" w14:textId="167B3120"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Neumark-Sztainer, D., Wall, M., Larson, N.I., Eisenberg, M.E. y Loth, K. (2011). Dieting and disordered eating behaviors from adolescence to young adulthood: Findings from a 10-year longitudinal study. </w:t>
      </w:r>
      <w:r w:rsidRPr="00C17A7B">
        <w:rPr>
          <w:rFonts w:ascii="Times" w:eastAsia="Times" w:hAnsi="Times" w:cs="Times"/>
          <w:i/>
          <w:color w:val="000000" w:themeColor="text1"/>
          <w:highlight w:val="white"/>
          <w:lang w:val="en-US"/>
        </w:rPr>
        <w:t>J</w:t>
      </w:r>
      <w:r w:rsidR="00DC2484" w:rsidRPr="00C17A7B">
        <w:rPr>
          <w:rFonts w:ascii="Times" w:eastAsia="Times" w:hAnsi="Times" w:cs="Times"/>
          <w:i/>
          <w:color w:val="000000" w:themeColor="text1"/>
          <w:highlight w:val="white"/>
          <w:lang w:val="en-US"/>
        </w:rPr>
        <w:t>ournal of the</w:t>
      </w:r>
      <w:r w:rsidRPr="00C17A7B">
        <w:rPr>
          <w:rFonts w:ascii="Times" w:eastAsia="Times" w:hAnsi="Times" w:cs="Times"/>
          <w:i/>
          <w:color w:val="000000" w:themeColor="text1"/>
          <w:highlight w:val="white"/>
          <w:lang w:val="en-US"/>
        </w:rPr>
        <w:t xml:space="preserve"> Am</w:t>
      </w:r>
      <w:r w:rsidR="00DC2484" w:rsidRPr="00C17A7B">
        <w:rPr>
          <w:rFonts w:ascii="Times" w:eastAsia="Times" w:hAnsi="Times" w:cs="Times"/>
          <w:i/>
          <w:color w:val="000000" w:themeColor="text1"/>
          <w:highlight w:val="white"/>
          <w:lang w:val="en-US"/>
        </w:rPr>
        <w:t>erican</w:t>
      </w:r>
      <w:r w:rsidRPr="00C17A7B">
        <w:rPr>
          <w:rFonts w:ascii="Times" w:eastAsia="Times" w:hAnsi="Times" w:cs="Times"/>
          <w:i/>
          <w:color w:val="000000" w:themeColor="text1"/>
          <w:highlight w:val="white"/>
          <w:lang w:val="en-US"/>
        </w:rPr>
        <w:t xml:space="preserve"> Diet</w:t>
      </w:r>
      <w:r w:rsidR="00DC2484" w:rsidRPr="00C17A7B">
        <w:rPr>
          <w:rFonts w:ascii="Times" w:eastAsia="Times" w:hAnsi="Times" w:cs="Times"/>
          <w:i/>
          <w:color w:val="000000" w:themeColor="text1"/>
          <w:highlight w:val="white"/>
          <w:lang w:val="en-US"/>
        </w:rPr>
        <w:t>etic</w:t>
      </w:r>
      <w:r w:rsidRPr="00C17A7B">
        <w:rPr>
          <w:rFonts w:ascii="Times" w:eastAsia="Times" w:hAnsi="Times" w:cs="Times"/>
          <w:i/>
          <w:color w:val="000000" w:themeColor="text1"/>
          <w:highlight w:val="white"/>
          <w:lang w:val="en-US"/>
        </w:rPr>
        <w:t xml:space="preserve"> Assoc</w:t>
      </w:r>
      <w:r w:rsidR="00DC2484" w:rsidRPr="00C17A7B">
        <w:rPr>
          <w:rFonts w:ascii="Times" w:eastAsia="Times" w:hAnsi="Times" w:cs="Times"/>
          <w:i/>
          <w:color w:val="000000" w:themeColor="text1"/>
          <w:highlight w:val="white"/>
          <w:lang w:val="en-US"/>
        </w:rPr>
        <w:t>iation</w:t>
      </w:r>
      <w:r w:rsidRPr="00C17A7B">
        <w:rPr>
          <w:rFonts w:ascii="Times" w:eastAsia="Times" w:hAnsi="Times" w:cs="Times"/>
          <w:i/>
          <w:color w:val="000000" w:themeColor="text1"/>
          <w:highlight w:val="white"/>
          <w:lang w:val="en-US"/>
        </w:rPr>
        <w:t>, 111,</w:t>
      </w:r>
      <w:r w:rsidRPr="00C17A7B">
        <w:rPr>
          <w:rFonts w:ascii="Times" w:eastAsia="Times" w:hAnsi="Times" w:cs="Times"/>
          <w:color w:val="000000" w:themeColor="text1"/>
          <w:highlight w:val="white"/>
          <w:lang w:val="en-US"/>
        </w:rPr>
        <w:t xml:space="preserve"> 1004-1011.  http://doi.org/</w:t>
      </w:r>
      <w:hyperlink r:id="rId34">
        <w:r w:rsidRPr="00C17A7B">
          <w:rPr>
            <w:rFonts w:ascii="Times" w:eastAsia="Times" w:hAnsi="Times" w:cs="Times"/>
            <w:color w:val="000000" w:themeColor="text1"/>
            <w:highlight w:val="white"/>
            <w:lang w:val="en-US"/>
          </w:rPr>
          <w:t>10.1016/j.jada.2011.04.012</w:t>
        </w:r>
      </w:hyperlink>
    </w:p>
    <w:p w14:paraId="26652C63"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1264A9C9"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Ortega Navas, M. C.; García Pérez, M. y Galán Casado, D. (2022). El impacto socioeducativo de las redes sociales virtuales en los trastornos alimentarios. </w:t>
      </w:r>
      <w:r w:rsidRPr="00C17A7B">
        <w:rPr>
          <w:rFonts w:ascii="Times" w:eastAsia="Times" w:hAnsi="Times" w:cs="Times"/>
          <w:i/>
          <w:color w:val="000000" w:themeColor="text1"/>
          <w:highlight w:val="white"/>
          <w:lang w:val="en-US"/>
        </w:rPr>
        <w:t xml:space="preserve">TECHNO Review, 14 (1), </w:t>
      </w:r>
      <w:r w:rsidRPr="00C17A7B">
        <w:rPr>
          <w:rFonts w:ascii="Times" w:eastAsia="Times" w:hAnsi="Times" w:cs="Times"/>
          <w:color w:val="000000" w:themeColor="text1"/>
          <w:highlight w:val="white"/>
          <w:lang w:val="en-US"/>
        </w:rPr>
        <w:t xml:space="preserve">2-18. </w:t>
      </w:r>
      <w:hyperlink r:id="rId35">
        <w:r w:rsidRPr="00C17A7B">
          <w:rPr>
            <w:rFonts w:ascii="Times" w:eastAsia="Times" w:hAnsi="Times" w:cs="Times"/>
            <w:color w:val="000000" w:themeColor="text1"/>
            <w:highlight w:val="white"/>
            <w:lang w:val="en-US"/>
          </w:rPr>
          <w:t>https://doi.org/10.37467/revtechno.v14.4820</w:t>
        </w:r>
      </w:hyperlink>
    </w:p>
    <w:p w14:paraId="3AD23300"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2CFB5C92"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Perloff, R. M. (2014). Social media effects on young women’s body image concerns: Theoretical perspectives and an agenda for research. </w:t>
      </w:r>
      <w:r w:rsidRPr="00C17A7B">
        <w:rPr>
          <w:rFonts w:ascii="Times" w:eastAsia="Times" w:hAnsi="Times" w:cs="Times"/>
          <w:i/>
          <w:color w:val="000000" w:themeColor="text1"/>
          <w:highlight w:val="white"/>
          <w:lang w:val="en-US"/>
        </w:rPr>
        <w:t>Sex Roles: A Journal of Research</w:t>
      </w:r>
      <w:r w:rsidRPr="00C17A7B">
        <w:rPr>
          <w:rFonts w:ascii="Times" w:eastAsia="Times" w:hAnsi="Times" w:cs="Times"/>
          <w:color w:val="000000" w:themeColor="text1"/>
          <w:highlight w:val="white"/>
          <w:lang w:val="en-US"/>
        </w:rPr>
        <w:t xml:space="preserve">, </w:t>
      </w:r>
      <w:r w:rsidRPr="00C17A7B">
        <w:rPr>
          <w:rFonts w:ascii="Times" w:eastAsia="Times" w:hAnsi="Times" w:cs="Times"/>
          <w:i/>
          <w:color w:val="000000" w:themeColor="text1"/>
          <w:highlight w:val="white"/>
          <w:lang w:val="en-US"/>
        </w:rPr>
        <w:t>71</w:t>
      </w:r>
      <w:r w:rsidRPr="00C17A7B">
        <w:rPr>
          <w:rFonts w:ascii="Times" w:eastAsia="Times" w:hAnsi="Times" w:cs="Times"/>
          <w:color w:val="000000" w:themeColor="text1"/>
          <w:highlight w:val="white"/>
          <w:lang w:val="en-US"/>
        </w:rPr>
        <w:t>, 363-377.</w:t>
      </w:r>
      <w:hyperlink r:id="rId36">
        <w:r w:rsidRPr="00C17A7B">
          <w:rPr>
            <w:rFonts w:ascii="Times" w:eastAsia="Times" w:hAnsi="Times" w:cs="Times"/>
            <w:color w:val="000000" w:themeColor="text1"/>
            <w:highlight w:val="white"/>
            <w:lang w:val="en-US"/>
          </w:rPr>
          <w:t xml:space="preserve"> </w:t>
        </w:r>
      </w:hyperlink>
      <w:hyperlink r:id="rId37">
        <w:r w:rsidRPr="00C17A7B">
          <w:rPr>
            <w:rFonts w:ascii="Times" w:eastAsia="Times" w:hAnsi="Times" w:cs="Times"/>
            <w:color w:val="000000" w:themeColor="text1"/>
            <w:highlight w:val="white"/>
            <w:lang w:val="en-US"/>
          </w:rPr>
          <w:t>https://doi.org/10.1007/s11199-014-0384-6</w:t>
        </w:r>
      </w:hyperlink>
    </w:p>
    <w:p w14:paraId="421B1126"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236DBCEB"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Powell, E., Wang-Hall, J., Bannister, J. A., Colera, E. y Lopez F.G. (2018). Attachment security and social comparisons as predictors of Pinterest users’ body image concerns. </w:t>
      </w:r>
      <w:r w:rsidRPr="00C17A7B">
        <w:rPr>
          <w:rFonts w:ascii="Times" w:eastAsia="Times" w:hAnsi="Times" w:cs="Times"/>
          <w:i/>
          <w:color w:val="000000" w:themeColor="text1"/>
          <w:highlight w:val="white"/>
          <w:lang w:val="en-US"/>
        </w:rPr>
        <w:t>Computers in Human Behavior, 83,</w:t>
      </w:r>
      <w:r w:rsidRPr="00C17A7B">
        <w:rPr>
          <w:rFonts w:ascii="Times" w:eastAsia="Times" w:hAnsi="Times" w:cs="Times"/>
          <w:color w:val="000000" w:themeColor="text1"/>
          <w:highlight w:val="white"/>
          <w:lang w:val="en-US"/>
        </w:rPr>
        <w:t xml:space="preserve"> 221-229. </w:t>
      </w:r>
      <w:hyperlink r:id="rId38">
        <w:r w:rsidRPr="00C17A7B">
          <w:rPr>
            <w:rFonts w:ascii="Times" w:eastAsia="Times" w:hAnsi="Times" w:cs="Times"/>
            <w:color w:val="000000" w:themeColor="text1"/>
            <w:highlight w:val="white"/>
            <w:lang w:val="en-US"/>
          </w:rPr>
          <w:t>https://doi.org/10.1016/j.chb.2018.01.039</w:t>
        </w:r>
      </w:hyperlink>
    </w:p>
    <w:p w14:paraId="43F53C3E"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3214EB32"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Prichard, I., Kavanagh, E., (2020). The effect of Instagram #fitspiration images on young women’s mood, body image, and exercise behaviour. </w:t>
      </w:r>
      <w:r w:rsidRPr="00C17A7B">
        <w:rPr>
          <w:rFonts w:ascii="Times" w:eastAsia="Times" w:hAnsi="Times" w:cs="Times"/>
          <w:i/>
          <w:color w:val="000000" w:themeColor="text1"/>
          <w:highlight w:val="white"/>
        </w:rPr>
        <w:t>Body Image, 33</w:t>
      </w:r>
      <w:r w:rsidRPr="00C17A7B">
        <w:rPr>
          <w:rFonts w:ascii="Times" w:eastAsia="Times" w:hAnsi="Times" w:cs="Times"/>
          <w:color w:val="000000" w:themeColor="text1"/>
          <w:highlight w:val="white"/>
        </w:rPr>
        <w:t xml:space="preserve">, 1-6. </w:t>
      </w:r>
      <w:hyperlink r:id="rId39">
        <w:r w:rsidRPr="00C17A7B">
          <w:rPr>
            <w:rFonts w:ascii="Times" w:eastAsia="Times" w:hAnsi="Times" w:cs="Times"/>
            <w:color w:val="000000" w:themeColor="text1"/>
            <w:highlight w:val="white"/>
          </w:rPr>
          <w:t>https://doi.org/10.1016/j.bodyim.2020.02.002</w:t>
        </w:r>
      </w:hyperlink>
    </w:p>
    <w:p w14:paraId="678F9A61"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0B226471"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lastRenderedPageBreak/>
        <w:t xml:space="preserve">Puertas, D.G. (2020) Influencia del uso de Instagram sobre la conducta alimentaria y trastornos emocionales. Revisión sistemática. </w:t>
      </w:r>
      <w:r w:rsidRPr="00C17A7B">
        <w:rPr>
          <w:rFonts w:ascii="Times" w:eastAsia="Times" w:hAnsi="Times" w:cs="Times"/>
          <w:i/>
          <w:color w:val="000000" w:themeColor="text1"/>
          <w:highlight w:val="white"/>
        </w:rPr>
        <w:t>Revista Española de Comunicación en Salud,</w:t>
      </w:r>
      <w:r w:rsidRPr="00C17A7B">
        <w:rPr>
          <w:rFonts w:ascii="Times" w:eastAsia="Times" w:hAnsi="Times" w:cs="Times"/>
          <w:color w:val="000000" w:themeColor="text1"/>
          <w:highlight w:val="white"/>
        </w:rPr>
        <w:t xml:space="preserve"> </w:t>
      </w:r>
      <w:r w:rsidRPr="00C17A7B">
        <w:rPr>
          <w:rFonts w:ascii="Times" w:eastAsia="Times" w:hAnsi="Times" w:cs="Times"/>
          <w:i/>
          <w:color w:val="000000" w:themeColor="text1"/>
          <w:highlight w:val="white"/>
        </w:rPr>
        <w:t>11 (2), 244-254.</w:t>
      </w:r>
      <w:r w:rsidRPr="00C17A7B">
        <w:rPr>
          <w:rFonts w:ascii="Times" w:eastAsia="Times" w:hAnsi="Times" w:cs="Times"/>
          <w:color w:val="000000" w:themeColor="text1"/>
          <w:highlight w:val="white"/>
        </w:rPr>
        <w:t xml:space="preserve">  </w:t>
      </w:r>
      <w:hyperlink r:id="rId40">
        <w:r w:rsidRPr="00C17A7B">
          <w:rPr>
            <w:rFonts w:ascii="Times" w:eastAsia="Times" w:hAnsi="Times" w:cs="Times"/>
            <w:color w:val="000000" w:themeColor="text1"/>
            <w:highlight w:val="white"/>
          </w:rPr>
          <w:t>https://doi.org/10.20318/recs.2020/5223</w:t>
        </w:r>
      </w:hyperlink>
    </w:p>
    <w:p w14:paraId="4173F76D"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rPr>
      </w:pPr>
    </w:p>
    <w:p w14:paraId="18E7E92A"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Puttevils, L., Vanderhasselt, M. yVervaet, M. (2019). Investigating transdiagnostic factors in eating disorders: Does self-esteem moderate the relationship between perfectionism and eating disorder symptoms? </w:t>
      </w:r>
      <w:r w:rsidRPr="00C17A7B">
        <w:rPr>
          <w:rFonts w:ascii="Times" w:eastAsia="Times" w:hAnsi="Times" w:cs="Times"/>
          <w:i/>
          <w:color w:val="000000" w:themeColor="text1"/>
          <w:highlight w:val="white"/>
        </w:rPr>
        <w:t>European Eating Disorders Review, 27 (4),</w:t>
      </w:r>
      <w:r w:rsidRPr="00C17A7B">
        <w:rPr>
          <w:rFonts w:ascii="Times" w:eastAsia="Times" w:hAnsi="Times" w:cs="Times"/>
          <w:color w:val="000000" w:themeColor="text1"/>
          <w:highlight w:val="white"/>
        </w:rPr>
        <w:t xml:space="preserve"> 381-390. </w:t>
      </w:r>
      <w:r w:rsidRPr="00C17A7B">
        <w:rPr>
          <w:rFonts w:ascii="Arial" w:eastAsia="Arial" w:hAnsi="Arial" w:cs="Arial"/>
          <w:color w:val="000000" w:themeColor="text1"/>
          <w:sz w:val="21"/>
          <w:szCs w:val="21"/>
          <w:highlight w:val="white"/>
        </w:rPr>
        <w:t xml:space="preserve"> </w:t>
      </w:r>
      <w:hyperlink r:id="rId41">
        <w:r w:rsidRPr="00C17A7B">
          <w:rPr>
            <w:rFonts w:ascii="Times" w:eastAsia="Times" w:hAnsi="Times" w:cs="Times"/>
            <w:color w:val="000000" w:themeColor="text1"/>
            <w:highlight w:val="white"/>
          </w:rPr>
          <w:t>https://doi.org/10.1002/erv.2666</w:t>
        </w:r>
      </w:hyperlink>
    </w:p>
    <w:p w14:paraId="13E8BE90" w14:textId="77777777" w:rsidR="00371A08" w:rsidRPr="00C17A7B" w:rsidRDefault="00371A08" w:rsidP="005E4144">
      <w:pPr>
        <w:spacing w:line="360" w:lineRule="auto"/>
        <w:rPr>
          <w:rFonts w:ascii="Times" w:eastAsia="Times" w:hAnsi="Times" w:cs="Times"/>
          <w:color w:val="000000" w:themeColor="text1"/>
          <w:highlight w:val="white"/>
        </w:rPr>
      </w:pPr>
    </w:p>
    <w:p w14:paraId="62E346AB" w14:textId="77777777" w:rsidR="00371A08" w:rsidRPr="00C17A7B" w:rsidRDefault="00000000" w:rsidP="005E4144">
      <w:pPr>
        <w:spacing w:line="360" w:lineRule="auto"/>
        <w:ind w:left="720" w:hanging="720"/>
        <w:rPr>
          <w:rFonts w:ascii="Times" w:eastAsia="Times" w:hAnsi="Times" w:cs="Times"/>
          <w:color w:val="000000" w:themeColor="text1"/>
          <w:highlight w:val="white"/>
          <w:u w:val="single"/>
        </w:rPr>
      </w:pPr>
      <w:r w:rsidRPr="00C17A7B">
        <w:rPr>
          <w:rFonts w:ascii="Times" w:eastAsia="Times" w:hAnsi="Times" w:cs="Times"/>
          <w:color w:val="000000" w:themeColor="text1"/>
          <w:highlight w:val="white"/>
        </w:rPr>
        <w:t>Qustodio. (6 de octubre de 2021).</w:t>
      </w:r>
      <w:r w:rsidRPr="00C17A7B">
        <w:rPr>
          <w:rFonts w:ascii="Times" w:eastAsia="Times" w:hAnsi="Times" w:cs="Times"/>
          <w:i/>
          <w:color w:val="000000" w:themeColor="text1"/>
          <w:highlight w:val="white"/>
        </w:rPr>
        <w:t xml:space="preserve"> Los menores españoles pasan más de 600 horas al año solo en Instagram. </w:t>
      </w:r>
      <w:hyperlink r:id="rId42">
        <w:r w:rsidRPr="00C17A7B">
          <w:rPr>
            <w:rFonts w:ascii="Times" w:eastAsia="Times" w:hAnsi="Times" w:cs="Times"/>
            <w:color w:val="000000" w:themeColor="text1"/>
            <w:highlight w:val="white"/>
          </w:rPr>
          <w:t>https://www.qustodio.com/es/press-releases/under-16s-spend-up-to-600-hours-per-year-on-instagram/</w:t>
        </w:r>
      </w:hyperlink>
    </w:p>
    <w:p w14:paraId="441AFC57"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rPr>
      </w:pPr>
    </w:p>
    <w:p w14:paraId="5A4F76DC" w14:textId="35E3C850" w:rsidR="00371A08" w:rsidRPr="00C17A7B" w:rsidRDefault="00000000" w:rsidP="005E4144">
      <w:pPr>
        <w:spacing w:line="360" w:lineRule="auto"/>
        <w:ind w:left="720" w:hanging="720"/>
        <w:rPr>
          <w:rFonts w:ascii="Times" w:eastAsia="Times" w:hAnsi="Times" w:cs="Times"/>
          <w:color w:val="000000" w:themeColor="text1"/>
          <w:highlight w:val="white"/>
          <w:u w:val="single"/>
        </w:rPr>
      </w:pPr>
      <w:r w:rsidRPr="00C17A7B">
        <w:rPr>
          <w:rFonts w:ascii="Times" w:eastAsia="Times" w:hAnsi="Times" w:cs="Times"/>
          <w:color w:val="000000" w:themeColor="text1"/>
          <w:highlight w:val="white"/>
        </w:rPr>
        <w:t xml:space="preserve">Raich, R. M., Mora, M., Soler, A., Avila, C., Clos, I., &amp; Zapater, L. (1996). Adaptación de un instrumento de evaluación de la insatisfacción corporal. </w:t>
      </w:r>
      <w:r w:rsidRPr="00C17A7B">
        <w:rPr>
          <w:rFonts w:ascii="Times" w:eastAsia="Times" w:hAnsi="Times" w:cs="Times"/>
          <w:i/>
          <w:color w:val="000000" w:themeColor="text1"/>
          <w:highlight w:val="white"/>
        </w:rPr>
        <w:t>Clínica y Salud</w:t>
      </w:r>
      <w:r w:rsidRPr="00C17A7B">
        <w:rPr>
          <w:rFonts w:ascii="Times" w:eastAsia="Times" w:hAnsi="Times" w:cs="Times"/>
          <w:color w:val="000000" w:themeColor="text1"/>
          <w:highlight w:val="white"/>
        </w:rPr>
        <w:t xml:space="preserve">, </w:t>
      </w:r>
      <w:r w:rsidRPr="00C17A7B">
        <w:rPr>
          <w:rFonts w:ascii="Times" w:eastAsia="Times" w:hAnsi="Times" w:cs="Times"/>
          <w:i/>
          <w:color w:val="000000" w:themeColor="text1"/>
          <w:highlight w:val="white"/>
        </w:rPr>
        <w:t>7</w:t>
      </w:r>
      <w:r w:rsidRPr="00C17A7B">
        <w:rPr>
          <w:rFonts w:ascii="Times" w:eastAsia="Times" w:hAnsi="Times" w:cs="Times"/>
          <w:color w:val="000000" w:themeColor="text1"/>
          <w:highlight w:val="white"/>
        </w:rPr>
        <w:t>, 51-66.</w:t>
      </w:r>
    </w:p>
    <w:p w14:paraId="358FCD49"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rPr>
      </w:pPr>
    </w:p>
    <w:p w14:paraId="68C32A8E"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rPr>
        <w:t xml:space="preserve">Raykos, B.C., McEvoy, P.M. y Fursland, A. (2017). </w:t>
      </w:r>
      <w:r w:rsidRPr="00C17A7B">
        <w:rPr>
          <w:rFonts w:ascii="Times" w:eastAsia="Times" w:hAnsi="Times" w:cs="Times"/>
          <w:color w:val="000000" w:themeColor="text1"/>
          <w:highlight w:val="white"/>
          <w:lang w:val="en-US"/>
        </w:rPr>
        <w:t xml:space="preserve">Socializing problems and low self-esteem enhance interpersonal models of eating disorders: Evidence from a clinical sample. </w:t>
      </w:r>
      <w:r w:rsidRPr="00C17A7B">
        <w:rPr>
          <w:rFonts w:ascii="Times" w:eastAsia="Times" w:hAnsi="Times" w:cs="Times"/>
          <w:i/>
          <w:color w:val="000000" w:themeColor="text1"/>
          <w:highlight w:val="white"/>
          <w:lang w:val="en-US"/>
        </w:rPr>
        <w:t>International Journal Eating Disorders, 50 (9),</w:t>
      </w:r>
      <w:r w:rsidRPr="00C17A7B">
        <w:rPr>
          <w:rFonts w:ascii="Times" w:eastAsia="Times" w:hAnsi="Times" w:cs="Times"/>
          <w:color w:val="000000" w:themeColor="text1"/>
          <w:highlight w:val="white"/>
          <w:lang w:val="en-US"/>
        </w:rPr>
        <w:t xml:space="preserve"> 1075-1083. https://doi.org/</w:t>
      </w:r>
      <w:hyperlink r:id="rId43">
        <w:r w:rsidRPr="00C17A7B">
          <w:rPr>
            <w:rFonts w:ascii="Times" w:eastAsia="Times" w:hAnsi="Times" w:cs="Times"/>
            <w:color w:val="000000" w:themeColor="text1"/>
            <w:highlight w:val="white"/>
            <w:lang w:val="en-US"/>
          </w:rPr>
          <w:t>10.1016/j.bodyim.2015.06.003</w:t>
        </w:r>
      </w:hyperlink>
      <w:hyperlink r:id="rId44">
        <w:r w:rsidRPr="00C17A7B">
          <w:rPr>
            <w:rFonts w:ascii="Times" w:eastAsia="Times" w:hAnsi="Times" w:cs="Times"/>
            <w:color w:val="000000" w:themeColor="text1"/>
            <w:highlight w:val="white"/>
            <w:lang w:val="en-US"/>
          </w:rPr>
          <w:t>10.1002/eat.22740</w:t>
        </w:r>
      </w:hyperlink>
    </w:p>
    <w:p w14:paraId="22447CE7"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3878724D"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Rodgers, R.F. y Melioli, T. (2016). The Relationship Between Body Image Concerns, Eating Disorders and Internet Use, Part I: A Review of Empirical Support. </w:t>
      </w:r>
      <w:r w:rsidRPr="00C17A7B">
        <w:rPr>
          <w:rFonts w:ascii="Times" w:eastAsia="Times" w:hAnsi="Times" w:cs="Times"/>
          <w:i/>
          <w:color w:val="000000" w:themeColor="text1"/>
          <w:highlight w:val="white"/>
          <w:lang w:val="en-US"/>
        </w:rPr>
        <w:t xml:space="preserve">Adolescent Research Review, 1, </w:t>
      </w:r>
      <w:r w:rsidRPr="00C17A7B">
        <w:rPr>
          <w:rFonts w:ascii="Times" w:eastAsia="Times" w:hAnsi="Times" w:cs="Times"/>
          <w:color w:val="000000" w:themeColor="text1"/>
          <w:highlight w:val="white"/>
          <w:lang w:val="en-US"/>
        </w:rPr>
        <w:t xml:space="preserve">95-119. </w:t>
      </w:r>
      <w:hyperlink r:id="rId45">
        <w:r w:rsidRPr="00C17A7B">
          <w:rPr>
            <w:rFonts w:ascii="Times" w:eastAsia="Times" w:hAnsi="Times" w:cs="Times"/>
            <w:color w:val="000000" w:themeColor="text1"/>
            <w:highlight w:val="white"/>
            <w:lang w:val="en-US"/>
          </w:rPr>
          <w:t>https://doi.org/10.1007/s40894-015-0016-6</w:t>
        </w:r>
      </w:hyperlink>
    </w:p>
    <w:p w14:paraId="7FC5B947"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5F61D9AB"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Ruiz Lázaro, P.M. (2017). </w:t>
      </w:r>
      <w:r w:rsidRPr="00C17A7B">
        <w:rPr>
          <w:rFonts w:ascii="Times" w:eastAsia="Times" w:hAnsi="Times" w:cs="Times"/>
          <w:color w:val="000000" w:themeColor="text1"/>
          <w:highlight w:val="white"/>
        </w:rPr>
        <w:t xml:space="preserve">Prevención de los trastornos de la conducta alimentaria y obesidad. En Velilla Pizaco, M., González E. F., coordinadores, </w:t>
      </w:r>
      <w:r w:rsidRPr="00C17A7B">
        <w:rPr>
          <w:rFonts w:ascii="Times" w:eastAsia="Times" w:hAnsi="Times" w:cs="Times"/>
          <w:i/>
          <w:color w:val="000000" w:themeColor="text1"/>
          <w:highlight w:val="white"/>
        </w:rPr>
        <w:t xml:space="preserve">Buenas prácticas en prevención de trastornos de la conducta alimentaria (25-53). </w:t>
      </w:r>
      <w:r w:rsidRPr="00C17A7B">
        <w:rPr>
          <w:rFonts w:ascii="Times" w:eastAsia="Times" w:hAnsi="Times" w:cs="Times"/>
          <w:color w:val="000000" w:themeColor="text1"/>
          <w:highlight w:val="white"/>
          <w:lang w:val="en-US"/>
        </w:rPr>
        <w:t>Ediciones Pirámide</w:t>
      </w:r>
    </w:p>
    <w:p w14:paraId="47E85F25"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3896E91B"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Sadeghirad, B., Duhaney, T., Motaghipisheh, S., Campbell, N. y Johnston, B. (2016). Influence of unhealthy food and beverage marketing on children's dietary intake and preference: a systematic review and meta-analysis of randomized trials. </w:t>
      </w:r>
      <w:r w:rsidRPr="00C17A7B">
        <w:rPr>
          <w:rFonts w:ascii="Times" w:eastAsia="Times" w:hAnsi="Times" w:cs="Times"/>
          <w:color w:val="000000" w:themeColor="text1"/>
          <w:highlight w:val="white"/>
        </w:rPr>
        <w:t>O</w:t>
      </w:r>
      <w:r w:rsidRPr="00C17A7B">
        <w:rPr>
          <w:rFonts w:ascii="Times" w:eastAsia="Times" w:hAnsi="Times" w:cs="Times"/>
          <w:i/>
          <w:color w:val="000000" w:themeColor="text1"/>
          <w:highlight w:val="white"/>
        </w:rPr>
        <w:t xml:space="preserve">besity </w:t>
      </w:r>
      <w:r w:rsidRPr="00C17A7B">
        <w:rPr>
          <w:rFonts w:ascii="Times" w:eastAsia="Times" w:hAnsi="Times" w:cs="Times"/>
          <w:i/>
          <w:color w:val="000000" w:themeColor="text1"/>
          <w:highlight w:val="white"/>
        </w:rPr>
        <w:lastRenderedPageBreak/>
        <w:t>Reviews, 17 (10)</w:t>
      </w:r>
      <w:r w:rsidRPr="00C17A7B">
        <w:rPr>
          <w:rFonts w:ascii="Times" w:eastAsia="Times" w:hAnsi="Times" w:cs="Times"/>
          <w:color w:val="000000" w:themeColor="text1"/>
          <w:highlight w:val="white"/>
        </w:rPr>
        <w:t xml:space="preserve">, 945–959. </w:t>
      </w:r>
      <w:hyperlink r:id="rId46">
        <w:r w:rsidRPr="00C17A7B">
          <w:rPr>
            <w:rFonts w:ascii="Times" w:eastAsia="Times" w:hAnsi="Times" w:cs="Times"/>
            <w:color w:val="000000" w:themeColor="text1"/>
            <w:highlight w:val="white"/>
          </w:rPr>
          <w:t>https://doi.org/10.1111/obr.12445</w:t>
        </w:r>
      </w:hyperlink>
      <w:r w:rsidRPr="00C17A7B">
        <w:rPr>
          <w:rFonts w:ascii="Times" w:eastAsia="Times" w:hAnsi="Times" w:cs="Times"/>
          <w:color w:val="000000" w:themeColor="text1"/>
          <w:highlight w:val="white"/>
        </w:rPr>
        <w:br/>
      </w:r>
    </w:p>
    <w:p w14:paraId="10798269"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Sámano Orozco, L. F. (2013) ¿Influyen el Internet, las redes sociales electrónicas</w:t>
      </w:r>
      <w:r w:rsidRPr="00C17A7B">
        <w:rPr>
          <w:rFonts w:ascii="Times" w:eastAsia="Times" w:hAnsi="Times" w:cs="Times"/>
          <w:color w:val="000000" w:themeColor="text1"/>
          <w:highlight w:val="white"/>
        </w:rPr>
        <w:br/>
        <w:t xml:space="preserve">y otras herramientas educativas en el desarrollo de anorexia y bulimia nervosas? </w:t>
      </w:r>
      <w:r w:rsidRPr="00C17A7B">
        <w:rPr>
          <w:rFonts w:ascii="Times" w:eastAsia="Times" w:hAnsi="Times" w:cs="Times"/>
          <w:i/>
          <w:color w:val="000000" w:themeColor="text1"/>
          <w:highlight w:val="white"/>
        </w:rPr>
        <w:t>Nutrición clínica y Dietética Hospitalaria, 33 (1),</w:t>
      </w:r>
      <w:r w:rsidRPr="00C17A7B">
        <w:rPr>
          <w:rFonts w:ascii="Times" w:eastAsia="Times" w:hAnsi="Times" w:cs="Times"/>
          <w:color w:val="000000" w:themeColor="text1"/>
          <w:highlight w:val="white"/>
        </w:rPr>
        <w:t xml:space="preserve"> 38-42. </w:t>
      </w:r>
    </w:p>
    <w:p w14:paraId="208CA234"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4E37773C"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Santarossa, S. y Woodruff, S. J. (2017). </w:t>
      </w:r>
      <w:r w:rsidRPr="00C17A7B">
        <w:rPr>
          <w:rFonts w:ascii="Times" w:eastAsia="Times" w:hAnsi="Times" w:cs="Times"/>
          <w:color w:val="000000" w:themeColor="text1"/>
          <w:highlight w:val="white"/>
          <w:lang w:val="en-US"/>
        </w:rPr>
        <w:t xml:space="preserve">#SocialMedia: Exploring the Relationship of Social Networking Sites on Body Image, Self-Esteem, and Eating Disorders. </w:t>
      </w:r>
      <w:r w:rsidRPr="00C17A7B">
        <w:rPr>
          <w:rFonts w:ascii="Times" w:eastAsia="Times" w:hAnsi="Times" w:cs="Times"/>
          <w:i/>
          <w:color w:val="000000" w:themeColor="text1"/>
          <w:highlight w:val="white"/>
        </w:rPr>
        <w:t>Social Media + Society, 3 (2)</w:t>
      </w:r>
      <w:r w:rsidRPr="00C17A7B">
        <w:rPr>
          <w:rFonts w:ascii="Times" w:eastAsia="Times" w:hAnsi="Times" w:cs="Times"/>
          <w:color w:val="000000" w:themeColor="text1"/>
          <w:highlight w:val="white"/>
        </w:rPr>
        <w:t>. https://doi.org/10.1177/2056305117704407</w:t>
      </w:r>
    </w:p>
    <w:p w14:paraId="40E62A8A"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rPr>
      </w:pPr>
    </w:p>
    <w:p w14:paraId="58FABFA1"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Stice, E., Ng, J., y Shaw, H. (2010). Risk factors and prodromal eating pathology.</w:t>
      </w:r>
      <w:r w:rsidRPr="00C17A7B">
        <w:rPr>
          <w:rFonts w:ascii="Times" w:eastAsia="Times" w:hAnsi="Times" w:cs="Times"/>
          <w:i/>
          <w:color w:val="000000" w:themeColor="text1"/>
          <w:highlight w:val="white"/>
          <w:lang w:val="en-US"/>
        </w:rPr>
        <w:t xml:space="preserve"> Journal of Child Psychology and Psychiatry, 51 (4),</w:t>
      </w:r>
      <w:r w:rsidRPr="00C17A7B">
        <w:rPr>
          <w:rFonts w:ascii="Times" w:eastAsia="Times" w:hAnsi="Times" w:cs="Times"/>
          <w:color w:val="000000" w:themeColor="text1"/>
          <w:highlight w:val="white"/>
          <w:lang w:val="en-US"/>
        </w:rPr>
        <w:t xml:space="preserve"> 518-525. </w:t>
      </w:r>
      <w:hyperlink r:id="rId47">
        <w:r w:rsidRPr="00C17A7B">
          <w:rPr>
            <w:rFonts w:ascii="Times" w:eastAsia="Times" w:hAnsi="Times" w:cs="Times"/>
            <w:color w:val="000000" w:themeColor="text1"/>
            <w:highlight w:val="white"/>
            <w:lang w:val="en-US"/>
          </w:rPr>
          <w:t>https://doi.org/</w:t>
        </w:r>
      </w:hyperlink>
      <w:hyperlink r:id="rId48">
        <w:r w:rsidRPr="00C17A7B">
          <w:rPr>
            <w:rFonts w:ascii="Times" w:eastAsia="Times" w:hAnsi="Times" w:cs="Times"/>
            <w:color w:val="000000" w:themeColor="text1"/>
            <w:highlight w:val="white"/>
            <w:lang w:val="en-US"/>
          </w:rPr>
          <w:t>10.1111/j.1469-7610.2010.02212.x</w:t>
        </w:r>
      </w:hyperlink>
    </w:p>
    <w:p w14:paraId="269678FA" w14:textId="77777777" w:rsidR="00371A08" w:rsidRPr="00C17A7B" w:rsidRDefault="00371A08" w:rsidP="005E4144">
      <w:pPr>
        <w:spacing w:line="360" w:lineRule="auto"/>
        <w:rPr>
          <w:rFonts w:ascii="Times" w:eastAsia="Times" w:hAnsi="Times" w:cs="Times"/>
          <w:color w:val="000000" w:themeColor="text1"/>
          <w:highlight w:val="white"/>
          <w:lang w:val="en-US"/>
        </w:rPr>
      </w:pPr>
    </w:p>
    <w:p w14:paraId="75ABE177"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Striegel-Moore, R.H. y Bulik, C.M. (2007). Risk factors for eating disorders. </w:t>
      </w:r>
      <w:r w:rsidRPr="00C17A7B">
        <w:rPr>
          <w:rFonts w:ascii="Times" w:eastAsia="Times" w:hAnsi="Times" w:cs="Times"/>
          <w:i/>
          <w:color w:val="000000" w:themeColor="text1"/>
          <w:highlight w:val="white"/>
          <w:lang w:val="en-US"/>
        </w:rPr>
        <w:t>American Psychologist, 62 (3)</w:t>
      </w:r>
      <w:r w:rsidRPr="00C17A7B">
        <w:rPr>
          <w:rFonts w:ascii="Times" w:eastAsia="Times" w:hAnsi="Times" w:cs="Times"/>
          <w:color w:val="000000" w:themeColor="text1"/>
          <w:highlight w:val="white"/>
          <w:lang w:val="en-US"/>
        </w:rPr>
        <w:t xml:space="preserve">, 181-198. </w:t>
      </w:r>
      <w:hyperlink r:id="rId49">
        <w:r w:rsidRPr="00C17A7B">
          <w:rPr>
            <w:rFonts w:ascii="Times" w:eastAsia="Times" w:hAnsi="Times" w:cs="Times"/>
            <w:color w:val="000000" w:themeColor="text1"/>
            <w:highlight w:val="white"/>
            <w:lang w:val="en-US"/>
          </w:rPr>
          <w:t>https://doi.org/</w:t>
        </w:r>
      </w:hyperlink>
      <w:r w:rsidRPr="00C17A7B">
        <w:rPr>
          <w:rFonts w:ascii="Times" w:eastAsia="Times" w:hAnsi="Times" w:cs="Times"/>
          <w:color w:val="000000" w:themeColor="text1"/>
          <w:highlight w:val="white"/>
          <w:lang w:val="en-US"/>
        </w:rPr>
        <w:t>10.1037/0003-066X.62.3.181</w:t>
      </w:r>
    </w:p>
    <w:p w14:paraId="5DF5797B"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2D424937"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Striegel-Moore, R.H., Rosselli, F., Perrin, N., DeBar, L., Wilson, T. G. May, A., Kraemer, H.C. (2009). Gender Difference in the Prevalence of Eating Disorder Symptoms. </w:t>
      </w:r>
      <w:r w:rsidRPr="00C17A7B">
        <w:rPr>
          <w:rFonts w:ascii="Times" w:eastAsia="Times" w:hAnsi="Times" w:cs="Times"/>
          <w:i/>
          <w:color w:val="000000" w:themeColor="text1"/>
          <w:highlight w:val="white"/>
          <w:lang w:val="en-US"/>
        </w:rPr>
        <w:t>International Journal of Eating Disorders, 42 (5),</w:t>
      </w:r>
      <w:r w:rsidRPr="00C17A7B">
        <w:rPr>
          <w:rFonts w:ascii="Times" w:eastAsia="Times" w:hAnsi="Times" w:cs="Times"/>
          <w:color w:val="000000" w:themeColor="text1"/>
          <w:highlight w:val="white"/>
          <w:lang w:val="en-US"/>
        </w:rPr>
        <w:t xml:space="preserve"> 471-474. </w:t>
      </w:r>
      <w:hyperlink r:id="rId50">
        <w:r w:rsidRPr="00C17A7B">
          <w:rPr>
            <w:rFonts w:ascii="Times" w:eastAsia="Times" w:hAnsi="Times" w:cs="Times"/>
            <w:color w:val="000000" w:themeColor="text1"/>
            <w:highlight w:val="white"/>
            <w:lang w:val="en-US"/>
          </w:rPr>
          <w:t>https://doi.org/10.1002/eat.20625</w:t>
        </w:r>
      </w:hyperlink>
    </w:p>
    <w:p w14:paraId="62FF7B2D"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7E255006"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Sundar, S. S. (2008). The MAIN Model: A Heuristic Approach to Understanding Technology Effects on Credibility. Digital Media, Youth and Credibility, 73-100. </w:t>
      </w:r>
      <w:hyperlink r:id="rId51">
        <w:r w:rsidRPr="00C17A7B">
          <w:rPr>
            <w:color w:val="000000" w:themeColor="text1"/>
            <w:highlight w:val="white"/>
            <w:lang w:val="en-US"/>
          </w:rPr>
          <w:t>https://doi.org</w:t>
        </w:r>
      </w:hyperlink>
      <w:r w:rsidRPr="00C17A7B">
        <w:rPr>
          <w:color w:val="000000" w:themeColor="text1"/>
          <w:highlight w:val="white"/>
          <w:lang w:val="en-US"/>
        </w:rPr>
        <w:t>/</w:t>
      </w:r>
      <w:r w:rsidRPr="00C17A7B">
        <w:rPr>
          <w:rFonts w:ascii="Times" w:eastAsia="Times" w:hAnsi="Times" w:cs="Times"/>
          <w:color w:val="000000" w:themeColor="text1"/>
          <w:highlight w:val="white"/>
          <w:lang w:val="en-US"/>
        </w:rPr>
        <w:t xml:space="preserve">10.1162/dmal.9780262562324.073 </w:t>
      </w:r>
    </w:p>
    <w:p w14:paraId="787BFED9"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47ECB0A9"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Saunders, J. F. y Eaton, A. A. (2018). Snaps, Selfies, and Shares: How Three Popular Social Media Platforms Contribute to the Sociocultural Model of Disordered Eating Among Young Woman. </w:t>
      </w:r>
      <w:r w:rsidRPr="00C17A7B">
        <w:rPr>
          <w:rFonts w:ascii="Times" w:eastAsia="Times" w:hAnsi="Times" w:cs="Times"/>
          <w:i/>
          <w:color w:val="000000" w:themeColor="text1"/>
          <w:highlight w:val="white"/>
          <w:lang w:val="en-US"/>
        </w:rPr>
        <w:t xml:space="preserve">Cyberpsychology, Behavior and Soc Networking, 21 (6), </w:t>
      </w:r>
      <w:r w:rsidRPr="00C17A7B">
        <w:rPr>
          <w:rFonts w:ascii="Times" w:eastAsia="Times" w:hAnsi="Times" w:cs="Times"/>
          <w:color w:val="000000" w:themeColor="text1"/>
          <w:highlight w:val="white"/>
          <w:lang w:val="en-US"/>
        </w:rPr>
        <w:t xml:space="preserve">343-354. </w:t>
      </w:r>
      <w:hyperlink r:id="rId52">
        <w:r w:rsidRPr="00C17A7B">
          <w:rPr>
            <w:color w:val="000000" w:themeColor="text1"/>
            <w:highlight w:val="white"/>
            <w:lang w:val="en-US"/>
          </w:rPr>
          <w:t>https://doi.org</w:t>
        </w:r>
      </w:hyperlink>
      <w:r w:rsidRPr="00C17A7B">
        <w:rPr>
          <w:color w:val="000000" w:themeColor="text1"/>
          <w:highlight w:val="white"/>
          <w:lang w:val="en-US"/>
        </w:rPr>
        <w:t>/</w:t>
      </w:r>
      <w:hyperlink r:id="rId53">
        <w:r w:rsidRPr="00C17A7B">
          <w:rPr>
            <w:rFonts w:ascii="Times" w:eastAsia="Times" w:hAnsi="Times" w:cs="Times"/>
            <w:color w:val="000000" w:themeColor="text1"/>
            <w:highlight w:val="white"/>
            <w:lang w:val="en-US"/>
          </w:rPr>
          <w:t>10.1089/cyber.2017.0713</w:t>
        </w:r>
      </w:hyperlink>
    </w:p>
    <w:p w14:paraId="5E42178A" w14:textId="77777777" w:rsidR="00371A08" w:rsidRPr="00C17A7B" w:rsidRDefault="00371A08" w:rsidP="005E4144">
      <w:pPr>
        <w:spacing w:line="360" w:lineRule="auto"/>
        <w:ind w:left="720" w:hanging="720"/>
        <w:rPr>
          <w:rFonts w:ascii="Times" w:eastAsia="Times" w:hAnsi="Times" w:cs="Times"/>
          <w:color w:val="000000" w:themeColor="text1"/>
          <w:highlight w:val="white"/>
          <w:u w:val="single"/>
          <w:lang w:val="en-US"/>
        </w:rPr>
      </w:pPr>
    </w:p>
    <w:p w14:paraId="288DE24D"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Schirrmacher, R. (1993). </w:t>
      </w:r>
      <w:r w:rsidRPr="00C17A7B">
        <w:rPr>
          <w:rFonts w:ascii="Times" w:eastAsia="Times" w:hAnsi="Times" w:cs="Times"/>
          <w:i/>
          <w:color w:val="000000" w:themeColor="text1"/>
          <w:highlight w:val="white"/>
          <w:lang w:val="en-US"/>
        </w:rPr>
        <w:t>Art and creative development for young children</w:t>
      </w:r>
      <w:r w:rsidRPr="00C17A7B">
        <w:rPr>
          <w:rFonts w:ascii="Times" w:eastAsia="Times" w:hAnsi="Times" w:cs="Times"/>
          <w:color w:val="000000" w:themeColor="text1"/>
          <w:highlight w:val="white"/>
          <w:lang w:val="en-US"/>
        </w:rPr>
        <w:t xml:space="preserve">. </w:t>
      </w:r>
      <w:r w:rsidRPr="00C17A7B">
        <w:rPr>
          <w:rFonts w:ascii="Times" w:eastAsia="Times" w:hAnsi="Times" w:cs="Times"/>
          <w:color w:val="000000" w:themeColor="text1"/>
          <w:highlight w:val="white"/>
        </w:rPr>
        <w:t xml:space="preserve">Albany, NY, Delmar. </w:t>
      </w:r>
    </w:p>
    <w:p w14:paraId="662F5D4A" w14:textId="77777777" w:rsidR="00371A08" w:rsidRPr="00C17A7B" w:rsidRDefault="00371A08" w:rsidP="005E4144">
      <w:pPr>
        <w:spacing w:line="360" w:lineRule="auto"/>
        <w:rPr>
          <w:rFonts w:ascii="Times" w:eastAsia="Times" w:hAnsi="Times" w:cs="Times"/>
          <w:color w:val="000000" w:themeColor="text1"/>
          <w:u w:val="single"/>
        </w:rPr>
      </w:pPr>
    </w:p>
    <w:p w14:paraId="421ADE5D" w14:textId="2C9C7A1D" w:rsidR="00371A08" w:rsidRPr="00C17A7B" w:rsidRDefault="00000000" w:rsidP="005E4144">
      <w:pPr>
        <w:spacing w:line="360" w:lineRule="auto"/>
        <w:ind w:left="720" w:hanging="720"/>
        <w:rPr>
          <w:rFonts w:ascii="Times" w:eastAsia="Times" w:hAnsi="Times" w:cs="Times"/>
          <w:color w:val="000000" w:themeColor="text1"/>
          <w:lang w:val="en-US"/>
        </w:rPr>
      </w:pPr>
      <w:r w:rsidRPr="00C17A7B">
        <w:rPr>
          <w:rFonts w:ascii="Times" w:eastAsia="Times" w:hAnsi="Times" w:cs="Times"/>
          <w:color w:val="000000" w:themeColor="text1"/>
        </w:rPr>
        <w:t>The Social Media Family</w:t>
      </w:r>
      <w:r w:rsidR="00DC2484" w:rsidRPr="00C17A7B">
        <w:rPr>
          <w:rFonts w:ascii="Times" w:eastAsia="Times" w:hAnsi="Times" w:cs="Times"/>
          <w:color w:val="000000" w:themeColor="text1"/>
        </w:rPr>
        <w:t>.</w:t>
      </w:r>
      <w:r w:rsidRPr="00C17A7B">
        <w:rPr>
          <w:rFonts w:ascii="Times" w:eastAsia="Times" w:hAnsi="Times" w:cs="Times"/>
          <w:color w:val="000000" w:themeColor="text1"/>
        </w:rPr>
        <w:t xml:space="preserve"> (</w:t>
      </w:r>
      <w:r w:rsidR="00DC2484" w:rsidRPr="00C17A7B">
        <w:rPr>
          <w:rFonts w:ascii="Times" w:eastAsia="Times" w:hAnsi="Times" w:cs="Times"/>
          <w:color w:val="000000" w:themeColor="text1"/>
        </w:rPr>
        <w:t xml:space="preserve">25 de marzo de </w:t>
      </w:r>
      <w:r w:rsidRPr="00C17A7B">
        <w:rPr>
          <w:rFonts w:ascii="Times" w:eastAsia="Times" w:hAnsi="Times" w:cs="Times"/>
          <w:color w:val="000000" w:themeColor="text1"/>
        </w:rPr>
        <w:t>202</w:t>
      </w:r>
      <w:r w:rsidR="00DC2484" w:rsidRPr="00C17A7B">
        <w:rPr>
          <w:rFonts w:ascii="Times" w:eastAsia="Times" w:hAnsi="Times" w:cs="Times"/>
          <w:color w:val="000000" w:themeColor="text1"/>
        </w:rPr>
        <w:t>1</w:t>
      </w:r>
      <w:r w:rsidRPr="00C17A7B">
        <w:rPr>
          <w:rFonts w:ascii="Times" w:eastAsia="Times" w:hAnsi="Times" w:cs="Times"/>
          <w:color w:val="000000" w:themeColor="text1"/>
        </w:rPr>
        <w:t xml:space="preserve">). </w:t>
      </w:r>
      <w:r w:rsidRPr="00C17A7B">
        <w:rPr>
          <w:rFonts w:ascii="Times" w:eastAsia="Times" w:hAnsi="Times" w:cs="Times"/>
          <w:i/>
          <w:iCs/>
          <w:color w:val="000000" w:themeColor="text1"/>
        </w:rPr>
        <w:t>Estadísticas de uso de Instagram (y también de España).</w:t>
      </w:r>
      <w:r w:rsidRPr="00C17A7B">
        <w:rPr>
          <w:rFonts w:ascii="Times" w:eastAsia="Times" w:hAnsi="Times" w:cs="Times"/>
          <w:color w:val="000000" w:themeColor="text1"/>
        </w:rPr>
        <w:t xml:space="preserve"> </w:t>
      </w:r>
      <w:hyperlink r:id="rId54">
        <w:r w:rsidRPr="00C17A7B">
          <w:rPr>
            <w:rFonts w:ascii="Times" w:eastAsia="Times" w:hAnsi="Times" w:cs="Times"/>
            <w:color w:val="000000" w:themeColor="text1"/>
            <w:lang w:val="en-US"/>
          </w:rPr>
          <w:t>https://thesocialmediafamily.com/estadisticas-uso-instagram/</w:t>
        </w:r>
      </w:hyperlink>
    </w:p>
    <w:p w14:paraId="1BD160A4"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4A7538A9"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Tiggemann, M., Slater, A., Bury, B., Hawkins, K. y Firth, B. (2013). Disclaimer labels on fashion magazine advertisements: Effects on social comparison and body dissatisfaction. </w:t>
      </w:r>
      <w:r w:rsidRPr="00C17A7B">
        <w:rPr>
          <w:rFonts w:ascii="Times" w:eastAsia="Times" w:hAnsi="Times" w:cs="Times"/>
          <w:i/>
          <w:color w:val="000000" w:themeColor="text1"/>
          <w:highlight w:val="white"/>
          <w:lang w:val="en-US"/>
        </w:rPr>
        <w:t>Body Image, 10 (1),</w:t>
      </w:r>
      <w:r w:rsidRPr="00C17A7B">
        <w:rPr>
          <w:rFonts w:ascii="Times" w:eastAsia="Times" w:hAnsi="Times" w:cs="Times"/>
          <w:color w:val="000000" w:themeColor="text1"/>
          <w:highlight w:val="white"/>
          <w:lang w:val="en-US"/>
        </w:rPr>
        <w:t xml:space="preserve"> 45-53. </w:t>
      </w:r>
      <w:hyperlink r:id="rId55">
        <w:r w:rsidRPr="00C17A7B">
          <w:rPr>
            <w:rFonts w:ascii="Times" w:eastAsia="Times" w:hAnsi="Times" w:cs="Times"/>
            <w:color w:val="000000" w:themeColor="text1"/>
            <w:highlight w:val="white"/>
            <w:lang w:val="en-US"/>
          </w:rPr>
          <w:t>https://doi.org/10.1016/j.bodyim.2012.08.001</w:t>
        </w:r>
      </w:hyperlink>
    </w:p>
    <w:p w14:paraId="0E0B975F"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6DBAC12B"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Tiggemann, M. y Slater, A. (2014). NetTweens: The Internet and Body Image Concerns in Preteenage Girls. </w:t>
      </w:r>
      <w:r w:rsidRPr="00C17A7B">
        <w:rPr>
          <w:rFonts w:ascii="Times" w:eastAsia="Times" w:hAnsi="Times" w:cs="Times"/>
          <w:i/>
          <w:color w:val="000000" w:themeColor="text1"/>
          <w:highlight w:val="white"/>
          <w:lang w:val="en-US"/>
        </w:rPr>
        <w:t>The Journal of Early Adolescence, 34 (5),</w:t>
      </w:r>
      <w:r w:rsidRPr="00C17A7B">
        <w:rPr>
          <w:rFonts w:ascii="Times" w:eastAsia="Times" w:hAnsi="Times" w:cs="Times"/>
          <w:color w:val="000000" w:themeColor="text1"/>
          <w:highlight w:val="white"/>
          <w:lang w:val="en-US"/>
        </w:rPr>
        <w:t xml:space="preserve"> 606–620. https://doi.org/10.1177/0272431613501083</w:t>
      </w:r>
    </w:p>
    <w:p w14:paraId="30918E86" w14:textId="77777777" w:rsidR="00371A08" w:rsidRPr="00C17A7B" w:rsidRDefault="00371A08" w:rsidP="005E4144">
      <w:pPr>
        <w:spacing w:line="360" w:lineRule="auto"/>
        <w:ind w:left="720" w:hanging="720"/>
        <w:rPr>
          <w:rFonts w:ascii="Times" w:eastAsia="Times" w:hAnsi="Times" w:cs="Times"/>
          <w:color w:val="000000" w:themeColor="text1"/>
          <w:highlight w:val="white"/>
          <w:lang w:val="en-US"/>
        </w:rPr>
      </w:pPr>
    </w:p>
    <w:p w14:paraId="5B1586EA" w14:textId="77777777" w:rsidR="00371A08" w:rsidRPr="00C17A7B" w:rsidRDefault="00000000" w:rsidP="005E4144">
      <w:pPr>
        <w:spacing w:line="360" w:lineRule="auto"/>
        <w:ind w:left="720" w:hanging="720"/>
        <w:rPr>
          <w:rFonts w:ascii="Times" w:eastAsia="Times" w:hAnsi="Times" w:cs="Times"/>
          <w:color w:val="000000" w:themeColor="text1"/>
          <w:highlight w:val="white"/>
          <w:lang w:val="en-US"/>
        </w:rPr>
      </w:pPr>
      <w:r w:rsidRPr="00C17A7B">
        <w:rPr>
          <w:rFonts w:ascii="Times" w:eastAsia="Times" w:hAnsi="Times" w:cs="Times"/>
          <w:color w:val="000000" w:themeColor="text1"/>
          <w:highlight w:val="white"/>
          <w:lang w:val="en-US"/>
        </w:rPr>
        <w:t xml:space="preserve">Tiggermann, M. y Zaccardo, M. (2015). “Exercise to be fit, not skinny”: the effect of fitspiration imagery on women’s body image. </w:t>
      </w:r>
      <w:r w:rsidRPr="00C17A7B">
        <w:rPr>
          <w:rFonts w:ascii="Times" w:eastAsia="Times" w:hAnsi="Times" w:cs="Times"/>
          <w:i/>
          <w:color w:val="000000" w:themeColor="text1"/>
          <w:highlight w:val="white"/>
          <w:lang w:val="en-US"/>
        </w:rPr>
        <w:t xml:space="preserve">Body Image, 15, </w:t>
      </w:r>
      <w:r w:rsidRPr="00C17A7B">
        <w:rPr>
          <w:rFonts w:ascii="Times" w:eastAsia="Times" w:hAnsi="Times" w:cs="Times"/>
          <w:color w:val="000000" w:themeColor="text1"/>
          <w:highlight w:val="white"/>
          <w:lang w:val="en-US"/>
        </w:rPr>
        <w:t xml:space="preserve">61-67. Doi: </w:t>
      </w:r>
      <w:hyperlink r:id="rId56">
        <w:r w:rsidRPr="00C17A7B">
          <w:rPr>
            <w:rFonts w:ascii="Times" w:eastAsia="Times" w:hAnsi="Times" w:cs="Times"/>
            <w:color w:val="000000" w:themeColor="text1"/>
            <w:highlight w:val="white"/>
            <w:lang w:val="en-US"/>
          </w:rPr>
          <w:t>https://doi.org/</w:t>
        </w:r>
      </w:hyperlink>
      <w:hyperlink r:id="rId57">
        <w:r w:rsidRPr="00C17A7B">
          <w:rPr>
            <w:rFonts w:ascii="Times" w:eastAsia="Times" w:hAnsi="Times" w:cs="Times"/>
            <w:color w:val="000000" w:themeColor="text1"/>
            <w:highlight w:val="white"/>
            <w:lang w:val="en-US"/>
          </w:rPr>
          <w:t>10.1016/j.bodyim.2015.06.003</w:t>
        </w:r>
      </w:hyperlink>
      <w:r w:rsidRPr="00C17A7B">
        <w:rPr>
          <w:rFonts w:ascii="Times" w:eastAsia="Times" w:hAnsi="Times" w:cs="Times"/>
          <w:color w:val="000000" w:themeColor="text1"/>
          <w:highlight w:val="white"/>
          <w:lang w:val="en-US"/>
        </w:rPr>
        <w:br/>
      </w:r>
    </w:p>
    <w:p w14:paraId="63E5AFD9"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lang w:val="en-US"/>
        </w:rPr>
        <w:t xml:space="preserve">Turner, P.G. y Lefevre, C.E. (2017). Instagram use is linked to increased symptoms of orthorexia nervosa. </w:t>
      </w:r>
      <w:r w:rsidRPr="00C17A7B">
        <w:rPr>
          <w:rFonts w:ascii="Times" w:eastAsia="Times" w:hAnsi="Times" w:cs="Times"/>
          <w:i/>
          <w:color w:val="000000" w:themeColor="text1"/>
          <w:highlight w:val="white"/>
        </w:rPr>
        <w:t>Eat Weight Disorder,</w:t>
      </w:r>
      <w:r w:rsidRPr="00C17A7B">
        <w:rPr>
          <w:rFonts w:ascii="Times" w:eastAsia="Times" w:hAnsi="Times" w:cs="Times"/>
          <w:color w:val="000000" w:themeColor="text1"/>
          <w:highlight w:val="white"/>
        </w:rPr>
        <w:t xml:space="preserve"> </w:t>
      </w:r>
      <w:r w:rsidRPr="00C17A7B">
        <w:rPr>
          <w:rFonts w:ascii="Times" w:eastAsia="Times" w:hAnsi="Times" w:cs="Times"/>
          <w:i/>
          <w:color w:val="000000" w:themeColor="text1"/>
          <w:highlight w:val="white"/>
        </w:rPr>
        <w:t>22 (2),</w:t>
      </w:r>
      <w:r w:rsidRPr="00C17A7B">
        <w:rPr>
          <w:rFonts w:ascii="Times" w:eastAsia="Times" w:hAnsi="Times" w:cs="Times"/>
          <w:color w:val="000000" w:themeColor="text1"/>
          <w:highlight w:val="white"/>
        </w:rPr>
        <w:t xml:space="preserve"> 277- 284. Doi: </w:t>
      </w:r>
      <w:hyperlink r:id="rId58">
        <w:r w:rsidRPr="00C17A7B">
          <w:rPr>
            <w:rFonts w:ascii="Times" w:eastAsia="Times" w:hAnsi="Times" w:cs="Times"/>
            <w:color w:val="000000" w:themeColor="text1"/>
            <w:highlight w:val="white"/>
          </w:rPr>
          <w:t>https://doi.org/</w:t>
        </w:r>
      </w:hyperlink>
      <w:hyperlink r:id="rId59">
        <w:r w:rsidRPr="00C17A7B">
          <w:rPr>
            <w:rFonts w:ascii="Times" w:eastAsia="Times" w:hAnsi="Times" w:cs="Times"/>
            <w:color w:val="000000" w:themeColor="text1"/>
            <w:highlight w:val="white"/>
          </w:rPr>
          <w:t>10.1007/s40519-017-0364-2</w:t>
        </w:r>
      </w:hyperlink>
    </w:p>
    <w:p w14:paraId="7D9806CC" w14:textId="77777777" w:rsidR="00371A08" w:rsidRPr="00C17A7B" w:rsidRDefault="00371A08" w:rsidP="005E4144">
      <w:pPr>
        <w:spacing w:line="360" w:lineRule="auto"/>
        <w:ind w:left="720" w:hanging="720"/>
        <w:rPr>
          <w:rFonts w:ascii="Times" w:eastAsia="Times" w:hAnsi="Times" w:cs="Times"/>
          <w:color w:val="000000" w:themeColor="text1"/>
          <w:highlight w:val="white"/>
        </w:rPr>
      </w:pPr>
    </w:p>
    <w:p w14:paraId="4C49C0B0" w14:textId="77777777" w:rsidR="00371A08" w:rsidRPr="00C17A7B" w:rsidRDefault="00000000" w:rsidP="005E4144">
      <w:pPr>
        <w:spacing w:line="360" w:lineRule="auto"/>
        <w:ind w:left="720" w:hanging="720"/>
        <w:rPr>
          <w:rFonts w:ascii="Times" w:eastAsia="Times" w:hAnsi="Times" w:cs="Times"/>
          <w:i/>
          <w:color w:val="000000" w:themeColor="text1"/>
          <w:highlight w:val="white"/>
        </w:rPr>
      </w:pPr>
      <w:r w:rsidRPr="00C17A7B">
        <w:rPr>
          <w:rFonts w:ascii="Times" w:eastAsia="Times" w:hAnsi="Times" w:cs="Times"/>
          <w:color w:val="000000" w:themeColor="text1"/>
          <w:highlight w:val="white"/>
        </w:rPr>
        <w:t xml:space="preserve">Valle, M.L., Tolosana, S.B., Pérez, K.M. y García, A.P. (2022) Las redes sociales y los trastornos de la conducta alimentaria. </w:t>
      </w:r>
      <w:r w:rsidRPr="00C17A7B">
        <w:rPr>
          <w:rFonts w:ascii="Times" w:eastAsia="Times" w:hAnsi="Times" w:cs="Times"/>
          <w:i/>
          <w:color w:val="000000" w:themeColor="text1"/>
          <w:highlight w:val="white"/>
        </w:rPr>
        <w:t>Revista Sanitaria de Investigación,</w:t>
      </w:r>
      <w:r w:rsidRPr="00C17A7B">
        <w:rPr>
          <w:rFonts w:ascii="Times" w:eastAsia="Times" w:hAnsi="Times" w:cs="Times"/>
          <w:color w:val="000000" w:themeColor="text1"/>
          <w:highlight w:val="white"/>
        </w:rPr>
        <w:t xml:space="preserve"> </w:t>
      </w:r>
      <w:r w:rsidRPr="00C17A7B">
        <w:rPr>
          <w:rFonts w:ascii="Times" w:eastAsia="Times" w:hAnsi="Times" w:cs="Times"/>
          <w:i/>
          <w:color w:val="000000" w:themeColor="text1"/>
          <w:highlight w:val="white"/>
        </w:rPr>
        <w:t>3 (1).</w:t>
      </w:r>
    </w:p>
    <w:p w14:paraId="4471EE16" w14:textId="77777777" w:rsidR="00371A08" w:rsidRPr="00C17A7B" w:rsidRDefault="00371A08" w:rsidP="005E4144">
      <w:pPr>
        <w:spacing w:line="360" w:lineRule="auto"/>
        <w:ind w:left="720" w:hanging="720"/>
        <w:rPr>
          <w:rFonts w:ascii="Times" w:eastAsia="Times" w:hAnsi="Times" w:cs="Times"/>
          <w:i/>
          <w:color w:val="000000" w:themeColor="text1"/>
          <w:highlight w:val="white"/>
        </w:rPr>
      </w:pPr>
    </w:p>
    <w:p w14:paraId="61C7AD23" w14:textId="77777777" w:rsidR="00371A08" w:rsidRPr="00C17A7B" w:rsidRDefault="00000000" w:rsidP="005E4144">
      <w:pPr>
        <w:spacing w:line="360" w:lineRule="auto"/>
        <w:ind w:left="720" w:hanging="720"/>
        <w:rPr>
          <w:rFonts w:ascii="Times" w:eastAsia="Times" w:hAnsi="Times" w:cs="Times"/>
          <w:color w:val="000000" w:themeColor="text1"/>
          <w:highlight w:val="white"/>
        </w:rPr>
      </w:pPr>
      <w:r w:rsidRPr="00C17A7B">
        <w:rPr>
          <w:rFonts w:ascii="Times" w:eastAsia="Times" w:hAnsi="Times" w:cs="Times"/>
          <w:color w:val="000000" w:themeColor="text1"/>
          <w:highlight w:val="white"/>
        </w:rPr>
        <w:t xml:space="preserve">We Are Social y Hootsuite (9 de febrero de 2022) </w:t>
      </w:r>
      <w:r w:rsidRPr="00C17A7B">
        <w:rPr>
          <w:rFonts w:ascii="Times" w:eastAsia="Times" w:hAnsi="Times" w:cs="Times"/>
          <w:i/>
          <w:iCs/>
          <w:color w:val="000000" w:themeColor="text1"/>
          <w:highlight w:val="white"/>
        </w:rPr>
        <w:t>Digital 2022 en España. La guía definitiva para un mundo digital cambiante.</w:t>
      </w:r>
      <w:r w:rsidRPr="00C17A7B">
        <w:rPr>
          <w:rFonts w:ascii="Times" w:eastAsia="Times" w:hAnsi="Times" w:cs="Times"/>
          <w:color w:val="000000" w:themeColor="text1"/>
          <w:highlight w:val="white"/>
        </w:rPr>
        <w:t xml:space="preserve"> We are Social. </w:t>
      </w:r>
      <w:hyperlink r:id="rId60">
        <w:r w:rsidRPr="00C17A7B">
          <w:rPr>
            <w:rFonts w:ascii="Times" w:eastAsia="Times" w:hAnsi="Times" w:cs="Times"/>
            <w:color w:val="000000" w:themeColor="text1"/>
            <w:highlight w:val="white"/>
          </w:rPr>
          <w:t>https://wearesocial.com/es/blog/2022/01/digital-2022/</w:t>
        </w:r>
      </w:hyperlink>
      <w:r w:rsidRPr="00C17A7B">
        <w:rPr>
          <w:rFonts w:ascii="Times" w:eastAsia="Times" w:hAnsi="Times" w:cs="Times"/>
          <w:color w:val="000000" w:themeColor="text1"/>
          <w:highlight w:val="white"/>
        </w:rPr>
        <w:t xml:space="preserve"> </w:t>
      </w:r>
    </w:p>
    <w:p w14:paraId="444A0E2D" w14:textId="77777777" w:rsidR="00371A08" w:rsidRPr="00C17A7B" w:rsidRDefault="00371A08" w:rsidP="005E4144">
      <w:pPr>
        <w:spacing w:line="360" w:lineRule="auto"/>
        <w:rPr>
          <w:rFonts w:ascii="Times" w:eastAsia="Times" w:hAnsi="Times" w:cs="Times"/>
          <w:b/>
          <w:color w:val="000000" w:themeColor="text1"/>
        </w:rPr>
      </w:pPr>
    </w:p>
    <w:p w14:paraId="680EB4DA" w14:textId="77777777" w:rsidR="00371A08" w:rsidRPr="00C17A7B" w:rsidRDefault="00371A08" w:rsidP="005E4144">
      <w:pPr>
        <w:spacing w:line="360" w:lineRule="auto"/>
        <w:rPr>
          <w:rFonts w:ascii="Times" w:eastAsia="Times" w:hAnsi="Times" w:cs="Times"/>
          <w:b/>
          <w:color w:val="000000" w:themeColor="text1"/>
        </w:rPr>
      </w:pPr>
    </w:p>
    <w:p w14:paraId="2650B046" w14:textId="77777777" w:rsidR="005E4144" w:rsidRPr="00C17A7B" w:rsidRDefault="005E4144" w:rsidP="005E4144">
      <w:pPr>
        <w:spacing w:line="360" w:lineRule="auto"/>
        <w:rPr>
          <w:rFonts w:ascii="Times" w:eastAsia="Times" w:hAnsi="Times" w:cs="Times"/>
          <w:b/>
          <w:color w:val="000000" w:themeColor="text1"/>
        </w:rPr>
      </w:pPr>
    </w:p>
    <w:p w14:paraId="5B81D064" w14:textId="77777777" w:rsidR="005E4144" w:rsidRPr="00C17A7B" w:rsidRDefault="005E4144" w:rsidP="005E4144">
      <w:pPr>
        <w:spacing w:line="360" w:lineRule="auto"/>
        <w:rPr>
          <w:rFonts w:ascii="Times" w:eastAsia="Times" w:hAnsi="Times" w:cs="Times"/>
          <w:b/>
          <w:color w:val="000000" w:themeColor="text1"/>
        </w:rPr>
      </w:pPr>
    </w:p>
    <w:p w14:paraId="778FA450" w14:textId="77777777" w:rsidR="005E4144" w:rsidRPr="00C17A7B" w:rsidRDefault="005E4144" w:rsidP="005E4144">
      <w:pPr>
        <w:spacing w:line="360" w:lineRule="auto"/>
        <w:rPr>
          <w:rFonts w:ascii="Times" w:eastAsia="Times" w:hAnsi="Times" w:cs="Times"/>
          <w:b/>
          <w:color w:val="000000" w:themeColor="text1"/>
        </w:rPr>
      </w:pPr>
    </w:p>
    <w:p w14:paraId="6D92521B" w14:textId="77777777" w:rsidR="005E4144" w:rsidRPr="00C17A7B" w:rsidRDefault="005E4144" w:rsidP="005E4144">
      <w:pPr>
        <w:spacing w:line="360" w:lineRule="auto"/>
        <w:rPr>
          <w:rFonts w:ascii="Times" w:eastAsia="Times" w:hAnsi="Times" w:cs="Times"/>
          <w:b/>
          <w:color w:val="000000" w:themeColor="text1"/>
        </w:rPr>
      </w:pPr>
    </w:p>
    <w:p w14:paraId="2A8D10FB" w14:textId="77777777" w:rsidR="008C6DCA" w:rsidRPr="00C17A7B" w:rsidRDefault="008C6DCA" w:rsidP="005E4144">
      <w:pPr>
        <w:spacing w:line="360" w:lineRule="auto"/>
        <w:rPr>
          <w:rFonts w:ascii="Times" w:eastAsia="Times" w:hAnsi="Times" w:cs="Times"/>
          <w:b/>
          <w:color w:val="000000" w:themeColor="text1"/>
        </w:rPr>
      </w:pPr>
    </w:p>
    <w:p w14:paraId="173D0D9A" w14:textId="77777777" w:rsidR="00371A08" w:rsidRPr="00C17A7B" w:rsidRDefault="00000000" w:rsidP="005E4144">
      <w:pPr>
        <w:pBdr>
          <w:top w:val="nil"/>
          <w:left w:val="nil"/>
          <w:bottom w:val="nil"/>
          <w:right w:val="nil"/>
          <w:between w:val="nil"/>
        </w:pBdr>
        <w:spacing w:line="360" w:lineRule="auto"/>
        <w:jc w:val="center"/>
        <w:rPr>
          <w:rFonts w:ascii="Times" w:eastAsia="Times" w:hAnsi="Times" w:cs="Times"/>
          <w:b/>
          <w:color w:val="000000" w:themeColor="text1"/>
        </w:rPr>
      </w:pPr>
      <w:r w:rsidRPr="00C17A7B">
        <w:rPr>
          <w:rFonts w:ascii="Times" w:eastAsia="Times" w:hAnsi="Times" w:cs="Times"/>
          <w:b/>
          <w:color w:val="000000" w:themeColor="text1"/>
        </w:rPr>
        <w:t>Anexos</w:t>
      </w:r>
    </w:p>
    <w:p w14:paraId="1C3F90D5" w14:textId="77777777" w:rsidR="00371A08" w:rsidRPr="00C17A7B" w:rsidRDefault="00371A08" w:rsidP="005E4144">
      <w:pPr>
        <w:spacing w:line="360" w:lineRule="auto"/>
        <w:rPr>
          <w:rFonts w:ascii="Times" w:eastAsia="Times" w:hAnsi="Times" w:cs="Times"/>
          <w:b/>
          <w:color w:val="000000" w:themeColor="text1"/>
        </w:rPr>
      </w:pPr>
    </w:p>
    <w:p w14:paraId="4DA40495" w14:textId="77777777" w:rsidR="00371A08" w:rsidRPr="00C17A7B" w:rsidRDefault="00000000" w:rsidP="005E4144">
      <w:pPr>
        <w:spacing w:line="360" w:lineRule="auto"/>
        <w:rPr>
          <w:rFonts w:ascii="Times" w:eastAsia="Times" w:hAnsi="Times" w:cs="Times"/>
          <w:b/>
          <w:color w:val="000000" w:themeColor="text1"/>
        </w:rPr>
      </w:pPr>
      <w:r w:rsidRPr="00C17A7B">
        <w:rPr>
          <w:rFonts w:ascii="Times" w:eastAsia="Times" w:hAnsi="Times" w:cs="Times"/>
          <w:b/>
          <w:color w:val="000000" w:themeColor="text1"/>
        </w:rPr>
        <w:t>Anexo 1: Versión española del EAT-26 (</w:t>
      </w:r>
      <w:r w:rsidRPr="00C17A7B">
        <w:rPr>
          <w:rFonts w:ascii="Times" w:eastAsia="Times" w:hAnsi="Times" w:cs="Times"/>
          <w:color w:val="000000" w:themeColor="text1"/>
        </w:rPr>
        <w:t>Gandarillas et al., 2003)</w:t>
      </w:r>
    </w:p>
    <w:p w14:paraId="2850B3BA" w14:textId="77777777" w:rsidR="00371A08" w:rsidRPr="00C17A7B" w:rsidRDefault="00371A08" w:rsidP="005E4144">
      <w:pPr>
        <w:spacing w:line="360" w:lineRule="auto"/>
        <w:rPr>
          <w:rFonts w:ascii="Times" w:eastAsia="Times" w:hAnsi="Times" w:cs="Times"/>
          <w:b/>
          <w:color w:val="000000" w:themeColor="text1"/>
        </w:rPr>
      </w:pPr>
    </w:p>
    <w:p w14:paraId="3B0BBA1E"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1. Me angustia la idea de estar demasiado gordo/a.</w:t>
      </w:r>
      <w:r w:rsidRPr="00C17A7B">
        <w:rPr>
          <w:rFonts w:ascii="Times" w:eastAsia="Times" w:hAnsi="Times" w:cs="Times"/>
          <w:color w:val="000000" w:themeColor="text1"/>
        </w:rPr>
        <w:br/>
        <w:t>2. Procuro no comer cuando tengo hambre.</w:t>
      </w:r>
      <w:r w:rsidRPr="00C17A7B">
        <w:rPr>
          <w:rFonts w:ascii="Times" w:eastAsia="Times" w:hAnsi="Times" w:cs="Times"/>
          <w:b/>
          <w:color w:val="000000" w:themeColor="text1"/>
        </w:rPr>
        <w:br/>
      </w:r>
      <w:r w:rsidRPr="00C17A7B">
        <w:rPr>
          <w:rFonts w:ascii="Times" w:eastAsia="Times" w:hAnsi="Times" w:cs="Times"/>
          <w:color w:val="000000" w:themeColor="text1"/>
        </w:rPr>
        <w:t>3. La comida es para mí una preocupación habitual.</w:t>
      </w:r>
      <w:r w:rsidRPr="00C17A7B">
        <w:rPr>
          <w:rFonts w:ascii="Times" w:eastAsia="Times" w:hAnsi="Times" w:cs="Times"/>
          <w:color w:val="000000" w:themeColor="text1"/>
        </w:rPr>
        <w:br/>
        <w:t xml:space="preserve">4. He sufrido crisis de atracones en las que tenía la sensación de no poder parar de comer. </w:t>
      </w:r>
    </w:p>
    <w:p w14:paraId="4BEFD8AE"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5. Corto mis alimentos en trozos pequeños. </w:t>
      </w:r>
    </w:p>
    <w:p w14:paraId="4B586580"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6. Conozco la cantidad de calorías de los alimentos que como. </w:t>
      </w:r>
    </w:p>
    <w:p w14:paraId="193AB49F"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7. Procuro no comer alimentos que contengan muchos hidratos de carbono (pan, arroz, patatas, etc.). </w:t>
      </w:r>
    </w:p>
    <w:p w14:paraId="7C2FF86C"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8. Tengo la impresión de que a los demás les gustaría verme comer más. </w:t>
      </w:r>
    </w:p>
    <w:p w14:paraId="575A3E12"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9. Vomito después de comer.</w:t>
      </w:r>
      <w:r w:rsidRPr="00C17A7B">
        <w:rPr>
          <w:rFonts w:ascii="Times" w:eastAsia="Times" w:hAnsi="Times" w:cs="Times"/>
          <w:b/>
          <w:color w:val="000000" w:themeColor="text1"/>
        </w:rPr>
        <w:br/>
      </w:r>
      <w:r w:rsidRPr="00C17A7B">
        <w:rPr>
          <w:rFonts w:ascii="Times" w:eastAsia="Times" w:hAnsi="Times" w:cs="Times"/>
          <w:color w:val="000000" w:themeColor="text1"/>
        </w:rPr>
        <w:t>10. Me siento muy culpable después de comer.</w:t>
      </w:r>
      <w:r w:rsidRPr="00C17A7B">
        <w:rPr>
          <w:rFonts w:ascii="Times" w:eastAsia="Times" w:hAnsi="Times" w:cs="Times"/>
          <w:color w:val="000000" w:themeColor="text1"/>
        </w:rPr>
        <w:br/>
        <w:t xml:space="preserve">11. Me obsesiona el deseo de estar más delgado/a. </w:t>
      </w:r>
    </w:p>
    <w:p w14:paraId="3C0C15AD"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12. Cuando hago deporte pienso sobre todo en quemar calorías.</w:t>
      </w:r>
      <w:r w:rsidRPr="00C17A7B">
        <w:rPr>
          <w:rFonts w:ascii="Times" w:eastAsia="Times" w:hAnsi="Times" w:cs="Times"/>
          <w:color w:val="000000" w:themeColor="text1"/>
        </w:rPr>
        <w:br/>
        <w:t>13. Los demás piensan que estoy demasiado delgado/a.</w:t>
      </w:r>
      <w:r w:rsidRPr="00C17A7B">
        <w:rPr>
          <w:rFonts w:ascii="Times" w:eastAsia="Times" w:hAnsi="Times" w:cs="Times"/>
          <w:color w:val="000000" w:themeColor="text1"/>
        </w:rPr>
        <w:br/>
        <w:t xml:space="preserve">14. Me preocupa la idea de tener zonas gordas en el cuerpo y/o de tener celulitis. </w:t>
      </w:r>
    </w:p>
    <w:p w14:paraId="36A85F38"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15. Tardo más tiempo que los demás en comer.</w:t>
      </w:r>
      <w:r w:rsidRPr="00C17A7B">
        <w:rPr>
          <w:rFonts w:ascii="Times" w:eastAsia="Times" w:hAnsi="Times" w:cs="Times"/>
          <w:color w:val="000000" w:themeColor="text1"/>
        </w:rPr>
        <w:br/>
        <w:t>16. Procuro no comer alimentos que tengan azúcar.</w:t>
      </w:r>
      <w:r w:rsidRPr="00C17A7B">
        <w:rPr>
          <w:rFonts w:ascii="Times" w:eastAsia="Times" w:hAnsi="Times" w:cs="Times"/>
          <w:color w:val="000000" w:themeColor="text1"/>
        </w:rPr>
        <w:br/>
        <w:t>17. Tomo alimentos dietéticos.</w:t>
      </w:r>
      <w:r w:rsidRPr="00C17A7B">
        <w:rPr>
          <w:rFonts w:ascii="Times" w:eastAsia="Times" w:hAnsi="Times" w:cs="Times"/>
          <w:color w:val="000000" w:themeColor="text1"/>
        </w:rPr>
        <w:br/>
        <w:t>18. Tengo la impresión de que mi vida gira alrededor de la comida.</w:t>
      </w:r>
      <w:r w:rsidRPr="00C17A7B">
        <w:rPr>
          <w:rFonts w:ascii="Times" w:eastAsia="Times" w:hAnsi="Times" w:cs="Times"/>
          <w:color w:val="000000" w:themeColor="text1"/>
        </w:rPr>
        <w:br/>
        <w:t>19. Tengo un buen autocontrol en lo que se refiere a la comida.</w:t>
      </w:r>
      <w:r w:rsidRPr="00C17A7B">
        <w:rPr>
          <w:rFonts w:ascii="Times" w:eastAsia="Times" w:hAnsi="Times" w:cs="Times"/>
          <w:color w:val="000000" w:themeColor="text1"/>
        </w:rPr>
        <w:br/>
        <w:t>20. Tengo la sensación de que los demás me presionan para que coma más.</w:t>
      </w:r>
      <w:r w:rsidRPr="00C17A7B">
        <w:rPr>
          <w:rFonts w:ascii="Times" w:eastAsia="Times" w:hAnsi="Times" w:cs="Times"/>
          <w:color w:val="000000" w:themeColor="text1"/>
        </w:rPr>
        <w:br/>
        <w:t>21. Paso demasiado tiempo pensando en la comida.</w:t>
      </w:r>
      <w:r w:rsidRPr="00C17A7B">
        <w:rPr>
          <w:rFonts w:ascii="Times" w:eastAsia="Times" w:hAnsi="Times" w:cs="Times"/>
          <w:color w:val="000000" w:themeColor="text1"/>
        </w:rPr>
        <w:br/>
        <w:t>22. No me siento bien después de haber tomado dulces.</w:t>
      </w:r>
      <w:r w:rsidRPr="00C17A7B">
        <w:rPr>
          <w:rFonts w:ascii="Times" w:eastAsia="Times" w:hAnsi="Times" w:cs="Times"/>
          <w:color w:val="000000" w:themeColor="text1"/>
        </w:rPr>
        <w:br/>
        <w:t>23. Estoy haciendo régimen.</w:t>
      </w:r>
      <w:r w:rsidRPr="00C17A7B">
        <w:rPr>
          <w:rFonts w:ascii="Times" w:eastAsia="Times" w:hAnsi="Times" w:cs="Times"/>
          <w:color w:val="000000" w:themeColor="text1"/>
        </w:rPr>
        <w:br/>
        <w:t>24. Me gusta tener el estómago vacío.</w:t>
      </w:r>
      <w:r w:rsidRPr="00C17A7B">
        <w:rPr>
          <w:rFonts w:ascii="Times" w:eastAsia="Times" w:hAnsi="Times" w:cs="Times"/>
          <w:color w:val="000000" w:themeColor="text1"/>
        </w:rPr>
        <w:br/>
        <w:t>25. Me gusta probar platos nuevos, platos sabrosos y ricos en calorías.</w:t>
      </w:r>
      <w:r w:rsidRPr="00C17A7B">
        <w:rPr>
          <w:rFonts w:ascii="Times" w:eastAsia="Times" w:hAnsi="Times" w:cs="Times"/>
          <w:color w:val="000000" w:themeColor="text1"/>
        </w:rPr>
        <w:br/>
        <w:t xml:space="preserve">26. Después de las comidas tengo el impulso de vomitar. </w:t>
      </w:r>
    </w:p>
    <w:p w14:paraId="7459CB38" w14:textId="77777777" w:rsidR="00371A08" w:rsidRPr="00C17A7B" w:rsidRDefault="00371A08" w:rsidP="005E4144">
      <w:pPr>
        <w:spacing w:line="360" w:lineRule="auto"/>
        <w:rPr>
          <w:rFonts w:ascii="Times" w:eastAsia="Times" w:hAnsi="Times" w:cs="Times"/>
          <w:color w:val="000000" w:themeColor="text1"/>
        </w:rPr>
      </w:pPr>
    </w:p>
    <w:p w14:paraId="3436A5A1" w14:textId="77777777" w:rsidR="005E4144" w:rsidRPr="00C17A7B" w:rsidRDefault="005E4144" w:rsidP="005E4144">
      <w:pPr>
        <w:spacing w:line="360" w:lineRule="auto"/>
        <w:rPr>
          <w:rFonts w:ascii="Times" w:eastAsia="Times" w:hAnsi="Times" w:cs="Times"/>
          <w:color w:val="000000" w:themeColor="text1"/>
        </w:rPr>
      </w:pPr>
    </w:p>
    <w:p w14:paraId="201245BB" w14:textId="77777777" w:rsidR="008C6DCA" w:rsidRPr="00C17A7B" w:rsidRDefault="008C6DCA" w:rsidP="005E4144">
      <w:pPr>
        <w:spacing w:line="360" w:lineRule="auto"/>
        <w:rPr>
          <w:rFonts w:ascii="Times" w:eastAsia="Times" w:hAnsi="Times" w:cs="Times"/>
          <w:color w:val="000000" w:themeColor="text1"/>
        </w:rPr>
      </w:pPr>
    </w:p>
    <w:p w14:paraId="33D6286B"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Anexo 2: Versión Española del Body Shape Questionnaire (BSQ</w:t>
      </w:r>
      <w:r w:rsidRPr="00C17A7B">
        <w:rPr>
          <w:rFonts w:ascii="Times" w:eastAsia="Times" w:hAnsi="Times" w:cs="Times"/>
          <w:color w:val="000000" w:themeColor="text1"/>
        </w:rPr>
        <w:t>) (Raich et al., 1996)</w:t>
      </w:r>
    </w:p>
    <w:p w14:paraId="39D95B20" w14:textId="77777777" w:rsidR="00371A08" w:rsidRPr="00C17A7B" w:rsidRDefault="00371A08" w:rsidP="005E4144">
      <w:pPr>
        <w:spacing w:line="360" w:lineRule="auto"/>
        <w:rPr>
          <w:rFonts w:ascii="Times" w:eastAsia="Times" w:hAnsi="Times" w:cs="Times"/>
          <w:color w:val="000000" w:themeColor="text1"/>
        </w:rPr>
      </w:pPr>
    </w:p>
    <w:p w14:paraId="6289B4B0"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Cuando te aburres ¿te preocupas por tu figura? </w:t>
      </w:r>
    </w:p>
    <w:p w14:paraId="57E5AA83"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preocupado tanto por tu figura que has pensado que tendrías que ponerte a dieta? </w:t>
      </w:r>
    </w:p>
    <w:p w14:paraId="20CB56FB"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pensado que tenías los muslos, caderas, nalgas o cintura demasiado grandes en relación con el resto del cuerpo? </w:t>
      </w:r>
    </w:p>
    <w:p w14:paraId="33D4AA89"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tenido miedo a engordar? </w:t>
      </w:r>
    </w:p>
    <w:p w14:paraId="009F0AF6"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 preocupado que tu carne no sea lo suficientemente firme? </w:t>
      </w:r>
    </w:p>
    <w:p w14:paraId="707433E4"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¿Sentirte lleno/a (después de una gran comida), ¿te ha hecho sentirte gordo/a? </w:t>
      </w:r>
    </w:p>
    <w:p w14:paraId="34F79855"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sentido tan mal con tu figura que has llegado a llorar? </w:t>
      </w:r>
    </w:p>
    <w:p w14:paraId="199BC67A"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evitado correr para que tu carne no botara? </w:t>
      </w:r>
    </w:p>
    <w:p w14:paraId="081A08BF"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¿Estar con chicos o chicas delgados/as, ¿te ha hecho fijar en tu figura? </w:t>
      </w:r>
    </w:p>
    <w:p w14:paraId="69CE335E"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 preocupado que tus muslos o cintura se ensanchen cuando te sientas? </w:t>
      </w:r>
    </w:p>
    <w:p w14:paraId="26958EE4"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¿El hecho de comer poca comida, ¿te ha hecho sentir gorda o gordo? </w:t>
      </w:r>
    </w:p>
    <w:p w14:paraId="52979054"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Al fijarte en la figura de otras chicas o chicos, ¿la has comparado con la tuya desfavorablemente? </w:t>
      </w:r>
    </w:p>
    <w:p w14:paraId="1B88B5A4"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Pensar en tu figura, ¿ha interferido en tu capacidad de concentración (cuando miras la televisión, lees o mantienes una conversación)? </w:t>
      </w:r>
    </w:p>
    <w:p w14:paraId="66AD2739"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Estar desnuda/o (por ejemplo, cuando te duchas), ¿te ha hecho sentir gorda/o? </w:t>
      </w:r>
    </w:p>
    <w:p w14:paraId="1BC69CF6"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evitado llevar ropa que marque tu figura? </w:t>
      </w:r>
    </w:p>
    <w:p w14:paraId="2D804862"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imaginado cortando partes gruesas de tu cuerpo? </w:t>
      </w:r>
    </w:p>
    <w:p w14:paraId="2D65A83A"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Comer dulces, pasteles u otros alimentos con muchas calorías, ¿te ha hecho sentir gorda/o? </w:t>
      </w:r>
    </w:p>
    <w:p w14:paraId="2FF37DA2"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evitado ir a actos sociales (por ejemplo, una fiesta) porque te has sentido mal con tu figura? </w:t>
      </w:r>
    </w:p>
    <w:p w14:paraId="2B276B0C"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sentido excesivamente gorda/o o redondeada/o? </w:t>
      </w:r>
    </w:p>
    <w:p w14:paraId="224271DE"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sentido acomplejado/a por tu cuerpo? </w:t>
      </w:r>
    </w:p>
    <w:p w14:paraId="6A172890"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Preocuparte por tu figura, ¿te ha hecho poner a dieta? </w:t>
      </w:r>
    </w:p>
    <w:p w14:paraId="157C1121"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sentido más a gusto con tu figura cuando tu estómago estaba vacío (¿por ejemplo, por la mañana?) </w:t>
      </w:r>
    </w:p>
    <w:p w14:paraId="53A9D948"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pensado que la figura que tienes es debida a tu falta de autocontrol? </w:t>
      </w:r>
    </w:p>
    <w:p w14:paraId="36018522"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lastRenderedPageBreak/>
        <w:t xml:space="preserve">¿Te ha preocupado que otra gente vea michelines alrededor de tu cintura y estómago? </w:t>
      </w:r>
    </w:p>
    <w:p w14:paraId="735D4B5B"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pensado que no es justo que otras chicas/os sean más delgadas/os que tú? </w:t>
      </w:r>
    </w:p>
    <w:p w14:paraId="5D20D260"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vomitado para sentirte más delgada? </w:t>
      </w:r>
    </w:p>
    <w:p w14:paraId="4F339181"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Cuando estás con otras personas, ¿te ha preocupado ocupar demasiado espacio (por ejemplo, sentándote en un sofá o en el autobús)? </w:t>
      </w:r>
    </w:p>
    <w:p w14:paraId="0861D988"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 preocupado que tu carne tenga aspecto de piel de naranja (celulitis)? </w:t>
      </w:r>
    </w:p>
    <w:p w14:paraId="2CE2FDD0"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Verte reflejada/o en un espejo o en un escaparate, ¿te ha hecho sentirte mal por tu figura? </w:t>
      </w:r>
    </w:p>
    <w:p w14:paraId="1B2FF260" w14:textId="77777777" w:rsidR="00371A08" w:rsidRPr="00C17A7B" w:rsidRDefault="00000000" w:rsidP="005E4144">
      <w:pPr>
        <w:numPr>
          <w:ilvl w:val="0"/>
          <w:numId w:val="3"/>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pellizcado zonas de tu cuerpo para ver cuánta grasa tenías? </w:t>
      </w:r>
    </w:p>
    <w:p w14:paraId="1972103D" w14:textId="77777777" w:rsidR="00371A08" w:rsidRPr="00C17A7B" w:rsidRDefault="00000000" w:rsidP="005E4144">
      <w:pPr>
        <w:numPr>
          <w:ilvl w:val="0"/>
          <w:numId w:val="4"/>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evitado situaciones en las que la gente pudiese ver tu cuerpo (por ejemplo, en vestuarios comunes de piscinas o duchas)? </w:t>
      </w:r>
    </w:p>
    <w:p w14:paraId="47E5B2F3" w14:textId="77777777" w:rsidR="00371A08" w:rsidRPr="00C17A7B" w:rsidRDefault="00000000" w:rsidP="005E4144">
      <w:pPr>
        <w:numPr>
          <w:ilvl w:val="0"/>
          <w:numId w:val="4"/>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¿Has tomado laxantes (pastillas para evitar el estreñimiento) para sentirte más delgada/o? </w:t>
      </w:r>
    </w:p>
    <w:p w14:paraId="520EF65C" w14:textId="77777777" w:rsidR="00371A08" w:rsidRPr="00C17A7B" w:rsidRDefault="00000000" w:rsidP="005E4144">
      <w:pPr>
        <w:numPr>
          <w:ilvl w:val="0"/>
          <w:numId w:val="4"/>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¿Te has fijado más en tu figura estando en compañía de otras personas? </w:t>
      </w:r>
    </w:p>
    <w:p w14:paraId="230DF859" w14:textId="77777777" w:rsidR="00371A08" w:rsidRPr="00C17A7B" w:rsidRDefault="00000000" w:rsidP="005E4144">
      <w:pPr>
        <w:numPr>
          <w:ilvl w:val="0"/>
          <w:numId w:val="4"/>
        </w:num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La preocupación por tu figura, ¿te ha hecho pensar que deberías hacer ejercicio físico? </w:t>
      </w:r>
    </w:p>
    <w:p w14:paraId="69FD2866" w14:textId="77777777" w:rsidR="00371A08" w:rsidRPr="00C17A7B" w:rsidRDefault="00371A08" w:rsidP="005E4144">
      <w:pPr>
        <w:spacing w:line="360" w:lineRule="auto"/>
        <w:rPr>
          <w:rFonts w:ascii="Times" w:eastAsia="Times" w:hAnsi="Times" w:cs="Times"/>
          <w:color w:val="000000" w:themeColor="text1"/>
        </w:rPr>
      </w:pPr>
    </w:p>
    <w:p w14:paraId="3003C87E"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b/>
          <w:color w:val="000000" w:themeColor="text1"/>
        </w:rPr>
        <w:t>Anexo 3: Versión Española de la Escala de Autoestima de Rosenberg</w:t>
      </w:r>
      <w:r w:rsidRPr="00C17A7B">
        <w:rPr>
          <w:rFonts w:ascii="Times" w:eastAsia="Times" w:hAnsi="Times" w:cs="Times"/>
          <w:color w:val="000000" w:themeColor="text1"/>
        </w:rPr>
        <w:t xml:space="preserve"> </w:t>
      </w:r>
      <w:r w:rsidRPr="00C17A7B">
        <w:rPr>
          <w:rFonts w:ascii="Times" w:eastAsia="Times" w:hAnsi="Times" w:cs="Times"/>
          <w:b/>
          <w:color w:val="000000" w:themeColor="text1"/>
        </w:rPr>
        <w:t>(RSE)</w:t>
      </w:r>
      <w:r w:rsidRPr="00C17A7B">
        <w:rPr>
          <w:rFonts w:ascii="Times" w:eastAsia="Times" w:hAnsi="Times" w:cs="Times"/>
          <w:color w:val="000000" w:themeColor="text1"/>
        </w:rPr>
        <w:t xml:space="preserve"> (Atienza et al., 2000)</w:t>
      </w:r>
    </w:p>
    <w:p w14:paraId="1C2F51C8" w14:textId="77777777" w:rsidR="00371A08" w:rsidRPr="00C17A7B" w:rsidRDefault="00371A08" w:rsidP="005E4144">
      <w:pPr>
        <w:spacing w:line="360" w:lineRule="auto"/>
        <w:rPr>
          <w:rFonts w:ascii="Times" w:eastAsia="Times" w:hAnsi="Times" w:cs="Times"/>
          <w:color w:val="000000" w:themeColor="text1"/>
        </w:rPr>
      </w:pPr>
    </w:p>
    <w:p w14:paraId="5E612E7C"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1. Me siento una persona tan valiosa como las otras</w:t>
      </w:r>
      <w:r w:rsidRPr="00C17A7B">
        <w:rPr>
          <w:rFonts w:ascii="Times" w:eastAsia="Times" w:hAnsi="Times" w:cs="Times"/>
          <w:color w:val="000000" w:themeColor="text1"/>
        </w:rPr>
        <w:br/>
        <w:t xml:space="preserve">2. Generalmente me inclino a pensar que soy un fracaso </w:t>
      </w:r>
    </w:p>
    <w:p w14:paraId="51413A2A"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3. Creo que tengo algunas cualidades buenas</w:t>
      </w:r>
      <w:r w:rsidRPr="00C17A7B">
        <w:rPr>
          <w:rFonts w:ascii="Times" w:eastAsia="Times" w:hAnsi="Times" w:cs="Times"/>
          <w:color w:val="000000" w:themeColor="text1"/>
        </w:rPr>
        <w:br/>
        <w:t xml:space="preserve">4. Soy capaz de hacer las cosas tan bien como los demás </w:t>
      </w:r>
    </w:p>
    <w:p w14:paraId="4E614568"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 xml:space="preserve">5. Creo que no tengo mucho de lo que estar orgulloso/a </w:t>
      </w:r>
    </w:p>
    <w:p w14:paraId="04B0930E"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6. Tengo una actitud positiva hacia mí mismo/a</w:t>
      </w:r>
      <w:r w:rsidRPr="00C17A7B">
        <w:rPr>
          <w:rFonts w:ascii="Times" w:eastAsia="Times" w:hAnsi="Times" w:cs="Times"/>
          <w:color w:val="000000" w:themeColor="text1"/>
        </w:rPr>
        <w:br/>
        <w:t xml:space="preserve">7. En general me siento satisfecho/a conmigo mismo/a </w:t>
      </w:r>
    </w:p>
    <w:p w14:paraId="050645A0" w14:textId="77777777" w:rsidR="00371A08" w:rsidRPr="00C17A7B" w:rsidRDefault="00000000" w:rsidP="005E4144">
      <w:pPr>
        <w:spacing w:line="360" w:lineRule="auto"/>
        <w:rPr>
          <w:rFonts w:ascii="Times" w:eastAsia="Times" w:hAnsi="Times" w:cs="Times"/>
          <w:color w:val="000000" w:themeColor="text1"/>
        </w:rPr>
      </w:pPr>
      <w:r w:rsidRPr="00C17A7B">
        <w:rPr>
          <w:rFonts w:ascii="Times" w:eastAsia="Times" w:hAnsi="Times" w:cs="Times"/>
          <w:color w:val="000000" w:themeColor="text1"/>
        </w:rPr>
        <w:t>8. Me gustaría tener más respeto por mí mismo/a</w:t>
      </w:r>
      <w:r w:rsidRPr="00C17A7B">
        <w:rPr>
          <w:rFonts w:ascii="Times" w:eastAsia="Times" w:hAnsi="Times" w:cs="Times"/>
          <w:color w:val="000000" w:themeColor="text1"/>
        </w:rPr>
        <w:br/>
        <w:t>9. Realmente me siento inútil en algunas ocasiones</w:t>
      </w:r>
      <w:r w:rsidRPr="00C17A7B">
        <w:rPr>
          <w:rFonts w:ascii="Times" w:eastAsia="Times" w:hAnsi="Times" w:cs="Times"/>
          <w:color w:val="000000" w:themeColor="text1"/>
        </w:rPr>
        <w:br/>
        <w:t xml:space="preserve">10. A veces pienso que no sirvo para nada </w:t>
      </w:r>
    </w:p>
    <w:p w14:paraId="5CA9ADD1" w14:textId="77777777" w:rsidR="00371A08" w:rsidRPr="00C17A7B" w:rsidRDefault="00371A08" w:rsidP="005E4144">
      <w:pPr>
        <w:spacing w:line="360" w:lineRule="auto"/>
        <w:rPr>
          <w:rFonts w:ascii="Times" w:eastAsia="Times" w:hAnsi="Times" w:cs="Times"/>
          <w:color w:val="000000" w:themeColor="text1"/>
        </w:rPr>
      </w:pPr>
    </w:p>
    <w:p w14:paraId="747E0895" w14:textId="77777777" w:rsidR="00371A08" w:rsidRPr="00C17A7B" w:rsidRDefault="00371A08" w:rsidP="005E4144">
      <w:pPr>
        <w:spacing w:line="360" w:lineRule="auto"/>
        <w:rPr>
          <w:rFonts w:ascii="Times" w:eastAsia="Times" w:hAnsi="Times" w:cs="Times"/>
          <w:color w:val="000000" w:themeColor="text1"/>
        </w:rPr>
      </w:pPr>
    </w:p>
    <w:p w14:paraId="221C3E48" w14:textId="77777777" w:rsidR="00371A08" w:rsidRPr="00C17A7B" w:rsidRDefault="00371A08" w:rsidP="005E4144">
      <w:pPr>
        <w:spacing w:line="360" w:lineRule="auto"/>
        <w:rPr>
          <w:rFonts w:ascii="Times" w:eastAsia="Times" w:hAnsi="Times" w:cs="Times"/>
          <w:color w:val="000000" w:themeColor="text1"/>
        </w:rPr>
      </w:pPr>
    </w:p>
    <w:p w14:paraId="308E1744" w14:textId="77777777" w:rsidR="00371A08" w:rsidRPr="00C17A7B" w:rsidRDefault="00371A08" w:rsidP="005E4144">
      <w:pPr>
        <w:spacing w:line="360" w:lineRule="auto"/>
        <w:rPr>
          <w:rFonts w:ascii="Times" w:eastAsia="Times" w:hAnsi="Times" w:cs="Times"/>
          <w:color w:val="000000" w:themeColor="text1"/>
        </w:rPr>
      </w:pPr>
    </w:p>
    <w:p w14:paraId="561F4DA4" w14:textId="77777777" w:rsidR="00371A08" w:rsidRPr="00C17A7B" w:rsidRDefault="00371A08" w:rsidP="005E4144">
      <w:pPr>
        <w:spacing w:line="360" w:lineRule="auto"/>
        <w:rPr>
          <w:rFonts w:ascii="Times" w:eastAsia="Times" w:hAnsi="Times" w:cs="Times"/>
          <w:b/>
          <w:color w:val="000000" w:themeColor="text1"/>
        </w:rPr>
      </w:pPr>
    </w:p>
    <w:sectPr w:rsidR="00371A08" w:rsidRPr="00C17A7B">
      <w:headerReference w:type="even" r:id="rId61"/>
      <w:headerReference w:type="default" r:id="rId62"/>
      <w:pgSz w:w="11900" w:h="16840"/>
      <w:pgMar w:top="1440" w:right="1440" w:bottom="1440" w:left="1440" w:header="709" w:footer="709"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B5F5B79" w14:textId="77777777" w:rsidR="000044CC" w:rsidRDefault="000044CC">
      <w:r>
        <w:separator/>
      </w:r>
    </w:p>
  </w:endnote>
  <w:endnote w:type="continuationSeparator" w:id="0">
    <w:p w14:paraId="2D92C29C" w14:textId="77777777" w:rsidR="000044CC" w:rsidRDefault="000044C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w:panose1 w:val="00000500000000020000"/>
    <w:charset w:val="00"/>
    <w:family w:val="auto"/>
    <w:pitch w:val="variable"/>
    <w:sig w:usb0="E00002FF" w:usb1="5000205A" w:usb2="00000000" w:usb3="00000000" w:csb0="0000019F" w:csb1="00000000"/>
  </w:font>
  <w:font w:name="Courier New">
    <w:panose1 w:val="02070309020205020404"/>
    <w:charset w:val="00"/>
    <w:family w:val="modern"/>
    <w:pitch w:val="fixed"/>
    <w:sig w:usb0="E0002AFF" w:usb1="C0007843" w:usb2="00000009" w:usb3="00000000" w:csb0="000001FF" w:csb1="00000000"/>
  </w:font>
  <w:font w:name="Noto Sans Symbols">
    <w:panose1 w:val="020B0604020202020204"/>
    <w:charset w:val="00"/>
    <w:family w:val="auto"/>
    <w:pitch w:val="default"/>
  </w:font>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Georgia">
    <w:panose1 w:val="02040502050405020303"/>
    <w:charset w:val="00"/>
    <w:family w:val="roman"/>
    <w:pitch w:val="variable"/>
    <w:sig w:usb0="00000287" w:usb1="00000000" w:usb2="00000000" w:usb3="00000000" w:csb0="0000009F" w:csb1="00000000"/>
  </w:font>
  <w:font w:name="Cambria Math">
    <w:panose1 w:val="02040503050406030204"/>
    <w:charset w:val="00"/>
    <w:family w:val="roman"/>
    <w:pitch w:val="variable"/>
    <w:sig w:usb0="E00002FF" w:usb1="420024FF" w:usb2="00000000" w:usb3="00000000" w:csb0="0000019F" w:csb1="00000000"/>
  </w:font>
  <w:font w:name="Quattrocento Sans">
    <w:panose1 w:val="020B0502050000020003"/>
    <w:charset w:val="00"/>
    <w:family w:val="swiss"/>
    <w:pitch w:val="variable"/>
    <w:sig w:usb0="800000BF" w:usb1="4000005B" w:usb2="00000000" w:usb3="00000000" w:csb0="00000001" w:csb1="00000000"/>
  </w:font>
  <w:font w:name="Roboto">
    <w:panose1 w:val="02000000000000000000"/>
    <w:charset w:val="00"/>
    <w:family w:val="auto"/>
    <w:pitch w:val="variable"/>
    <w:sig w:usb0="E0000AFF" w:usb1="5000217F" w:usb2="00000021" w:usb3="00000000" w:csb0="0000019F" w:csb1="00000000"/>
  </w:font>
  <w:font w:name="Arial">
    <w:panose1 w:val="020B0604020202020204"/>
    <w:charset w:val="00"/>
    <w:family w:val="swiss"/>
    <w:pitch w:val="variable"/>
    <w:sig w:usb0="E0002AFF" w:usb1="C0007843"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65F2932" w14:textId="77777777" w:rsidR="000044CC" w:rsidRDefault="000044CC">
      <w:r>
        <w:separator/>
      </w:r>
    </w:p>
  </w:footnote>
  <w:footnote w:type="continuationSeparator" w:id="0">
    <w:p w14:paraId="5E18B112" w14:textId="77777777" w:rsidR="000044CC" w:rsidRDefault="000044C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19A354B" w14:textId="77777777" w:rsidR="00371A08" w:rsidRDefault="00000000">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Pr>
        <w:color w:val="000000"/>
      </w:rPr>
      <w:fldChar w:fldCharType="end"/>
    </w:r>
  </w:p>
  <w:p w14:paraId="03FB3C97" w14:textId="77777777" w:rsidR="00371A08" w:rsidRDefault="00371A08">
    <w:pPr>
      <w:pBdr>
        <w:top w:val="nil"/>
        <w:left w:val="nil"/>
        <w:bottom w:val="nil"/>
        <w:right w:val="nil"/>
        <w:between w:val="nil"/>
      </w:pBdr>
      <w:tabs>
        <w:tab w:val="center" w:pos="4419"/>
        <w:tab w:val="right" w:pos="8838"/>
      </w:tabs>
      <w:ind w:right="360"/>
      <w:rPr>
        <w:color w:val="00000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AD2647" w14:textId="77777777" w:rsidR="00371A08" w:rsidRDefault="00000000">
    <w:pPr>
      <w:pBdr>
        <w:top w:val="nil"/>
        <w:left w:val="nil"/>
        <w:bottom w:val="nil"/>
        <w:right w:val="nil"/>
        <w:between w:val="nil"/>
      </w:pBdr>
      <w:tabs>
        <w:tab w:val="center" w:pos="4419"/>
        <w:tab w:val="right" w:pos="8838"/>
      </w:tabs>
      <w:jc w:val="right"/>
      <w:rPr>
        <w:color w:val="000000"/>
      </w:rPr>
    </w:pPr>
    <w:r>
      <w:rPr>
        <w:color w:val="000000"/>
      </w:rPr>
      <w:fldChar w:fldCharType="begin"/>
    </w:r>
    <w:r>
      <w:rPr>
        <w:color w:val="000000"/>
      </w:rPr>
      <w:instrText>PAGE</w:instrText>
    </w:r>
    <w:r>
      <w:rPr>
        <w:color w:val="000000"/>
      </w:rPr>
      <w:fldChar w:fldCharType="separate"/>
    </w:r>
    <w:r w:rsidR="00B52C6E">
      <w:rPr>
        <w:noProof/>
        <w:color w:val="000000"/>
      </w:rPr>
      <w:t>1</w:t>
    </w:r>
    <w:r>
      <w:rPr>
        <w:color w:val="000000"/>
      </w:rPr>
      <w:fldChar w:fldCharType="end"/>
    </w:r>
  </w:p>
  <w:p w14:paraId="2EA2299E" w14:textId="77777777" w:rsidR="00371A08" w:rsidRDefault="00371A08">
    <w:pPr>
      <w:pBdr>
        <w:top w:val="nil"/>
        <w:left w:val="nil"/>
        <w:bottom w:val="nil"/>
        <w:right w:val="nil"/>
        <w:between w:val="nil"/>
      </w:pBdr>
      <w:tabs>
        <w:tab w:val="center" w:pos="4419"/>
        <w:tab w:val="right" w:pos="8838"/>
      </w:tabs>
      <w:ind w:right="360"/>
      <w:rPr>
        <w:color w:val="00000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493534"/>
    <w:multiLevelType w:val="multilevel"/>
    <w:tmpl w:val="8DC406FA"/>
    <w:lvl w:ilvl="0">
      <w:start w:val="3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1" w15:restartNumberingAfterBreak="0">
    <w:nsid w:val="395407EF"/>
    <w:multiLevelType w:val="multilevel"/>
    <w:tmpl w:val="0156C0C4"/>
    <w:lvl w:ilvl="0">
      <w:start w:val="1"/>
      <w:numFmt w:val="decimal"/>
      <w:lvlText w:val="%1."/>
      <w:lvlJc w:val="left"/>
      <w:pPr>
        <w:ind w:left="360" w:hanging="360"/>
      </w:pPr>
    </w:lvl>
    <w:lvl w:ilvl="1">
      <w:start w:val="1"/>
      <w:numFmt w:val="decimal"/>
      <w:lvlText w:val="%2."/>
      <w:lvlJc w:val="left"/>
      <w:pPr>
        <w:ind w:left="1080" w:hanging="360"/>
      </w:pPr>
    </w:lvl>
    <w:lvl w:ilvl="2">
      <w:start w:val="1"/>
      <w:numFmt w:val="decimal"/>
      <w:lvlText w:val="%3."/>
      <w:lvlJc w:val="left"/>
      <w:pPr>
        <w:ind w:left="1800" w:hanging="360"/>
      </w:pPr>
    </w:lvl>
    <w:lvl w:ilvl="3">
      <w:start w:val="1"/>
      <w:numFmt w:val="decimal"/>
      <w:lvlText w:val="%4."/>
      <w:lvlJc w:val="left"/>
      <w:pPr>
        <w:ind w:left="2520" w:hanging="360"/>
      </w:pPr>
    </w:lvl>
    <w:lvl w:ilvl="4">
      <w:start w:val="1"/>
      <w:numFmt w:val="decimal"/>
      <w:lvlText w:val="%5."/>
      <w:lvlJc w:val="left"/>
      <w:pPr>
        <w:ind w:left="3240" w:hanging="360"/>
      </w:pPr>
    </w:lvl>
    <w:lvl w:ilvl="5">
      <w:start w:val="1"/>
      <w:numFmt w:val="decimal"/>
      <w:lvlText w:val="%6."/>
      <w:lvlJc w:val="left"/>
      <w:pPr>
        <w:ind w:left="3960" w:hanging="360"/>
      </w:pPr>
    </w:lvl>
    <w:lvl w:ilvl="6">
      <w:start w:val="1"/>
      <w:numFmt w:val="decimal"/>
      <w:lvlText w:val="%7."/>
      <w:lvlJc w:val="left"/>
      <w:pPr>
        <w:ind w:left="4680" w:hanging="360"/>
      </w:pPr>
    </w:lvl>
    <w:lvl w:ilvl="7">
      <w:start w:val="1"/>
      <w:numFmt w:val="decimal"/>
      <w:lvlText w:val="%8."/>
      <w:lvlJc w:val="left"/>
      <w:pPr>
        <w:ind w:left="5400" w:hanging="360"/>
      </w:pPr>
    </w:lvl>
    <w:lvl w:ilvl="8">
      <w:start w:val="1"/>
      <w:numFmt w:val="decimal"/>
      <w:lvlText w:val="%9."/>
      <w:lvlJc w:val="left"/>
      <w:pPr>
        <w:ind w:left="6120" w:hanging="360"/>
      </w:pPr>
    </w:lvl>
  </w:abstractNum>
  <w:abstractNum w:abstractNumId="2" w15:restartNumberingAfterBreak="0">
    <w:nsid w:val="3A506114"/>
    <w:multiLevelType w:val="multilevel"/>
    <w:tmpl w:val="1EA04548"/>
    <w:lvl w:ilvl="0">
      <w:start w:val="1"/>
      <w:numFmt w:val="bullet"/>
      <w:lvlText w:val="-"/>
      <w:lvlJc w:val="left"/>
      <w:pPr>
        <w:ind w:left="720" w:hanging="360"/>
      </w:pPr>
      <w:rPr>
        <w:rFonts w:ascii="Times" w:eastAsia="Times" w:hAnsi="Times" w:cs="Times"/>
        <w:i/>
      </w:rPr>
    </w:lvl>
    <w:lvl w:ilvl="1">
      <w:start w:val="1"/>
      <w:numFmt w:val="bullet"/>
      <w:lvlText w:val="o"/>
      <w:lvlJc w:val="left"/>
      <w:pPr>
        <w:ind w:left="1440" w:hanging="360"/>
      </w:pPr>
      <w:rPr>
        <w:rFonts w:ascii="Courier New" w:eastAsia="Courier New" w:hAnsi="Courier New" w:cs="Courier New"/>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abstractNum w:abstractNumId="3" w15:restartNumberingAfterBreak="0">
    <w:nsid w:val="4C006AC3"/>
    <w:multiLevelType w:val="multilevel"/>
    <w:tmpl w:val="FBDCB9E0"/>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7D8779E7"/>
    <w:multiLevelType w:val="multilevel"/>
    <w:tmpl w:val="DCFAED5E"/>
    <w:lvl w:ilvl="0">
      <w:numFmt w:val="bullet"/>
      <w:lvlText w:val="-"/>
      <w:lvlJc w:val="left"/>
      <w:pPr>
        <w:ind w:left="720" w:hanging="360"/>
      </w:pPr>
      <w:rPr>
        <w:rFonts w:ascii="Calibri" w:eastAsia="Calibri" w:hAnsi="Calibri" w:cs="Calibri"/>
        <w:color w:val="000000"/>
      </w:rPr>
    </w:lvl>
    <w:lvl w:ilvl="1">
      <w:start w:val="1"/>
      <w:numFmt w:val="bullet"/>
      <w:lvlText w:val="●"/>
      <w:lvlJc w:val="left"/>
      <w:pPr>
        <w:ind w:left="1440" w:hanging="360"/>
      </w:pPr>
      <w:rPr>
        <w:rFonts w:ascii="Noto Sans Symbols" w:eastAsia="Noto Sans Symbols" w:hAnsi="Noto Sans Symbols" w:cs="Noto Sans Symbols"/>
      </w:rPr>
    </w:lvl>
    <w:lvl w:ilvl="2">
      <w:start w:val="1"/>
      <w:numFmt w:val="bullet"/>
      <w:lvlText w:val="▪"/>
      <w:lvlJc w:val="left"/>
      <w:pPr>
        <w:ind w:left="2160" w:hanging="360"/>
      </w:pPr>
      <w:rPr>
        <w:rFonts w:ascii="Noto Sans Symbols" w:eastAsia="Noto Sans Symbols" w:hAnsi="Noto Sans Symbols" w:cs="Noto Sans Symbols"/>
      </w:rPr>
    </w:lvl>
    <w:lvl w:ilvl="3">
      <w:start w:val="1"/>
      <w:numFmt w:val="bullet"/>
      <w:lvlText w:val="●"/>
      <w:lvlJc w:val="left"/>
      <w:pPr>
        <w:ind w:left="2880" w:hanging="360"/>
      </w:pPr>
      <w:rPr>
        <w:rFonts w:ascii="Noto Sans Symbols" w:eastAsia="Noto Sans Symbols" w:hAnsi="Noto Sans Symbols" w:cs="Noto Sans Symbols"/>
      </w:rPr>
    </w:lvl>
    <w:lvl w:ilvl="4">
      <w:start w:val="1"/>
      <w:numFmt w:val="bullet"/>
      <w:lvlText w:val="o"/>
      <w:lvlJc w:val="left"/>
      <w:pPr>
        <w:ind w:left="3600" w:hanging="360"/>
      </w:pPr>
      <w:rPr>
        <w:rFonts w:ascii="Courier New" w:eastAsia="Courier New" w:hAnsi="Courier New" w:cs="Courier New"/>
      </w:rPr>
    </w:lvl>
    <w:lvl w:ilvl="5">
      <w:start w:val="1"/>
      <w:numFmt w:val="bullet"/>
      <w:lvlText w:val="▪"/>
      <w:lvlJc w:val="left"/>
      <w:pPr>
        <w:ind w:left="4320" w:hanging="360"/>
      </w:pPr>
      <w:rPr>
        <w:rFonts w:ascii="Noto Sans Symbols" w:eastAsia="Noto Sans Symbols" w:hAnsi="Noto Sans Symbols" w:cs="Noto Sans Symbols"/>
      </w:rPr>
    </w:lvl>
    <w:lvl w:ilvl="6">
      <w:start w:val="1"/>
      <w:numFmt w:val="bullet"/>
      <w:lvlText w:val="●"/>
      <w:lvlJc w:val="left"/>
      <w:pPr>
        <w:ind w:left="5040" w:hanging="360"/>
      </w:pPr>
      <w:rPr>
        <w:rFonts w:ascii="Noto Sans Symbols" w:eastAsia="Noto Sans Symbols" w:hAnsi="Noto Sans Symbols" w:cs="Noto Sans Symbols"/>
      </w:rPr>
    </w:lvl>
    <w:lvl w:ilvl="7">
      <w:start w:val="1"/>
      <w:numFmt w:val="bullet"/>
      <w:lvlText w:val="o"/>
      <w:lvlJc w:val="left"/>
      <w:pPr>
        <w:ind w:left="5760" w:hanging="360"/>
      </w:pPr>
      <w:rPr>
        <w:rFonts w:ascii="Courier New" w:eastAsia="Courier New" w:hAnsi="Courier New" w:cs="Courier New"/>
      </w:rPr>
    </w:lvl>
    <w:lvl w:ilvl="8">
      <w:start w:val="1"/>
      <w:numFmt w:val="bullet"/>
      <w:lvlText w:val="▪"/>
      <w:lvlJc w:val="left"/>
      <w:pPr>
        <w:ind w:left="6480" w:hanging="360"/>
      </w:pPr>
      <w:rPr>
        <w:rFonts w:ascii="Noto Sans Symbols" w:eastAsia="Noto Sans Symbols" w:hAnsi="Noto Sans Symbols" w:cs="Noto Sans Symbols"/>
      </w:rPr>
    </w:lvl>
  </w:abstractNum>
  <w:num w:numId="1" w16cid:durableId="1309700753">
    <w:abstractNumId w:val="4"/>
  </w:num>
  <w:num w:numId="2" w16cid:durableId="535390124">
    <w:abstractNumId w:val="2"/>
  </w:num>
  <w:num w:numId="3" w16cid:durableId="529535037">
    <w:abstractNumId w:val="1"/>
  </w:num>
  <w:num w:numId="4" w16cid:durableId="601305175">
    <w:abstractNumId w:val="0"/>
  </w:num>
  <w:num w:numId="5" w16cid:durableId="36780088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71A08"/>
    <w:rsid w:val="000044CC"/>
    <w:rsid w:val="0010216D"/>
    <w:rsid w:val="001A4400"/>
    <w:rsid w:val="00210D2E"/>
    <w:rsid w:val="002F536B"/>
    <w:rsid w:val="00317AE3"/>
    <w:rsid w:val="00371A08"/>
    <w:rsid w:val="005E4144"/>
    <w:rsid w:val="006C7746"/>
    <w:rsid w:val="00702747"/>
    <w:rsid w:val="008C6DCA"/>
    <w:rsid w:val="00920A6E"/>
    <w:rsid w:val="009D152F"/>
    <w:rsid w:val="00B27A77"/>
    <w:rsid w:val="00B52C6E"/>
    <w:rsid w:val="00B937AB"/>
    <w:rsid w:val="00C17A7B"/>
    <w:rsid w:val="00C57FA5"/>
    <w:rsid w:val="00DC2484"/>
    <w:rsid w:val="00F61186"/>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3EED2F1"/>
  <w15:docId w15:val="{17015788-2E4D-E944-B1B4-00FD1FF126B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szCs w:val="24"/>
        <w:lang w:val="es-ES" w:eastAsia="es-ES_tradn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1B3A22"/>
  </w:style>
  <w:style w:type="paragraph" w:styleId="Ttulo1">
    <w:name w:val="heading 1"/>
    <w:basedOn w:val="Normal"/>
    <w:next w:val="Normal"/>
    <w:link w:val="Ttulo1Car"/>
    <w:uiPriority w:val="9"/>
    <w:qFormat/>
    <w:rsid w:val="00232ED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Ttulo2">
    <w:name w:val="heading 2"/>
    <w:basedOn w:val="Normal"/>
    <w:next w:val="Normal"/>
    <w:uiPriority w:val="9"/>
    <w:semiHidden/>
    <w:unhideWhenUsed/>
    <w:qFormat/>
    <w:pPr>
      <w:keepNext/>
      <w:keepLines/>
      <w:spacing w:before="360" w:after="80"/>
      <w:outlineLvl w:val="1"/>
    </w:pPr>
    <w:rPr>
      <w:b/>
      <w:sz w:val="36"/>
      <w:szCs w:val="36"/>
    </w:rPr>
  </w:style>
  <w:style w:type="paragraph" w:styleId="Ttulo3">
    <w:name w:val="heading 3"/>
    <w:basedOn w:val="Normal"/>
    <w:next w:val="Normal"/>
    <w:uiPriority w:val="9"/>
    <w:semiHidden/>
    <w:unhideWhenUsed/>
    <w:qFormat/>
    <w:pPr>
      <w:keepNext/>
      <w:keepLines/>
      <w:spacing w:before="280" w:after="80"/>
      <w:outlineLvl w:val="2"/>
    </w:pPr>
    <w:rPr>
      <w:b/>
      <w:sz w:val="28"/>
      <w:szCs w:val="28"/>
    </w:rPr>
  </w:style>
  <w:style w:type="paragraph" w:styleId="Ttulo4">
    <w:name w:val="heading 4"/>
    <w:basedOn w:val="Normal"/>
    <w:next w:val="Normal"/>
    <w:link w:val="Ttulo4Car"/>
    <w:uiPriority w:val="9"/>
    <w:semiHidden/>
    <w:unhideWhenUsed/>
    <w:qFormat/>
    <w:rsid w:val="005D1E53"/>
    <w:pPr>
      <w:keepNext/>
      <w:keepLines/>
      <w:spacing w:before="4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sz w:val="22"/>
      <w:szCs w:val="22"/>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paragraph" w:styleId="Prrafodelista">
    <w:name w:val="List Paragraph"/>
    <w:basedOn w:val="Normal"/>
    <w:uiPriority w:val="34"/>
    <w:qFormat/>
    <w:rsid w:val="008E6ABE"/>
    <w:pPr>
      <w:ind w:left="720"/>
      <w:contextualSpacing/>
    </w:pPr>
  </w:style>
  <w:style w:type="table" w:styleId="Tablaconcuadrcula">
    <w:name w:val="Table Grid"/>
    <w:basedOn w:val="Tablanormal"/>
    <w:uiPriority w:val="39"/>
    <w:rsid w:val="008D1E5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vnculo">
    <w:name w:val="Hyperlink"/>
    <w:basedOn w:val="Fuentedeprrafopredeter"/>
    <w:uiPriority w:val="99"/>
    <w:unhideWhenUsed/>
    <w:rsid w:val="00EE5133"/>
    <w:rPr>
      <w:color w:val="0563C1" w:themeColor="hyperlink"/>
      <w:u w:val="single"/>
    </w:rPr>
  </w:style>
  <w:style w:type="character" w:styleId="Mencinsinresolver">
    <w:name w:val="Unresolved Mention"/>
    <w:basedOn w:val="Fuentedeprrafopredeter"/>
    <w:uiPriority w:val="99"/>
    <w:semiHidden/>
    <w:unhideWhenUsed/>
    <w:rsid w:val="00EE5133"/>
    <w:rPr>
      <w:color w:val="605E5C"/>
      <w:shd w:val="clear" w:color="auto" w:fill="E1DFDD"/>
    </w:rPr>
  </w:style>
  <w:style w:type="paragraph" w:styleId="NormalWeb">
    <w:name w:val="Normal (Web)"/>
    <w:basedOn w:val="Normal"/>
    <w:uiPriority w:val="99"/>
    <w:unhideWhenUsed/>
    <w:rsid w:val="007722D0"/>
    <w:pPr>
      <w:spacing w:before="100" w:beforeAutospacing="1" w:after="100" w:afterAutospacing="1"/>
    </w:pPr>
  </w:style>
  <w:style w:type="character" w:styleId="Hipervnculovisitado">
    <w:name w:val="FollowedHyperlink"/>
    <w:basedOn w:val="Fuentedeprrafopredeter"/>
    <w:uiPriority w:val="99"/>
    <w:semiHidden/>
    <w:unhideWhenUsed/>
    <w:rsid w:val="008D3C89"/>
    <w:rPr>
      <w:color w:val="954F72" w:themeColor="followedHyperlink"/>
      <w:u w:val="single"/>
    </w:rPr>
  </w:style>
  <w:style w:type="paragraph" w:styleId="Encabezado">
    <w:name w:val="header"/>
    <w:basedOn w:val="Normal"/>
    <w:link w:val="EncabezadoCar"/>
    <w:uiPriority w:val="99"/>
    <w:unhideWhenUsed/>
    <w:rsid w:val="00060F3F"/>
    <w:pPr>
      <w:tabs>
        <w:tab w:val="center" w:pos="4419"/>
        <w:tab w:val="right" w:pos="8838"/>
      </w:tabs>
    </w:pPr>
  </w:style>
  <w:style w:type="character" w:customStyle="1" w:styleId="EncabezadoCar">
    <w:name w:val="Encabezado Car"/>
    <w:basedOn w:val="Fuentedeprrafopredeter"/>
    <w:link w:val="Encabezado"/>
    <w:uiPriority w:val="99"/>
    <w:rsid w:val="00060F3F"/>
    <w:rPr>
      <w:rFonts w:ascii="Times New Roman" w:eastAsia="Times New Roman" w:hAnsi="Times New Roman" w:cs="Times New Roman"/>
      <w:lang w:eastAsia="es-ES_tradnl"/>
    </w:rPr>
  </w:style>
  <w:style w:type="character" w:styleId="Nmerodepgina">
    <w:name w:val="page number"/>
    <w:basedOn w:val="Fuentedeprrafopredeter"/>
    <w:uiPriority w:val="99"/>
    <w:semiHidden/>
    <w:unhideWhenUsed/>
    <w:rsid w:val="00060F3F"/>
  </w:style>
  <w:style w:type="character" w:styleId="Textodelmarcadordeposicin">
    <w:name w:val="Placeholder Text"/>
    <w:basedOn w:val="Fuentedeprrafopredeter"/>
    <w:uiPriority w:val="99"/>
    <w:semiHidden/>
    <w:rsid w:val="00494C4E"/>
    <w:rPr>
      <w:color w:val="808080"/>
    </w:rPr>
  </w:style>
  <w:style w:type="paragraph" w:styleId="Textonotaalfinal">
    <w:name w:val="endnote text"/>
    <w:basedOn w:val="Normal"/>
    <w:link w:val="TextonotaalfinalCar"/>
    <w:uiPriority w:val="99"/>
    <w:semiHidden/>
    <w:unhideWhenUsed/>
    <w:rsid w:val="00683C13"/>
    <w:rPr>
      <w:sz w:val="20"/>
      <w:szCs w:val="20"/>
    </w:rPr>
  </w:style>
  <w:style w:type="character" w:customStyle="1" w:styleId="TextonotaalfinalCar">
    <w:name w:val="Texto nota al final Car"/>
    <w:basedOn w:val="Fuentedeprrafopredeter"/>
    <w:link w:val="Textonotaalfinal"/>
    <w:uiPriority w:val="99"/>
    <w:semiHidden/>
    <w:rsid w:val="00683C13"/>
    <w:rPr>
      <w:rFonts w:ascii="Times New Roman" w:eastAsia="Times New Roman" w:hAnsi="Times New Roman" w:cs="Times New Roman"/>
      <w:sz w:val="20"/>
      <w:szCs w:val="20"/>
      <w:lang w:eastAsia="es-ES_tradnl"/>
    </w:rPr>
  </w:style>
  <w:style w:type="character" w:styleId="Refdenotaalfinal">
    <w:name w:val="endnote reference"/>
    <w:basedOn w:val="Fuentedeprrafopredeter"/>
    <w:uiPriority w:val="99"/>
    <w:semiHidden/>
    <w:unhideWhenUsed/>
    <w:rsid w:val="00683C13"/>
    <w:rPr>
      <w:vertAlign w:val="superscript"/>
    </w:rPr>
  </w:style>
  <w:style w:type="character" w:customStyle="1" w:styleId="Ttulo1Car">
    <w:name w:val="Título 1 Car"/>
    <w:basedOn w:val="Fuentedeprrafopredeter"/>
    <w:link w:val="Ttulo1"/>
    <w:uiPriority w:val="9"/>
    <w:rsid w:val="00232EDD"/>
    <w:rPr>
      <w:rFonts w:asciiTheme="majorHAnsi" w:eastAsiaTheme="majorEastAsia" w:hAnsiTheme="majorHAnsi" w:cstheme="majorBidi"/>
      <w:color w:val="2F5496" w:themeColor="accent1" w:themeShade="BF"/>
      <w:sz w:val="32"/>
      <w:szCs w:val="32"/>
      <w:lang w:eastAsia="es-ES_tradnl"/>
    </w:rPr>
  </w:style>
  <w:style w:type="character" w:customStyle="1" w:styleId="Ttulo4Car">
    <w:name w:val="Título 4 Car"/>
    <w:basedOn w:val="Fuentedeprrafopredeter"/>
    <w:link w:val="Ttulo4"/>
    <w:uiPriority w:val="9"/>
    <w:rsid w:val="005D1E53"/>
    <w:rPr>
      <w:rFonts w:asciiTheme="majorHAnsi" w:eastAsiaTheme="majorEastAsia" w:hAnsiTheme="majorHAnsi" w:cstheme="majorBidi"/>
      <w:i/>
      <w:iCs/>
      <w:color w:val="2F5496" w:themeColor="accent1" w:themeShade="BF"/>
      <w:lang w:eastAsia="es-ES_tradnl"/>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
    <w:tblPr>
      <w:tblStyleRowBandSize w:val="1"/>
      <w:tblStyleColBandSize w:val="1"/>
      <w:tblCellMar>
        <w:left w:w="108" w:type="dxa"/>
        <w:right w:w="108" w:type="dxa"/>
      </w:tblCellMar>
    </w:tblPr>
  </w:style>
  <w:style w:type="table" w:customStyle="1" w:styleId="a0">
    <w:basedOn w:val="TableNormal"/>
    <w:tblPr>
      <w:tblStyleRowBandSize w:val="1"/>
      <w:tblStyleColBandSize w:val="1"/>
      <w:tblCellMar>
        <w:left w:w="108" w:type="dxa"/>
        <w:right w:w="108" w:type="dxa"/>
      </w:tblCellMar>
    </w:tblPr>
  </w:style>
  <w:style w:type="table" w:customStyle="1" w:styleId="a1">
    <w:basedOn w:val="TableNormal"/>
    <w:tblPr>
      <w:tblStyleRowBandSize w:val="1"/>
      <w:tblStyleColBandSize w:val="1"/>
      <w:tblCellMar>
        <w:left w:w="108" w:type="dxa"/>
        <w:right w:w="108" w:type="dxa"/>
      </w:tblCellMar>
    </w:tblPr>
  </w:style>
  <w:style w:type="table" w:customStyle="1" w:styleId="a2">
    <w:basedOn w:val="TableNormal"/>
    <w:tblPr>
      <w:tblStyleRowBandSize w:val="1"/>
      <w:tblStyleColBandSize w:val="1"/>
      <w:tblCellMar>
        <w:top w:w="15" w:type="dxa"/>
        <w:left w:w="15" w:type="dxa"/>
        <w:bottom w:w="15" w:type="dxa"/>
        <w:right w:w="15" w:type="dxa"/>
      </w:tblCellMar>
    </w:tblPr>
  </w:style>
  <w:style w:type="table" w:customStyle="1" w:styleId="a3">
    <w:basedOn w:val="TableNormal"/>
    <w:tblPr>
      <w:tblStyleRowBandSize w:val="1"/>
      <w:tblStyleColBandSize w:val="1"/>
      <w:tblCellMar>
        <w:top w:w="15" w:type="dxa"/>
        <w:left w:w="15" w:type="dxa"/>
        <w:bottom w:w="15" w:type="dxa"/>
        <w:right w:w="15" w:type="dxa"/>
      </w:tblCellMar>
    </w:tblPr>
  </w:style>
  <w:style w:type="table" w:customStyle="1" w:styleId="a4">
    <w:basedOn w:val="TableNormal"/>
    <w:tblPr>
      <w:tblStyleRowBandSize w:val="1"/>
      <w:tblStyleColBandSize w:val="1"/>
      <w:tblCellMar>
        <w:top w:w="15" w:type="dxa"/>
        <w:left w:w="15" w:type="dxa"/>
        <w:bottom w:w="15" w:type="dxa"/>
        <w:right w:w="15" w:type="dxa"/>
      </w:tblCellMar>
    </w:tblPr>
  </w:style>
  <w:style w:type="table" w:customStyle="1" w:styleId="a5">
    <w:basedOn w:val="TableNormal"/>
    <w:tblPr>
      <w:tblStyleRowBandSize w:val="1"/>
      <w:tblStyleColBandSize w:val="1"/>
      <w:tblCellMar>
        <w:top w:w="15" w:type="dxa"/>
        <w:left w:w="15" w:type="dxa"/>
        <w:bottom w:w="15" w:type="dxa"/>
        <w:right w:w="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doi.org/10.1002/eat.22559" TargetMode="External"/><Relationship Id="rId18" Type="http://schemas.openxmlformats.org/officeDocument/2006/relationships/hyperlink" Target="http://dx.doi.org/10.1002/eat.10147" TargetMode="External"/><Relationship Id="rId26" Type="http://schemas.openxmlformats.org/officeDocument/2006/relationships/hyperlink" Target="https://doi.org/10.1111/imj.14691" TargetMode="External"/><Relationship Id="rId39" Type="http://schemas.openxmlformats.org/officeDocument/2006/relationships/hyperlink" Target="https://doi.org/10.1016/j.bodyim.2020.02.002" TargetMode="External"/><Relationship Id="rId21" Type="http://schemas.openxmlformats.org/officeDocument/2006/relationships/hyperlink" Target="https://doi.org/10.1002/1098-108X(198707)6:4%3C485::AID-EAT2260060405%3E3.0.CO;2-O" TargetMode="External"/><Relationship Id="rId34" Type="http://schemas.openxmlformats.org/officeDocument/2006/relationships/hyperlink" Target="https://doi.org/10.1016/j.jada.2011.04.012" TargetMode="External"/><Relationship Id="rId42" Type="http://schemas.openxmlformats.org/officeDocument/2006/relationships/hyperlink" Target="https://www.qustodio.com/es/press-releases/under-16s-spend-up-to-600-hours-per-year-on-instagram/" TargetMode="External"/><Relationship Id="rId47" Type="http://schemas.openxmlformats.org/officeDocument/2006/relationships/hyperlink" Target="https://doi.org/10.1002/eat.20625" TargetMode="External"/><Relationship Id="rId50" Type="http://schemas.openxmlformats.org/officeDocument/2006/relationships/hyperlink" Target="https://doi.org/10.1002/eat.20625" TargetMode="External"/><Relationship Id="rId55" Type="http://schemas.openxmlformats.org/officeDocument/2006/relationships/hyperlink" Target="https://doi.org/10.1016/j.bodyim.2012.08.001" TargetMode="External"/><Relationship Id="rId63"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hyperlink" Target="https://doi.org/10.1002/eat.22559" TargetMode="External"/><Relationship Id="rId29" Type="http://schemas.openxmlformats.org/officeDocument/2006/relationships/hyperlink" Target="https://doi.org/10.1080/02614367.2016.1182202" TargetMode="External"/><Relationship Id="rId11" Type="http://schemas.openxmlformats.org/officeDocument/2006/relationships/hyperlink" Target="https://doi.org/10.1016/j.tele.2017.08.001" TargetMode="External"/><Relationship Id="rId24" Type="http://schemas.openxmlformats.org/officeDocument/2006/relationships/hyperlink" Target="https://doi.org/10.1016/j.copsyc.2015.09.005" TargetMode="External"/><Relationship Id="rId32" Type="http://schemas.openxmlformats.org/officeDocument/2006/relationships/hyperlink" Target="https://doi.org/10.1080/19392397.2016.1218292" TargetMode="External"/><Relationship Id="rId37" Type="http://schemas.openxmlformats.org/officeDocument/2006/relationships/hyperlink" Target="https://doi.org/10.1007/s11199-014-0384-6" TargetMode="External"/><Relationship Id="rId40" Type="http://schemas.openxmlformats.org/officeDocument/2006/relationships/hyperlink" Target="https://doi.org/10.20318/recs.2020/5223" TargetMode="External"/><Relationship Id="rId45" Type="http://schemas.openxmlformats.org/officeDocument/2006/relationships/hyperlink" Target="https://doi.org/10.1007/s40894-015-0016-6" TargetMode="External"/><Relationship Id="rId53" Type="http://schemas.openxmlformats.org/officeDocument/2006/relationships/hyperlink" Target="https://doi.org/10.1089/cyber.2017.0713" TargetMode="External"/><Relationship Id="rId58" Type="http://schemas.openxmlformats.org/officeDocument/2006/relationships/hyperlink" Target="https://doi.org/10.1002/eat.20625" TargetMode="External"/><Relationship Id="rId5" Type="http://schemas.openxmlformats.org/officeDocument/2006/relationships/settings" Target="settings.xml"/><Relationship Id="rId61" Type="http://schemas.openxmlformats.org/officeDocument/2006/relationships/header" Target="header1.xml"/><Relationship Id="rId19" Type="http://schemas.openxmlformats.org/officeDocument/2006/relationships/hyperlink" Target="https://doi.org/10.1002/eat.22559" TargetMode="External"/><Relationship Id="rId14" Type="http://schemas.openxmlformats.org/officeDocument/2006/relationships/hyperlink" Target="https://doi.org/10.1016/j.bodyim.2014.11.001" TargetMode="External"/><Relationship Id="rId22" Type="http://schemas.openxmlformats.org/officeDocument/2006/relationships/hyperlink" Target="https://doi.org/10.1016/j.chb.2016.11.009" TargetMode="External"/><Relationship Id="rId27" Type="http://schemas.openxmlformats.org/officeDocument/2006/relationships/hyperlink" Target="https://doi.org/10.1002/eat.22559" TargetMode="External"/><Relationship Id="rId30" Type="http://schemas.openxmlformats.org/officeDocument/2006/relationships/hyperlink" Target="https://doi.org/10.1123/ssj.12.4.424" TargetMode="External"/><Relationship Id="rId35" Type="http://schemas.openxmlformats.org/officeDocument/2006/relationships/hyperlink" Target="https://doi.org/10.37467/revtechno.v14.4820" TargetMode="External"/><Relationship Id="rId43" Type="http://schemas.openxmlformats.org/officeDocument/2006/relationships/hyperlink" Target="https://doi.org/10.1016/j.bodyim.2015.06.003" TargetMode="External"/><Relationship Id="rId48" Type="http://schemas.openxmlformats.org/officeDocument/2006/relationships/hyperlink" Target="https://doi.org/10.1111/j.1469-7610.2010.02212.x" TargetMode="External"/><Relationship Id="rId56" Type="http://schemas.openxmlformats.org/officeDocument/2006/relationships/hyperlink" Target="https://doi.org/10.1002/eat.20625" TargetMode="External"/><Relationship Id="rId64"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hyperlink" Target="https://doi.org/10.1002/eat.22559" TargetMode="External"/><Relationship Id="rId3" Type="http://schemas.openxmlformats.org/officeDocument/2006/relationships/numbering" Target="numbering.xml"/><Relationship Id="rId12" Type="http://schemas.openxmlformats.org/officeDocument/2006/relationships/hyperlink" Target="https://blog.digimind.com/es/agencias/tiktok-cifras-y-estadisticas-2020" TargetMode="External"/><Relationship Id="rId17" Type="http://schemas.openxmlformats.org/officeDocument/2006/relationships/hyperlink" Target="https://doi.org/10.1016/j.bodyim.2015.06.003" TargetMode="External"/><Relationship Id="rId25" Type="http://schemas.openxmlformats.org/officeDocument/2006/relationships/hyperlink" Target="https://doi.org/10.1016/j.copsyc.2015.09.005" TargetMode="External"/><Relationship Id="rId33" Type="http://schemas.openxmlformats.org/officeDocument/2006/relationships/hyperlink" Target="https://doi.org/10.1123/ssj.12.4.424" TargetMode="External"/><Relationship Id="rId38" Type="http://schemas.openxmlformats.org/officeDocument/2006/relationships/hyperlink" Target="https://doi.org/10.1016/j.chb.2018.01.039" TargetMode="External"/><Relationship Id="rId46" Type="http://schemas.openxmlformats.org/officeDocument/2006/relationships/hyperlink" Target="https://doi.org/10.1111/obr.12445" TargetMode="External"/><Relationship Id="rId59" Type="http://schemas.openxmlformats.org/officeDocument/2006/relationships/hyperlink" Target="https://doi.org/10.1007/s40519-017-0364-2" TargetMode="External"/><Relationship Id="rId20" Type="http://schemas.openxmlformats.org/officeDocument/2006/relationships/hyperlink" Target="https://doi.org/10.1016/j.bodyim.2017.10.002" TargetMode="External"/><Relationship Id="rId41" Type="http://schemas.openxmlformats.org/officeDocument/2006/relationships/hyperlink" Target="https://doi.org/10.1002/erv.2666" TargetMode="External"/><Relationship Id="rId54" Type="http://schemas.openxmlformats.org/officeDocument/2006/relationships/hyperlink" Target="https://thesocialmediafamily.com/estadisticas-uso-instagram/" TargetMode="External"/><Relationship Id="rId62" Type="http://schemas.openxmlformats.org/officeDocument/2006/relationships/header" Target="header2.xml"/><Relationship Id="rId1" Type="http://schemas.openxmlformats.org/officeDocument/2006/relationships/customXml" Target="../customXml/item1.xml"/><Relationship Id="rId6" Type="http://schemas.openxmlformats.org/officeDocument/2006/relationships/webSettings" Target="webSettings.xml"/><Relationship Id="rId15" Type="http://schemas.openxmlformats.org/officeDocument/2006/relationships/hyperlink" Target="https://link.springer.com/journal/40519" TargetMode="External"/><Relationship Id="rId23" Type="http://schemas.openxmlformats.org/officeDocument/2006/relationships/hyperlink" Target="https://doi.org/10.1080/03630242.2016.1159268" TargetMode="External"/><Relationship Id="rId28" Type="http://schemas.openxmlformats.org/officeDocument/2006/relationships/hyperlink" Target="https://doi.org/10.1002/eat.22559" TargetMode="External"/><Relationship Id="rId36" Type="http://schemas.openxmlformats.org/officeDocument/2006/relationships/hyperlink" Target="https://doi.org/10.1007/s11199-014-0384-6" TargetMode="External"/><Relationship Id="rId49" Type="http://schemas.openxmlformats.org/officeDocument/2006/relationships/hyperlink" Target="https://doi.org/10.1002/eat.20625" TargetMode="External"/><Relationship Id="rId57" Type="http://schemas.openxmlformats.org/officeDocument/2006/relationships/hyperlink" Target="https://doi.org/10.1016/j.bodyim.2015.06.003" TargetMode="External"/><Relationship Id="rId10" Type="http://schemas.openxmlformats.org/officeDocument/2006/relationships/image" Target="media/image2.jpg"/><Relationship Id="rId31" Type="http://schemas.openxmlformats.org/officeDocument/2006/relationships/hyperlink" Target="https://doi.org/10.1080/10410236.2014.921270" TargetMode="External"/><Relationship Id="rId44" Type="http://schemas.openxmlformats.org/officeDocument/2006/relationships/hyperlink" Target="https://doi.org/10.1002/eat.22740" TargetMode="External"/><Relationship Id="rId52" Type="http://schemas.openxmlformats.org/officeDocument/2006/relationships/hyperlink" Target="https://doi.org/10.1002/eat.22559" TargetMode="External"/><Relationship Id="rId60" Type="http://schemas.openxmlformats.org/officeDocument/2006/relationships/hyperlink" Target="https://wearesocial.com/es/blog/2022/01/digital-2022/" TargetMode="External"/><Relationship Id="rId4" Type="http://schemas.openxmlformats.org/officeDocument/2006/relationships/styles" Target="styles.xml"/><Relationship Id="rId9"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JJgAphWVWzzqRhjz7+gwC/36Vwg==">CgMxLjAyCWlkLmdqZGd4czgAciExeWZoMEhhdnNNaXhwRlduUmFGc0ljazlYTU9rSHVnT0Q=</go:docsCustomData>
</go:gDocsCustomXmlDataStorage>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customXml/itemProps2.xml><?xml version="1.0" encoding="utf-8"?>
<ds:datastoreItem xmlns:ds="http://schemas.openxmlformats.org/officeDocument/2006/customXml" ds:itemID="{67B9EF26-14A5-0B42-8694-1CB2325E61B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85</TotalTime>
  <Pages>49</Pages>
  <Words>12611</Words>
  <Characters>69364</Characters>
  <Application>Microsoft Office Word</Application>
  <DocSecurity>0</DocSecurity>
  <Lines>578</Lines>
  <Paragraphs>163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81812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Claudia Barquero Schmäing</dc:creator>
  <cp:lastModifiedBy>Claudia Barquero Schmäing</cp:lastModifiedBy>
  <cp:revision>5</cp:revision>
  <dcterms:created xsi:type="dcterms:W3CDTF">2023-05-24T14:08:00Z</dcterms:created>
  <dcterms:modified xsi:type="dcterms:W3CDTF">2023-05-24T16:33:00Z</dcterms:modified>
</cp:coreProperties>
</file>