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29556" w14:textId="77777777" w:rsidR="003C2825" w:rsidRDefault="003C2825" w:rsidP="003C2825">
      <w:pPr>
        <w:pStyle w:val="Textoindependiente"/>
        <w:ind w:left="1923"/>
        <w:rPr>
          <w:rFonts w:ascii="Times New Roman"/>
          <w:sz w:val="20"/>
        </w:rPr>
      </w:pPr>
      <w:r>
        <w:rPr>
          <w:rFonts w:ascii="Times New Roman"/>
          <w:noProof/>
          <w:sz w:val="20"/>
        </w:rPr>
        <w:drawing>
          <wp:inline distT="0" distB="0" distL="0" distR="0" wp14:anchorId="38848350" wp14:editId="4EAE551A">
            <wp:extent cx="3116060" cy="819340"/>
            <wp:effectExtent l="0" t="0" r="0" b="0"/>
            <wp:docPr id="1" name="image1.jpeg"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Dibujo con letras blancas&#10;&#10;Descripción generada automáticamente con confianza media"/>
                    <pic:cNvPicPr/>
                  </pic:nvPicPr>
                  <pic:blipFill>
                    <a:blip r:embed="rId8" cstate="print"/>
                    <a:stretch>
                      <a:fillRect/>
                    </a:stretch>
                  </pic:blipFill>
                  <pic:spPr>
                    <a:xfrm>
                      <a:off x="0" y="0"/>
                      <a:ext cx="3116060" cy="819340"/>
                    </a:xfrm>
                    <a:prstGeom prst="rect">
                      <a:avLst/>
                    </a:prstGeom>
                  </pic:spPr>
                </pic:pic>
              </a:graphicData>
            </a:graphic>
          </wp:inline>
        </w:drawing>
      </w:r>
    </w:p>
    <w:p w14:paraId="1027E820" w14:textId="77777777" w:rsidR="003C2825" w:rsidRDefault="003C2825" w:rsidP="003C2825">
      <w:pPr>
        <w:pStyle w:val="Textoindependiente"/>
        <w:rPr>
          <w:rFonts w:ascii="Times New Roman"/>
          <w:sz w:val="20"/>
        </w:rPr>
      </w:pPr>
    </w:p>
    <w:p w14:paraId="6600CBF8" w14:textId="77777777" w:rsidR="003C2825" w:rsidRDefault="003C2825" w:rsidP="003C2825">
      <w:pPr>
        <w:pStyle w:val="Textoindependiente"/>
        <w:rPr>
          <w:rFonts w:ascii="Times New Roman"/>
          <w:sz w:val="20"/>
        </w:rPr>
      </w:pPr>
    </w:p>
    <w:p w14:paraId="479DD9B6" w14:textId="77777777" w:rsidR="003C2825" w:rsidRDefault="003C2825" w:rsidP="003C2825">
      <w:pPr>
        <w:pStyle w:val="Textoindependiente"/>
        <w:rPr>
          <w:rFonts w:ascii="Times New Roman"/>
          <w:sz w:val="20"/>
        </w:rPr>
      </w:pPr>
    </w:p>
    <w:p w14:paraId="0DB5F52F" w14:textId="77777777" w:rsidR="003C2825" w:rsidRDefault="003C2825" w:rsidP="003C2825">
      <w:pPr>
        <w:pStyle w:val="Textoindependiente"/>
        <w:rPr>
          <w:rFonts w:ascii="Times New Roman"/>
          <w:sz w:val="20"/>
        </w:rPr>
      </w:pPr>
    </w:p>
    <w:p w14:paraId="188BCC4A" w14:textId="77777777" w:rsidR="003C2825" w:rsidRDefault="003C2825" w:rsidP="003C2825">
      <w:pPr>
        <w:pStyle w:val="Textoindependiente"/>
        <w:spacing w:before="6"/>
        <w:rPr>
          <w:rFonts w:ascii="Times New Roman"/>
          <w:sz w:val="28"/>
        </w:rPr>
      </w:pPr>
    </w:p>
    <w:p w14:paraId="4628FFE9" w14:textId="77777777" w:rsidR="003C2825" w:rsidRPr="003C2825" w:rsidRDefault="003C2825" w:rsidP="003C2825">
      <w:pPr>
        <w:spacing w:before="92" w:line="275" w:lineRule="exact"/>
        <w:ind w:left="1370" w:right="1292"/>
        <w:jc w:val="center"/>
        <w:rPr>
          <w:rFonts w:asciiTheme="majorBidi" w:hAnsiTheme="majorBidi" w:cstheme="majorBidi"/>
          <w:sz w:val="24"/>
        </w:rPr>
      </w:pPr>
      <w:r w:rsidRPr="003C2825">
        <w:rPr>
          <w:rFonts w:asciiTheme="majorBidi" w:hAnsiTheme="majorBidi" w:cstheme="majorBidi"/>
          <w:sz w:val="24"/>
        </w:rPr>
        <w:t>Facultad de Ciencias Humanas y Sociales</w:t>
      </w:r>
    </w:p>
    <w:p w14:paraId="2DEE5CFF" w14:textId="77777777" w:rsidR="003C2825" w:rsidRPr="003C2825" w:rsidRDefault="003C2825" w:rsidP="003C2825">
      <w:pPr>
        <w:pStyle w:val="Textoindependiente"/>
        <w:spacing w:line="413" w:lineRule="exact"/>
        <w:ind w:left="1370" w:right="1295"/>
        <w:jc w:val="center"/>
        <w:rPr>
          <w:rFonts w:asciiTheme="majorBidi" w:hAnsiTheme="majorBidi" w:cstheme="majorBidi"/>
        </w:rPr>
      </w:pPr>
      <w:r w:rsidRPr="003C2825">
        <w:rPr>
          <w:rFonts w:asciiTheme="majorBidi" w:hAnsiTheme="majorBidi" w:cstheme="majorBidi"/>
        </w:rPr>
        <w:t>Grado en Relaciones Internacionales</w:t>
      </w:r>
    </w:p>
    <w:p w14:paraId="2C7263D3" w14:textId="77777777" w:rsidR="003C2825" w:rsidRPr="003C2825" w:rsidRDefault="003C2825" w:rsidP="003C2825">
      <w:pPr>
        <w:pStyle w:val="Textoindependiente"/>
        <w:rPr>
          <w:rFonts w:asciiTheme="majorBidi" w:hAnsiTheme="majorBidi" w:cstheme="majorBidi"/>
          <w:sz w:val="40"/>
        </w:rPr>
      </w:pPr>
    </w:p>
    <w:p w14:paraId="3B6C708A" w14:textId="77777777" w:rsidR="003C2825" w:rsidRPr="003C2825" w:rsidRDefault="003C2825" w:rsidP="003C2825">
      <w:pPr>
        <w:pStyle w:val="Textoindependiente"/>
        <w:rPr>
          <w:rFonts w:asciiTheme="majorBidi" w:hAnsiTheme="majorBidi" w:cstheme="majorBidi"/>
          <w:sz w:val="40"/>
        </w:rPr>
      </w:pPr>
    </w:p>
    <w:p w14:paraId="4A2644A2" w14:textId="77777777" w:rsidR="003C2825" w:rsidRPr="003C2825" w:rsidRDefault="003C2825" w:rsidP="003C2825">
      <w:pPr>
        <w:pStyle w:val="Textoindependiente"/>
        <w:spacing w:before="7"/>
        <w:rPr>
          <w:rFonts w:asciiTheme="majorBidi" w:hAnsiTheme="majorBidi" w:cstheme="majorBidi"/>
          <w:sz w:val="49"/>
        </w:rPr>
      </w:pPr>
    </w:p>
    <w:p w14:paraId="3923E746" w14:textId="47F43638" w:rsidR="003C2825" w:rsidRPr="003C2825" w:rsidRDefault="003C2825" w:rsidP="003C2825">
      <w:pPr>
        <w:ind w:left="1370" w:right="1292"/>
        <w:jc w:val="center"/>
        <w:rPr>
          <w:rFonts w:asciiTheme="majorBidi" w:hAnsiTheme="majorBidi" w:cstheme="majorBidi"/>
          <w:sz w:val="48"/>
        </w:rPr>
      </w:pPr>
      <w:r w:rsidRPr="003C2825">
        <w:rPr>
          <w:rFonts w:asciiTheme="majorBidi" w:hAnsiTheme="majorBidi" w:cstheme="majorBidi"/>
          <w:sz w:val="48"/>
        </w:rPr>
        <w:t xml:space="preserve">Trabajo </w:t>
      </w:r>
      <w:r>
        <w:rPr>
          <w:rFonts w:asciiTheme="majorBidi" w:hAnsiTheme="majorBidi" w:cstheme="majorBidi"/>
          <w:sz w:val="48"/>
        </w:rPr>
        <w:t xml:space="preserve">de </w:t>
      </w:r>
      <w:r w:rsidRPr="003C2825">
        <w:rPr>
          <w:rFonts w:asciiTheme="majorBidi" w:hAnsiTheme="majorBidi" w:cstheme="majorBidi"/>
          <w:sz w:val="48"/>
        </w:rPr>
        <w:t>Fin de Grado</w:t>
      </w:r>
    </w:p>
    <w:p w14:paraId="316C3BE7" w14:textId="77777777" w:rsidR="003C2825" w:rsidRPr="003C2825" w:rsidRDefault="003C2825" w:rsidP="003C2825">
      <w:pPr>
        <w:pStyle w:val="Textoindependiente"/>
        <w:rPr>
          <w:rFonts w:asciiTheme="majorBidi" w:hAnsiTheme="majorBidi" w:cstheme="majorBidi"/>
          <w:sz w:val="54"/>
        </w:rPr>
      </w:pPr>
    </w:p>
    <w:p w14:paraId="3DDB5D58" w14:textId="00342EC4" w:rsidR="003C2825" w:rsidRPr="00657A28" w:rsidRDefault="00657A28" w:rsidP="00B809BA">
      <w:pPr>
        <w:pStyle w:val="Textoindependiente"/>
        <w:spacing w:before="119"/>
        <w:ind w:left="284" w:right="408"/>
        <w:jc w:val="center"/>
        <w:rPr>
          <w:rFonts w:asciiTheme="majorBidi" w:hAnsiTheme="majorBidi" w:cstheme="majorBidi"/>
          <w:sz w:val="48"/>
          <w:szCs w:val="48"/>
        </w:rPr>
      </w:pPr>
      <w:bookmarkStart w:id="0" w:name="_Hlk137461940"/>
      <w:r w:rsidRPr="00657A28">
        <w:rPr>
          <w:rFonts w:asciiTheme="majorBidi" w:hAnsiTheme="majorBidi" w:cstheme="majorBidi"/>
          <w:sz w:val="48"/>
          <w:szCs w:val="48"/>
        </w:rPr>
        <w:t>CONSECUENCIAS DE LA GUERRA DE UCRANIA SOBRE EL COMERCIO INTERNACIONAL DE MAÍZ Y TRIGO</w:t>
      </w:r>
      <w:r w:rsidR="00F44F08" w:rsidRPr="00657A28">
        <w:rPr>
          <w:rFonts w:asciiTheme="majorBidi" w:hAnsiTheme="majorBidi" w:cstheme="majorBidi"/>
          <w:sz w:val="48"/>
          <w:szCs w:val="48"/>
        </w:rPr>
        <w:t>.</w:t>
      </w:r>
      <w:r w:rsidR="00D61EA4" w:rsidRPr="00657A28">
        <w:rPr>
          <w:rFonts w:asciiTheme="majorBidi" w:hAnsiTheme="majorBidi" w:cstheme="majorBidi"/>
          <w:sz w:val="48"/>
          <w:szCs w:val="48"/>
        </w:rPr>
        <w:t xml:space="preserve"> </w:t>
      </w:r>
    </w:p>
    <w:p w14:paraId="3818A9AB" w14:textId="4995D9F3" w:rsidR="003C2825" w:rsidRPr="003C2825" w:rsidRDefault="00F44F08" w:rsidP="007B13B4">
      <w:pPr>
        <w:pStyle w:val="Textoindependiente"/>
        <w:spacing w:before="240"/>
        <w:jc w:val="center"/>
        <w:rPr>
          <w:rFonts w:asciiTheme="majorBidi" w:hAnsiTheme="majorBidi" w:cstheme="majorBidi"/>
          <w:sz w:val="40"/>
        </w:rPr>
      </w:pPr>
      <w:r w:rsidRPr="00F44F08">
        <w:rPr>
          <w:rFonts w:asciiTheme="majorBidi" w:hAnsiTheme="majorBidi" w:cstheme="majorBidi"/>
        </w:rPr>
        <w:t xml:space="preserve">Efectos </w:t>
      </w:r>
      <w:r w:rsidR="0081389C">
        <w:rPr>
          <w:rFonts w:asciiTheme="majorBidi" w:hAnsiTheme="majorBidi" w:cstheme="majorBidi"/>
        </w:rPr>
        <w:t xml:space="preserve">del conflicto </w:t>
      </w:r>
      <w:r w:rsidR="00657A28">
        <w:rPr>
          <w:rFonts w:asciiTheme="majorBidi" w:hAnsiTheme="majorBidi" w:cstheme="majorBidi"/>
        </w:rPr>
        <w:t xml:space="preserve">en la producción y exportación </w:t>
      </w:r>
      <w:r w:rsidR="00023A6E">
        <w:rPr>
          <w:rFonts w:asciiTheme="majorBidi" w:hAnsiTheme="majorBidi" w:cstheme="majorBidi"/>
        </w:rPr>
        <w:t xml:space="preserve">de los mismos </w:t>
      </w:r>
      <w:r w:rsidR="00657A28">
        <w:rPr>
          <w:rFonts w:asciiTheme="majorBidi" w:hAnsiTheme="majorBidi" w:cstheme="majorBidi"/>
        </w:rPr>
        <w:t>desde Rusia y Ucrania</w:t>
      </w:r>
      <w:r w:rsidR="0081389C">
        <w:rPr>
          <w:rFonts w:asciiTheme="majorBidi" w:hAnsiTheme="majorBidi" w:cstheme="majorBidi"/>
        </w:rPr>
        <w:t xml:space="preserve"> durante 2022</w:t>
      </w:r>
      <w:r w:rsidR="00452CB2">
        <w:rPr>
          <w:rFonts w:asciiTheme="majorBidi" w:hAnsiTheme="majorBidi" w:cstheme="majorBidi"/>
        </w:rPr>
        <w:t>.</w:t>
      </w:r>
    </w:p>
    <w:bookmarkEnd w:id="0"/>
    <w:p w14:paraId="2531C3D7" w14:textId="77777777" w:rsidR="003C2825" w:rsidRPr="003C2825" w:rsidRDefault="003C2825" w:rsidP="003C2825">
      <w:pPr>
        <w:pStyle w:val="Textoindependiente"/>
        <w:rPr>
          <w:rFonts w:asciiTheme="majorBidi" w:hAnsiTheme="majorBidi" w:cstheme="majorBidi"/>
          <w:sz w:val="40"/>
        </w:rPr>
      </w:pPr>
    </w:p>
    <w:p w14:paraId="0132C3DC" w14:textId="77777777" w:rsidR="003C2825" w:rsidRPr="003C2825" w:rsidRDefault="003C2825" w:rsidP="003C2825">
      <w:pPr>
        <w:pStyle w:val="Textoindependiente"/>
        <w:rPr>
          <w:rFonts w:asciiTheme="majorBidi" w:hAnsiTheme="majorBidi" w:cstheme="majorBidi"/>
          <w:sz w:val="40"/>
        </w:rPr>
      </w:pPr>
    </w:p>
    <w:p w14:paraId="13907D9B" w14:textId="77777777" w:rsidR="003C2825" w:rsidRPr="003C2825" w:rsidRDefault="003C2825" w:rsidP="003C2825">
      <w:pPr>
        <w:pStyle w:val="Textoindependiente"/>
        <w:spacing w:before="9"/>
        <w:rPr>
          <w:rFonts w:asciiTheme="majorBidi" w:hAnsiTheme="majorBidi" w:cstheme="majorBidi"/>
          <w:sz w:val="46"/>
        </w:rPr>
      </w:pPr>
    </w:p>
    <w:p w14:paraId="190FCF76" w14:textId="752254EE" w:rsidR="003C2825" w:rsidRPr="003C2825" w:rsidRDefault="003C2825" w:rsidP="003C2825">
      <w:pPr>
        <w:ind w:left="102"/>
        <w:rPr>
          <w:rFonts w:asciiTheme="majorBidi" w:hAnsiTheme="majorBidi" w:cstheme="majorBidi"/>
          <w:b/>
          <w:sz w:val="28"/>
          <w:szCs w:val="28"/>
        </w:rPr>
      </w:pPr>
      <w:r w:rsidRPr="003C2825">
        <w:rPr>
          <w:rFonts w:asciiTheme="majorBidi" w:hAnsiTheme="majorBidi" w:cstheme="majorBidi"/>
          <w:sz w:val="28"/>
          <w:szCs w:val="28"/>
        </w:rPr>
        <w:t>Estudiante: Inés Valderrama Flores</w:t>
      </w:r>
    </w:p>
    <w:p w14:paraId="41ECF28C" w14:textId="412113D7" w:rsidR="003C2825" w:rsidRPr="003C2825" w:rsidRDefault="003C2825" w:rsidP="003C2825">
      <w:pPr>
        <w:tabs>
          <w:tab w:val="left" w:pos="1517"/>
        </w:tabs>
        <w:ind w:left="102"/>
        <w:rPr>
          <w:rFonts w:asciiTheme="majorBidi" w:hAnsiTheme="majorBidi" w:cstheme="majorBidi"/>
          <w:sz w:val="28"/>
        </w:rPr>
      </w:pPr>
      <w:r w:rsidRPr="003C2825">
        <w:rPr>
          <w:rFonts w:asciiTheme="majorBidi" w:hAnsiTheme="majorBidi" w:cstheme="majorBidi"/>
          <w:sz w:val="28"/>
        </w:rPr>
        <w:t>Director: Eszter Wirth</w:t>
      </w:r>
    </w:p>
    <w:p w14:paraId="3B6CCCE6" w14:textId="77777777" w:rsidR="003C2825" w:rsidRPr="003C2825" w:rsidRDefault="003C2825" w:rsidP="003C2825">
      <w:pPr>
        <w:pStyle w:val="Textoindependiente"/>
        <w:rPr>
          <w:rFonts w:asciiTheme="majorBidi" w:hAnsiTheme="majorBidi" w:cstheme="majorBidi"/>
          <w:sz w:val="30"/>
        </w:rPr>
      </w:pPr>
    </w:p>
    <w:p w14:paraId="57FD6646" w14:textId="77777777" w:rsidR="003C2825" w:rsidRPr="003C2825" w:rsidRDefault="003C2825" w:rsidP="003C2825">
      <w:pPr>
        <w:pStyle w:val="Textoindependiente"/>
        <w:rPr>
          <w:rFonts w:asciiTheme="majorBidi" w:hAnsiTheme="majorBidi" w:cstheme="majorBidi"/>
          <w:sz w:val="30"/>
        </w:rPr>
      </w:pPr>
    </w:p>
    <w:p w14:paraId="2F4979A7" w14:textId="77777777" w:rsidR="003C2825" w:rsidRPr="003C2825" w:rsidRDefault="003C2825" w:rsidP="003C2825">
      <w:pPr>
        <w:pStyle w:val="Textoindependiente"/>
        <w:spacing w:before="2"/>
        <w:rPr>
          <w:rFonts w:asciiTheme="majorBidi" w:hAnsiTheme="majorBidi" w:cstheme="majorBidi"/>
          <w:sz w:val="34"/>
        </w:rPr>
      </w:pPr>
    </w:p>
    <w:p w14:paraId="30CCB690" w14:textId="77777777" w:rsidR="003C2825" w:rsidRDefault="003C2825" w:rsidP="003C2825">
      <w:pPr>
        <w:ind w:left="1370" w:right="1286"/>
        <w:jc w:val="center"/>
        <w:rPr>
          <w:rFonts w:asciiTheme="majorBidi" w:hAnsiTheme="majorBidi" w:cstheme="majorBidi"/>
          <w:sz w:val="32"/>
        </w:rPr>
      </w:pPr>
      <w:r w:rsidRPr="003C2825">
        <w:rPr>
          <w:rFonts w:asciiTheme="majorBidi" w:hAnsiTheme="majorBidi" w:cstheme="majorBidi"/>
          <w:sz w:val="32"/>
        </w:rPr>
        <w:t>Madrid, junio de 2023</w:t>
      </w:r>
    </w:p>
    <w:p w14:paraId="00A7D598" w14:textId="77777777" w:rsidR="00D37C5A" w:rsidRPr="0007519E" w:rsidRDefault="00D37C5A" w:rsidP="006D79BC">
      <w:pPr>
        <w:spacing w:after="0" w:line="348" w:lineRule="auto"/>
        <w:rPr>
          <w:rFonts w:asciiTheme="majorBidi" w:hAnsiTheme="majorBidi" w:cstheme="majorBidi"/>
          <w:b/>
          <w:bCs/>
          <w:sz w:val="24"/>
          <w:szCs w:val="24"/>
        </w:rPr>
      </w:pPr>
      <w:r w:rsidRPr="0007519E">
        <w:rPr>
          <w:rFonts w:asciiTheme="majorBidi" w:hAnsiTheme="majorBidi" w:cstheme="majorBidi"/>
          <w:b/>
          <w:bCs/>
          <w:sz w:val="24"/>
          <w:szCs w:val="24"/>
        </w:rPr>
        <w:lastRenderedPageBreak/>
        <w:t>Resumen</w:t>
      </w:r>
    </w:p>
    <w:p w14:paraId="099A573A" w14:textId="23BC743F" w:rsidR="0007519E" w:rsidRDefault="002F1772" w:rsidP="006D79BC">
      <w:pPr>
        <w:spacing w:line="348" w:lineRule="auto"/>
        <w:ind w:firstLine="709"/>
        <w:jc w:val="both"/>
        <w:rPr>
          <w:rFonts w:asciiTheme="majorBidi" w:hAnsiTheme="majorBidi" w:cstheme="majorBidi"/>
          <w:sz w:val="24"/>
          <w:szCs w:val="24"/>
        </w:rPr>
      </w:pPr>
      <w:r>
        <w:rPr>
          <w:rFonts w:asciiTheme="majorBidi" w:hAnsiTheme="majorBidi" w:cstheme="majorBidi"/>
          <w:sz w:val="24"/>
          <w:szCs w:val="24"/>
        </w:rPr>
        <w:t>L</w:t>
      </w:r>
      <w:r w:rsidR="0007519E">
        <w:rPr>
          <w:rFonts w:asciiTheme="majorBidi" w:hAnsiTheme="majorBidi" w:cstheme="majorBidi"/>
          <w:sz w:val="24"/>
          <w:szCs w:val="24"/>
        </w:rPr>
        <w:t xml:space="preserve">a guerra de Ucrania de febrero de 2022 se presenta como particularmente disruptiva de la economía global y el comercio internacional: </w:t>
      </w:r>
      <w:r w:rsidR="00856A59">
        <w:rPr>
          <w:rFonts w:asciiTheme="majorBidi" w:hAnsiTheme="majorBidi" w:cstheme="majorBidi"/>
          <w:sz w:val="24"/>
          <w:szCs w:val="24"/>
        </w:rPr>
        <w:t>llega</w:t>
      </w:r>
      <w:r w:rsidR="0007519E">
        <w:rPr>
          <w:rFonts w:asciiTheme="majorBidi" w:hAnsiTheme="majorBidi" w:cstheme="majorBidi"/>
          <w:sz w:val="24"/>
          <w:szCs w:val="24"/>
        </w:rPr>
        <w:t xml:space="preserve"> tras el COVID-19 y tendrá como escenario el punto de partida de importantes cadenas de suministro de productos básicos como el maíz y el trigo, de los que Rusia y Ucrania son potencias productoras y exportadoras. </w:t>
      </w:r>
      <w:r w:rsidR="0007519E">
        <w:rPr>
          <w:rFonts w:asciiTheme="majorBidi" w:hAnsiTheme="majorBidi" w:cstheme="majorBidi"/>
          <w:sz w:val="24"/>
          <w:szCs w:val="24"/>
        </w:rPr>
        <w:t>Tras presentar</w:t>
      </w:r>
      <w:r w:rsidR="0007519E">
        <w:rPr>
          <w:rFonts w:asciiTheme="majorBidi" w:hAnsiTheme="majorBidi" w:cstheme="majorBidi"/>
          <w:sz w:val="24"/>
          <w:szCs w:val="24"/>
        </w:rPr>
        <w:t xml:space="preserve"> una serie de conceptos de especial relevancia en la materia </w:t>
      </w:r>
      <w:r w:rsidR="0007519E">
        <w:rPr>
          <w:rFonts w:asciiTheme="majorBidi" w:hAnsiTheme="majorBidi" w:cstheme="majorBidi"/>
          <w:sz w:val="24"/>
          <w:szCs w:val="24"/>
        </w:rPr>
        <w:t>y comprender</w:t>
      </w:r>
      <w:r w:rsidR="0007519E">
        <w:rPr>
          <w:rFonts w:asciiTheme="majorBidi" w:hAnsiTheme="majorBidi" w:cstheme="majorBidi"/>
          <w:sz w:val="24"/>
          <w:szCs w:val="24"/>
        </w:rPr>
        <w:t xml:space="preserve"> varias teorías de comercio internacional de aplicaci</w:t>
      </w:r>
      <w:r w:rsidR="0007519E">
        <w:rPr>
          <w:rFonts w:asciiTheme="majorBidi" w:hAnsiTheme="majorBidi" w:cstheme="majorBidi"/>
          <w:sz w:val="24"/>
          <w:szCs w:val="24"/>
        </w:rPr>
        <w:t>ón, e</w:t>
      </w:r>
      <w:r w:rsidR="0007519E">
        <w:rPr>
          <w:rFonts w:asciiTheme="majorBidi" w:hAnsiTheme="majorBidi" w:cstheme="majorBidi"/>
          <w:sz w:val="24"/>
          <w:szCs w:val="24"/>
        </w:rPr>
        <w:t xml:space="preserve">l siguiente trabajo pretende estudiar los efectos de dicho conflicto sobre las cadenas de suministro alimentarias a nivel mundial, analizando los efectos que </w:t>
      </w:r>
      <w:r w:rsidR="0007519E">
        <w:rPr>
          <w:rFonts w:asciiTheme="majorBidi" w:hAnsiTheme="majorBidi" w:cstheme="majorBidi"/>
          <w:sz w:val="24"/>
          <w:szCs w:val="24"/>
        </w:rPr>
        <w:t>esta</w:t>
      </w:r>
      <w:r w:rsidR="0007519E">
        <w:rPr>
          <w:rFonts w:asciiTheme="majorBidi" w:hAnsiTheme="majorBidi" w:cstheme="majorBidi"/>
          <w:sz w:val="24"/>
          <w:szCs w:val="24"/>
        </w:rPr>
        <w:t xml:space="preserve"> guerra haya podido tener durante 2022 en los volúmenes de cereal producidos y exportados por Rusia y Ucrania. </w:t>
      </w:r>
      <w:r w:rsidR="00377E73">
        <w:rPr>
          <w:rFonts w:asciiTheme="majorBidi" w:hAnsiTheme="majorBidi" w:cstheme="majorBidi"/>
          <w:sz w:val="24"/>
          <w:szCs w:val="24"/>
        </w:rPr>
        <w:t>S</w:t>
      </w:r>
      <w:r w:rsidR="0007519E">
        <w:rPr>
          <w:rFonts w:asciiTheme="majorBidi" w:hAnsiTheme="majorBidi" w:cstheme="majorBidi"/>
          <w:sz w:val="24"/>
          <w:szCs w:val="24"/>
        </w:rPr>
        <w:t>e lleva a cabo una revisión tanto de literatura y como de bases de datos</w:t>
      </w:r>
      <w:r w:rsidR="0007519E">
        <w:rPr>
          <w:rFonts w:asciiTheme="majorBidi" w:hAnsiTheme="majorBidi" w:cstheme="majorBidi"/>
          <w:sz w:val="24"/>
          <w:szCs w:val="24"/>
        </w:rPr>
        <w:t xml:space="preserve"> </w:t>
      </w:r>
      <w:r w:rsidR="0007519E">
        <w:rPr>
          <w:rFonts w:asciiTheme="majorBidi" w:hAnsiTheme="majorBidi" w:cstheme="majorBidi"/>
          <w:sz w:val="24"/>
          <w:szCs w:val="24"/>
        </w:rPr>
        <w:t xml:space="preserve">con el objetivo de caracterizar los escenarios de </w:t>
      </w:r>
      <w:r w:rsidR="004170F4">
        <w:rPr>
          <w:rFonts w:asciiTheme="majorBidi" w:hAnsiTheme="majorBidi" w:cstheme="majorBidi"/>
          <w:sz w:val="24"/>
          <w:szCs w:val="24"/>
        </w:rPr>
        <w:t xml:space="preserve">cosecha </w:t>
      </w:r>
      <w:r w:rsidR="0007519E">
        <w:rPr>
          <w:rFonts w:asciiTheme="majorBidi" w:hAnsiTheme="majorBidi" w:cstheme="majorBidi"/>
          <w:sz w:val="24"/>
          <w:szCs w:val="24"/>
        </w:rPr>
        <w:t>y distribución logística de dichos productos</w:t>
      </w:r>
      <w:r w:rsidR="004170F4">
        <w:rPr>
          <w:rFonts w:asciiTheme="majorBidi" w:hAnsiTheme="majorBidi" w:cstheme="majorBidi"/>
          <w:sz w:val="24"/>
          <w:szCs w:val="24"/>
        </w:rPr>
        <w:t xml:space="preserve"> en un contexto de conflicto armado</w:t>
      </w:r>
      <w:r w:rsidR="0007519E">
        <w:rPr>
          <w:rFonts w:asciiTheme="majorBidi" w:hAnsiTheme="majorBidi" w:cstheme="majorBidi"/>
          <w:sz w:val="24"/>
          <w:szCs w:val="24"/>
        </w:rPr>
        <w:t>. Se analizará qué países son los más vulnerables a fallos en esta</w:t>
      </w:r>
      <w:r w:rsidR="00791CC8">
        <w:rPr>
          <w:rFonts w:asciiTheme="majorBidi" w:hAnsiTheme="majorBidi" w:cstheme="majorBidi"/>
          <w:sz w:val="24"/>
          <w:szCs w:val="24"/>
        </w:rPr>
        <w:t xml:space="preserve"> cadena</w:t>
      </w:r>
      <w:r w:rsidR="0007519E">
        <w:rPr>
          <w:rFonts w:asciiTheme="majorBidi" w:hAnsiTheme="majorBidi" w:cstheme="majorBidi"/>
          <w:sz w:val="24"/>
          <w:szCs w:val="24"/>
        </w:rPr>
        <w:t xml:space="preserve">, además del impacto que la Iniciativa de Granos del Mar Negro de julio de 2022 haya podido tener sobre el comercio internacional de maíz y trigo. </w:t>
      </w:r>
    </w:p>
    <w:p w14:paraId="77E2DFBD" w14:textId="77777777" w:rsidR="00D37C5A" w:rsidRPr="0007519E" w:rsidRDefault="00D37C5A" w:rsidP="006D79BC">
      <w:pPr>
        <w:spacing w:after="0" w:line="348" w:lineRule="auto"/>
        <w:rPr>
          <w:rFonts w:asciiTheme="majorBidi" w:hAnsiTheme="majorBidi" w:cstheme="majorBidi"/>
          <w:b/>
          <w:bCs/>
          <w:sz w:val="24"/>
          <w:szCs w:val="24"/>
          <w:lang w:val="en-US"/>
        </w:rPr>
      </w:pPr>
      <w:r w:rsidRPr="0007519E">
        <w:rPr>
          <w:rFonts w:asciiTheme="majorBidi" w:hAnsiTheme="majorBidi" w:cstheme="majorBidi"/>
          <w:b/>
          <w:bCs/>
          <w:sz w:val="24"/>
          <w:szCs w:val="24"/>
          <w:lang w:val="en-US"/>
        </w:rPr>
        <w:t>Palabras clave</w:t>
      </w:r>
    </w:p>
    <w:p w14:paraId="25937F97" w14:textId="6CBF9580" w:rsidR="004170F4" w:rsidRPr="00F23B12" w:rsidRDefault="00F23B12" w:rsidP="00657A28">
      <w:pPr>
        <w:spacing w:line="348" w:lineRule="auto"/>
        <w:jc w:val="both"/>
        <w:rPr>
          <w:rFonts w:asciiTheme="majorBidi" w:hAnsiTheme="majorBidi" w:cstheme="majorBidi"/>
          <w:sz w:val="24"/>
          <w:szCs w:val="24"/>
        </w:rPr>
      </w:pPr>
      <w:r w:rsidRPr="00F23B12">
        <w:rPr>
          <w:rFonts w:asciiTheme="majorBidi" w:hAnsiTheme="majorBidi" w:cstheme="majorBidi"/>
          <w:sz w:val="24"/>
          <w:szCs w:val="24"/>
        </w:rPr>
        <w:t xml:space="preserve">Guerra de Ucrania, </w:t>
      </w:r>
      <w:r>
        <w:rPr>
          <w:rFonts w:asciiTheme="majorBidi" w:hAnsiTheme="majorBidi" w:cstheme="majorBidi"/>
          <w:sz w:val="24"/>
          <w:szCs w:val="24"/>
        </w:rPr>
        <w:t xml:space="preserve">producción, exportación, </w:t>
      </w:r>
      <w:r w:rsidR="001A0D00">
        <w:rPr>
          <w:rFonts w:asciiTheme="majorBidi" w:hAnsiTheme="majorBidi" w:cstheme="majorBidi"/>
          <w:sz w:val="24"/>
          <w:szCs w:val="24"/>
        </w:rPr>
        <w:t xml:space="preserve">grano, comercio, </w:t>
      </w:r>
      <w:r w:rsidR="00657A28">
        <w:rPr>
          <w:rFonts w:asciiTheme="majorBidi" w:hAnsiTheme="majorBidi" w:cstheme="majorBidi"/>
          <w:sz w:val="24"/>
          <w:szCs w:val="24"/>
        </w:rPr>
        <w:t>seguridad alimentaria</w:t>
      </w:r>
      <w:r>
        <w:rPr>
          <w:rFonts w:asciiTheme="majorBidi" w:hAnsiTheme="majorBidi" w:cstheme="majorBidi"/>
          <w:sz w:val="24"/>
          <w:szCs w:val="24"/>
        </w:rPr>
        <w:t>.</w:t>
      </w:r>
    </w:p>
    <w:p w14:paraId="3DF7D23B" w14:textId="639350E6" w:rsidR="00D37C5A" w:rsidRPr="0007519E" w:rsidRDefault="00D37C5A" w:rsidP="006D79BC">
      <w:pPr>
        <w:spacing w:after="0" w:line="348" w:lineRule="auto"/>
        <w:rPr>
          <w:rFonts w:asciiTheme="majorBidi" w:hAnsiTheme="majorBidi" w:cstheme="majorBidi"/>
          <w:b/>
          <w:bCs/>
          <w:sz w:val="24"/>
          <w:szCs w:val="24"/>
          <w:lang w:val="en-US"/>
        </w:rPr>
      </w:pPr>
      <w:r w:rsidRPr="0007519E">
        <w:rPr>
          <w:rFonts w:asciiTheme="majorBidi" w:hAnsiTheme="majorBidi" w:cstheme="majorBidi"/>
          <w:b/>
          <w:bCs/>
          <w:sz w:val="24"/>
          <w:szCs w:val="24"/>
          <w:lang w:val="en-US"/>
        </w:rPr>
        <w:t>Abstract</w:t>
      </w:r>
    </w:p>
    <w:p w14:paraId="52B4728D" w14:textId="219D960E" w:rsidR="004170F4" w:rsidRPr="004170F4" w:rsidRDefault="004170F4" w:rsidP="006D79BC">
      <w:pPr>
        <w:spacing w:line="348" w:lineRule="auto"/>
        <w:ind w:firstLine="709"/>
        <w:jc w:val="both"/>
        <w:rPr>
          <w:rFonts w:asciiTheme="majorBidi" w:hAnsiTheme="majorBidi" w:cstheme="majorBidi"/>
          <w:sz w:val="24"/>
          <w:szCs w:val="24"/>
        </w:rPr>
      </w:pPr>
      <w:r w:rsidRPr="00856A59">
        <w:rPr>
          <w:rFonts w:asciiTheme="majorBidi" w:hAnsiTheme="majorBidi" w:cstheme="majorBidi"/>
          <w:sz w:val="24"/>
          <w:szCs w:val="24"/>
          <w:lang w:val="en-US"/>
        </w:rPr>
        <w:t>The war</w:t>
      </w:r>
      <w:r w:rsidRPr="00856A59">
        <w:rPr>
          <w:rFonts w:asciiTheme="majorBidi" w:hAnsiTheme="majorBidi" w:cstheme="majorBidi"/>
          <w:sz w:val="24"/>
          <w:szCs w:val="24"/>
          <w:lang w:val="en-US"/>
        </w:rPr>
        <w:t xml:space="preserve"> in </w:t>
      </w:r>
      <w:r w:rsidRPr="00856A59">
        <w:rPr>
          <w:rFonts w:asciiTheme="majorBidi" w:hAnsiTheme="majorBidi" w:cstheme="majorBidi"/>
          <w:sz w:val="24"/>
          <w:szCs w:val="24"/>
          <w:lang w:val="en-US"/>
        </w:rPr>
        <w:t>Ukrain</w:t>
      </w:r>
      <w:r w:rsidRPr="00856A59">
        <w:rPr>
          <w:rFonts w:asciiTheme="majorBidi" w:hAnsiTheme="majorBidi" w:cstheme="majorBidi"/>
          <w:sz w:val="24"/>
          <w:szCs w:val="24"/>
          <w:lang w:val="en-US"/>
        </w:rPr>
        <w:t>e</w:t>
      </w:r>
      <w:r w:rsidRPr="00856A59">
        <w:rPr>
          <w:rFonts w:asciiTheme="majorBidi" w:hAnsiTheme="majorBidi" w:cstheme="majorBidi"/>
          <w:sz w:val="24"/>
          <w:szCs w:val="24"/>
          <w:lang w:val="en-US"/>
        </w:rPr>
        <w:t xml:space="preserve"> of February 2022 </w:t>
      </w:r>
      <w:r w:rsidRPr="00856A59">
        <w:rPr>
          <w:rFonts w:asciiTheme="majorBidi" w:hAnsiTheme="majorBidi" w:cstheme="majorBidi"/>
          <w:sz w:val="24"/>
          <w:szCs w:val="24"/>
          <w:lang w:val="en-US"/>
        </w:rPr>
        <w:t>stands as</w:t>
      </w:r>
      <w:r w:rsidRPr="00856A59">
        <w:rPr>
          <w:rFonts w:asciiTheme="majorBidi" w:hAnsiTheme="majorBidi" w:cstheme="majorBidi"/>
          <w:sz w:val="24"/>
          <w:szCs w:val="24"/>
          <w:lang w:val="en-US"/>
        </w:rPr>
        <w:t xml:space="preserve"> particularly disruptive for the global economy and international trade: </w:t>
      </w:r>
      <w:r w:rsidR="00856A59" w:rsidRPr="00856A59">
        <w:rPr>
          <w:rFonts w:asciiTheme="majorBidi" w:hAnsiTheme="majorBidi" w:cstheme="majorBidi"/>
          <w:sz w:val="24"/>
          <w:szCs w:val="24"/>
          <w:lang w:val="en-US"/>
        </w:rPr>
        <w:t>ca</w:t>
      </w:r>
      <w:r w:rsidR="00856A59">
        <w:rPr>
          <w:rFonts w:asciiTheme="majorBidi" w:hAnsiTheme="majorBidi" w:cstheme="majorBidi"/>
          <w:sz w:val="24"/>
          <w:szCs w:val="24"/>
          <w:lang w:val="en-US"/>
        </w:rPr>
        <w:t>me</w:t>
      </w:r>
      <w:r w:rsidRPr="00856A59">
        <w:rPr>
          <w:rFonts w:asciiTheme="majorBidi" w:hAnsiTheme="majorBidi" w:cstheme="majorBidi"/>
          <w:sz w:val="24"/>
          <w:szCs w:val="24"/>
          <w:lang w:val="en-US"/>
        </w:rPr>
        <w:t xml:space="preserve"> COVID-19 and will take place at the starting point of important supply chains for commodities such as maize and wheat, of which Russia and Ukraine are major producers and exporters. </w:t>
      </w:r>
      <w:r w:rsidRPr="004170F4">
        <w:rPr>
          <w:rFonts w:asciiTheme="majorBidi" w:hAnsiTheme="majorBidi" w:cstheme="majorBidi"/>
          <w:sz w:val="24"/>
          <w:szCs w:val="24"/>
        </w:rPr>
        <w:t xml:space="preserve">After </w:t>
      </w:r>
      <w:proofErr w:type="spellStart"/>
      <w:r w:rsidRPr="004170F4">
        <w:rPr>
          <w:rFonts w:asciiTheme="majorBidi" w:hAnsiTheme="majorBidi" w:cstheme="majorBidi"/>
          <w:sz w:val="24"/>
          <w:szCs w:val="24"/>
        </w:rPr>
        <w:t>presenting</w:t>
      </w:r>
      <w:proofErr w:type="spellEnd"/>
      <w:r w:rsidRPr="004170F4">
        <w:rPr>
          <w:rFonts w:asciiTheme="majorBidi" w:hAnsiTheme="majorBidi" w:cstheme="majorBidi"/>
          <w:sz w:val="24"/>
          <w:szCs w:val="24"/>
        </w:rPr>
        <w:t xml:space="preserve"> a series of concepts of particular relevance in the field and understanding several applicable international trade theories, the following paper aims to study the effects of this conflict on global food supply chains, </w:t>
      </w:r>
      <w:proofErr w:type="spellStart"/>
      <w:r w:rsidRPr="004170F4">
        <w:rPr>
          <w:rFonts w:asciiTheme="majorBidi" w:hAnsiTheme="majorBidi" w:cstheme="majorBidi"/>
          <w:sz w:val="24"/>
          <w:szCs w:val="24"/>
        </w:rPr>
        <w:t>analysing</w:t>
      </w:r>
      <w:proofErr w:type="spellEnd"/>
      <w:r w:rsidRPr="004170F4">
        <w:rPr>
          <w:rFonts w:asciiTheme="majorBidi" w:hAnsiTheme="majorBidi" w:cstheme="majorBidi"/>
          <w:sz w:val="24"/>
          <w:szCs w:val="24"/>
        </w:rPr>
        <w:t xml:space="preserve"> the effects that this war may have had during 2022 on the volumes of cereal produced and exported by Russia and Ukraine. A review of both literature and databases is carried out in order to </w:t>
      </w:r>
      <w:proofErr w:type="spellStart"/>
      <w:r w:rsidRPr="004170F4">
        <w:rPr>
          <w:rFonts w:asciiTheme="majorBidi" w:hAnsiTheme="majorBidi" w:cstheme="majorBidi"/>
          <w:sz w:val="24"/>
          <w:szCs w:val="24"/>
        </w:rPr>
        <w:t>characterise</w:t>
      </w:r>
      <w:proofErr w:type="spellEnd"/>
      <w:r w:rsidRPr="004170F4">
        <w:rPr>
          <w:rFonts w:asciiTheme="majorBidi" w:hAnsiTheme="majorBidi" w:cstheme="majorBidi"/>
          <w:sz w:val="24"/>
          <w:szCs w:val="24"/>
        </w:rPr>
        <w:t xml:space="preserve"> the harvesting and logistical distribution scenarios of these products in a context of armed conflict. It will </w:t>
      </w:r>
      <w:proofErr w:type="spellStart"/>
      <w:r w:rsidRPr="004170F4">
        <w:rPr>
          <w:rFonts w:asciiTheme="majorBidi" w:hAnsiTheme="majorBidi" w:cstheme="majorBidi"/>
          <w:sz w:val="24"/>
          <w:szCs w:val="24"/>
        </w:rPr>
        <w:t>analyse</w:t>
      </w:r>
      <w:proofErr w:type="spellEnd"/>
      <w:r w:rsidRPr="004170F4">
        <w:rPr>
          <w:rFonts w:asciiTheme="majorBidi" w:hAnsiTheme="majorBidi" w:cstheme="majorBidi"/>
          <w:sz w:val="24"/>
          <w:szCs w:val="24"/>
        </w:rPr>
        <w:t xml:space="preserve"> which countries are most vulnerable to failures in this chain, as well as the impact that the Black Sea Grain Initiative of July 2022 may have had on international trade in maize and wheat.</w:t>
      </w:r>
    </w:p>
    <w:p w14:paraId="0E84DBF9" w14:textId="77777777" w:rsidR="00F23B12" w:rsidRDefault="00D37C5A" w:rsidP="006D79BC">
      <w:pPr>
        <w:spacing w:after="0" w:line="348" w:lineRule="auto"/>
        <w:rPr>
          <w:rFonts w:asciiTheme="majorBidi" w:hAnsiTheme="majorBidi" w:cstheme="majorBidi"/>
          <w:b/>
          <w:bCs/>
          <w:sz w:val="24"/>
          <w:szCs w:val="24"/>
          <w:lang w:val="en-US"/>
        </w:rPr>
      </w:pPr>
      <w:r w:rsidRPr="00377E73">
        <w:rPr>
          <w:rFonts w:asciiTheme="majorBidi" w:hAnsiTheme="majorBidi" w:cstheme="majorBidi"/>
          <w:b/>
          <w:bCs/>
          <w:sz w:val="24"/>
          <w:szCs w:val="24"/>
          <w:lang w:val="en-US"/>
        </w:rPr>
        <w:t>Keywords</w:t>
      </w:r>
    </w:p>
    <w:p w14:paraId="01671220" w14:textId="61CC1146" w:rsidR="00D37C5A" w:rsidRPr="0007519E" w:rsidRDefault="001A0D00" w:rsidP="00657A28">
      <w:pPr>
        <w:spacing w:line="348" w:lineRule="auto"/>
        <w:jc w:val="both"/>
        <w:rPr>
          <w:rFonts w:asciiTheme="majorBidi" w:hAnsiTheme="majorBidi" w:cstheme="majorBidi"/>
          <w:sz w:val="24"/>
          <w:szCs w:val="24"/>
          <w:lang w:val="en-US"/>
        </w:rPr>
      </w:pPr>
      <w:r>
        <w:rPr>
          <w:rFonts w:asciiTheme="majorBidi" w:hAnsiTheme="majorBidi" w:cstheme="majorBidi"/>
          <w:sz w:val="24"/>
          <w:szCs w:val="24"/>
          <w:lang w:val="en-US"/>
        </w:rPr>
        <w:t>W</w:t>
      </w:r>
      <w:r w:rsidRPr="001A0D00">
        <w:rPr>
          <w:rFonts w:asciiTheme="majorBidi" w:hAnsiTheme="majorBidi" w:cstheme="majorBidi"/>
          <w:sz w:val="24"/>
          <w:szCs w:val="24"/>
          <w:lang w:val="en-US"/>
        </w:rPr>
        <w:t>ar</w:t>
      </w:r>
      <w:r w:rsidRPr="001A0D00">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in </w:t>
      </w:r>
      <w:r w:rsidRPr="001A0D00">
        <w:rPr>
          <w:rFonts w:asciiTheme="majorBidi" w:hAnsiTheme="majorBidi" w:cstheme="majorBidi"/>
          <w:sz w:val="24"/>
          <w:szCs w:val="24"/>
          <w:lang w:val="en-US"/>
        </w:rPr>
        <w:t xml:space="preserve">Ukraine, production, export, grain, trade, </w:t>
      </w:r>
      <w:r w:rsidR="00657A28">
        <w:rPr>
          <w:rFonts w:asciiTheme="majorBidi" w:hAnsiTheme="majorBidi" w:cstheme="majorBidi"/>
          <w:sz w:val="24"/>
          <w:szCs w:val="24"/>
          <w:lang w:val="en-US"/>
        </w:rPr>
        <w:t>food security</w:t>
      </w:r>
      <w:r w:rsidRPr="001A0D00">
        <w:rPr>
          <w:rFonts w:asciiTheme="majorBidi" w:hAnsiTheme="majorBidi" w:cstheme="majorBidi"/>
          <w:sz w:val="24"/>
          <w:szCs w:val="24"/>
          <w:lang w:val="en-US"/>
        </w:rPr>
        <w:t>.</w:t>
      </w:r>
      <w:r w:rsidR="00D37C5A" w:rsidRPr="0007519E">
        <w:rPr>
          <w:rFonts w:asciiTheme="majorBidi" w:hAnsiTheme="majorBidi" w:cstheme="majorBidi"/>
          <w:sz w:val="24"/>
          <w:szCs w:val="24"/>
          <w:lang w:val="en-US"/>
        </w:rPr>
        <w:br w:type="page"/>
      </w:r>
    </w:p>
    <w:sdt>
      <w:sdtPr>
        <w:rPr>
          <w:rFonts w:asciiTheme="majorBidi" w:eastAsiaTheme="minorHAnsi" w:hAnsiTheme="majorBidi" w:cstheme="minorBidi"/>
          <w:color w:val="auto"/>
          <w:sz w:val="22"/>
          <w:szCs w:val="22"/>
          <w:lang w:eastAsia="en-US"/>
        </w:rPr>
        <w:id w:val="176007884"/>
        <w:docPartObj>
          <w:docPartGallery w:val="Table of Contents"/>
          <w:docPartUnique/>
        </w:docPartObj>
      </w:sdtPr>
      <w:sdtEndPr>
        <w:rPr>
          <w:b/>
          <w:bCs/>
        </w:rPr>
      </w:sdtEndPr>
      <w:sdtContent>
        <w:p w14:paraId="7C2CC6C3" w14:textId="5F9BCB41" w:rsidR="0044057C" w:rsidRPr="0044057C" w:rsidRDefault="0044057C" w:rsidP="0044057C">
          <w:pPr>
            <w:pStyle w:val="TtuloTDC"/>
            <w:spacing w:line="360" w:lineRule="auto"/>
            <w:jc w:val="both"/>
            <w:rPr>
              <w:rFonts w:asciiTheme="majorBidi" w:hAnsiTheme="majorBidi"/>
              <w:b/>
              <w:bCs/>
              <w:sz w:val="24"/>
              <w:szCs w:val="24"/>
            </w:rPr>
          </w:pPr>
          <w:r w:rsidRPr="00A038C6">
            <w:rPr>
              <w:rFonts w:asciiTheme="majorBidi" w:hAnsiTheme="majorBidi"/>
              <w:color w:val="auto"/>
            </w:rPr>
            <w:t>Índice de contenidos</w:t>
          </w:r>
        </w:p>
        <w:p w14:paraId="3A675EF2" w14:textId="262C0AFD" w:rsidR="009F51ED" w:rsidRPr="009F51ED" w:rsidRDefault="0044057C" w:rsidP="009F51ED">
          <w:pPr>
            <w:pStyle w:val="TDC2"/>
            <w:rPr>
              <w:rFonts w:asciiTheme="majorBidi" w:hAnsiTheme="majorBidi" w:cstheme="majorBidi"/>
              <w:noProof/>
              <w:kern w:val="2"/>
              <w:sz w:val="24"/>
              <w:szCs w:val="24"/>
              <w14:ligatures w14:val="standardContextual"/>
            </w:rPr>
          </w:pPr>
          <w:r w:rsidRPr="00A038C6">
            <w:rPr>
              <w:rFonts w:asciiTheme="majorBidi" w:hAnsiTheme="majorBidi" w:cstheme="majorBidi"/>
            </w:rPr>
            <w:fldChar w:fldCharType="begin"/>
          </w:r>
          <w:r w:rsidRPr="00A038C6">
            <w:rPr>
              <w:rFonts w:asciiTheme="majorBidi" w:hAnsiTheme="majorBidi" w:cstheme="majorBidi"/>
            </w:rPr>
            <w:instrText xml:space="preserve"> TOC \o "1-3" \h \z \u </w:instrText>
          </w:r>
          <w:r w:rsidRPr="00A038C6">
            <w:rPr>
              <w:rFonts w:asciiTheme="majorBidi" w:hAnsiTheme="majorBidi" w:cstheme="majorBidi"/>
            </w:rPr>
            <w:fldChar w:fldCharType="separate"/>
          </w:r>
          <w:hyperlink w:anchor="_Toc137456593" w:history="1">
            <w:r w:rsidR="009F51ED" w:rsidRPr="009F51ED">
              <w:rPr>
                <w:rStyle w:val="Hipervnculo"/>
                <w:rFonts w:asciiTheme="majorBidi" w:hAnsiTheme="majorBidi" w:cstheme="majorBidi"/>
                <w:b/>
                <w:bCs/>
                <w:noProof/>
                <w:sz w:val="24"/>
                <w:szCs w:val="24"/>
              </w:rPr>
              <w:t>1.1 Finalidad y motivos</w:t>
            </w:r>
            <w:r w:rsidR="009F51ED" w:rsidRPr="009F51ED">
              <w:rPr>
                <w:rFonts w:asciiTheme="majorBidi" w:hAnsiTheme="majorBidi" w:cstheme="majorBidi"/>
                <w:noProof/>
                <w:webHidden/>
                <w:sz w:val="24"/>
                <w:szCs w:val="24"/>
              </w:rPr>
              <w:tab/>
            </w:r>
            <w:r w:rsidR="009F51ED" w:rsidRPr="009F51ED">
              <w:rPr>
                <w:rFonts w:asciiTheme="majorBidi" w:hAnsiTheme="majorBidi" w:cstheme="majorBidi"/>
                <w:noProof/>
                <w:webHidden/>
                <w:sz w:val="24"/>
                <w:szCs w:val="24"/>
              </w:rPr>
              <w:fldChar w:fldCharType="begin"/>
            </w:r>
            <w:r w:rsidR="009F51ED" w:rsidRPr="009F51ED">
              <w:rPr>
                <w:rFonts w:asciiTheme="majorBidi" w:hAnsiTheme="majorBidi" w:cstheme="majorBidi"/>
                <w:noProof/>
                <w:webHidden/>
                <w:sz w:val="24"/>
                <w:szCs w:val="24"/>
              </w:rPr>
              <w:instrText xml:space="preserve"> PAGEREF _Toc137456593 \h </w:instrText>
            </w:r>
            <w:r w:rsidR="009F51ED" w:rsidRPr="009F51ED">
              <w:rPr>
                <w:rFonts w:asciiTheme="majorBidi" w:hAnsiTheme="majorBidi" w:cstheme="majorBidi"/>
                <w:noProof/>
                <w:webHidden/>
                <w:sz w:val="24"/>
                <w:szCs w:val="24"/>
              </w:rPr>
            </w:r>
            <w:r w:rsidR="009F51ED"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4</w:t>
            </w:r>
            <w:r w:rsidR="009F51ED" w:rsidRPr="009F51ED">
              <w:rPr>
                <w:rFonts w:asciiTheme="majorBidi" w:hAnsiTheme="majorBidi" w:cstheme="majorBidi"/>
                <w:noProof/>
                <w:webHidden/>
                <w:sz w:val="24"/>
                <w:szCs w:val="24"/>
              </w:rPr>
              <w:fldChar w:fldCharType="end"/>
            </w:r>
          </w:hyperlink>
        </w:p>
        <w:p w14:paraId="2AB2379E" w14:textId="684A802D"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594" w:history="1">
            <w:r w:rsidRPr="009F51ED">
              <w:rPr>
                <w:rStyle w:val="Hipervnculo"/>
                <w:rFonts w:asciiTheme="majorBidi" w:hAnsiTheme="majorBidi" w:cstheme="majorBidi"/>
                <w:b/>
                <w:bCs/>
                <w:noProof/>
                <w:sz w:val="24"/>
                <w:szCs w:val="24"/>
              </w:rPr>
              <w:t>1.2 Objetivo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_Toc137456594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5</w:t>
            </w:r>
            <w:r w:rsidRPr="009F51ED">
              <w:rPr>
                <w:rFonts w:asciiTheme="majorBidi" w:hAnsiTheme="majorBidi" w:cstheme="majorBidi"/>
                <w:noProof/>
                <w:webHidden/>
                <w:sz w:val="24"/>
                <w:szCs w:val="24"/>
              </w:rPr>
              <w:fldChar w:fldCharType="end"/>
            </w:r>
          </w:hyperlink>
        </w:p>
        <w:p w14:paraId="120C69BD" w14:textId="41B46214"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595" w:history="1">
            <w:r w:rsidRPr="009F51ED">
              <w:rPr>
                <w:rStyle w:val="Hipervnculo"/>
                <w:rFonts w:asciiTheme="majorBidi" w:hAnsiTheme="majorBidi" w:cstheme="majorBidi"/>
                <w:b/>
                <w:bCs/>
                <w:noProof/>
                <w:sz w:val="24"/>
                <w:szCs w:val="24"/>
              </w:rPr>
              <w:t>1.3 Metodología del trabajo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_Toc137456595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5</w:t>
            </w:r>
            <w:r w:rsidRPr="009F51ED">
              <w:rPr>
                <w:rFonts w:asciiTheme="majorBidi" w:hAnsiTheme="majorBidi" w:cstheme="majorBidi"/>
                <w:noProof/>
                <w:webHidden/>
                <w:sz w:val="24"/>
                <w:szCs w:val="24"/>
              </w:rPr>
              <w:fldChar w:fldCharType="end"/>
            </w:r>
          </w:hyperlink>
        </w:p>
        <w:p w14:paraId="01413A20" w14:textId="28CD5DF6"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596" w:history="1">
            <w:r w:rsidRPr="009F51ED">
              <w:rPr>
                <w:rStyle w:val="Hipervnculo"/>
                <w:rFonts w:asciiTheme="majorBidi" w:hAnsiTheme="majorBidi" w:cstheme="majorBidi"/>
                <w:b/>
                <w:bCs/>
                <w:noProof/>
                <w:sz w:val="24"/>
                <w:szCs w:val="24"/>
              </w:rPr>
              <w:t>1.4 Estructura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_Toc137456596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6</w:t>
            </w:r>
            <w:r w:rsidRPr="009F51ED">
              <w:rPr>
                <w:rFonts w:asciiTheme="majorBidi" w:hAnsiTheme="majorBidi" w:cstheme="majorBidi"/>
                <w:noProof/>
                <w:webHidden/>
                <w:sz w:val="24"/>
                <w:szCs w:val="24"/>
              </w:rPr>
              <w:fldChar w:fldCharType="end"/>
            </w:r>
          </w:hyperlink>
        </w:p>
        <w:p w14:paraId="3E5F9586" w14:textId="6252DB2E" w:rsidR="009F51ED" w:rsidRPr="009F51ED" w:rsidRDefault="009F51ED" w:rsidP="009F51ED">
          <w:pPr>
            <w:pStyle w:val="TDC1"/>
            <w:tabs>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597" w:history="1">
            <w:r w:rsidRPr="009F51ED">
              <w:rPr>
                <w:rStyle w:val="Hipervnculo"/>
                <w:rFonts w:asciiTheme="majorBidi" w:hAnsiTheme="majorBidi" w:cstheme="majorBidi"/>
                <w:b/>
                <w:bCs/>
                <w:noProof/>
                <w:sz w:val="24"/>
                <w:szCs w:val="24"/>
              </w:rPr>
              <w:t>Capítulo 2. Revisión de la literatura y marco teórico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_Toc137456597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7</w:t>
            </w:r>
            <w:r w:rsidRPr="009F51ED">
              <w:rPr>
                <w:rFonts w:asciiTheme="majorBidi" w:hAnsiTheme="majorBidi" w:cstheme="majorBidi"/>
                <w:noProof/>
                <w:webHidden/>
                <w:sz w:val="24"/>
                <w:szCs w:val="24"/>
              </w:rPr>
              <w:fldChar w:fldCharType="end"/>
            </w:r>
          </w:hyperlink>
        </w:p>
        <w:p w14:paraId="73F7FC7C" w14:textId="275DDC6F"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598" w:history="1">
            <w:r w:rsidRPr="009F51ED">
              <w:rPr>
                <w:rStyle w:val="Hipervnculo"/>
                <w:rFonts w:asciiTheme="majorBidi" w:hAnsiTheme="majorBidi" w:cstheme="majorBidi"/>
                <w:b/>
                <w:bCs/>
                <w:noProof/>
                <w:sz w:val="24"/>
                <w:szCs w:val="24"/>
              </w:rPr>
              <w:t>2.1</w:t>
            </w:r>
            <w:r w:rsidRPr="009F51ED">
              <w:rPr>
                <w:rFonts w:asciiTheme="majorBidi" w:hAnsiTheme="majorBidi" w:cstheme="majorBidi"/>
                <w:noProof/>
                <w:kern w:val="2"/>
                <w:sz w:val="24"/>
                <w:szCs w:val="24"/>
                <w14:ligatures w14:val="standardContextual"/>
              </w:rPr>
              <w:tab/>
            </w:r>
            <w:r w:rsidRPr="009F51ED">
              <w:rPr>
                <w:rStyle w:val="Hipervnculo"/>
                <w:rFonts w:asciiTheme="majorBidi" w:hAnsiTheme="majorBidi" w:cstheme="majorBidi"/>
                <w:b/>
                <w:bCs/>
                <w:noProof/>
                <w:sz w:val="24"/>
                <w:szCs w:val="24"/>
              </w:rPr>
              <w:t>Conceptos clave</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_Toc137456598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7</w:t>
            </w:r>
            <w:r w:rsidRPr="009F51ED">
              <w:rPr>
                <w:rFonts w:asciiTheme="majorBidi" w:hAnsiTheme="majorBidi" w:cstheme="majorBidi"/>
                <w:noProof/>
                <w:webHidden/>
                <w:sz w:val="24"/>
                <w:szCs w:val="24"/>
              </w:rPr>
              <w:fldChar w:fldCharType="end"/>
            </w:r>
          </w:hyperlink>
        </w:p>
        <w:p w14:paraId="0B9E1F4E" w14:textId="2ACDE1C5"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599" w:history="1">
            <w:r w:rsidRPr="009F51ED">
              <w:rPr>
                <w:rStyle w:val="Hipervnculo"/>
                <w:rFonts w:asciiTheme="majorBidi" w:hAnsiTheme="majorBidi" w:cstheme="majorBidi"/>
                <w:noProof/>
                <w:sz w:val="24"/>
                <w:szCs w:val="24"/>
              </w:rPr>
              <w:t>2.1.1</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Globalización</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_Toc137456599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7</w:t>
            </w:r>
            <w:r w:rsidRPr="009F51ED">
              <w:rPr>
                <w:rFonts w:asciiTheme="majorBidi" w:hAnsiTheme="majorBidi" w:cstheme="majorBidi"/>
                <w:noProof/>
                <w:webHidden/>
                <w:sz w:val="24"/>
                <w:szCs w:val="24"/>
              </w:rPr>
              <w:fldChar w:fldCharType="end"/>
            </w:r>
          </w:hyperlink>
        </w:p>
        <w:p w14:paraId="4C23A95C" w14:textId="3D0A3734"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0" w:history="1">
            <w:r w:rsidRPr="009F51ED">
              <w:rPr>
                <w:rStyle w:val="Hipervnculo"/>
                <w:rFonts w:asciiTheme="majorBidi" w:hAnsiTheme="majorBidi" w:cstheme="majorBidi"/>
                <w:noProof/>
                <w:sz w:val="24"/>
                <w:szCs w:val="24"/>
              </w:rPr>
              <w:t>2.1.2</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Seguridad nacional</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_Toc137456600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7</w:t>
            </w:r>
            <w:r w:rsidRPr="009F51ED">
              <w:rPr>
                <w:rFonts w:asciiTheme="majorBidi" w:hAnsiTheme="majorBidi" w:cstheme="majorBidi"/>
                <w:noProof/>
                <w:webHidden/>
                <w:sz w:val="24"/>
                <w:szCs w:val="24"/>
              </w:rPr>
              <w:fldChar w:fldCharType="end"/>
            </w:r>
          </w:hyperlink>
        </w:p>
        <w:p w14:paraId="0F2506D7" w14:textId="0338F3C1"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1" w:history="1">
            <w:r w:rsidRPr="009F51ED">
              <w:rPr>
                <w:rStyle w:val="Hipervnculo"/>
                <w:rFonts w:asciiTheme="majorBidi" w:hAnsiTheme="majorBidi" w:cstheme="majorBidi"/>
                <w:noProof/>
                <w:sz w:val="24"/>
                <w:szCs w:val="24"/>
              </w:rPr>
              <w:t>2.1.3</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Seguridad alimentaria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_Toc137456601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8</w:t>
            </w:r>
            <w:r w:rsidRPr="009F51ED">
              <w:rPr>
                <w:rFonts w:asciiTheme="majorBidi" w:hAnsiTheme="majorBidi" w:cstheme="majorBidi"/>
                <w:noProof/>
                <w:webHidden/>
                <w:sz w:val="24"/>
                <w:szCs w:val="24"/>
              </w:rPr>
              <w:fldChar w:fldCharType="end"/>
            </w:r>
          </w:hyperlink>
        </w:p>
        <w:p w14:paraId="1A842679" w14:textId="08AC0D01"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2" w:history="1">
            <w:r w:rsidRPr="009F51ED">
              <w:rPr>
                <w:rStyle w:val="Hipervnculo"/>
                <w:rFonts w:asciiTheme="majorBidi" w:hAnsiTheme="majorBidi" w:cstheme="majorBidi"/>
                <w:noProof/>
                <w:sz w:val="24"/>
                <w:szCs w:val="24"/>
              </w:rPr>
              <w:t>2.1.4</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Soberanía alimentaria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_Toc137456602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9</w:t>
            </w:r>
            <w:r w:rsidRPr="009F51ED">
              <w:rPr>
                <w:rFonts w:asciiTheme="majorBidi" w:hAnsiTheme="majorBidi" w:cstheme="majorBidi"/>
                <w:noProof/>
                <w:webHidden/>
                <w:sz w:val="24"/>
                <w:szCs w:val="24"/>
              </w:rPr>
              <w:fldChar w:fldCharType="end"/>
            </w:r>
          </w:hyperlink>
        </w:p>
        <w:p w14:paraId="5AC4A48E" w14:textId="60D97B76"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3" w:history="1">
            <w:r w:rsidRPr="009F51ED">
              <w:rPr>
                <w:rStyle w:val="Hipervnculo"/>
                <w:rFonts w:asciiTheme="majorBidi" w:hAnsiTheme="majorBidi" w:cstheme="majorBidi"/>
                <w:noProof/>
                <w:sz w:val="24"/>
                <w:szCs w:val="24"/>
              </w:rPr>
              <w:t>2.1.5</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Política alimentaria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_Toc137456603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10</w:t>
            </w:r>
            <w:r w:rsidRPr="009F51ED">
              <w:rPr>
                <w:rFonts w:asciiTheme="majorBidi" w:hAnsiTheme="majorBidi" w:cstheme="majorBidi"/>
                <w:noProof/>
                <w:webHidden/>
                <w:sz w:val="24"/>
                <w:szCs w:val="24"/>
              </w:rPr>
              <w:fldChar w:fldCharType="end"/>
            </w:r>
          </w:hyperlink>
        </w:p>
        <w:p w14:paraId="44E9C90E" w14:textId="618EF7EB"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604" w:history="1">
            <w:r w:rsidRPr="009F51ED">
              <w:rPr>
                <w:rStyle w:val="Hipervnculo"/>
                <w:rFonts w:asciiTheme="majorBidi" w:hAnsiTheme="majorBidi" w:cstheme="majorBidi"/>
                <w:b/>
                <w:bCs/>
                <w:noProof/>
                <w:sz w:val="24"/>
                <w:szCs w:val="24"/>
              </w:rPr>
              <w:t>2.2</w:t>
            </w:r>
            <w:r w:rsidRPr="009F51ED">
              <w:rPr>
                <w:rFonts w:asciiTheme="majorBidi" w:hAnsiTheme="majorBidi" w:cstheme="majorBidi"/>
                <w:noProof/>
                <w:kern w:val="2"/>
                <w:sz w:val="24"/>
                <w:szCs w:val="24"/>
                <w14:ligatures w14:val="standardContextual"/>
              </w:rPr>
              <w:tab/>
            </w:r>
            <w:r w:rsidRPr="009F51ED">
              <w:rPr>
                <w:rStyle w:val="Hipervnculo"/>
                <w:rFonts w:asciiTheme="majorBidi" w:hAnsiTheme="majorBidi" w:cstheme="majorBidi"/>
                <w:b/>
                <w:bCs/>
                <w:noProof/>
                <w:sz w:val="24"/>
                <w:szCs w:val="24"/>
              </w:rPr>
              <w:t>Teorías de comercio internacional relevantes</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_Toc137456604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11</w:t>
            </w:r>
            <w:r w:rsidRPr="009F51ED">
              <w:rPr>
                <w:rFonts w:asciiTheme="majorBidi" w:hAnsiTheme="majorBidi" w:cstheme="majorBidi"/>
                <w:noProof/>
                <w:webHidden/>
                <w:sz w:val="24"/>
                <w:szCs w:val="24"/>
              </w:rPr>
              <w:fldChar w:fldCharType="end"/>
            </w:r>
          </w:hyperlink>
        </w:p>
        <w:p w14:paraId="57D30663" w14:textId="0ED3EC76"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5" w:history="1">
            <w:r w:rsidRPr="009F51ED">
              <w:rPr>
                <w:rStyle w:val="Hipervnculo"/>
                <w:rFonts w:asciiTheme="majorBidi" w:hAnsiTheme="majorBidi" w:cstheme="majorBidi"/>
                <w:noProof/>
                <w:sz w:val="24"/>
                <w:szCs w:val="24"/>
              </w:rPr>
              <w:t>2.1.1</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Teoría de la ventaja comparativa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_Toc137456605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11</w:t>
            </w:r>
            <w:r w:rsidRPr="009F51ED">
              <w:rPr>
                <w:rFonts w:asciiTheme="majorBidi" w:hAnsiTheme="majorBidi" w:cstheme="majorBidi"/>
                <w:noProof/>
                <w:webHidden/>
                <w:sz w:val="24"/>
                <w:szCs w:val="24"/>
              </w:rPr>
              <w:fldChar w:fldCharType="end"/>
            </w:r>
          </w:hyperlink>
        </w:p>
        <w:p w14:paraId="55A8D7CF" w14:textId="27668F96"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6" w:history="1">
            <w:r w:rsidRPr="009F51ED">
              <w:rPr>
                <w:rStyle w:val="Hipervnculo"/>
                <w:rFonts w:asciiTheme="majorBidi" w:hAnsiTheme="majorBidi" w:cstheme="majorBidi"/>
                <w:noProof/>
                <w:sz w:val="24"/>
                <w:szCs w:val="24"/>
              </w:rPr>
              <w:t>2.1.2</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Teoría Heckscher-Ohlin</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_Toc137456606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11</w:t>
            </w:r>
            <w:r w:rsidRPr="009F51ED">
              <w:rPr>
                <w:rFonts w:asciiTheme="majorBidi" w:hAnsiTheme="majorBidi" w:cstheme="majorBidi"/>
                <w:noProof/>
                <w:webHidden/>
                <w:sz w:val="24"/>
                <w:szCs w:val="24"/>
              </w:rPr>
              <w:fldChar w:fldCharType="end"/>
            </w:r>
          </w:hyperlink>
        </w:p>
        <w:p w14:paraId="496C03DB" w14:textId="0D8BD909"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7" w:history="1">
            <w:r w:rsidRPr="009F51ED">
              <w:rPr>
                <w:rStyle w:val="Hipervnculo"/>
                <w:rFonts w:asciiTheme="majorBidi" w:hAnsiTheme="majorBidi" w:cstheme="majorBidi"/>
                <w:noProof/>
                <w:sz w:val="24"/>
                <w:szCs w:val="24"/>
              </w:rPr>
              <w:t>2.1.3</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Teoría de la competencia imperfecta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_Toc137456607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12</w:t>
            </w:r>
            <w:r w:rsidRPr="009F51ED">
              <w:rPr>
                <w:rFonts w:asciiTheme="majorBidi" w:hAnsiTheme="majorBidi" w:cstheme="majorBidi"/>
                <w:noProof/>
                <w:webHidden/>
                <w:sz w:val="24"/>
                <w:szCs w:val="24"/>
              </w:rPr>
              <w:fldChar w:fldCharType="end"/>
            </w:r>
          </w:hyperlink>
        </w:p>
        <w:p w14:paraId="4FDCB25D" w14:textId="51444912"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8" w:history="1">
            <w:r w:rsidRPr="009F51ED">
              <w:rPr>
                <w:rStyle w:val="Hipervnculo"/>
                <w:rFonts w:asciiTheme="majorBidi" w:hAnsiTheme="majorBidi" w:cstheme="majorBidi"/>
                <w:noProof/>
                <w:sz w:val="24"/>
                <w:szCs w:val="24"/>
              </w:rPr>
              <w:t>2.1.4</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La hipótesis Prebisch-Singer</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_Toc137456608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13</w:t>
            </w:r>
            <w:r w:rsidRPr="009F51ED">
              <w:rPr>
                <w:rFonts w:asciiTheme="majorBidi" w:hAnsiTheme="majorBidi" w:cstheme="majorBidi"/>
                <w:noProof/>
                <w:webHidden/>
                <w:sz w:val="24"/>
                <w:szCs w:val="24"/>
              </w:rPr>
              <w:fldChar w:fldCharType="end"/>
            </w:r>
          </w:hyperlink>
        </w:p>
        <w:p w14:paraId="60B37067" w14:textId="6F927652"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09" w:history="1">
            <w:r w:rsidRPr="009F51ED">
              <w:rPr>
                <w:rStyle w:val="Hipervnculo"/>
                <w:rFonts w:asciiTheme="majorBidi" w:hAnsiTheme="majorBidi" w:cstheme="majorBidi"/>
                <w:noProof/>
                <w:sz w:val="24"/>
                <w:szCs w:val="24"/>
              </w:rPr>
              <w:t>2.1.5</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Proteccionismo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_Toc137456609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15</w:t>
            </w:r>
            <w:r w:rsidRPr="009F51ED">
              <w:rPr>
                <w:rFonts w:asciiTheme="majorBidi" w:hAnsiTheme="majorBidi" w:cstheme="majorBidi"/>
                <w:noProof/>
                <w:webHidden/>
                <w:sz w:val="24"/>
                <w:szCs w:val="24"/>
              </w:rPr>
              <w:fldChar w:fldCharType="end"/>
            </w:r>
          </w:hyperlink>
        </w:p>
        <w:p w14:paraId="5EEBF85B" w14:textId="75C2F625" w:rsidR="009F51ED" w:rsidRPr="009F51ED" w:rsidRDefault="009F51ED" w:rsidP="009F51ED">
          <w:pPr>
            <w:pStyle w:val="TDC1"/>
            <w:tabs>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10" w:history="1">
            <w:r w:rsidRPr="009F51ED">
              <w:rPr>
                <w:rStyle w:val="Hipervnculo"/>
                <w:rFonts w:asciiTheme="majorBidi" w:hAnsiTheme="majorBidi" w:cstheme="majorBidi"/>
                <w:b/>
                <w:bCs/>
                <w:noProof/>
                <w:sz w:val="24"/>
                <w:szCs w:val="24"/>
              </w:rPr>
              <w:t>Capítulo 3. Estado de la cuestión</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_Toc137456610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16</w:t>
            </w:r>
            <w:r w:rsidRPr="009F51ED">
              <w:rPr>
                <w:rFonts w:asciiTheme="majorBidi" w:hAnsiTheme="majorBidi" w:cstheme="majorBidi"/>
                <w:noProof/>
                <w:webHidden/>
                <w:sz w:val="24"/>
                <w:szCs w:val="24"/>
              </w:rPr>
              <w:fldChar w:fldCharType="end"/>
            </w:r>
          </w:hyperlink>
        </w:p>
        <w:p w14:paraId="1DA3AC34" w14:textId="1D5B3CF9" w:rsidR="009F51ED" w:rsidRPr="009F51ED" w:rsidRDefault="009F51ED" w:rsidP="009F51ED">
          <w:pPr>
            <w:pStyle w:val="TDC1"/>
            <w:tabs>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11" w:history="1">
            <w:r w:rsidRPr="009F51ED">
              <w:rPr>
                <w:rStyle w:val="Hipervnculo"/>
                <w:rFonts w:asciiTheme="majorBidi" w:hAnsiTheme="majorBidi" w:cstheme="majorBidi"/>
                <w:b/>
                <w:bCs/>
                <w:noProof/>
                <w:sz w:val="24"/>
                <w:szCs w:val="24"/>
              </w:rPr>
              <w:t>Capítulo 4. Análisis de los efectos de la guerra de Ucrania durante su primer año en los volúmenes de grano producidos y exportados por Rusia y Ucrania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_Toc137456611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20</w:t>
            </w:r>
            <w:r w:rsidRPr="009F51ED">
              <w:rPr>
                <w:rFonts w:asciiTheme="majorBidi" w:hAnsiTheme="majorBidi" w:cstheme="majorBidi"/>
                <w:noProof/>
                <w:webHidden/>
                <w:sz w:val="24"/>
                <w:szCs w:val="24"/>
              </w:rPr>
              <w:fldChar w:fldCharType="end"/>
            </w:r>
          </w:hyperlink>
        </w:p>
        <w:p w14:paraId="2B120502" w14:textId="19873E47"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614" w:history="1">
            <w:r w:rsidRPr="009F51ED">
              <w:rPr>
                <w:rStyle w:val="Hipervnculo"/>
                <w:rFonts w:asciiTheme="majorBidi" w:hAnsiTheme="majorBidi" w:cstheme="majorBidi"/>
                <w:b/>
                <w:bCs/>
                <w:noProof/>
                <w:sz w:val="24"/>
                <w:szCs w:val="24"/>
              </w:rPr>
              <w:t>4.1</w:t>
            </w:r>
            <w:r w:rsidRPr="009F51ED">
              <w:rPr>
                <w:rFonts w:asciiTheme="majorBidi" w:hAnsiTheme="majorBidi" w:cstheme="majorBidi"/>
                <w:noProof/>
                <w:kern w:val="2"/>
                <w:sz w:val="24"/>
                <w:szCs w:val="24"/>
                <w14:ligatures w14:val="standardContextual"/>
              </w:rPr>
              <w:tab/>
            </w:r>
            <w:r w:rsidRPr="009F51ED">
              <w:rPr>
                <w:rStyle w:val="Hipervnculo"/>
                <w:rFonts w:asciiTheme="majorBidi" w:hAnsiTheme="majorBidi" w:cstheme="majorBidi"/>
                <w:b/>
                <w:bCs/>
                <w:noProof/>
                <w:sz w:val="24"/>
                <w:szCs w:val="24"/>
              </w:rPr>
              <w:t>El grano ruso y ucraniano: volúmenes y destinos previos a la guerra</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_Toc137456614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20</w:t>
            </w:r>
            <w:r w:rsidRPr="009F51ED">
              <w:rPr>
                <w:rFonts w:asciiTheme="majorBidi" w:hAnsiTheme="majorBidi" w:cstheme="majorBidi"/>
                <w:noProof/>
                <w:webHidden/>
                <w:sz w:val="24"/>
                <w:szCs w:val="24"/>
              </w:rPr>
              <w:fldChar w:fldCharType="end"/>
            </w:r>
          </w:hyperlink>
        </w:p>
        <w:p w14:paraId="6D56E774" w14:textId="1020C9DA"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15" w:history="1">
            <w:r w:rsidRPr="009F51ED">
              <w:rPr>
                <w:rStyle w:val="Hipervnculo"/>
                <w:rFonts w:asciiTheme="majorBidi" w:hAnsiTheme="majorBidi" w:cstheme="majorBidi"/>
                <w:noProof/>
                <w:sz w:val="24"/>
                <w:szCs w:val="24"/>
              </w:rPr>
              <w:t>4.1.1</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Maíz</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_Toc137456615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20</w:t>
            </w:r>
            <w:r w:rsidRPr="009F51ED">
              <w:rPr>
                <w:rFonts w:asciiTheme="majorBidi" w:hAnsiTheme="majorBidi" w:cstheme="majorBidi"/>
                <w:noProof/>
                <w:webHidden/>
                <w:sz w:val="24"/>
                <w:szCs w:val="24"/>
              </w:rPr>
              <w:fldChar w:fldCharType="end"/>
            </w:r>
          </w:hyperlink>
        </w:p>
        <w:p w14:paraId="39FA4327" w14:textId="0E3C7231"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16" w:history="1">
            <w:r w:rsidRPr="009F51ED">
              <w:rPr>
                <w:rStyle w:val="Hipervnculo"/>
                <w:rFonts w:asciiTheme="majorBidi" w:hAnsiTheme="majorBidi" w:cstheme="majorBidi"/>
                <w:noProof/>
                <w:sz w:val="24"/>
                <w:szCs w:val="24"/>
              </w:rPr>
              <w:t>4.1.2</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Trigo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_Toc137456616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23</w:t>
            </w:r>
            <w:r w:rsidRPr="009F51ED">
              <w:rPr>
                <w:rFonts w:asciiTheme="majorBidi" w:hAnsiTheme="majorBidi" w:cstheme="majorBidi"/>
                <w:noProof/>
                <w:webHidden/>
                <w:sz w:val="24"/>
                <w:szCs w:val="24"/>
              </w:rPr>
              <w:fldChar w:fldCharType="end"/>
            </w:r>
          </w:hyperlink>
        </w:p>
        <w:p w14:paraId="50EF0C4E" w14:textId="4633BB61"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617" w:history="1">
            <w:r w:rsidRPr="009F51ED">
              <w:rPr>
                <w:rStyle w:val="Hipervnculo"/>
                <w:rFonts w:asciiTheme="majorBidi" w:hAnsiTheme="majorBidi" w:cstheme="majorBidi"/>
                <w:b/>
                <w:bCs/>
                <w:noProof/>
                <w:sz w:val="24"/>
                <w:szCs w:val="24"/>
              </w:rPr>
              <w:t>4.2</w:t>
            </w:r>
            <w:r w:rsidRPr="009F51ED">
              <w:rPr>
                <w:rFonts w:asciiTheme="majorBidi" w:hAnsiTheme="majorBidi" w:cstheme="majorBidi"/>
                <w:noProof/>
                <w:kern w:val="2"/>
                <w:sz w:val="24"/>
                <w:szCs w:val="24"/>
                <w14:ligatures w14:val="standardContextual"/>
              </w:rPr>
              <w:tab/>
            </w:r>
            <w:r w:rsidRPr="009F51ED">
              <w:rPr>
                <w:rStyle w:val="Hipervnculo"/>
                <w:rFonts w:asciiTheme="majorBidi" w:hAnsiTheme="majorBidi" w:cstheme="majorBidi"/>
                <w:b/>
                <w:bCs/>
                <w:noProof/>
                <w:sz w:val="24"/>
                <w:szCs w:val="24"/>
              </w:rPr>
              <w:t>La guerra de Ucrania: impacto en el comercio internacional de grano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_Toc137456617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26</w:t>
            </w:r>
            <w:r w:rsidRPr="009F51ED">
              <w:rPr>
                <w:rFonts w:asciiTheme="majorBidi" w:hAnsiTheme="majorBidi" w:cstheme="majorBidi"/>
                <w:noProof/>
                <w:webHidden/>
                <w:sz w:val="24"/>
                <w:szCs w:val="24"/>
              </w:rPr>
              <w:fldChar w:fldCharType="end"/>
            </w:r>
          </w:hyperlink>
        </w:p>
        <w:p w14:paraId="7DB7DDB4" w14:textId="59C91648"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18" w:history="1">
            <w:r w:rsidRPr="009F51ED">
              <w:rPr>
                <w:rStyle w:val="Hipervnculo"/>
                <w:rFonts w:asciiTheme="majorBidi" w:hAnsiTheme="majorBidi" w:cstheme="majorBidi"/>
                <w:noProof/>
                <w:sz w:val="24"/>
                <w:szCs w:val="24"/>
              </w:rPr>
              <w:t>4.2.1</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Impacto de la guerra de Ucrania en los volúmenes de producción</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_Toc137456618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26</w:t>
            </w:r>
            <w:r w:rsidRPr="009F51ED">
              <w:rPr>
                <w:rFonts w:asciiTheme="majorBidi" w:hAnsiTheme="majorBidi" w:cstheme="majorBidi"/>
                <w:noProof/>
                <w:webHidden/>
                <w:sz w:val="24"/>
                <w:szCs w:val="24"/>
              </w:rPr>
              <w:fldChar w:fldCharType="end"/>
            </w:r>
          </w:hyperlink>
        </w:p>
        <w:p w14:paraId="11C14CA3" w14:textId="53CDBD4A"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19" w:history="1">
            <w:r w:rsidRPr="009F51ED">
              <w:rPr>
                <w:rStyle w:val="Hipervnculo"/>
                <w:rFonts w:asciiTheme="majorBidi" w:hAnsiTheme="majorBidi" w:cstheme="majorBidi"/>
                <w:noProof/>
                <w:sz w:val="24"/>
                <w:szCs w:val="24"/>
              </w:rPr>
              <w:t>4.2.2</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Impacto de la guerra de Ucrania en la exportación: logística, cuellos de botella y nuevas políticas estatales</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_Toc137456619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27</w:t>
            </w:r>
            <w:r w:rsidRPr="009F51ED">
              <w:rPr>
                <w:rFonts w:asciiTheme="majorBidi" w:hAnsiTheme="majorBidi" w:cstheme="majorBidi"/>
                <w:noProof/>
                <w:webHidden/>
                <w:sz w:val="24"/>
                <w:szCs w:val="24"/>
              </w:rPr>
              <w:fldChar w:fldCharType="end"/>
            </w:r>
          </w:hyperlink>
        </w:p>
        <w:p w14:paraId="3FA5C1A3" w14:textId="36700A27" w:rsidR="009F51ED" w:rsidRPr="009F51ED" w:rsidRDefault="009F51ED" w:rsidP="009F51ED">
          <w:pPr>
            <w:pStyle w:val="TDC3"/>
            <w:tabs>
              <w:tab w:val="left" w:pos="1320"/>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20" w:history="1">
            <w:r w:rsidRPr="009F51ED">
              <w:rPr>
                <w:rStyle w:val="Hipervnculo"/>
                <w:rFonts w:asciiTheme="majorBidi" w:hAnsiTheme="majorBidi" w:cstheme="majorBidi"/>
                <w:noProof/>
                <w:sz w:val="24"/>
                <w:szCs w:val="24"/>
              </w:rPr>
              <w:t>4.2.3</w:t>
            </w:r>
            <w:r w:rsidRPr="009F51ED">
              <w:rPr>
                <w:rFonts w:asciiTheme="majorBidi" w:eastAsiaTheme="minorEastAsia" w:hAnsiTheme="majorBidi" w:cstheme="majorBidi"/>
                <w:noProof/>
                <w:kern w:val="2"/>
                <w:sz w:val="24"/>
                <w:szCs w:val="24"/>
                <w:lang w:eastAsia="es-ES"/>
                <w14:ligatures w14:val="standardContextual"/>
              </w:rPr>
              <w:tab/>
            </w:r>
            <w:r w:rsidRPr="009F51ED">
              <w:rPr>
                <w:rStyle w:val="Hipervnculo"/>
                <w:rFonts w:asciiTheme="majorBidi" w:hAnsiTheme="majorBidi" w:cstheme="majorBidi"/>
                <w:noProof/>
                <w:sz w:val="24"/>
                <w:szCs w:val="24"/>
              </w:rPr>
              <w:t>Impacto de la guerra de Ucrania en las importaciones de grano procedente de la región</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_Toc137456620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28</w:t>
            </w:r>
            <w:r w:rsidRPr="009F51ED">
              <w:rPr>
                <w:rFonts w:asciiTheme="majorBidi" w:hAnsiTheme="majorBidi" w:cstheme="majorBidi"/>
                <w:noProof/>
                <w:webHidden/>
                <w:sz w:val="24"/>
                <w:szCs w:val="24"/>
              </w:rPr>
              <w:fldChar w:fldCharType="end"/>
            </w:r>
          </w:hyperlink>
        </w:p>
        <w:p w14:paraId="55025B70" w14:textId="22476648" w:rsidR="009F51ED" w:rsidRPr="009F51ED" w:rsidRDefault="009F51ED" w:rsidP="009F51ED">
          <w:pPr>
            <w:pStyle w:val="TDC2"/>
            <w:rPr>
              <w:rFonts w:asciiTheme="majorBidi" w:hAnsiTheme="majorBidi" w:cstheme="majorBidi"/>
              <w:noProof/>
              <w:kern w:val="2"/>
              <w:sz w:val="24"/>
              <w:szCs w:val="24"/>
              <w14:ligatures w14:val="standardContextual"/>
            </w:rPr>
          </w:pPr>
          <w:hyperlink w:anchor="_Toc137456621" w:history="1">
            <w:r w:rsidRPr="009F51ED">
              <w:rPr>
                <w:rStyle w:val="Hipervnculo"/>
                <w:rFonts w:asciiTheme="majorBidi" w:hAnsiTheme="majorBidi" w:cstheme="majorBidi"/>
                <w:b/>
                <w:bCs/>
                <w:noProof/>
                <w:sz w:val="24"/>
                <w:szCs w:val="24"/>
              </w:rPr>
              <w:t>4.3</w:t>
            </w:r>
            <w:r w:rsidRPr="009F51ED">
              <w:rPr>
                <w:rFonts w:asciiTheme="majorBidi" w:hAnsiTheme="majorBidi" w:cstheme="majorBidi"/>
                <w:noProof/>
                <w:kern w:val="2"/>
                <w:sz w:val="24"/>
                <w:szCs w:val="24"/>
                <w14:ligatures w14:val="standardContextual"/>
              </w:rPr>
              <w:tab/>
            </w:r>
            <w:r w:rsidRPr="009F51ED">
              <w:rPr>
                <w:rStyle w:val="Hipervnculo"/>
                <w:rFonts w:asciiTheme="majorBidi" w:hAnsiTheme="majorBidi" w:cstheme="majorBidi"/>
                <w:b/>
                <w:bCs/>
                <w:noProof/>
                <w:sz w:val="24"/>
                <w:szCs w:val="24"/>
              </w:rPr>
              <w:t>La Iniciativa de Granos del Mar Negro: análisis de su impacto en los volúmenes exportados y los precios del maíz y el trigo</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_Toc137456621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32</w:t>
            </w:r>
            <w:r w:rsidRPr="009F51ED">
              <w:rPr>
                <w:rFonts w:asciiTheme="majorBidi" w:hAnsiTheme="majorBidi" w:cstheme="majorBidi"/>
                <w:noProof/>
                <w:webHidden/>
                <w:sz w:val="24"/>
                <w:szCs w:val="24"/>
              </w:rPr>
              <w:fldChar w:fldCharType="end"/>
            </w:r>
          </w:hyperlink>
        </w:p>
        <w:p w14:paraId="567AADA1" w14:textId="2ACF2090" w:rsidR="009F51ED" w:rsidRPr="009F51ED" w:rsidRDefault="009F51ED" w:rsidP="009F51ED">
          <w:pPr>
            <w:pStyle w:val="TDC1"/>
            <w:tabs>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22" w:history="1">
            <w:r w:rsidRPr="009F51ED">
              <w:rPr>
                <w:rStyle w:val="Hipervnculo"/>
                <w:rFonts w:asciiTheme="majorBidi" w:hAnsiTheme="majorBidi" w:cstheme="majorBidi"/>
                <w:b/>
                <w:bCs/>
                <w:noProof/>
                <w:sz w:val="24"/>
                <w:szCs w:val="24"/>
              </w:rPr>
              <w:t>Capítulo 5. Conclusiones</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_Toc137456622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34</w:t>
            </w:r>
            <w:r w:rsidRPr="009F51ED">
              <w:rPr>
                <w:rFonts w:asciiTheme="majorBidi" w:hAnsiTheme="majorBidi" w:cstheme="majorBidi"/>
                <w:noProof/>
                <w:webHidden/>
                <w:sz w:val="24"/>
                <w:szCs w:val="24"/>
              </w:rPr>
              <w:fldChar w:fldCharType="end"/>
            </w:r>
          </w:hyperlink>
        </w:p>
        <w:p w14:paraId="3B63E071" w14:textId="75465818" w:rsidR="009F51ED" w:rsidRPr="009F51ED" w:rsidRDefault="009F51ED" w:rsidP="009F51ED">
          <w:pPr>
            <w:pStyle w:val="TDC1"/>
            <w:tabs>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23" w:history="1">
            <w:r w:rsidRPr="009F51ED">
              <w:rPr>
                <w:rStyle w:val="Hipervnculo"/>
                <w:rFonts w:asciiTheme="majorBidi" w:hAnsiTheme="majorBidi" w:cstheme="majorBidi"/>
                <w:b/>
                <w:bCs/>
                <w:noProof/>
                <w:sz w:val="24"/>
                <w:szCs w:val="24"/>
              </w:rPr>
              <w:t>Capítulo 6. Fuentes documentales</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_Toc137456623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37</w:t>
            </w:r>
            <w:r w:rsidRPr="009F51ED">
              <w:rPr>
                <w:rFonts w:asciiTheme="majorBidi" w:hAnsiTheme="majorBidi" w:cstheme="majorBidi"/>
                <w:noProof/>
                <w:webHidden/>
                <w:sz w:val="24"/>
                <w:szCs w:val="24"/>
              </w:rPr>
              <w:fldChar w:fldCharType="end"/>
            </w:r>
          </w:hyperlink>
        </w:p>
        <w:p w14:paraId="1C77C663" w14:textId="0EA71FF9" w:rsidR="003C2825" w:rsidRPr="009F51ED" w:rsidRDefault="009F51ED" w:rsidP="009F51ED">
          <w:pPr>
            <w:pStyle w:val="TDC1"/>
            <w:tabs>
              <w:tab w:val="right" w:leader="dot" w:pos="8494"/>
            </w:tabs>
            <w:jc w:val="both"/>
            <w:rPr>
              <w:rFonts w:asciiTheme="majorBidi" w:eastAsiaTheme="minorEastAsia" w:hAnsiTheme="majorBidi" w:cstheme="majorBidi"/>
              <w:noProof/>
              <w:kern w:val="2"/>
              <w:sz w:val="24"/>
              <w:szCs w:val="24"/>
              <w:lang w:eastAsia="es-ES"/>
              <w14:ligatures w14:val="standardContextual"/>
            </w:rPr>
          </w:pPr>
          <w:hyperlink w:anchor="_Toc137456624" w:history="1">
            <w:r w:rsidRPr="009F51ED">
              <w:rPr>
                <w:rStyle w:val="Hipervnculo"/>
                <w:rFonts w:asciiTheme="majorBidi" w:hAnsiTheme="majorBidi" w:cstheme="majorBidi"/>
                <w:b/>
                <w:bCs/>
                <w:noProof/>
                <w:sz w:val="24"/>
                <w:szCs w:val="24"/>
              </w:rPr>
              <w:t>Anexos</w:t>
            </w:r>
            <w:r w:rsidRPr="009F51ED">
              <w:rPr>
                <w:rFonts w:asciiTheme="majorBidi" w:hAnsiTheme="majorBidi" w:cstheme="majorBidi"/>
                <w:noProof/>
                <w:webHidden/>
                <w:sz w:val="24"/>
                <w:szCs w:val="24"/>
              </w:rPr>
              <w:tab/>
            </w:r>
            <w:r w:rsidRPr="009F51ED">
              <w:rPr>
                <w:rFonts w:asciiTheme="majorBidi" w:hAnsiTheme="majorBidi" w:cstheme="majorBidi"/>
                <w:noProof/>
                <w:webHidden/>
                <w:sz w:val="24"/>
                <w:szCs w:val="24"/>
              </w:rPr>
              <w:fldChar w:fldCharType="begin"/>
            </w:r>
            <w:r w:rsidRPr="009F51ED">
              <w:rPr>
                <w:rFonts w:asciiTheme="majorBidi" w:hAnsiTheme="majorBidi" w:cstheme="majorBidi"/>
                <w:noProof/>
                <w:webHidden/>
                <w:sz w:val="24"/>
                <w:szCs w:val="24"/>
              </w:rPr>
              <w:instrText xml:space="preserve"> PAGEREF _Toc137456624 \h </w:instrText>
            </w:r>
            <w:r w:rsidRPr="009F51ED">
              <w:rPr>
                <w:rFonts w:asciiTheme="majorBidi" w:hAnsiTheme="majorBidi" w:cstheme="majorBidi"/>
                <w:noProof/>
                <w:webHidden/>
                <w:sz w:val="24"/>
                <w:szCs w:val="24"/>
              </w:rPr>
            </w:r>
            <w:r w:rsidRPr="009F51ED">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45</w:t>
            </w:r>
            <w:r w:rsidRPr="009F51ED">
              <w:rPr>
                <w:rFonts w:asciiTheme="majorBidi" w:hAnsiTheme="majorBidi" w:cstheme="majorBidi"/>
                <w:noProof/>
                <w:webHidden/>
                <w:sz w:val="24"/>
                <w:szCs w:val="24"/>
              </w:rPr>
              <w:fldChar w:fldCharType="end"/>
            </w:r>
          </w:hyperlink>
          <w:r w:rsidR="0044057C" w:rsidRPr="00A038C6">
            <w:rPr>
              <w:rFonts w:asciiTheme="majorBidi" w:hAnsiTheme="majorBidi" w:cstheme="majorBidi"/>
              <w:b/>
              <w:bCs/>
            </w:rPr>
            <w:fldChar w:fldCharType="end"/>
          </w:r>
        </w:p>
      </w:sdtContent>
    </w:sdt>
    <w:p w14:paraId="7FC97FAE" w14:textId="04D86AA9" w:rsidR="009B3244" w:rsidRPr="00C16A0E" w:rsidRDefault="009B3244" w:rsidP="00C16A0E">
      <w:pPr>
        <w:pStyle w:val="TtuloTDC"/>
        <w:spacing w:line="360" w:lineRule="auto"/>
        <w:jc w:val="both"/>
        <w:rPr>
          <w:rFonts w:asciiTheme="majorBidi" w:eastAsiaTheme="minorHAnsi" w:hAnsiTheme="majorBidi" w:cstheme="minorBidi"/>
          <w:b/>
          <w:bCs/>
          <w:color w:val="auto"/>
          <w:lang w:eastAsia="en-US"/>
        </w:rPr>
      </w:pPr>
      <w:bookmarkStart w:id="1" w:name="_Toc131004458"/>
      <w:r w:rsidRPr="00C16A0E">
        <w:rPr>
          <w:rFonts w:asciiTheme="majorBidi" w:eastAsiaTheme="minorHAnsi" w:hAnsiTheme="majorBidi" w:cstheme="minorBidi"/>
          <w:b/>
          <w:bCs/>
          <w:color w:val="auto"/>
          <w:lang w:eastAsia="en-US"/>
        </w:rPr>
        <w:lastRenderedPageBreak/>
        <w:t>Índice de siglas</w:t>
      </w:r>
    </w:p>
    <w:tbl>
      <w:tblPr>
        <w:tblStyle w:val="Tablaconcuadrcula"/>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3"/>
        <w:gridCol w:w="7544"/>
      </w:tblGrid>
      <w:tr w:rsidR="0017124B" w:rsidRPr="00C16A0E" w14:paraId="1DCEEE94" w14:textId="77777777" w:rsidTr="00C16A0E">
        <w:tc>
          <w:tcPr>
            <w:tcW w:w="1103" w:type="dxa"/>
            <w:vAlign w:val="center"/>
          </w:tcPr>
          <w:p w14:paraId="4DF94D88"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AMD</w:t>
            </w:r>
          </w:p>
        </w:tc>
        <w:tc>
          <w:tcPr>
            <w:tcW w:w="7544" w:type="dxa"/>
            <w:vAlign w:val="center"/>
          </w:tcPr>
          <w:p w14:paraId="70202F99" w14:textId="77777777" w:rsidR="0017124B" w:rsidRPr="00E813FA" w:rsidRDefault="0017124B" w:rsidP="005148A4">
            <w:pPr>
              <w:spacing w:line="360" w:lineRule="auto"/>
              <w:rPr>
                <w:rFonts w:asciiTheme="majorBidi" w:hAnsiTheme="majorBidi" w:cstheme="majorBidi"/>
                <w:sz w:val="24"/>
                <w:szCs w:val="24"/>
              </w:rPr>
            </w:pPr>
            <w:proofErr w:type="spellStart"/>
            <w:r w:rsidRPr="00E813FA">
              <w:rPr>
                <w:rFonts w:asciiTheme="majorBidi" w:hAnsiTheme="majorBidi" w:cstheme="majorBidi"/>
                <w:sz w:val="24"/>
                <w:szCs w:val="24"/>
              </w:rPr>
              <w:t>Archer</w:t>
            </w:r>
            <w:proofErr w:type="spellEnd"/>
            <w:r w:rsidRPr="00E813FA">
              <w:rPr>
                <w:rFonts w:asciiTheme="majorBidi" w:hAnsiTheme="majorBidi" w:cstheme="majorBidi"/>
                <w:sz w:val="24"/>
                <w:szCs w:val="24"/>
              </w:rPr>
              <w:t xml:space="preserve"> Daniels Midland</w:t>
            </w:r>
          </w:p>
        </w:tc>
      </w:tr>
      <w:tr w:rsidR="004D6D53" w:rsidRPr="00C16A0E" w14:paraId="50392FAD" w14:textId="77777777" w:rsidTr="00C16A0E">
        <w:tc>
          <w:tcPr>
            <w:tcW w:w="1103" w:type="dxa"/>
            <w:vAlign w:val="center"/>
          </w:tcPr>
          <w:p w14:paraId="65B08F89" w14:textId="13AEB164" w:rsidR="004D6D53" w:rsidRPr="00E813FA" w:rsidRDefault="004D6D53" w:rsidP="005148A4">
            <w:pPr>
              <w:spacing w:line="360" w:lineRule="auto"/>
              <w:rPr>
                <w:rFonts w:asciiTheme="majorBidi" w:hAnsiTheme="majorBidi" w:cstheme="majorBidi"/>
                <w:sz w:val="24"/>
                <w:szCs w:val="24"/>
              </w:rPr>
            </w:pPr>
            <w:r>
              <w:rPr>
                <w:rFonts w:asciiTheme="majorBidi" w:hAnsiTheme="majorBidi" w:cstheme="majorBidi"/>
                <w:sz w:val="24"/>
                <w:szCs w:val="24"/>
              </w:rPr>
              <w:t>CEE</w:t>
            </w:r>
          </w:p>
        </w:tc>
        <w:tc>
          <w:tcPr>
            <w:tcW w:w="7544" w:type="dxa"/>
            <w:vAlign w:val="center"/>
          </w:tcPr>
          <w:p w14:paraId="417F6B03" w14:textId="2235147F" w:rsidR="004D6D53" w:rsidRPr="00E813FA" w:rsidRDefault="004D6D53" w:rsidP="005148A4">
            <w:pPr>
              <w:spacing w:line="360" w:lineRule="auto"/>
              <w:rPr>
                <w:rFonts w:asciiTheme="majorBidi" w:hAnsiTheme="majorBidi" w:cstheme="majorBidi"/>
                <w:sz w:val="24"/>
                <w:szCs w:val="24"/>
              </w:rPr>
            </w:pPr>
            <w:r>
              <w:rPr>
                <w:rFonts w:asciiTheme="majorBidi" w:hAnsiTheme="majorBidi" w:cstheme="majorBidi"/>
                <w:sz w:val="24"/>
                <w:szCs w:val="24"/>
              </w:rPr>
              <w:t>Comunidad Económica Europea</w:t>
            </w:r>
          </w:p>
        </w:tc>
      </w:tr>
      <w:tr w:rsidR="0017124B" w:rsidRPr="00C16A0E" w14:paraId="14102642" w14:textId="77777777" w:rsidTr="00C16A0E">
        <w:tc>
          <w:tcPr>
            <w:tcW w:w="1103" w:type="dxa"/>
            <w:vAlign w:val="center"/>
          </w:tcPr>
          <w:p w14:paraId="26A3701F"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CME</w:t>
            </w:r>
          </w:p>
        </w:tc>
        <w:tc>
          <w:tcPr>
            <w:tcW w:w="7544" w:type="dxa"/>
            <w:vAlign w:val="center"/>
          </w:tcPr>
          <w:p w14:paraId="67110C42"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Bolsa de Chicago</w:t>
            </w:r>
          </w:p>
        </w:tc>
      </w:tr>
      <w:tr w:rsidR="0017124B" w:rsidRPr="00C16A0E" w14:paraId="05680658" w14:textId="77777777" w:rsidTr="00C16A0E">
        <w:tc>
          <w:tcPr>
            <w:tcW w:w="1103" w:type="dxa"/>
            <w:vAlign w:val="center"/>
          </w:tcPr>
          <w:p w14:paraId="4A986321"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CIC</w:t>
            </w:r>
          </w:p>
        </w:tc>
        <w:tc>
          <w:tcPr>
            <w:tcW w:w="7544" w:type="dxa"/>
            <w:vAlign w:val="center"/>
          </w:tcPr>
          <w:p w14:paraId="531FC8D2"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color w:val="000000"/>
                <w:sz w:val="24"/>
                <w:szCs w:val="24"/>
              </w:rPr>
              <w:t>Consejo Internacional de Cereales</w:t>
            </w:r>
          </w:p>
        </w:tc>
      </w:tr>
      <w:tr w:rsidR="0017124B" w:rsidRPr="00C16A0E" w14:paraId="7B68F74B" w14:textId="77777777" w:rsidTr="00C16A0E">
        <w:tc>
          <w:tcPr>
            <w:tcW w:w="1103" w:type="dxa"/>
            <w:vAlign w:val="center"/>
          </w:tcPr>
          <w:p w14:paraId="02C82096"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EE.UU.</w:t>
            </w:r>
          </w:p>
        </w:tc>
        <w:tc>
          <w:tcPr>
            <w:tcW w:w="7544" w:type="dxa"/>
            <w:vAlign w:val="center"/>
          </w:tcPr>
          <w:p w14:paraId="5296B9F6"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Estados Unidos</w:t>
            </w:r>
          </w:p>
        </w:tc>
      </w:tr>
      <w:tr w:rsidR="0017124B" w:rsidRPr="00C16A0E" w14:paraId="6DC853ED" w14:textId="77777777" w:rsidTr="00C16A0E">
        <w:tc>
          <w:tcPr>
            <w:tcW w:w="1103" w:type="dxa"/>
            <w:vAlign w:val="center"/>
          </w:tcPr>
          <w:p w14:paraId="68ED93B7"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FAO</w:t>
            </w:r>
          </w:p>
        </w:tc>
        <w:tc>
          <w:tcPr>
            <w:tcW w:w="7544" w:type="dxa"/>
            <w:vAlign w:val="center"/>
          </w:tcPr>
          <w:p w14:paraId="7D48D2B5"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Organización de las Naciones Unidas para la Alimentación y la Agricultura</w:t>
            </w:r>
          </w:p>
        </w:tc>
      </w:tr>
      <w:tr w:rsidR="0017124B" w:rsidRPr="00C16A0E" w14:paraId="0372E38A" w14:textId="77777777" w:rsidTr="00C16A0E">
        <w:tc>
          <w:tcPr>
            <w:tcW w:w="1103" w:type="dxa"/>
            <w:vAlign w:val="center"/>
          </w:tcPr>
          <w:p w14:paraId="394893C6"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GATT</w:t>
            </w:r>
          </w:p>
        </w:tc>
        <w:tc>
          <w:tcPr>
            <w:tcW w:w="7544" w:type="dxa"/>
            <w:vAlign w:val="center"/>
          </w:tcPr>
          <w:p w14:paraId="3059E354"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Acuerdo General sobre Aranceles Aduaneros y Comercio</w:t>
            </w:r>
          </w:p>
        </w:tc>
      </w:tr>
      <w:tr w:rsidR="0017124B" w:rsidRPr="00C16A0E" w14:paraId="0F2A4855" w14:textId="77777777" w:rsidTr="00C16A0E">
        <w:tc>
          <w:tcPr>
            <w:tcW w:w="1103" w:type="dxa"/>
            <w:vAlign w:val="center"/>
          </w:tcPr>
          <w:p w14:paraId="7B0DE52B"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OMC</w:t>
            </w:r>
          </w:p>
        </w:tc>
        <w:tc>
          <w:tcPr>
            <w:tcW w:w="7544" w:type="dxa"/>
            <w:vAlign w:val="center"/>
          </w:tcPr>
          <w:p w14:paraId="5F1DA405"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Organización Mundial del Comercio</w:t>
            </w:r>
          </w:p>
        </w:tc>
      </w:tr>
      <w:tr w:rsidR="0017124B" w:rsidRPr="00C16A0E" w14:paraId="2D42E811" w14:textId="77777777" w:rsidTr="00C16A0E">
        <w:tc>
          <w:tcPr>
            <w:tcW w:w="1103" w:type="dxa"/>
            <w:vAlign w:val="center"/>
          </w:tcPr>
          <w:p w14:paraId="6425A9A9"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ONU</w:t>
            </w:r>
          </w:p>
        </w:tc>
        <w:tc>
          <w:tcPr>
            <w:tcW w:w="7544" w:type="dxa"/>
            <w:vAlign w:val="center"/>
          </w:tcPr>
          <w:p w14:paraId="13EAAEDC"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Organización de las Naciones Unidas</w:t>
            </w:r>
          </w:p>
        </w:tc>
      </w:tr>
      <w:tr w:rsidR="004D6D53" w:rsidRPr="00C16A0E" w14:paraId="6EAD2AEB" w14:textId="77777777" w:rsidTr="00C16A0E">
        <w:tc>
          <w:tcPr>
            <w:tcW w:w="1103" w:type="dxa"/>
            <w:vAlign w:val="center"/>
          </w:tcPr>
          <w:p w14:paraId="5DBF7273" w14:textId="31C1A7BE" w:rsidR="004D6D53" w:rsidRPr="00E813FA" w:rsidRDefault="004D6D53" w:rsidP="005148A4">
            <w:pPr>
              <w:spacing w:line="360" w:lineRule="auto"/>
              <w:rPr>
                <w:rFonts w:asciiTheme="majorBidi" w:hAnsiTheme="majorBidi" w:cstheme="majorBidi"/>
                <w:sz w:val="24"/>
                <w:szCs w:val="24"/>
              </w:rPr>
            </w:pPr>
            <w:r>
              <w:rPr>
                <w:rFonts w:asciiTheme="majorBidi" w:hAnsiTheme="majorBidi" w:cstheme="majorBidi"/>
                <w:sz w:val="24"/>
                <w:szCs w:val="24"/>
              </w:rPr>
              <w:t>PAC</w:t>
            </w:r>
          </w:p>
        </w:tc>
        <w:tc>
          <w:tcPr>
            <w:tcW w:w="7544" w:type="dxa"/>
            <w:vAlign w:val="center"/>
          </w:tcPr>
          <w:p w14:paraId="14968D08" w14:textId="3C1CC114" w:rsidR="004D6D53" w:rsidRPr="00E813FA" w:rsidRDefault="004D6D53" w:rsidP="005148A4">
            <w:pPr>
              <w:spacing w:line="360" w:lineRule="auto"/>
              <w:rPr>
                <w:rFonts w:asciiTheme="majorBidi" w:hAnsiTheme="majorBidi" w:cstheme="majorBidi"/>
                <w:sz w:val="24"/>
                <w:szCs w:val="24"/>
              </w:rPr>
            </w:pPr>
            <w:r>
              <w:rPr>
                <w:rFonts w:asciiTheme="majorBidi" w:hAnsiTheme="majorBidi" w:cstheme="majorBidi"/>
                <w:sz w:val="24"/>
                <w:szCs w:val="24"/>
              </w:rPr>
              <w:t>Política Agraria Común</w:t>
            </w:r>
          </w:p>
        </w:tc>
      </w:tr>
      <w:tr w:rsidR="0017124B" w:rsidRPr="00C16A0E" w14:paraId="2D2D34CA" w14:textId="77777777" w:rsidTr="00C16A0E">
        <w:tc>
          <w:tcPr>
            <w:tcW w:w="1103" w:type="dxa"/>
            <w:vAlign w:val="center"/>
          </w:tcPr>
          <w:p w14:paraId="7ACDAC37"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UE</w:t>
            </w:r>
          </w:p>
        </w:tc>
        <w:tc>
          <w:tcPr>
            <w:tcW w:w="7544" w:type="dxa"/>
            <w:vAlign w:val="center"/>
          </w:tcPr>
          <w:p w14:paraId="3F54A43B"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Unión Europea</w:t>
            </w:r>
          </w:p>
        </w:tc>
      </w:tr>
      <w:tr w:rsidR="0017124B" w:rsidRPr="00C16A0E" w14:paraId="214B595C" w14:textId="77777777" w:rsidTr="00C16A0E">
        <w:tc>
          <w:tcPr>
            <w:tcW w:w="1103" w:type="dxa"/>
            <w:vAlign w:val="center"/>
          </w:tcPr>
          <w:p w14:paraId="3A4EFC8E" w14:textId="44FF861F"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UEE</w:t>
            </w:r>
          </w:p>
        </w:tc>
        <w:tc>
          <w:tcPr>
            <w:tcW w:w="7544" w:type="dxa"/>
            <w:vAlign w:val="center"/>
          </w:tcPr>
          <w:p w14:paraId="033B9EE5"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Unión Económica Euroasiática</w:t>
            </w:r>
          </w:p>
        </w:tc>
      </w:tr>
      <w:tr w:rsidR="0017124B" w:rsidRPr="00C16A0E" w14:paraId="60830265" w14:textId="77777777" w:rsidTr="00C16A0E">
        <w:tc>
          <w:tcPr>
            <w:tcW w:w="1103" w:type="dxa"/>
            <w:vAlign w:val="center"/>
          </w:tcPr>
          <w:p w14:paraId="62AFF1AB"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URSS</w:t>
            </w:r>
          </w:p>
        </w:tc>
        <w:tc>
          <w:tcPr>
            <w:tcW w:w="7544" w:type="dxa"/>
            <w:vAlign w:val="center"/>
          </w:tcPr>
          <w:p w14:paraId="12D71666"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Unión de Repúblicas Socialistas Soviéticas</w:t>
            </w:r>
          </w:p>
        </w:tc>
      </w:tr>
      <w:tr w:rsidR="0017124B" w:rsidRPr="00C16A0E" w14:paraId="44DB458C" w14:textId="77777777" w:rsidTr="00C16A0E">
        <w:tc>
          <w:tcPr>
            <w:tcW w:w="1103" w:type="dxa"/>
            <w:vAlign w:val="center"/>
          </w:tcPr>
          <w:p w14:paraId="1CFFD780" w14:textId="77777777" w:rsidR="0017124B" w:rsidRPr="00E813FA" w:rsidRDefault="0017124B" w:rsidP="005148A4">
            <w:pPr>
              <w:tabs>
                <w:tab w:val="left" w:pos="1106"/>
              </w:tabs>
              <w:spacing w:line="360" w:lineRule="auto"/>
              <w:rPr>
                <w:rFonts w:asciiTheme="majorBidi" w:hAnsiTheme="majorBidi" w:cstheme="majorBidi"/>
                <w:sz w:val="24"/>
                <w:szCs w:val="24"/>
              </w:rPr>
            </w:pPr>
            <w:r w:rsidRPr="00E813FA">
              <w:rPr>
                <w:rFonts w:asciiTheme="majorBidi" w:hAnsiTheme="majorBidi" w:cstheme="majorBidi"/>
                <w:sz w:val="24"/>
                <w:szCs w:val="24"/>
              </w:rPr>
              <w:t>USD</w:t>
            </w:r>
          </w:p>
        </w:tc>
        <w:tc>
          <w:tcPr>
            <w:tcW w:w="7544" w:type="dxa"/>
            <w:vAlign w:val="center"/>
          </w:tcPr>
          <w:p w14:paraId="1DFB182D" w14:textId="77777777" w:rsidR="0017124B" w:rsidRPr="00E813FA" w:rsidRDefault="0017124B" w:rsidP="005148A4">
            <w:pPr>
              <w:spacing w:line="360" w:lineRule="auto"/>
              <w:rPr>
                <w:rFonts w:asciiTheme="majorBidi" w:hAnsiTheme="majorBidi" w:cstheme="majorBidi"/>
                <w:sz w:val="24"/>
                <w:szCs w:val="24"/>
              </w:rPr>
            </w:pPr>
            <w:r w:rsidRPr="00E813FA">
              <w:rPr>
                <w:rFonts w:asciiTheme="majorBidi" w:hAnsiTheme="majorBidi" w:cstheme="majorBidi"/>
                <w:sz w:val="24"/>
                <w:szCs w:val="24"/>
              </w:rPr>
              <w:t>Dólar estadounidense</w:t>
            </w:r>
          </w:p>
        </w:tc>
      </w:tr>
    </w:tbl>
    <w:p w14:paraId="45DC1285" w14:textId="77777777" w:rsidR="009B3244" w:rsidRPr="009B3244" w:rsidRDefault="009B3244" w:rsidP="009B3244"/>
    <w:p w14:paraId="1CEEBCF0" w14:textId="79254877" w:rsidR="005148A4" w:rsidRPr="00C16A0E" w:rsidRDefault="005148A4" w:rsidP="00C16A0E">
      <w:pPr>
        <w:pStyle w:val="TtuloTDC"/>
        <w:spacing w:line="360" w:lineRule="auto"/>
        <w:jc w:val="both"/>
        <w:rPr>
          <w:rFonts w:asciiTheme="majorBidi" w:eastAsiaTheme="minorHAnsi" w:hAnsiTheme="majorBidi" w:cstheme="minorBidi"/>
          <w:b/>
          <w:bCs/>
          <w:color w:val="auto"/>
          <w:lang w:eastAsia="en-US"/>
        </w:rPr>
      </w:pPr>
      <w:r w:rsidRPr="00C16A0E">
        <w:rPr>
          <w:rFonts w:asciiTheme="majorBidi" w:eastAsiaTheme="minorHAnsi" w:hAnsiTheme="majorBidi" w:cstheme="minorBidi"/>
          <w:b/>
          <w:bCs/>
          <w:color w:val="auto"/>
          <w:lang w:eastAsia="en-US"/>
        </w:rPr>
        <w:t>Índice de figuras</w:t>
      </w:r>
    </w:p>
    <w:p w14:paraId="462082F9" w14:textId="1943733A" w:rsidR="00C16A0E" w:rsidRPr="00E813FA" w:rsidRDefault="005148A4"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r w:rsidRPr="00E813FA">
        <w:rPr>
          <w:rFonts w:asciiTheme="majorBidi" w:hAnsiTheme="majorBidi" w:cstheme="majorBidi"/>
          <w:sz w:val="24"/>
          <w:szCs w:val="24"/>
        </w:rPr>
        <w:fldChar w:fldCharType="begin"/>
      </w:r>
      <w:r w:rsidRPr="00E813FA">
        <w:rPr>
          <w:rFonts w:asciiTheme="majorBidi" w:hAnsiTheme="majorBidi" w:cstheme="majorBidi"/>
          <w:sz w:val="24"/>
          <w:szCs w:val="24"/>
        </w:rPr>
        <w:instrText xml:space="preserve"> TOC \h \z \c "Gráfico" </w:instrText>
      </w:r>
      <w:r w:rsidRPr="00E813FA">
        <w:rPr>
          <w:rFonts w:asciiTheme="majorBidi" w:hAnsiTheme="majorBidi" w:cstheme="majorBidi"/>
          <w:sz w:val="24"/>
          <w:szCs w:val="24"/>
        </w:rPr>
        <w:fldChar w:fldCharType="separate"/>
      </w:r>
      <w:hyperlink w:anchor="_Toc137394942" w:history="1">
        <w:r w:rsidR="00C16A0E" w:rsidRPr="00E813FA">
          <w:rPr>
            <w:rStyle w:val="Hipervnculo"/>
            <w:rFonts w:asciiTheme="majorBidi" w:hAnsiTheme="majorBidi" w:cstheme="majorBidi"/>
            <w:noProof/>
            <w:sz w:val="24"/>
            <w:szCs w:val="24"/>
          </w:rPr>
          <w:t>Gráfico 1. Producción anual de maíz de los principales actores, en millones de toneladas métricas.</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_Toc137394942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21</w:t>
        </w:r>
        <w:r w:rsidR="00C16A0E" w:rsidRPr="00E813FA">
          <w:rPr>
            <w:rFonts w:asciiTheme="majorBidi" w:hAnsiTheme="majorBidi" w:cstheme="majorBidi"/>
            <w:noProof/>
            <w:webHidden/>
            <w:sz w:val="24"/>
            <w:szCs w:val="24"/>
          </w:rPr>
          <w:fldChar w:fldCharType="end"/>
        </w:r>
      </w:hyperlink>
    </w:p>
    <w:p w14:paraId="684D60B3" w14:textId="0FC91272" w:rsidR="00C16A0E" w:rsidRPr="00E813FA" w:rsidRDefault="00000000"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hyperlink w:anchor="_Toc137394943" w:history="1">
        <w:r w:rsidR="00C16A0E" w:rsidRPr="00E813FA">
          <w:rPr>
            <w:rStyle w:val="Hipervnculo"/>
            <w:rFonts w:asciiTheme="majorBidi" w:hAnsiTheme="majorBidi" w:cstheme="majorBidi"/>
            <w:noProof/>
            <w:sz w:val="24"/>
            <w:szCs w:val="24"/>
          </w:rPr>
          <w:t>Gráfico 2. Producción y exportación anual de maíz de Ucrania, en millones de toneladas métricas.</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_Toc137394943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22</w:t>
        </w:r>
        <w:r w:rsidR="00C16A0E" w:rsidRPr="00E813FA">
          <w:rPr>
            <w:rFonts w:asciiTheme="majorBidi" w:hAnsiTheme="majorBidi" w:cstheme="majorBidi"/>
            <w:noProof/>
            <w:webHidden/>
            <w:sz w:val="24"/>
            <w:szCs w:val="24"/>
          </w:rPr>
          <w:fldChar w:fldCharType="end"/>
        </w:r>
      </w:hyperlink>
    </w:p>
    <w:p w14:paraId="7B838F7C" w14:textId="26B43CAC" w:rsidR="00C16A0E" w:rsidRPr="00E813FA" w:rsidRDefault="00000000"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hyperlink w:anchor="_Toc137394944" w:history="1">
        <w:r w:rsidR="00C16A0E" w:rsidRPr="00E813FA">
          <w:rPr>
            <w:rStyle w:val="Hipervnculo"/>
            <w:rFonts w:asciiTheme="majorBidi" w:hAnsiTheme="majorBidi" w:cstheme="majorBidi"/>
            <w:noProof/>
            <w:sz w:val="24"/>
            <w:szCs w:val="24"/>
          </w:rPr>
          <w:t>Gráfico 3. Producción y exportación anual de maíz de Rusia, en millones de toneladas métricas.</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_Toc137394944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22</w:t>
        </w:r>
        <w:r w:rsidR="00C16A0E" w:rsidRPr="00E813FA">
          <w:rPr>
            <w:rFonts w:asciiTheme="majorBidi" w:hAnsiTheme="majorBidi" w:cstheme="majorBidi"/>
            <w:noProof/>
            <w:webHidden/>
            <w:sz w:val="24"/>
            <w:szCs w:val="24"/>
          </w:rPr>
          <w:fldChar w:fldCharType="end"/>
        </w:r>
      </w:hyperlink>
    </w:p>
    <w:p w14:paraId="01248DCC" w14:textId="6AADC976" w:rsidR="00C16A0E" w:rsidRPr="00E813FA" w:rsidRDefault="00000000"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hyperlink w:anchor="_Toc137394945" w:history="1">
        <w:r w:rsidR="00C16A0E" w:rsidRPr="00E813FA">
          <w:rPr>
            <w:rStyle w:val="Hipervnculo"/>
            <w:rFonts w:asciiTheme="majorBidi" w:hAnsiTheme="majorBidi" w:cstheme="majorBidi"/>
            <w:noProof/>
            <w:sz w:val="24"/>
            <w:szCs w:val="24"/>
          </w:rPr>
          <w:t>Gráfico 4. Producción anual de trigo de los principales actores, en millones de toneladas métricas.</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_Toc137394945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23</w:t>
        </w:r>
        <w:r w:rsidR="00C16A0E" w:rsidRPr="00E813FA">
          <w:rPr>
            <w:rFonts w:asciiTheme="majorBidi" w:hAnsiTheme="majorBidi" w:cstheme="majorBidi"/>
            <w:noProof/>
            <w:webHidden/>
            <w:sz w:val="24"/>
            <w:szCs w:val="24"/>
          </w:rPr>
          <w:fldChar w:fldCharType="end"/>
        </w:r>
      </w:hyperlink>
    </w:p>
    <w:p w14:paraId="7260876D" w14:textId="080CFEFA" w:rsidR="00C16A0E" w:rsidRPr="00E813FA" w:rsidRDefault="00000000"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hyperlink w:anchor="_Toc137394946" w:history="1">
        <w:r w:rsidR="00C16A0E" w:rsidRPr="00E813FA">
          <w:rPr>
            <w:rStyle w:val="Hipervnculo"/>
            <w:rFonts w:asciiTheme="majorBidi" w:hAnsiTheme="majorBidi" w:cstheme="majorBidi"/>
            <w:noProof/>
            <w:sz w:val="24"/>
            <w:szCs w:val="24"/>
          </w:rPr>
          <w:t>Gráfico 5. Producción y exportación anual de trigo de Ucrania, en millones de toneladas métricas.</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_Toc137394946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24</w:t>
        </w:r>
        <w:r w:rsidR="00C16A0E" w:rsidRPr="00E813FA">
          <w:rPr>
            <w:rFonts w:asciiTheme="majorBidi" w:hAnsiTheme="majorBidi" w:cstheme="majorBidi"/>
            <w:noProof/>
            <w:webHidden/>
            <w:sz w:val="24"/>
            <w:szCs w:val="24"/>
          </w:rPr>
          <w:fldChar w:fldCharType="end"/>
        </w:r>
      </w:hyperlink>
    </w:p>
    <w:p w14:paraId="7C3842E7" w14:textId="59ABAC43" w:rsidR="00C16A0E" w:rsidRPr="00E813FA" w:rsidRDefault="00000000"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hyperlink w:anchor="_Toc137394947" w:history="1">
        <w:r w:rsidR="00C16A0E" w:rsidRPr="00E813FA">
          <w:rPr>
            <w:rStyle w:val="Hipervnculo"/>
            <w:rFonts w:asciiTheme="majorBidi" w:hAnsiTheme="majorBidi" w:cstheme="majorBidi"/>
            <w:noProof/>
            <w:sz w:val="24"/>
            <w:szCs w:val="24"/>
          </w:rPr>
          <w:t>Gráfico 6. Producción y exportación anual de trigo de Rusia, en millones de toneladas métricas.</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_Toc137394947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25</w:t>
        </w:r>
        <w:r w:rsidR="00C16A0E" w:rsidRPr="00E813FA">
          <w:rPr>
            <w:rFonts w:asciiTheme="majorBidi" w:hAnsiTheme="majorBidi" w:cstheme="majorBidi"/>
            <w:noProof/>
            <w:webHidden/>
            <w:sz w:val="24"/>
            <w:szCs w:val="24"/>
          </w:rPr>
          <w:fldChar w:fldCharType="end"/>
        </w:r>
      </w:hyperlink>
    </w:p>
    <w:p w14:paraId="67E8FCE6" w14:textId="568BE222" w:rsidR="00C16A0E" w:rsidRPr="00E813FA" w:rsidRDefault="005148A4" w:rsidP="00C16A0E">
      <w:pPr>
        <w:pStyle w:val="Tabladeilustraciones"/>
        <w:tabs>
          <w:tab w:val="right" w:leader="dot" w:pos="8494"/>
        </w:tabs>
        <w:spacing w:line="360" w:lineRule="auto"/>
        <w:rPr>
          <w:rFonts w:asciiTheme="majorBidi" w:hAnsiTheme="majorBidi" w:cstheme="majorBidi"/>
          <w:noProof/>
          <w:sz w:val="24"/>
          <w:szCs w:val="24"/>
        </w:rPr>
      </w:pPr>
      <w:r w:rsidRPr="00E813FA">
        <w:rPr>
          <w:rFonts w:asciiTheme="majorBidi" w:hAnsiTheme="majorBidi" w:cstheme="majorBidi"/>
          <w:sz w:val="24"/>
          <w:szCs w:val="24"/>
        </w:rPr>
        <w:fldChar w:fldCharType="end"/>
      </w:r>
      <w:r w:rsidRPr="00E813FA">
        <w:rPr>
          <w:rFonts w:asciiTheme="majorBidi" w:hAnsiTheme="majorBidi" w:cstheme="majorBidi"/>
          <w:sz w:val="24"/>
          <w:szCs w:val="24"/>
        </w:rPr>
        <w:fldChar w:fldCharType="begin"/>
      </w:r>
      <w:r w:rsidRPr="00E813FA">
        <w:rPr>
          <w:rFonts w:asciiTheme="majorBidi" w:hAnsiTheme="majorBidi" w:cstheme="majorBidi"/>
          <w:sz w:val="24"/>
          <w:szCs w:val="24"/>
        </w:rPr>
        <w:instrText xml:space="preserve"> TOC \h \z \c "Tabla" </w:instrText>
      </w:r>
      <w:r w:rsidRPr="00E813FA">
        <w:rPr>
          <w:rFonts w:asciiTheme="majorBidi" w:hAnsiTheme="majorBidi" w:cstheme="majorBidi"/>
          <w:sz w:val="24"/>
          <w:szCs w:val="24"/>
        </w:rPr>
        <w:fldChar w:fldCharType="separate"/>
      </w:r>
      <w:hyperlink w:anchor="_Toc137394948" w:history="1">
        <w:r w:rsidR="00C16A0E" w:rsidRPr="00E813FA">
          <w:rPr>
            <w:rStyle w:val="Hipervnculo"/>
            <w:rFonts w:asciiTheme="majorBidi" w:hAnsiTheme="majorBidi" w:cstheme="majorBidi"/>
            <w:noProof/>
            <w:sz w:val="24"/>
            <w:szCs w:val="24"/>
          </w:rPr>
          <w:t>Tabla 1. Dependencia de las exportaciones de maíz rusas y ucranianas, por países importadores, para el año 2021.</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_Toc137394948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29</w:t>
        </w:r>
        <w:r w:rsidR="00C16A0E" w:rsidRPr="00E813FA">
          <w:rPr>
            <w:rFonts w:asciiTheme="majorBidi" w:hAnsiTheme="majorBidi" w:cstheme="majorBidi"/>
            <w:noProof/>
            <w:webHidden/>
            <w:sz w:val="24"/>
            <w:szCs w:val="24"/>
          </w:rPr>
          <w:fldChar w:fldCharType="end"/>
        </w:r>
      </w:hyperlink>
    </w:p>
    <w:p w14:paraId="703AFFA2" w14:textId="75979E6A" w:rsidR="00C16A0E" w:rsidRPr="00E813FA" w:rsidRDefault="00000000" w:rsidP="00C16A0E">
      <w:pPr>
        <w:pStyle w:val="Tabladeilustraciones"/>
        <w:tabs>
          <w:tab w:val="right" w:leader="dot" w:pos="8494"/>
        </w:tabs>
        <w:spacing w:line="360" w:lineRule="auto"/>
        <w:rPr>
          <w:rFonts w:asciiTheme="majorBidi" w:eastAsiaTheme="minorEastAsia" w:hAnsiTheme="majorBidi" w:cstheme="majorBidi"/>
          <w:noProof/>
          <w:kern w:val="2"/>
          <w:sz w:val="24"/>
          <w:szCs w:val="24"/>
          <w:lang w:eastAsia="es-ES"/>
          <w14:ligatures w14:val="standardContextual"/>
        </w:rPr>
      </w:pPr>
      <w:hyperlink w:anchor="_Toc137394949" w:history="1">
        <w:r w:rsidR="00C16A0E" w:rsidRPr="00E813FA">
          <w:rPr>
            <w:rStyle w:val="Hipervnculo"/>
            <w:rFonts w:asciiTheme="majorBidi" w:hAnsiTheme="majorBidi" w:cstheme="majorBidi"/>
            <w:noProof/>
            <w:sz w:val="24"/>
            <w:szCs w:val="24"/>
          </w:rPr>
          <w:t>Tabla 2. Dependencia de las exportaciones de trigo rusas y ucranianas, por países importadores, para el año 2021.</w:t>
        </w:r>
        <w:r w:rsidR="00C16A0E" w:rsidRPr="00E813FA">
          <w:rPr>
            <w:rFonts w:asciiTheme="majorBidi" w:hAnsiTheme="majorBidi" w:cstheme="majorBidi"/>
            <w:noProof/>
            <w:webHidden/>
            <w:sz w:val="24"/>
            <w:szCs w:val="24"/>
          </w:rPr>
          <w:tab/>
        </w:r>
        <w:r w:rsidR="00C16A0E" w:rsidRPr="00E813FA">
          <w:rPr>
            <w:rFonts w:asciiTheme="majorBidi" w:hAnsiTheme="majorBidi" w:cstheme="majorBidi"/>
            <w:noProof/>
            <w:webHidden/>
            <w:sz w:val="24"/>
            <w:szCs w:val="24"/>
          </w:rPr>
          <w:fldChar w:fldCharType="begin"/>
        </w:r>
        <w:r w:rsidR="00C16A0E" w:rsidRPr="00E813FA">
          <w:rPr>
            <w:rFonts w:asciiTheme="majorBidi" w:hAnsiTheme="majorBidi" w:cstheme="majorBidi"/>
            <w:noProof/>
            <w:webHidden/>
            <w:sz w:val="24"/>
            <w:szCs w:val="24"/>
          </w:rPr>
          <w:instrText xml:space="preserve"> PAGEREF _Toc137394949 \h </w:instrText>
        </w:r>
        <w:r w:rsidR="00C16A0E" w:rsidRPr="00E813FA">
          <w:rPr>
            <w:rFonts w:asciiTheme="majorBidi" w:hAnsiTheme="majorBidi" w:cstheme="majorBidi"/>
            <w:noProof/>
            <w:webHidden/>
            <w:sz w:val="24"/>
            <w:szCs w:val="24"/>
          </w:rPr>
        </w:r>
        <w:r w:rsidR="00C16A0E" w:rsidRPr="00E813FA">
          <w:rPr>
            <w:rFonts w:asciiTheme="majorBidi" w:hAnsiTheme="majorBidi" w:cstheme="majorBidi"/>
            <w:noProof/>
            <w:webHidden/>
            <w:sz w:val="24"/>
            <w:szCs w:val="24"/>
          </w:rPr>
          <w:fldChar w:fldCharType="separate"/>
        </w:r>
        <w:r w:rsidR="00790F14">
          <w:rPr>
            <w:rFonts w:asciiTheme="majorBidi" w:hAnsiTheme="majorBidi" w:cstheme="majorBidi"/>
            <w:noProof/>
            <w:webHidden/>
            <w:sz w:val="24"/>
            <w:szCs w:val="24"/>
          </w:rPr>
          <w:t>30</w:t>
        </w:r>
        <w:r w:rsidR="00C16A0E" w:rsidRPr="00E813FA">
          <w:rPr>
            <w:rFonts w:asciiTheme="majorBidi" w:hAnsiTheme="majorBidi" w:cstheme="majorBidi"/>
            <w:noProof/>
            <w:webHidden/>
            <w:sz w:val="24"/>
            <w:szCs w:val="24"/>
          </w:rPr>
          <w:fldChar w:fldCharType="end"/>
        </w:r>
      </w:hyperlink>
    </w:p>
    <w:p w14:paraId="786A34A0" w14:textId="470AE743" w:rsidR="007C54BD" w:rsidRPr="001579BE" w:rsidRDefault="005148A4" w:rsidP="00804D12">
      <w:pPr>
        <w:spacing w:line="360" w:lineRule="auto"/>
        <w:rPr>
          <w:rFonts w:asciiTheme="majorBidi" w:hAnsiTheme="majorBidi" w:cstheme="majorBidi"/>
          <w:b/>
          <w:bCs/>
          <w:sz w:val="24"/>
          <w:szCs w:val="24"/>
        </w:rPr>
      </w:pPr>
      <w:r w:rsidRPr="00E813FA">
        <w:rPr>
          <w:rFonts w:asciiTheme="majorBidi" w:hAnsiTheme="majorBidi" w:cstheme="majorBidi"/>
          <w:sz w:val="24"/>
          <w:szCs w:val="24"/>
        </w:rPr>
        <w:lastRenderedPageBreak/>
        <w:fldChar w:fldCharType="end"/>
      </w:r>
      <w:r w:rsidR="007C54BD" w:rsidRPr="001579BE">
        <w:rPr>
          <w:rFonts w:asciiTheme="majorBidi" w:hAnsiTheme="majorBidi" w:cstheme="majorBidi"/>
          <w:b/>
          <w:bCs/>
          <w:sz w:val="24"/>
          <w:szCs w:val="24"/>
        </w:rPr>
        <w:t>Capítulo 1. Introducción</w:t>
      </w:r>
      <w:bookmarkEnd w:id="1"/>
    </w:p>
    <w:p w14:paraId="1D71E3CD" w14:textId="77777777" w:rsidR="007C54BD" w:rsidRPr="001579BE" w:rsidRDefault="007C54BD" w:rsidP="007C54BD">
      <w:pPr>
        <w:pStyle w:val="Ttulo2"/>
        <w:spacing w:after="240"/>
        <w:rPr>
          <w:rFonts w:asciiTheme="majorBidi" w:hAnsiTheme="majorBidi"/>
          <w:b/>
          <w:bCs/>
          <w:color w:val="auto"/>
          <w:sz w:val="24"/>
          <w:szCs w:val="24"/>
        </w:rPr>
      </w:pPr>
      <w:bookmarkStart w:id="2" w:name="_Toc131004459"/>
      <w:bookmarkStart w:id="3" w:name="_Toc137456593"/>
      <w:r w:rsidRPr="001579BE">
        <w:rPr>
          <w:rFonts w:asciiTheme="majorBidi" w:hAnsiTheme="majorBidi"/>
          <w:b/>
          <w:bCs/>
          <w:color w:val="auto"/>
          <w:sz w:val="24"/>
          <w:szCs w:val="24"/>
        </w:rPr>
        <w:t>1.1 Finalidad y motivos</w:t>
      </w:r>
      <w:bookmarkEnd w:id="2"/>
      <w:bookmarkEnd w:id="3"/>
    </w:p>
    <w:p w14:paraId="13004B13" w14:textId="49B2D245" w:rsidR="005D541F" w:rsidRPr="001579BE" w:rsidRDefault="005D541F" w:rsidP="005D541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El día 24 de febrero de 2022, Rusia avanzaba con sus tropas sobre territorio soberano de Ucrania, en un movimiento que el presidente ruso Vladimir Putin presentó como una “operación militar especial” y que el presidente ucraniano </w:t>
      </w:r>
      <w:proofErr w:type="spellStart"/>
      <w:r w:rsidRPr="001579BE">
        <w:rPr>
          <w:rFonts w:asciiTheme="majorBidi" w:hAnsiTheme="majorBidi" w:cstheme="majorBidi"/>
          <w:sz w:val="24"/>
          <w:szCs w:val="24"/>
        </w:rPr>
        <w:t>Volodímir</w:t>
      </w:r>
      <w:proofErr w:type="spellEnd"/>
      <w:r w:rsidRPr="001579BE">
        <w:rPr>
          <w:rFonts w:asciiTheme="majorBidi" w:hAnsiTheme="majorBidi" w:cstheme="majorBidi"/>
          <w:sz w:val="24"/>
          <w:szCs w:val="24"/>
        </w:rPr>
        <w:t xml:space="preserve"> </w:t>
      </w:r>
      <w:proofErr w:type="spellStart"/>
      <w:r w:rsidRPr="001579BE">
        <w:rPr>
          <w:rFonts w:asciiTheme="majorBidi" w:hAnsiTheme="majorBidi" w:cstheme="majorBidi"/>
          <w:sz w:val="24"/>
          <w:szCs w:val="24"/>
        </w:rPr>
        <w:t>Zelensky</w:t>
      </w:r>
      <w:proofErr w:type="spellEnd"/>
      <w:r w:rsidRPr="001579BE">
        <w:rPr>
          <w:rFonts w:asciiTheme="majorBidi" w:hAnsiTheme="majorBidi" w:cstheme="majorBidi"/>
          <w:sz w:val="24"/>
          <w:szCs w:val="24"/>
        </w:rPr>
        <w:t xml:space="preserve"> entendió como una invasión (Graham-Harrison </w:t>
      </w:r>
      <w:r w:rsidRPr="001579BE">
        <w:rPr>
          <w:rFonts w:asciiTheme="majorBidi" w:hAnsiTheme="majorBidi" w:cstheme="majorBidi"/>
          <w:i/>
          <w:iCs/>
          <w:sz w:val="24"/>
          <w:szCs w:val="24"/>
        </w:rPr>
        <w:t>et al.</w:t>
      </w:r>
      <w:r w:rsidRPr="001579BE">
        <w:rPr>
          <w:rFonts w:asciiTheme="majorBidi" w:hAnsiTheme="majorBidi" w:cstheme="majorBidi"/>
          <w:sz w:val="24"/>
          <w:szCs w:val="24"/>
        </w:rPr>
        <w:t xml:space="preserve">, 2022). </w:t>
      </w:r>
      <w:r w:rsidR="00516120" w:rsidRPr="001579BE">
        <w:rPr>
          <w:rFonts w:asciiTheme="majorBidi" w:hAnsiTheme="majorBidi" w:cstheme="majorBidi"/>
          <w:sz w:val="24"/>
          <w:szCs w:val="24"/>
        </w:rPr>
        <w:t>Se trataba de un movimiento que se esperaba fuera una “guerra relámpago” (</w:t>
      </w:r>
      <w:proofErr w:type="spellStart"/>
      <w:r w:rsidR="00516120" w:rsidRPr="001579BE">
        <w:rPr>
          <w:rFonts w:asciiTheme="majorBidi" w:hAnsiTheme="majorBidi" w:cstheme="majorBidi"/>
          <w:sz w:val="24"/>
          <w:szCs w:val="24"/>
        </w:rPr>
        <w:t>Colás</w:t>
      </w:r>
      <w:proofErr w:type="spellEnd"/>
      <w:r w:rsidR="00516120" w:rsidRPr="001579BE">
        <w:rPr>
          <w:rFonts w:asciiTheme="majorBidi" w:hAnsiTheme="majorBidi" w:cstheme="majorBidi"/>
          <w:sz w:val="24"/>
          <w:szCs w:val="24"/>
        </w:rPr>
        <w:t xml:space="preserve">, 2022) pero que sigue sin concluir en el momento de publicación de este trabajo, sin final a la vista por el momento. </w:t>
      </w:r>
    </w:p>
    <w:p w14:paraId="59E8EE75" w14:textId="77777777" w:rsidR="005D541F" w:rsidRPr="001579BE" w:rsidRDefault="005D541F" w:rsidP="005D541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La guerra siempre es, en primer lugar, una catástrofe humanitaria que trae consigo la muerte, las heridas, daños físicos y psicológicos a todos los involucrados en ella, tanto militares como civiles. La guerra también es una catástrofe social, al ser el resultado más extremo de la falta de entendimiento y al forzar a las personas a abandonar sus lugares de residencia o sus modos de vida por miedo a morir si no lo hacen. Además, la guerra es una catástrofe económica, al destruir capital físico y humano, interrumpir la producción y el consumo, y desincentivar la inversión. </w:t>
      </w:r>
    </w:p>
    <w:p w14:paraId="5810D44C" w14:textId="32D9AD6D" w:rsidR="005D541F" w:rsidRPr="001579BE" w:rsidRDefault="005D541F" w:rsidP="005D541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La guerra de Ucrania se presenta como especialmente alteradora de la economía mundial al llegar en un contexto de lenta recuperación tras la pandemia de la COVID-19, caracterizada por altas escaladas inflacionarias y graves congestiones en las cadenas de suministro globales. Por otra parte, como escenario de desarrollo del conflicto Ucrania verá su economía obligada a detenerse o redirigirse hacia actividades orientadas a esfuerzos de guerra, mientras que Rusia habrá de enfrentarse a sanciones económicas sin precedentes en magnitud impuestas por grandes potencias como Estados Unidos </w:t>
      </w:r>
      <w:r w:rsidR="00AE7D8E" w:rsidRPr="001579BE">
        <w:rPr>
          <w:rFonts w:asciiTheme="majorBidi" w:hAnsiTheme="majorBidi" w:cstheme="majorBidi"/>
          <w:sz w:val="24"/>
          <w:szCs w:val="24"/>
        </w:rPr>
        <w:t xml:space="preserve">(EE.UU.) </w:t>
      </w:r>
      <w:r w:rsidRPr="001579BE">
        <w:rPr>
          <w:rFonts w:asciiTheme="majorBidi" w:hAnsiTheme="majorBidi" w:cstheme="majorBidi"/>
          <w:sz w:val="24"/>
          <w:szCs w:val="24"/>
        </w:rPr>
        <w:t>y la Unión Europea</w:t>
      </w:r>
      <w:r w:rsidR="00AE7D8E" w:rsidRPr="001579BE">
        <w:rPr>
          <w:rFonts w:asciiTheme="majorBidi" w:hAnsiTheme="majorBidi" w:cstheme="majorBidi"/>
          <w:sz w:val="24"/>
          <w:szCs w:val="24"/>
        </w:rPr>
        <w:t xml:space="preserve"> (UE)</w:t>
      </w:r>
      <w:r w:rsidRPr="001579BE">
        <w:rPr>
          <w:rFonts w:asciiTheme="majorBidi" w:hAnsiTheme="majorBidi" w:cstheme="majorBidi"/>
          <w:sz w:val="24"/>
          <w:szCs w:val="24"/>
        </w:rPr>
        <w:t>. Se trata de dos países clave en influencia sobre los mercados de productos tan esenciales como el gas y el petróleo, el cobre y el aluminio, o el trigo, el maíz y el aceite de girasol, por lo que una disrupción en las cadenas de suministro que en ellos empiezan podría traducirse en shocks apreciables internacionalmente y de manera especialmente notable en Europa, primer mercado importador de la producción de la región en guerra (</w:t>
      </w:r>
      <w:proofErr w:type="spellStart"/>
      <w:r w:rsidRPr="001579BE">
        <w:rPr>
          <w:rFonts w:asciiTheme="majorBidi" w:hAnsiTheme="majorBidi" w:cstheme="majorBidi"/>
          <w:sz w:val="24"/>
          <w:szCs w:val="24"/>
        </w:rPr>
        <w:t>Kranjc</w:t>
      </w:r>
      <w:proofErr w:type="spellEnd"/>
      <w:r w:rsidRPr="001579BE">
        <w:rPr>
          <w:rFonts w:asciiTheme="majorBidi" w:hAnsiTheme="majorBidi" w:cstheme="majorBidi"/>
          <w:sz w:val="24"/>
          <w:szCs w:val="24"/>
        </w:rPr>
        <w:t>, 2022; Otero-Iglesias y Steinberg, 2022).</w:t>
      </w:r>
    </w:p>
    <w:p w14:paraId="18AD40A0" w14:textId="32B3059A" w:rsidR="005D541F" w:rsidRPr="001579BE" w:rsidRDefault="005D541F"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Dada la vital importancia que productos rusos y ucranianos como el trigo o el maíz y sus precios tienen en tanto en economías desarrolladas como las europeas, como en países en vías de desarrollo como Egipto y Líbano (</w:t>
      </w:r>
      <w:proofErr w:type="spellStart"/>
      <w:r w:rsidRPr="001579BE">
        <w:rPr>
          <w:rFonts w:asciiTheme="majorBidi" w:hAnsiTheme="majorBidi" w:cstheme="majorBidi"/>
          <w:sz w:val="24"/>
          <w:szCs w:val="24"/>
        </w:rPr>
        <w:t>Kavanagh</w:t>
      </w:r>
      <w:proofErr w:type="spellEnd"/>
      <w:r w:rsidRPr="001579BE">
        <w:rPr>
          <w:rFonts w:asciiTheme="majorBidi" w:hAnsiTheme="majorBidi" w:cstheme="majorBidi"/>
          <w:sz w:val="24"/>
          <w:szCs w:val="24"/>
        </w:rPr>
        <w:t xml:space="preserve">, 2022), este trabajo de </w:t>
      </w:r>
      <w:r w:rsidRPr="001579BE">
        <w:rPr>
          <w:rFonts w:asciiTheme="majorBidi" w:hAnsiTheme="majorBidi" w:cstheme="majorBidi"/>
          <w:sz w:val="24"/>
          <w:szCs w:val="24"/>
        </w:rPr>
        <w:lastRenderedPageBreak/>
        <w:t>investigación tratará de describir los efectos que la guerra de Ucrania tuvo sobre los precios de los granos desde allí exportados al resto del mundo durante el primer año del conflicto, estudiando los factores que contribuyeron a elevarlos</w:t>
      </w:r>
      <w:r w:rsidR="00452CB2">
        <w:rPr>
          <w:rFonts w:asciiTheme="majorBidi" w:hAnsiTheme="majorBidi" w:cstheme="majorBidi"/>
          <w:sz w:val="24"/>
          <w:szCs w:val="24"/>
        </w:rPr>
        <w:t xml:space="preserve"> o moderarlos</w:t>
      </w:r>
      <w:r w:rsidRPr="001579BE">
        <w:rPr>
          <w:rFonts w:asciiTheme="majorBidi" w:hAnsiTheme="majorBidi" w:cstheme="majorBidi"/>
          <w:sz w:val="24"/>
          <w:szCs w:val="24"/>
        </w:rPr>
        <w:t>.</w:t>
      </w:r>
    </w:p>
    <w:p w14:paraId="2B186236" w14:textId="77777777" w:rsidR="001579BE" w:rsidRPr="001579BE" w:rsidRDefault="001579BE" w:rsidP="0009454F">
      <w:pPr>
        <w:spacing w:line="360" w:lineRule="auto"/>
        <w:ind w:firstLine="708"/>
        <w:jc w:val="both"/>
        <w:rPr>
          <w:rFonts w:asciiTheme="majorBidi" w:hAnsiTheme="majorBidi" w:cstheme="majorBidi"/>
          <w:sz w:val="24"/>
          <w:szCs w:val="24"/>
        </w:rPr>
      </w:pPr>
    </w:p>
    <w:p w14:paraId="331C074A" w14:textId="77777777" w:rsidR="007C54BD" w:rsidRPr="001579BE" w:rsidRDefault="007C54BD" w:rsidP="0009454F">
      <w:pPr>
        <w:pStyle w:val="Ttulo2"/>
        <w:spacing w:after="240"/>
        <w:jc w:val="both"/>
        <w:rPr>
          <w:rFonts w:asciiTheme="majorBidi" w:hAnsiTheme="majorBidi"/>
          <w:b/>
          <w:bCs/>
          <w:color w:val="auto"/>
          <w:sz w:val="24"/>
          <w:szCs w:val="24"/>
        </w:rPr>
      </w:pPr>
      <w:bookmarkStart w:id="4" w:name="_Toc131004460"/>
      <w:bookmarkStart w:id="5" w:name="_Toc137456594"/>
      <w:r w:rsidRPr="001579BE">
        <w:rPr>
          <w:rFonts w:asciiTheme="majorBidi" w:hAnsiTheme="majorBidi"/>
          <w:b/>
          <w:bCs/>
          <w:color w:val="auto"/>
          <w:sz w:val="24"/>
          <w:szCs w:val="24"/>
        </w:rPr>
        <w:t>1.2 Objetivo</w:t>
      </w:r>
      <w:bookmarkEnd w:id="4"/>
      <w:bookmarkEnd w:id="5"/>
    </w:p>
    <w:p w14:paraId="60E4132B" w14:textId="0DAC2DA7" w:rsidR="00D558FE" w:rsidRPr="001579BE" w:rsidRDefault="00D558FE" w:rsidP="0009454F">
      <w:pPr>
        <w:spacing w:line="360" w:lineRule="auto"/>
        <w:ind w:firstLine="708"/>
        <w:jc w:val="both"/>
        <w:rPr>
          <w:rFonts w:asciiTheme="majorBidi" w:hAnsiTheme="majorBidi" w:cstheme="majorBidi"/>
          <w:color w:val="000000"/>
          <w:sz w:val="24"/>
          <w:szCs w:val="24"/>
        </w:rPr>
      </w:pPr>
      <w:r w:rsidRPr="001579BE">
        <w:rPr>
          <w:rFonts w:asciiTheme="majorBidi" w:hAnsiTheme="majorBidi" w:cstheme="majorBidi"/>
          <w:sz w:val="24"/>
          <w:szCs w:val="24"/>
        </w:rPr>
        <w:t xml:space="preserve">El presente trabajo de investigación tiene el objetivo primario de </w:t>
      </w:r>
      <w:r w:rsidR="005906CE" w:rsidRPr="001579BE">
        <w:rPr>
          <w:rFonts w:asciiTheme="majorBidi" w:hAnsiTheme="majorBidi" w:cstheme="majorBidi"/>
          <w:sz w:val="24"/>
          <w:szCs w:val="24"/>
        </w:rPr>
        <w:t xml:space="preserve">esclarecer las causas de la </w:t>
      </w:r>
      <w:r w:rsidR="002B53F1">
        <w:rPr>
          <w:rFonts w:asciiTheme="majorBidi" w:hAnsiTheme="majorBidi" w:cstheme="majorBidi"/>
          <w:sz w:val="24"/>
          <w:szCs w:val="24"/>
        </w:rPr>
        <w:t>fluctuación</w:t>
      </w:r>
      <w:r w:rsidR="005906CE" w:rsidRPr="001579BE">
        <w:rPr>
          <w:rFonts w:asciiTheme="majorBidi" w:hAnsiTheme="majorBidi" w:cstheme="majorBidi"/>
          <w:sz w:val="24"/>
          <w:szCs w:val="24"/>
        </w:rPr>
        <w:t xml:space="preserve"> de </w:t>
      </w:r>
      <w:r w:rsidR="002B53F1">
        <w:rPr>
          <w:rFonts w:asciiTheme="majorBidi" w:hAnsiTheme="majorBidi" w:cstheme="majorBidi"/>
          <w:sz w:val="24"/>
          <w:szCs w:val="24"/>
        </w:rPr>
        <w:t xml:space="preserve">volúmenes y </w:t>
      </w:r>
      <w:r w:rsidR="005906CE" w:rsidRPr="001579BE">
        <w:rPr>
          <w:rFonts w:asciiTheme="majorBidi" w:hAnsiTheme="majorBidi" w:cstheme="majorBidi"/>
          <w:sz w:val="24"/>
          <w:szCs w:val="24"/>
        </w:rPr>
        <w:t xml:space="preserve">precios que se vio en el mercado internacional de </w:t>
      </w:r>
      <w:r w:rsidR="00452344">
        <w:rPr>
          <w:rFonts w:asciiTheme="majorBidi" w:hAnsiTheme="majorBidi" w:cstheme="majorBidi"/>
          <w:sz w:val="24"/>
          <w:szCs w:val="24"/>
        </w:rPr>
        <w:t>maíz y trigo</w:t>
      </w:r>
      <w:r w:rsidR="005906CE" w:rsidRPr="001579BE">
        <w:rPr>
          <w:rFonts w:asciiTheme="majorBidi" w:hAnsiTheme="majorBidi" w:cstheme="majorBidi"/>
          <w:sz w:val="24"/>
          <w:szCs w:val="24"/>
        </w:rPr>
        <w:t xml:space="preserve"> durante el primer año de conflicto de la guerra de Ucrania. </w:t>
      </w:r>
    </w:p>
    <w:p w14:paraId="55958844" w14:textId="4B4E3F31" w:rsidR="005906CE" w:rsidRPr="001579BE" w:rsidRDefault="00D558FE" w:rsidP="0009454F">
      <w:pPr>
        <w:spacing w:line="360" w:lineRule="auto"/>
        <w:ind w:firstLine="708"/>
        <w:jc w:val="both"/>
        <w:rPr>
          <w:rFonts w:asciiTheme="majorBidi" w:hAnsiTheme="majorBidi" w:cstheme="majorBidi"/>
          <w:color w:val="000000"/>
          <w:sz w:val="24"/>
          <w:szCs w:val="24"/>
        </w:rPr>
      </w:pPr>
      <w:r w:rsidRPr="001579BE">
        <w:rPr>
          <w:rFonts w:asciiTheme="majorBidi" w:hAnsiTheme="majorBidi" w:cstheme="majorBidi"/>
          <w:color w:val="000000"/>
          <w:sz w:val="24"/>
          <w:szCs w:val="24"/>
        </w:rPr>
        <w:t xml:space="preserve">Para ello, se persiguen los objetivos secundarios de </w:t>
      </w:r>
      <w:r w:rsidR="005906CE" w:rsidRPr="001579BE">
        <w:rPr>
          <w:rFonts w:asciiTheme="majorBidi" w:hAnsiTheme="majorBidi" w:cstheme="majorBidi"/>
          <w:color w:val="000000"/>
          <w:sz w:val="24"/>
          <w:szCs w:val="24"/>
        </w:rPr>
        <w:t xml:space="preserve">entender las teorías de comercio internacional que sean de aplicación al comercio de </w:t>
      </w:r>
      <w:proofErr w:type="spellStart"/>
      <w:r w:rsidR="005906CE" w:rsidRPr="001579BE">
        <w:rPr>
          <w:rFonts w:asciiTheme="majorBidi" w:hAnsiTheme="majorBidi" w:cstheme="majorBidi"/>
          <w:i/>
          <w:iCs/>
          <w:color w:val="000000"/>
          <w:sz w:val="24"/>
          <w:szCs w:val="24"/>
        </w:rPr>
        <w:t>commodities</w:t>
      </w:r>
      <w:proofErr w:type="spellEnd"/>
      <w:r w:rsidR="005906CE" w:rsidRPr="001579BE">
        <w:rPr>
          <w:rFonts w:asciiTheme="majorBidi" w:hAnsiTheme="majorBidi" w:cstheme="majorBidi"/>
          <w:color w:val="000000"/>
          <w:sz w:val="24"/>
          <w:szCs w:val="24"/>
        </w:rPr>
        <w:t xml:space="preserve"> o materias primas, estudiar la relevancia de Rusia y Ucrania como potencias productoras y exportadoras de grano, analizar las repercusiones de la guerra en dichas actividades de producción y exportación, y esclarecer </w:t>
      </w:r>
      <w:r w:rsidR="009C740F" w:rsidRPr="001579BE">
        <w:rPr>
          <w:rFonts w:asciiTheme="majorBidi" w:hAnsiTheme="majorBidi" w:cstheme="majorBidi"/>
          <w:color w:val="000000"/>
          <w:sz w:val="24"/>
          <w:szCs w:val="24"/>
        </w:rPr>
        <w:t xml:space="preserve">los efectos del acuerdo firmado por las partes enfrentadas en la guerra en julio de 2022 para la exportación de grano desde los puertos afectados por </w:t>
      </w:r>
      <w:r w:rsidR="00D61EA4">
        <w:rPr>
          <w:rFonts w:asciiTheme="majorBidi" w:hAnsiTheme="majorBidi" w:cstheme="majorBidi"/>
          <w:color w:val="000000"/>
          <w:sz w:val="24"/>
          <w:szCs w:val="24"/>
        </w:rPr>
        <w:t>el conflicto</w:t>
      </w:r>
      <w:r w:rsidR="009C740F" w:rsidRPr="001579BE">
        <w:rPr>
          <w:rFonts w:asciiTheme="majorBidi" w:hAnsiTheme="majorBidi" w:cstheme="majorBidi"/>
          <w:color w:val="000000"/>
          <w:sz w:val="24"/>
          <w:szCs w:val="24"/>
        </w:rPr>
        <w:t>.</w:t>
      </w:r>
      <w:r w:rsidR="009B3244" w:rsidRPr="001579BE">
        <w:rPr>
          <w:rFonts w:asciiTheme="majorBidi" w:hAnsiTheme="majorBidi" w:cstheme="majorBidi"/>
          <w:color w:val="000000"/>
          <w:sz w:val="24"/>
          <w:szCs w:val="24"/>
        </w:rPr>
        <w:t xml:space="preserve"> Además, se examinará la vulnerabilidad de distintos países a un desequilibrio en la producción y exportación de grano desde esta región, para comprender en cuáles de ellos pone en riesgo la seguridad alimentaria un evento como la guerra de Ucrania. </w:t>
      </w:r>
    </w:p>
    <w:p w14:paraId="7F66D70C" w14:textId="77777777" w:rsidR="001579BE" w:rsidRPr="001579BE" w:rsidRDefault="001579BE" w:rsidP="0009454F">
      <w:pPr>
        <w:spacing w:line="360" w:lineRule="auto"/>
        <w:ind w:firstLine="708"/>
        <w:jc w:val="both"/>
        <w:rPr>
          <w:rFonts w:asciiTheme="majorBidi" w:hAnsiTheme="majorBidi" w:cstheme="majorBidi"/>
          <w:color w:val="000000"/>
          <w:sz w:val="24"/>
          <w:szCs w:val="24"/>
        </w:rPr>
      </w:pPr>
    </w:p>
    <w:p w14:paraId="5EEE5FC6" w14:textId="77777777" w:rsidR="007C54BD" w:rsidRPr="001579BE" w:rsidRDefault="007C54BD" w:rsidP="0009454F">
      <w:pPr>
        <w:pStyle w:val="Ttulo2"/>
        <w:spacing w:after="240"/>
        <w:jc w:val="both"/>
        <w:rPr>
          <w:rFonts w:asciiTheme="majorBidi" w:hAnsiTheme="majorBidi"/>
          <w:b/>
          <w:bCs/>
          <w:color w:val="auto"/>
          <w:sz w:val="24"/>
          <w:szCs w:val="24"/>
        </w:rPr>
      </w:pPr>
      <w:bookmarkStart w:id="6" w:name="_Toc131004461"/>
      <w:bookmarkStart w:id="7" w:name="_Toc137456595"/>
      <w:r w:rsidRPr="001579BE">
        <w:rPr>
          <w:rFonts w:asciiTheme="majorBidi" w:hAnsiTheme="majorBidi"/>
          <w:b/>
          <w:bCs/>
          <w:color w:val="auto"/>
          <w:sz w:val="24"/>
          <w:szCs w:val="24"/>
        </w:rPr>
        <w:t>1.3 Metodología del trabajo</w:t>
      </w:r>
      <w:bookmarkEnd w:id="6"/>
      <w:bookmarkEnd w:id="7"/>
    </w:p>
    <w:p w14:paraId="6D07CED9" w14:textId="6B949E09" w:rsidR="0064215E" w:rsidRPr="001579BE" w:rsidRDefault="00D558FE" w:rsidP="003C756A">
      <w:pPr>
        <w:spacing w:line="360" w:lineRule="auto"/>
        <w:ind w:firstLine="708"/>
        <w:jc w:val="both"/>
        <w:rPr>
          <w:rFonts w:asciiTheme="majorBidi" w:hAnsiTheme="majorBidi" w:cstheme="majorBidi"/>
          <w:color w:val="000000"/>
          <w:sz w:val="24"/>
          <w:szCs w:val="24"/>
        </w:rPr>
      </w:pPr>
      <w:r w:rsidRPr="001579BE">
        <w:rPr>
          <w:rFonts w:asciiTheme="majorBidi" w:hAnsiTheme="majorBidi" w:cstheme="majorBidi"/>
          <w:color w:val="000000"/>
          <w:sz w:val="24"/>
          <w:szCs w:val="24"/>
        </w:rPr>
        <w:t xml:space="preserve">Se realizará una revisión documental </w:t>
      </w:r>
      <w:r w:rsidR="0064215E" w:rsidRPr="001579BE">
        <w:rPr>
          <w:rFonts w:asciiTheme="majorBidi" w:hAnsiTheme="majorBidi" w:cstheme="majorBidi"/>
          <w:color w:val="000000"/>
          <w:sz w:val="24"/>
          <w:szCs w:val="24"/>
        </w:rPr>
        <w:t xml:space="preserve">de artículos publicados en revistas científicas a través de repositorios como </w:t>
      </w:r>
      <w:r w:rsidRPr="001579BE">
        <w:rPr>
          <w:rFonts w:asciiTheme="majorBidi" w:hAnsiTheme="majorBidi" w:cstheme="majorBidi"/>
          <w:color w:val="000000"/>
          <w:sz w:val="24"/>
          <w:szCs w:val="24"/>
        </w:rPr>
        <w:t xml:space="preserve">Google </w:t>
      </w:r>
      <w:proofErr w:type="spellStart"/>
      <w:r w:rsidRPr="001579BE">
        <w:rPr>
          <w:rFonts w:asciiTheme="majorBidi" w:hAnsiTheme="majorBidi" w:cstheme="majorBidi"/>
          <w:color w:val="000000"/>
          <w:sz w:val="24"/>
          <w:szCs w:val="24"/>
        </w:rPr>
        <w:t>Scholar</w:t>
      </w:r>
      <w:proofErr w:type="spellEnd"/>
      <w:r w:rsidRPr="001579BE">
        <w:rPr>
          <w:rFonts w:asciiTheme="majorBidi" w:hAnsiTheme="majorBidi" w:cstheme="majorBidi"/>
          <w:color w:val="000000"/>
          <w:sz w:val="24"/>
          <w:szCs w:val="24"/>
        </w:rPr>
        <w:t>, Dialnet</w:t>
      </w:r>
      <w:r w:rsidR="0064215E" w:rsidRPr="001579BE">
        <w:rPr>
          <w:rFonts w:asciiTheme="majorBidi" w:hAnsiTheme="majorBidi" w:cstheme="majorBidi"/>
          <w:color w:val="000000"/>
          <w:sz w:val="24"/>
          <w:szCs w:val="24"/>
        </w:rPr>
        <w:t xml:space="preserve"> o</w:t>
      </w:r>
      <w:r w:rsidRPr="001579BE">
        <w:rPr>
          <w:rFonts w:asciiTheme="majorBidi" w:hAnsiTheme="majorBidi" w:cstheme="majorBidi"/>
          <w:color w:val="000000"/>
          <w:sz w:val="24"/>
          <w:szCs w:val="24"/>
        </w:rPr>
        <w:t xml:space="preserve"> </w:t>
      </w:r>
      <w:proofErr w:type="spellStart"/>
      <w:r w:rsidRPr="001579BE">
        <w:rPr>
          <w:rFonts w:asciiTheme="majorBidi" w:hAnsiTheme="majorBidi" w:cstheme="majorBidi"/>
          <w:color w:val="000000"/>
          <w:sz w:val="24"/>
          <w:szCs w:val="24"/>
        </w:rPr>
        <w:t>ResearchGate</w:t>
      </w:r>
      <w:proofErr w:type="spellEnd"/>
      <w:r w:rsidR="0064215E" w:rsidRPr="001579BE">
        <w:rPr>
          <w:rFonts w:asciiTheme="majorBidi" w:hAnsiTheme="majorBidi" w:cstheme="majorBidi"/>
          <w:color w:val="000000"/>
          <w:sz w:val="24"/>
          <w:szCs w:val="24"/>
        </w:rPr>
        <w:t>; y de</w:t>
      </w:r>
      <w:r w:rsidRPr="001579BE">
        <w:rPr>
          <w:rFonts w:asciiTheme="majorBidi" w:hAnsiTheme="majorBidi" w:cstheme="majorBidi"/>
          <w:color w:val="000000"/>
          <w:sz w:val="24"/>
          <w:szCs w:val="24"/>
        </w:rPr>
        <w:t xml:space="preserve"> informes </w:t>
      </w:r>
      <w:r w:rsidR="0064215E" w:rsidRPr="001579BE">
        <w:rPr>
          <w:rFonts w:asciiTheme="majorBidi" w:hAnsiTheme="majorBidi" w:cstheme="majorBidi"/>
          <w:color w:val="000000"/>
          <w:sz w:val="24"/>
          <w:szCs w:val="24"/>
        </w:rPr>
        <w:t>elaborados por organismos</w:t>
      </w:r>
      <w:r w:rsidRPr="001579BE">
        <w:rPr>
          <w:rFonts w:asciiTheme="majorBidi" w:hAnsiTheme="majorBidi" w:cstheme="majorBidi"/>
          <w:color w:val="000000"/>
          <w:sz w:val="24"/>
          <w:szCs w:val="24"/>
        </w:rPr>
        <w:t xml:space="preserve"> pertinentes</w:t>
      </w:r>
      <w:r w:rsidR="0064215E" w:rsidRPr="001579BE">
        <w:rPr>
          <w:rFonts w:asciiTheme="majorBidi" w:hAnsiTheme="majorBidi" w:cstheme="majorBidi"/>
          <w:color w:val="000000"/>
          <w:sz w:val="24"/>
          <w:szCs w:val="24"/>
        </w:rPr>
        <w:t xml:space="preserve"> tales como el Banco Mundial, el </w:t>
      </w:r>
      <w:r w:rsidR="003C756A" w:rsidRPr="001579BE">
        <w:rPr>
          <w:rFonts w:asciiTheme="majorBidi" w:hAnsiTheme="majorBidi" w:cstheme="majorBidi"/>
          <w:color w:val="000000"/>
          <w:sz w:val="24"/>
          <w:szCs w:val="24"/>
        </w:rPr>
        <w:t xml:space="preserve">Consejo Internacional de Cereales (CIC o, en inglés, </w:t>
      </w:r>
      <w:r w:rsidR="0064215E" w:rsidRPr="001579BE">
        <w:rPr>
          <w:rFonts w:asciiTheme="majorBidi" w:hAnsiTheme="majorBidi" w:cstheme="majorBidi"/>
          <w:color w:val="000000"/>
          <w:sz w:val="24"/>
          <w:szCs w:val="24"/>
        </w:rPr>
        <w:t xml:space="preserve">International </w:t>
      </w:r>
      <w:proofErr w:type="spellStart"/>
      <w:r w:rsidR="0064215E" w:rsidRPr="001579BE">
        <w:rPr>
          <w:rFonts w:asciiTheme="majorBidi" w:hAnsiTheme="majorBidi" w:cstheme="majorBidi"/>
          <w:color w:val="000000"/>
          <w:sz w:val="24"/>
          <w:szCs w:val="24"/>
        </w:rPr>
        <w:t>Grains</w:t>
      </w:r>
      <w:proofErr w:type="spellEnd"/>
      <w:r w:rsidR="0064215E" w:rsidRPr="001579BE">
        <w:rPr>
          <w:rFonts w:asciiTheme="majorBidi" w:hAnsiTheme="majorBidi" w:cstheme="majorBidi"/>
          <w:color w:val="000000"/>
          <w:sz w:val="24"/>
          <w:szCs w:val="24"/>
        </w:rPr>
        <w:t xml:space="preserve"> Council), la Organización de las Naciones Unidas para la Alimentación y la Agricultura (FAO, por sus siglas en inglés) o el </w:t>
      </w:r>
      <w:proofErr w:type="spellStart"/>
      <w:r w:rsidR="0064215E" w:rsidRPr="001579BE">
        <w:rPr>
          <w:rFonts w:asciiTheme="majorBidi" w:hAnsiTheme="majorBidi" w:cstheme="majorBidi"/>
          <w:color w:val="000000"/>
          <w:sz w:val="24"/>
          <w:szCs w:val="24"/>
        </w:rPr>
        <w:t>Observatory</w:t>
      </w:r>
      <w:proofErr w:type="spellEnd"/>
      <w:r w:rsidR="0064215E" w:rsidRPr="001579BE">
        <w:rPr>
          <w:rFonts w:asciiTheme="majorBidi" w:hAnsiTheme="majorBidi" w:cstheme="majorBidi"/>
          <w:color w:val="000000"/>
          <w:sz w:val="24"/>
          <w:szCs w:val="24"/>
        </w:rPr>
        <w:t xml:space="preserve"> </w:t>
      </w:r>
      <w:proofErr w:type="spellStart"/>
      <w:r w:rsidR="0064215E" w:rsidRPr="001579BE">
        <w:rPr>
          <w:rFonts w:asciiTheme="majorBidi" w:hAnsiTheme="majorBidi" w:cstheme="majorBidi"/>
          <w:color w:val="000000"/>
          <w:sz w:val="24"/>
          <w:szCs w:val="24"/>
        </w:rPr>
        <w:t>of</w:t>
      </w:r>
      <w:proofErr w:type="spellEnd"/>
      <w:r w:rsidR="0064215E" w:rsidRPr="001579BE">
        <w:rPr>
          <w:rFonts w:asciiTheme="majorBidi" w:hAnsiTheme="majorBidi" w:cstheme="majorBidi"/>
          <w:color w:val="000000"/>
          <w:sz w:val="24"/>
          <w:szCs w:val="24"/>
        </w:rPr>
        <w:t xml:space="preserve"> </w:t>
      </w:r>
      <w:proofErr w:type="spellStart"/>
      <w:r w:rsidR="0064215E" w:rsidRPr="001579BE">
        <w:rPr>
          <w:rFonts w:asciiTheme="majorBidi" w:hAnsiTheme="majorBidi" w:cstheme="majorBidi"/>
          <w:color w:val="000000"/>
          <w:sz w:val="24"/>
          <w:szCs w:val="24"/>
        </w:rPr>
        <w:t>Economic</w:t>
      </w:r>
      <w:proofErr w:type="spellEnd"/>
      <w:r w:rsidR="0064215E" w:rsidRPr="001579BE">
        <w:rPr>
          <w:rFonts w:asciiTheme="majorBidi" w:hAnsiTheme="majorBidi" w:cstheme="majorBidi"/>
          <w:color w:val="000000"/>
          <w:sz w:val="24"/>
          <w:szCs w:val="24"/>
        </w:rPr>
        <w:t xml:space="preserve"> </w:t>
      </w:r>
      <w:proofErr w:type="spellStart"/>
      <w:r w:rsidR="0064215E" w:rsidRPr="001579BE">
        <w:rPr>
          <w:rFonts w:asciiTheme="majorBidi" w:hAnsiTheme="majorBidi" w:cstheme="majorBidi"/>
          <w:color w:val="000000"/>
          <w:sz w:val="24"/>
          <w:szCs w:val="24"/>
        </w:rPr>
        <w:t>Complexity</w:t>
      </w:r>
      <w:proofErr w:type="spellEnd"/>
      <w:r w:rsidR="0064215E" w:rsidRPr="001579BE">
        <w:rPr>
          <w:rFonts w:asciiTheme="majorBidi" w:hAnsiTheme="majorBidi" w:cstheme="majorBidi"/>
          <w:color w:val="000000"/>
          <w:sz w:val="24"/>
          <w:szCs w:val="24"/>
        </w:rPr>
        <w:t xml:space="preserve">. Para complementar la información así obtenida, se recurrirá a datos estadísticos recogidos en diferentes bases de datos especializadas en los mercados internacionales de </w:t>
      </w:r>
      <w:proofErr w:type="spellStart"/>
      <w:r w:rsidR="0064215E" w:rsidRPr="001579BE">
        <w:rPr>
          <w:rFonts w:asciiTheme="majorBidi" w:hAnsiTheme="majorBidi" w:cstheme="majorBidi"/>
          <w:i/>
          <w:iCs/>
          <w:color w:val="000000"/>
          <w:sz w:val="24"/>
          <w:szCs w:val="24"/>
        </w:rPr>
        <w:t>commodities</w:t>
      </w:r>
      <w:proofErr w:type="spellEnd"/>
      <w:r w:rsidR="0064215E" w:rsidRPr="001579BE">
        <w:rPr>
          <w:rFonts w:asciiTheme="majorBidi" w:hAnsiTheme="majorBidi" w:cstheme="majorBidi"/>
          <w:color w:val="000000"/>
          <w:sz w:val="24"/>
          <w:szCs w:val="24"/>
        </w:rPr>
        <w:t xml:space="preserve">, tales como Trading </w:t>
      </w:r>
      <w:proofErr w:type="spellStart"/>
      <w:r w:rsidR="0064215E" w:rsidRPr="001579BE">
        <w:rPr>
          <w:rFonts w:asciiTheme="majorBidi" w:hAnsiTheme="majorBidi" w:cstheme="majorBidi"/>
          <w:color w:val="000000"/>
          <w:sz w:val="24"/>
          <w:szCs w:val="24"/>
        </w:rPr>
        <w:t>Economics</w:t>
      </w:r>
      <w:proofErr w:type="spellEnd"/>
      <w:r w:rsidR="0064215E" w:rsidRPr="001579BE">
        <w:rPr>
          <w:rFonts w:asciiTheme="majorBidi" w:hAnsiTheme="majorBidi" w:cstheme="majorBidi"/>
          <w:color w:val="000000"/>
          <w:sz w:val="24"/>
          <w:szCs w:val="24"/>
        </w:rPr>
        <w:t xml:space="preserve">, Commodities.com, Bloomberg, o el </w:t>
      </w:r>
      <w:proofErr w:type="spellStart"/>
      <w:r w:rsidR="0064215E" w:rsidRPr="001579BE">
        <w:rPr>
          <w:rFonts w:asciiTheme="majorBidi" w:hAnsiTheme="majorBidi" w:cstheme="majorBidi"/>
          <w:color w:val="000000"/>
          <w:sz w:val="24"/>
          <w:szCs w:val="24"/>
        </w:rPr>
        <w:t>DataBank</w:t>
      </w:r>
      <w:proofErr w:type="spellEnd"/>
      <w:r w:rsidR="0064215E" w:rsidRPr="001579BE">
        <w:rPr>
          <w:rFonts w:asciiTheme="majorBidi" w:hAnsiTheme="majorBidi" w:cstheme="majorBidi"/>
          <w:color w:val="000000"/>
          <w:sz w:val="24"/>
          <w:szCs w:val="24"/>
        </w:rPr>
        <w:t xml:space="preserve"> del Banco Mundial. </w:t>
      </w:r>
    </w:p>
    <w:p w14:paraId="56DD2144" w14:textId="75102D44" w:rsidR="00C6719D" w:rsidRPr="001579BE" w:rsidRDefault="00C6719D"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Se entenderá la investigación como inherentemente limitada a la temporalidad con la que se realiza: el conflicto protagonista sigue en curso, y aunque el periodo de tiempo </w:t>
      </w:r>
      <w:r w:rsidRPr="001579BE">
        <w:rPr>
          <w:rFonts w:asciiTheme="majorBidi" w:hAnsiTheme="majorBidi" w:cstheme="majorBidi"/>
          <w:sz w:val="24"/>
          <w:szCs w:val="24"/>
        </w:rPr>
        <w:lastRenderedPageBreak/>
        <w:t xml:space="preserve">analizado se haya escogido con una cierta distancia frente a la actualidad, será prudente asumir las conclusiones extraídas como potencialmente vencidas. </w:t>
      </w:r>
    </w:p>
    <w:p w14:paraId="66436C8D" w14:textId="66411E5D" w:rsidR="00565A57" w:rsidRPr="001579BE" w:rsidRDefault="00565A57"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Si bien no se llevará a cabo un estudio de caso propiamente dicho, </w:t>
      </w:r>
      <w:r w:rsidR="009B3244" w:rsidRPr="001579BE">
        <w:rPr>
          <w:rFonts w:asciiTheme="majorBidi" w:hAnsiTheme="majorBidi" w:cstheme="majorBidi"/>
          <w:sz w:val="24"/>
          <w:szCs w:val="24"/>
        </w:rPr>
        <w:t xml:space="preserve">aun </w:t>
      </w:r>
      <w:r w:rsidR="005259E3" w:rsidRPr="001579BE">
        <w:rPr>
          <w:rFonts w:asciiTheme="majorBidi" w:hAnsiTheme="majorBidi" w:cstheme="majorBidi"/>
          <w:sz w:val="24"/>
          <w:szCs w:val="24"/>
        </w:rPr>
        <w:t xml:space="preserve">siendo </w:t>
      </w:r>
      <w:r w:rsidR="009B3244" w:rsidRPr="001579BE">
        <w:rPr>
          <w:rFonts w:asciiTheme="majorBidi" w:hAnsiTheme="majorBidi" w:cstheme="majorBidi"/>
          <w:sz w:val="24"/>
          <w:szCs w:val="24"/>
        </w:rPr>
        <w:t xml:space="preserve">la investigación realizada en este trabajo </w:t>
      </w:r>
      <w:r w:rsidR="005259E3" w:rsidRPr="001579BE">
        <w:rPr>
          <w:rFonts w:asciiTheme="majorBidi" w:hAnsiTheme="majorBidi" w:cstheme="majorBidi"/>
          <w:sz w:val="24"/>
          <w:szCs w:val="24"/>
        </w:rPr>
        <w:t>acotada a un territorio</w:t>
      </w:r>
      <w:r w:rsidR="009B3244" w:rsidRPr="001579BE">
        <w:rPr>
          <w:rFonts w:asciiTheme="majorBidi" w:hAnsiTheme="majorBidi" w:cstheme="majorBidi"/>
          <w:sz w:val="24"/>
          <w:szCs w:val="24"/>
        </w:rPr>
        <w:t xml:space="preserve"> – Rusia y Ucrania – </w:t>
      </w:r>
      <w:r w:rsidR="005259E3" w:rsidRPr="001579BE">
        <w:rPr>
          <w:rFonts w:asciiTheme="majorBidi" w:hAnsiTheme="majorBidi" w:cstheme="majorBidi"/>
          <w:sz w:val="24"/>
          <w:szCs w:val="24"/>
        </w:rPr>
        <w:t>y espacio temporal</w:t>
      </w:r>
      <w:r w:rsidR="009B3244" w:rsidRPr="001579BE">
        <w:rPr>
          <w:rFonts w:asciiTheme="majorBidi" w:hAnsiTheme="majorBidi" w:cstheme="majorBidi"/>
          <w:sz w:val="24"/>
          <w:szCs w:val="24"/>
        </w:rPr>
        <w:t xml:space="preserve"> – el año 2022 –</w:t>
      </w:r>
      <w:r w:rsidR="005259E3" w:rsidRPr="001579BE">
        <w:rPr>
          <w:rFonts w:asciiTheme="majorBidi" w:hAnsiTheme="majorBidi" w:cstheme="majorBidi"/>
          <w:sz w:val="24"/>
          <w:szCs w:val="24"/>
        </w:rPr>
        <w:t xml:space="preserve"> concretos, </w:t>
      </w:r>
      <w:r w:rsidRPr="001579BE">
        <w:rPr>
          <w:rFonts w:asciiTheme="majorBidi" w:hAnsiTheme="majorBidi" w:cstheme="majorBidi"/>
          <w:sz w:val="24"/>
          <w:szCs w:val="24"/>
        </w:rPr>
        <w:t>se ofrecerá</w:t>
      </w:r>
      <w:r w:rsidR="005259E3" w:rsidRPr="001579BE">
        <w:rPr>
          <w:rFonts w:asciiTheme="majorBidi" w:hAnsiTheme="majorBidi" w:cstheme="majorBidi"/>
          <w:sz w:val="24"/>
          <w:szCs w:val="24"/>
        </w:rPr>
        <w:t xml:space="preserve"> </w:t>
      </w:r>
      <w:r w:rsidRPr="001579BE">
        <w:rPr>
          <w:rFonts w:asciiTheme="majorBidi" w:hAnsiTheme="majorBidi" w:cstheme="majorBidi"/>
          <w:sz w:val="24"/>
          <w:szCs w:val="24"/>
        </w:rPr>
        <w:t xml:space="preserve">como relevante por las relaciones entre características que descubra. </w:t>
      </w:r>
    </w:p>
    <w:p w14:paraId="1ADF70DE" w14:textId="77777777" w:rsidR="001579BE" w:rsidRPr="001579BE" w:rsidRDefault="001579BE" w:rsidP="0009454F">
      <w:pPr>
        <w:spacing w:line="360" w:lineRule="auto"/>
        <w:ind w:firstLine="708"/>
        <w:jc w:val="both"/>
        <w:rPr>
          <w:rFonts w:asciiTheme="majorBidi" w:hAnsiTheme="majorBidi" w:cstheme="majorBidi"/>
          <w:sz w:val="24"/>
          <w:szCs w:val="24"/>
        </w:rPr>
      </w:pPr>
    </w:p>
    <w:p w14:paraId="3734473F" w14:textId="77777777" w:rsidR="007C54BD" w:rsidRPr="001579BE" w:rsidRDefault="007C54BD" w:rsidP="0009454F">
      <w:pPr>
        <w:pStyle w:val="Ttulo2"/>
        <w:spacing w:after="240"/>
        <w:jc w:val="both"/>
        <w:rPr>
          <w:rFonts w:asciiTheme="majorBidi" w:hAnsiTheme="majorBidi"/>
          <w:b/>
          <w:bCs/>
          <w:color w:val="auto"/>
          <w:sz w:val="24"/>
          <w:szCs w:val="24"/>
        </w:rPr>
      </w:pPr>
      <w:bookmarkStart w:id="8" w:name="_Toc131004462"/>
      <w:bookmarkStart w:id="9" w:name="_Toc137456596"/>
      <w:r w:rsidRPr="001579BE">
        <w:rPr>
          <w:rFonts w:asciiTheme="majorBidi" w:hAnsiTheme="majorBidi"/>
          <w:b/>
          <w:bCs/>
          <w:color w:val="auto"/>
          <w:sz w:val="24"/>
          <w:szCs w:val="24"/>
        </w:rPr>
        <w:t>1.4 Estructura</w:t>
      </w:r>
      <w:bookmarkEnd w:id="8"/>
      <w:bookmarkEnd w:id="9"/>
    </w:p>
    <w:p w14:paraId="1DB3DCFB" w14:textId="77777777" w:rsidR="00D558FE" w:rsidRPr="001579BE" w:rsidRDefault="00D558FE"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PARTE I</w:t>
      </w:r>
    </w:p>
    <w:p w14:paraId="0BAD8E2D" w14:textId="31826B8E" w:rsidR="00BB195E" w:rsidRPr="001579BE" w:rsidRDefault="00D558FE" w:rsidP="0009454F">
      <w:pPr>
        <w:spacing w:line="360" w:lineRule="auto"/>
        <w:ind w:left="708"/>
        <w:jc w:val="both"/>
        <w:rPr>
          <w:rFonts w:asciiTheme="majorBidi" w:hAnsiTheme="majorBidi" w:cstheme="majorBidi"/>
          <w:sz w:val="24"/>
          <w:szCs w:val="24"/>
        </w:rPr>
      </w:pPr>
      <w:bookmarkStart w:id="10" w:name="_Hlk129086957"/>
      <w:r w:rsidRPr="001579BE">
        <w:rPr>
          <w:rFonts w:asciiTheme="majorBidi" w:hAnsiTheme="majorBidi" w:cstheme="majorBidi"/>
          <w:b/>
          <w:bCs/>
          <w:sz w:val="24"/>
          <w:szCs w:val="24"/>
        </w:rPr>
        <w:t>Capítulo 2. Revisión de la literatura</w:t>
      </w:r>
      <w:r w:rsidR="003B6817" w:rsidRPr="001579BE">
        <w:rPr>
          <w:rFonts w:asciiTheme="majorBidi" w:hAnsiTheme="majorBidi" w:cstheme="majorBidi"/>
          <w:b/>
          <w:bCs/>
          <w:sz w:val="24"/>
          <w:szCs w:val="24"/>
        </w:rPr>
        <w:t xml:space="preserve"> y</w:t>
      </w:r>
      <w:r w:rsidRPr="001579BE">
        <w:rPr>
          <w:rFonts w:asciiTheme="majorBidi" w:hAnsiTheme="majorBidi" w:cstheme="majorBidi"/>
          <w:b/>
          <w:bCs/>
          <w:sz w:val="24"/>
          <w:szCs w:val="24"/>
        </w:rPr>
        <w:t xml:space="preserve"> marco teórico.</w:t>
      </w:r>
      <w:r w:rsidRPr="001579BE">
        <w:rPr>
          <w:rFonts w:asciiTheme="majorBidi" w:hAnsiTheme="majorBidi" w:cstheme="majorBidi"/>
          <w:sz w:val="24"/>
          <w:szCs w:val="24"/>
        </w:rPr>
        <w:t xml:space="preserve"> Se </w:t>
      </w:r>
      <w:r w:rsidR="003B6817" w:rsidRPr="001579BE">
        <w:rPr>
          <w:rFonts w:asciiTheme="majorBidi" w:hAnsiTheme="majorBidi" w:cstheme="majorBidi"/>
          <w:sz w:val="24"/>
          <w:szCs w:val="24"/>
        </w:rPr>
        <w:t xml:space="preserve">explican los orígenes, significados y </w:t>
      </w:r>
      <w:r w:rsidR="004D0E97" w:rsidRPr="001579BE">
        <w:rPr>
          <w:rFonts w:asciiTheme="majorBidi" w:hAnsiTheme="majorBidi" w:cstheme="majorBidi"/>
          <w:sz w:val="24"/>
          <w:szCs w:val="24"/>
        </w:rPr>
        <w:t>relevancia</w:t>
      </w:r>
      <w:r w:rsidR="003B6817" w:rsidRPr="001579BE">
        <w:rPr>
          <w:rFonts w:asciiTheme="majorBidi" w:hAnsiTheme="majorBidi" w:cstheme="majorBidi"/>
          <w:sz w:val="24"/>
          <w:szCs w:val="24"/>
        </w:rPr>
        <w:t xml:space="preserve"> de términos aplicación en cuanto al estudio del comercio internacional de grano y las políticas que lo rigen. Se hace una revisión de las distintas teorías del comercio internacional que entran en juego en dicho mercado, </w:t>
      </w:r>
    </w:p>
    <w:p w14:paraId="1FDEE738" w14:textId="1D4293A8" w:rsidR="003B6817" w:rsidRPr="001579BE" w:rsidRDefault="00BB195E" w:rsidP="0009454F">
      <w:pPr>
        <w:spacing w:line="360" w:lineRule="auto"/>
        <w:ind w:left="708"/>
        <w:jc w:val="both"/>
        <w:rPr>
          <w:rFonts w:asciiTheme="majorBidi" w:hAnsiTheme="majorBidi" w:cstheme="majorBidi"/>
          <w:sz w:val="24"/>
          <w:szCs w:val="24"/>
        </w:rPr>
      </w:pPr>
      <w:r w:rsidRPr="001579BE">
        <w:rPr>
          <w:rFonts w:asciiTheme="majorBidi" w:hAnsiTheme="majorBidi" w:cstheme="majorBidi"/>
          <w:b/>
          <w:bCs/>
          <w:sz w:val="24"/>
          <w:szCs w:val="24"/>
        </w:rPr>
        <w:t>Capítulo 3. Estado de la cuestión.</w:t>
      </w:r>
      <w:r w:rsidR="003B6817" w:rsidRPr="001579BE">
        <w:rPr>
          <w:rFonts w:asciiTheme="majorBidi" w:hAnsiTheme="majorBidi" w:cstheme="majorBidi"/>
          <w:sz w:val="24"/>
          <w:szCs w:val="24"/>
        </w:rPr>
        <w:t xml:space="preserve"> </w:t>
      </w:r>
      <w:r w:rsidRPr="001579BE">
        <w:rPr>
          <w:rFonts w:asciiTheme="majorBidi" w:hAnsiTheme="majorBidi" w:cstheme="majorBidi"/>
          <w:sz w:val="24"/>
          <w:szCs w:val="24"/>
        </w:rPr>
        <w:t>S</w:t>
      </w:r>
      <w:r w:rsidR="003B6817" w:rsidRPr="001579BE">
        <w:rPr>
          <w:rFonts w:asciiTheme="majorBidi" w:hAnsiTheme="majorBidi" w:cstheme="majorBidi"/>
          <w:sz w:val="24"/>
          <w:szCs w:val="24"/>
        </w:rPr>
        <w:t>e repasa la literatura académica concerniente a previos shocks sufridos por el mercado internacional de grano</w:t>
      </w:r>
      <w:r w:rsidRPr="001579BE">
        <w:rPr>
          <w:rFonts w:asciiTheme="majorBidi" w:hAnsiTheme="majorBidi" w:cstheme="majorBidi"/>
          <w:sz w:val="24"/>
          <w:szCs w:val="24"/>
        </w:rPr>
        <w:t xml:space="preserve"> en los siglos XX y XXI </w:t>
      </w:r>
      <w:r w:rsidR="00B10C50" w:rsidRPr="001579BE">
        <w:rPr>
          <w:rFonts w:asciiTheme="majorBidi" w:hAnsiTheme="majorBidi" w:cstheme="majorBidi"/>
          <w:sz w:val="24"/>
          <w:szCs w:val="24"/>
        </w:rPr>
        <w:t xml:space="preserve">tratando los factores que los causaron </w:t>
      </w:r>
      <w:r w:rsidRPr="001579BE">
        <w:rPr>
          <w:rFonts w:asciiTheme="majorBidi" w:hAnsiTheme="majorBidi" w:cstheme="majorBidi"/>
          <w:sz w:val="24"/>
          <w:szCs w:val="24"/>
        </w:rPr>
        <w:t>y</w:t>
      </w:r>
      <w:r w:rsidR="00B10C50" w:rsidRPr="001579BE">
        <w:rPr>
          <w:rFonts w:asciiTheme="majorBidi" w:hAnsiTheme="majorBidi" w:cstheme="majorBidi"/>
          <w:sz w:val="24"/>
          <w:szCs w:val="24"/>
        </w:rPr>
        <w:t xml:space="preserve"> sus</w:t>
      </w:r>
      <w:r w:rsidRPr="001579BE">
        <w:rPr>
          <w:rFonts w:asciiTheme="majorBidi" w:hAnsiTheme="majorBidi" w:cstheme="majorBidi"/>
          <w:sz w:val="24"/>
          <w:szCs w:val="24"/>
        </w:rPr>
        <w:t xml:space="preserve"> consecuencias</w:t>
      </w:r>
      <w:r w:rsidR="00B10C50" w:rsidRPr="001579BE">
        <w:rPr>
          <w:rFonts w:asciiTheme="majorBidi" w:hAnsiTheme="majorBidi" w:cstheme="majorBidi"/>
          <w:sz w:val="24"/>
          <w:szCs w:val="24"/>
        </w:rPr>
        <w:t xml:space="preserve">, a el papel de la empresa privada en la formación de precios de los granos comerciados, y al impacto que la más reciente caída en producción de Rusia y Ucrania tuvo en los precios internacionales de grano. </w:t>
      </w:r>
    </w:p>
    <w:p w14:paraId="72318CF7" w14:textId="77777777" w:rsidR="004D0E97" w:rsidRPr="001579BE" w:rsidRDefault="004D0E97"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PARTE II</w:t>
      </w:r>
    </w:p>
    <w:bookmarkEnd w:id="10"/>
    <w:p w14:paraId="749FEF65" w14:textId="77777777" w:rsidR="00B356BE" w:rsidRPr="001579BE" w:rsidRDefault="00B356BE" w:rsidP="00B356BE">
      <w:pPr>
        <w:spacing w:line="360" w:lineRule="auto"/>
        <w:ind w:left="708"/>
        <w:jc w:val="both"/>
        <w:rPr>
          <w:rFonts w:asciiTheme="majorBidi" w:hAnsiTheme="majorBidi" w:cstheme="majorBidi"/>
          <w:strike/>
          <w:sz w:val="24"/>
          <w:szCs w:val="24"/>
        </w:rPr>
      </w:pPr>
      <w:r w:rsidRPr="001579BE">
        <w:rPr>
          <w:rFonts w:asciiTheme="majorBidi" w:hAnsiTheme="majorBidi" w:cstheme="majorBidi"/>
          <w:b/>
          <w:bCs/>
          <w:sz w:val="24"/>
          <w:szCs w:val="24"/>
        </w:rPr>
        <w:t>Capítulo 4. Análisis de los efectos de la guerra de Ucrania durante su primer año en los volúmenes de grano producidos y exportados por Rusia y Ucrania</w:t>
      </w:r>
      <w:r w:rsidRPr="001579BE">
        <w:rPr>
          <w:rFonts w:asciiTheme="majorBidi" w:hAnsiTheme="majorBidi" w:cstheme="majorBidi"/>
          <w:sz w:val="24"/>
          <w:szCs w:val="24"/>
        </w:rPr>
        <w:t xml:space="preserve">. Se exponen las tendencias y evolución histórica de la producción y exportación de maíz y trigo en Rusia y Ucrania, se analiza el impacto del conflicto en la disponibilidad y accesibilidad de estos dos cereales, y se evalúa la efectividad de la Iniciativa de Granos del Mar Negro como medida paliativa.  </w:t>
      </w:r>
    </w:p>
    <w:p w14:paraId="632D78A9" w14:textId="036A508C" w:rsidR="00D558FE" w:rsidRPr="001579BE" w:rsidRDefault="00D558FE" w:rsidP="00921507">
      <w:pPr>
        <w:spacing w:line="360" w:lineRule="auto"/>
        <w:ind w:left="708"/>
        <w:jc w:val="both"/>
        <w:rPr>
          <w:rFonts w:asciiTheme="majorBidi" w:hAnsiTheme="majorBidi" w:cstheme="majorBidi"/>
          <w:sz w:val="24"/>
          <w:szCs w:val="24"/>
        </w:rPr>
      </w:pPr>
      <w:r w:rsidRPr="001579BE">
        <w:rPr>
          <w:rFonts w:asciiTheme="majorBidi" w:hAnsiTheme="majorBidi" w:cstheme="majorBidi"/>
          <w:b/>
          <w:bCs/>
          <w:sz w:val="24"/>
          <w:szCs w:val="24"/>
        </w:rPr>
        <w:t xml:space="preserve">Capítulo </w:t>
      </w:r>
      <w:r w:rsidR="004D0E97" w:rsidRPr="001579BE">
        <w:rPr>
          <w:rFonts w:asciiTheme="majorBidi" w:hAnsiTheme="majorBidi" w:cstheme="majorBidi"/>
          <w:b/>
          <w:bCs/>
          <w:sz w:val="24"/>
          <w:szCs w:val="24"/>
        </w:rPr>
        <w:t>5</w:t>
      </w:r>
      <w:r w:rsidRPr="001579BE">
        <w:rPr>
          <w:rFonts w:asciiTheme="majorBidi" w:hAnsiTheme="majorBidi" w:cstheme="majorBidi"/>
          <w:b/>
          <w:bCs/>
          <w:sz w:val="24"/>
          <w:szCs w:val="24"/>
        </w:rPr>
        <w:t>.</w:t>
      </w:r>
      <w:r w:rsidRPr="001579BE">
        <w:rPr>
          <w:rFonts w:asciiTheme="majorBidi" w:hAnsiTheme="majorBidi" w:cstheme="majorBidi"/>
          <w:sz w:val="24"/>
          <w:szCs w:val="24"/>
        </w:rPr>
        <w:t xml:space="preserve"> </w:t>
      </w:r>
      <w:r w:rsidRPr="001579BE">
        <w:rPr>
          <w:rFonts w:asciiTheme="majorBidi" w:hAnsiTheme="majorBidi" w:cstheme="majorBidi"/>
          <w:b/>
          <w:bCs/>
          <w:sz w:val="24"/>
          <w:szCs w:val="24"/>
        </w:rPr>
        <w:t>Conclusiones.</w:t>
      </w:r>
      <w:r w:rsidRPr="001579BE">
        <w:rPr>
          <w:rFonts w:asciiTheme="majorBidi" w:hAnsiTheme="majorBidi" w:cstheme="majorBidi"/>
          <w:sz w:val="24"/>
          <w:szCs w:val="24"/>
        </w:rPr>
        <w:t xml:space="preserve"> </w:t>
      </w:r>
      <w:r w:rsidR="00066566" w:rsidRPr="001579BE">
        <w:rPr>
          <w:rFonts w:asciiTheme="majorBidi" w:hAnsiTheme="majorBidi" w:cstheme="majorBidi"/>
          <w:sz w:val="24"/>
          <w:szCs w:val="24"/>
        </w:rPr>
        <w:t xml:space="preserve">Se presentan los principales aprendizajes de los apartados desarrollados, se plantean posibles líneas de investigación futuras en la materia y se </w:t>
      </w:r>
      <w:r w:rsidR="00921507" w:rsidRPr="001579BE">
        <w:rPr>
          <w:rFonts w:asciiTheme="majorBidi" w:hAnsiTheme="majorBidi" w:cstheme="majorBidi"/>
          <w:sz w:val="24"/>
          <w:szCs w:val="24"/>
        </w:rPr>
        <w:t>exponen las principales limitaciones del análisis llevado a cabo.</w:t>
      </w:r>
      <w:r w:rsidRPr="001579BE">
        <w:rPr>
          <w:rFonts w:asciiTheme="majorBidi" w:hAnsiTheme="majorBidi" w:cstheme="majorBidi"/>
          <w:sz w:val="24"/>
          <w:szCs w:val="24"/>
        </w:rPr>
        <w:t xml:space="preserve"> </w:t>
      </w:r>
    </w:p>
    <w:p w14:paraId="627AD7AA" w14:textId="70EDAD2D" w:rsidR="00D558FE" w:rsidRPr="001579BE" w:rsidRDefault="00D558FE" w:rsidP="0009454F">
      <w:pPr>
        <w:spacing w:line="360" w:lineRule="auto"/>
        <w:ind w:firstLine="708"/>
        <w:jc w:val="both"/>
        <w:rPr>
          <w:rFonts w:asciiTheme="majorBidi" w:hAnsiTheme="majorBidi" w:cstheme="majorBidi"/>
          <w:b/>
          <w:bCs/>
          <w:sz w:val="24"/>
          <w:szCs w:val="24"/>
        </w:rPr>
      </w:pPr>
      <w:r w:rsidRPr="001579BE">
        <w:rPr>
          <w:rFonts w:asciiTheme="majorBidi" w:hAnsiTheme="majorBidi" w:cstheme="majorBidi"/>
          <w:b/>
          <w:bCs/>
          <w:sz w:val="24"/>
          <w:szCs w:val="24"/>
        </w:rPr>
        <w:t xml:space="preserve">Capítulo </w:t>
      </w:r>
      <w:r w:rsidR="004D0E97" w:rsidRPr="001579BE">
        <w:rPr>
          <w:rFonts w:asciiTheme="majorBidi" w:hAnsiTheme="majorBidi" w:cstheme="majorBidi"/>
          <w:b/>
          <w:bCs/>
          <w:sz w:val="24"/>
          <w:szCs w:val="24"/>
        </w:rPr>
        <w:t>6</w:t>
      </w:r>
      <w:r w:rsidRPr="001579BE">
        <w:rPr>
          <w:rFonts w:asciiTheme="majorBidi" w:hAnsiTheme="majorBidi" w:cstheme="majorBidi"/>
          <w:b/>
          <w:bCs/>
          <w:sz w:val="24"/>
          <w:szCs w:val="24"/>
        </w:rPr>
        <w:t>.</w:t>
      </w:r>
      <w:r w:rsidRPr="001579BE">
        <w:rPr>
          <w:rFonts w:asciiTheme="majorBidi" w:hAnsiTheme="majorBidi" w:cstheme="majorBidi"/>
          <w:sz w:val="24"/>
          <w:szCs w:val="24"/>
        </w:rPr>
        <w:t xml:space="preserve"> </w:t>
      </w:r>
      <w:r w:rsidRPr="001579BE">
        <w:rPr>
          <w:rFonts w:asciiTheme="majorBidi" w:hAnsiTheme="majorBidi" w:cstheme="majorBidi"/>
          <w:b/>
          <w:bCs/>
          <w:sz w:val="24"/>
          <w:szCs w:val="24"/>
        </w:rPr>
        <w:t>Fuentes documentales.</w:t>
      </w:r>
    </w:p>
    <w:p w14:paraId="144C8973" w14:textId="70A5CA7A" w:rsidR="002408EF" w:rsidRPr="001579BE" w:rsidRDefault="002408EF" w:rsidP="0009454F">
      <w:pPr>
        <w:pStyle w:val="Ttulo1"/>
        <w:spacing w:after="240"/>
        <w:jc w:val="both"/>
        <w:rPr>
          <w:rFonts w:asciiTheme="majorBidi" w:eastAsiaTheme="minorHAnsi" w:hAnsiTheme="majorBidi"/>
          <w:b/>
          <w:bCs/>
          <w:color w:val="auto"/>
          <w:sz w:val="24"/>
          <w:szCs w:val="24"/>
          <w:lang w:eastAsia="en-US"/>
        </w:rPr>
      </w:pPr>
      <w:bookmarkStart w:id="11" w:name="_Toc137456597"/>
      <w:r w:rsidRPr="001579BE">
        <w:rPr>
          <w:rFonts w:asciiTheme="majorBidi" w:eastAsiaTheme="minorHAnsi" w:hAnsiTheme="majorBidi"/>
          <w:b/>
          <w:bCs/>
          <w:color w:val="auto"/>
          <w:sz w:val="24"/>
          <w:szCs w:val="24"/>
          <w:lang w:eastAsia="en-US"/>
        </w:rPr>
        <w:lastRenderedPageBreak/>
        <w:t>Capítulo 2. Revisión de la literatura</w:t>
      </w:r>
      <w:r w:rsidR="003B6817" w:rsidRPr="001579BE">
        <w:rPr>
          <w:rFonts w:asciiTheme="majorBidi" w:eastAsiaTheme="minorHAnsi" w:hAnsiTheme="majorBidi"/>
          <w:b/>
          <w:bCs/>
          <w:color w:val="auto"/>
          <w:sz w:val="24"/>
          <w:szCs w:val="24"/>
          <w:lang w:eastAsia="en-US"/>
        </w:rPr>
        <w:t xml:space="preserve"> y</w:t>
      </w:r>
      <w:r w:rsidRPr="001579BE">
        <w:rPr>
          <w:rFonts w:asciiTheme="majorBidi" w:eastAsiaTheme="minorHAnsi" w:hAnsiTheme="majorBidi"/>
          <w:b/>
          <w:bCs/>
          <w:color w:val="auto"/>
          <w:sz w:val="24"/>
          <w:szCs w:val="24"/>
          <w:lang w:eastAsia="en-US"/>
        </w:rPr>
        <w:t xml:space="preserve"> marco teórico</w:t>
      </w:r>
      <w:bookmarkEnd w:id="11"/>
    </w:p>
    <w:p w14:paraId="3E9389AF" w14:textId="439DE334" w:rsidR="009F2891" w:rsidRPr="001579BE" w:rsidRDefault="002408EF" w:rsidP="0009454F">
      <w:pPr>
        <w:pStyle w:val="Ttulo2"/>
        <w:numPr>
          <w:ilvl w:val="1"/>
          <w:numId w:val="1"/>
        </w:numPr>
        <w:spacing w:after="240"/>
        <w:jc w:val="both"/>
        <w:rPr>
          <w:rFonts w:asciiTheme="majorBidi" w:hAnsiTheme="majorBidi"/>
          <w:b/>
          <w:bCs/>
          <w:color w:val="auto"/>
          <w:sz w:val="24"/>
          <w:szCs w:val="24"/>
        </w:rPr>
      </w:pPr>
      <w:bookmarkStart w:id="12" w:name="_Toc137456598"/>
      <w:r w:rsidRPr="001579BE">
        <w:rPr>
          <w:rFonts w:asciiTheme="majorBidi" w:hAnsiTheme="majorBidi"/>
          <w:b/>
          <w:bCs/>
          <w:color w:val="auto"/>
          <w:sz w:val="24"/>
          <w:szCs w:val="24"/>
        </w:rPr>
        <w:t>Conceptos clave</w:t>
      </w:r>
      <w:bookmarkEnd w:id="12"/>
    </w:p>
    <w:p w14:paraId="6D0B4ECD" w14:textId="398EB817" w:rsidR="00BD4B4C" w:rsidRPr="001579BE" w:rsidRDefault="00BD4B4C" w:rsidP="003034BE">
      <w:pPr>
        <w:pStyle w:val="Ttulo3"/>
        <w:numPr>
          <w:ilvl w:val="2"/>
          <w:numId w:val="4"/>
        </w:numPr>
        <w:spacing w:line="360" w:lineRule="auto"/>
        <w:rPr>
          <w:rFonts w:asciiTheme="majorBidi" w:hAnsiTheme="majorBidi"/>
          <w:b/>
          <w:bCs/>
          <w:color w:val="auto"/>
        </w:rPr>
      </w:pPr>
      <w:bookmarkStart w:id="13" w:name="_Toc137456599"/>
      <w:r w:rsidRPr="001579BE">
        <w:rPr>
          <w:rFonts w:asciiTheme="majorBidi" w:hAnsiTheme="majorBidi"/>
          <w:b/>
          <w:bCs/>
          <w:color w:val="auto"/>
        </w:rPr>
        <w:t>Globalización</w:t>
      </w:r>
      <w:bookmarkEnd w:id="13"/>
    </w:p>
    <w:p w14:paraId="3E75F986" w14:textId="6D3BE20E" w:rsidR="0056354F" w:rsidRPr="001579BE" w:rsidRDefault="0056354F"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La globalización se entenderá, para el propósito de este trabajo, </w:t>
      </w:r>
      <w:r w:rsidR="00FE401B" w:rsidRPr="001579BE">
        <w:rPr>
          <w:rFonts w:asciiTheme="majorBidi" w:hAnsiTheme="majorBidi" w:cstheme="majorBidi"/>
          <w:sz w:val="24"/>
          <w:szCs w:val="24"/>
        </w:rPr>
        <w:t xml:space="preserve">como </w:t>
      </w:r>
      <w:r w:rsidR="00B04C28" w:rsidRPr="001579BE">
        <w:rPr>
          <w:rFonts w:asciiTheme="majorBidi" w:hAnsiTheme="majorBidi" w:cstheme="majorBidi"/>
          <w:sz w:val="24"/>
          <w:szCs w:val="24"/>
        </w:rPr>
        <w:t>la</w:t>
      </w:r>
      <w:r w:rsidRPr="001579BE">
        <w:rPr>
          <w:rFonts w:asciiTheme="majorBidi" w:hAnsiTheme="majorBidi" w:cstheme="majorBidi"/>
          <w:sz w:val="24"/>
          <w:szCs w:val="24"/>
        </w:rPr>
        <w:t xml:space="preserve"> “creciente interdependencia</w:t>
      </w:r>
      <w:r w:rsidR="00B04C28" w:rsidRPr="001579BE">
        <w:rPr>
          <w:rFonts w:asciiTheme="majorBidi" w:hAnsiTheme="majorBidi" w:cstheme="majorBidi"/>
          <w:sz w:val="24"/>
          <w:szCs w:val="24"/>
        </w:rPr>
        <w:t xml:space="preserve"> entre la producción, el mercado, el comercio y las finanzas” que ha inevitablemente generado nuevas variables en el comercio internacional, aumentando la interacción entre participantes – Estados o empresas – de muy diferente tamaño y poder, involucrando a casi el completo de la comunidad internacional. Si bien tiene diferentes dimensiones en cuanto a su impacto en las relaciones sociales, la política, o la cultura, entre otras, es la globalización económica aquella más pertinente para su análisis. Como consecuencia de la progresiva integración de las economías mundiales, las decisiones tomadas en o por un Estado invariablemente repercutirán en otro a través del comercio internacional de bienes y servicios, o los flujos de capital humano, financiero y tecnológico</w:t>
      </w:r>
      <w:r w:rsidR="00C30727" w:rsidRPr="001579BE">
        <w:rPr>
          <w:rFonts w:asciiTheme="majorBidi" w:hAnsiTheme="majorBidi" w:cstheme="majorBidi"/>
          <w:sz w:val="24"/>
          <w:szCs w:val="24"/>
        </w:rPr>
        <w:t xml:space="preserve"> (</w:t>
      </w:r>
      <w:proofErr w:type="spellStart"/>
      <w:r w:rsidR="00C30727" w:rsidRPr="001579BE">
        <w:rPr>
          <w:rFonts w:asciiTheme="majorBidi" w:hAnsiTheme="majorBidi" w:cstheme="majorBidi"/>
          <w:sz w:val="24"/>
          <w:szCs w:val="24"/>
        </w:rPr>
        <w:t>Copelli</w:t>
      </w:r>
      <w:proofErr w:type="spellEnd"/>
      <w:r w:rsidR="00C30727" w:rsidRPr="001579BE">
        <w:rPr>
          <w:rFonts w:asciiTheme="majorBidi" w:hAnsiTheme="majorBidi" w:cstheme="majorBidi"/>
          <w:sz w:val="24"/>
          <w:szCs w:val="24"/>
        </w:rPr>
        <w:t>, 2018)</w:t>
      </w:r>
      <w:r w:rsidR="00B04C28" w:rsidRPr="001579BE">
        <w:rPr>
          <w:rFonts w:asciiTheme="majorBidi" w:hAnsiTheme="majorBidi" w:cstheme="majorBidi"/>
          <w:sz w:val="24"/>
          <w:szCs w:val="24"/>
        </w:rPr>
        <w:t xml:space="preserve">. </w:t>
      </w:r>
    </w:p>
    <w:p w14:paraId="021EAB50" w14:textId="7AD09188" w:rsidR="0043465E" w:rsidRPr="001579BE" w:rsidRDefault="00FE401B"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La globalización ha llevado a la liberalización del comercio internacional mediante la eliminación de barreras al mismo, tanto de carácter arancelario mediante</w:t>
      </w:r>
      <w:r w:rsidR="00F1376A" w:rsidRPr="001579BE">
        <w:rPr>
          <w:rFonts w:asciiTheme="majorBidi" w:hAnsiTheme="majorBidi" w:cstheme="majorBidi"/>
          <w:sz w:val="24"/>
          <w:szCs w:val="24"/>
        </w:rPr>
        <w:t xml:space="preserve"> </w:t>
      </w:r>
      <w:r w:rsidRPr="001579BE">
        <w:rPr>
          <w:rFonts w:asciiTheme="majorBidi" w:hAnsiTheme="majorBidi" w:cstheme="majorBidi"/>
          <w:sz w:val="24"/>
          <w:szCs w:val="24"/>
        </w:rPr>
        <w:t>rebajas</w:t>
      </w:r>
      <w:r w:rsidR="0043465E" w:rsidRPr="001579BE">
        <w:rPr>
          <w:rFonts w:asciiTheme="majorBidi" w:hAnsiTheme="majorBidi" w:cstheme="majorBidi"/>
          <w:sz w:val="24"/>
          <w:szCs w:val="24"/>
        </w:rPr>
        <w:t xml:space="preserve"> de las tasas a la importación</w:t>
      </w:r>
      <w:r w:rsidRPr="001579BE">
        <w:rPr>
          <w:rFonts w:asciiTheme="majorBidi" w:hAnsiTheme="majorBidi" w:cstheme="majorBidi"/>
          <w:sz w:val="24"/>
          <w:szCs w:val="24"/>
        </w:rPr>
        <w:t xml:space="preserve"> como de carácter no arancelario mediante</w:t>
      </w:r>
      <w:r w:rsidR="0043465E" w:rsidRPr="001579BE">
        <w:rPr>
          <w:rFonts w:asciiTheme="majorBidi" w:hAnsiTheme="majorBidi" w:cstheme="majorBidi"/>
          <w:sz w:val="24"/>
          <w:szCs w:val="24"/>
        </w:rPr>
        <w:t>, entre otros,</w:t>
      </w:r>
      <w:r w:rsidRPr="001579BE">
        <w:rPr>
          <w:rFonts w:asciiTheme="majorBidi" w:hAnsiTheme="majorBidi" w:cstheme="majorBidi"/>
          <w:sz w:val="24"/>
          <w:szCs w:val="24"/>
        </w:rPr>
        <w:t xml:space="preserve"> </w:t>
      </w:r>
      <w:r w:rsidR="005F1B65" w:rsidRPr="001579BE">
        <w:rPr>
          <w:rFonts w:asciiTheme="majorBidi" w:hAnsiTheme="majorBidi" w:cstheme="majorBidi"/>
          <w:sz w:val="24"/>
          <w:szCs w:val="24"/>
        </w:rPr>
        <w:t>controles fitosanitarios, normas técnicas</w:t>
      </w:r>
      <w:r w:rsidR="00F1376A" w:rsidRPr="001579BE">
        <w:rPr>
          <w:rFonts w:asciiTheme="majorBidi" w:hAnsiTheme="majorBidi" w:cstheme="majorBidi"/>
          <w:sz w:val="24"/>
          <w:szCs w:val="24"/>
        </w:rPr>
        <w:t>,</w:t>
      </w:r>
      <w:r w:rsidR="005F1B65" w:rsidRPr="001579BE">
        <w:rPr>
          <w:rFonts w:asciiTheme="majorBidi" w:hAnsiTheme="majorBidi" w:cstheme="majorBidi"/>
          <w:sz w:val="24"/>
          <w:szCs w:val="24"/>
        </w:rPr>
        <w:t xml:space="preserve"> requisitos de calidad</w:t>
      </w:r>
      <w:r w:rsidR="0043465E" w:rsidRPr="001579BE">
        <w:rPr>
          <w:rFonts w:asciiTheme="majorBidi" w:hAnsiTheme="majorBidi" w:cstheme="majorBidi"/>
          <w:sz w:val="24"/>
          <w:szCs w:val="24"/>
        </w:rPr>
        <w:t xml:space="preserve">, o controles aduaneros </w:t>
      </w:r>
      <w:r w:rsidR="00F1376A" w:rsidRPr="001579BE">
        <w:rPr>
          <w:rFonts w:asciiTheme="majorBidi" w:hAnsiTheme="majorBidi" w:cstheme="majorBidi"/>
          <w:sz w:val="24"/>
          <w:szCs w:val="24"/>
        </w:rPr>
        <w:t>(Méndez y Calo, 2004)</w:t>
      </w:r>
      <w:r w:rsidRPr="001579BE">
        <w:rPr>
          <w:rFonts w:asciiTheme="majorBidi" w:hAnsiTheme="majorBidi" w:cstheme="majorBidi"/>
          <w:sz w:val="24"/>
          <w:szCs w:val="24"/>
        </w:rPr>
        <w:t>.</w:t>
      </w:r>
    </w:p>
    <w:p w14:paraId="626F12D6" w14:textId="6D9ED0F6" w:rsidR="00FE401B" w:rsidRPr="001579BE" w:rsidRDefault="00FE401B"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Sin embargo, este aperturismo también ha llevado a una cierta pérdida de soberanía por parte de los Estados, que al verse inmersos en un sistema de organizaciones o foros internacionales en la materia </w:t>
      </w:r>
      <w:r w:rsidR="00C30727" w:rsidRPr="001579BE">
        <w:rPr>
          <w:rFonts w:asciiTheme="majorBidi" w:hAnsiTheme="majorBidi" w:cstheme="majorBidi"/>
          <w:sz w:val="24"/>
          <w:szCs w:val="24"/>
        </w:rPr>
        <w:t xml:space="preserve">y de cadenas de valor dilatadas a lo largo de todo el globo </w:t>
      </w:r>
      <w:r w:rsidRPr="001579BE">
        <w:rPr>
          <w:rFonts w:asciiTheme="majorBidi" w:hAnsiTheme="majorBidi" w:cstheme="majorBidi"/>
          <w:sz w:val="24"/>
          <w:szCs w:val="24"/>
        </w:rPr>
        <w:t>pierden capacidad de decisión en cuanto a los ritmos y condiciones de producción y comercialización de bienes y servicios</w:t>
      </w:r>
      <w:r w:rsidR="00C30727" w:rsidRPr="001579BE">
        <w:rPr>
          <w:rFonts w:asciiTheme="majorBidi" w:hAnsiTheme="majorBidi" w:cstheme="majorBidi"/>
          <w:sz w:val="24"/>
          <w:szCs w:val="24"/>
        </w:rPr>
        <w:t xml:space="preserve"> (</w:t>
      </w:r>
      <w:proofErr w:type="spellStart"/>
      <w:r w:rsidR="00C30727" w:rsidRPr="001579BE">
        <w:rPr>
          <w:rFonts w:asciiTheme="majorBidi" w:hAnsiTheme="majorBidi" w:cstheme="majorBidi"/>
          <w:sz w:val="24"/>
          <w:szCs w:val="24"/>
        </w:rPr>
        <w:t>Copelli</w:t>
      </w:r>
      <w:proofErr w:type="spellEnd"/>
      <w:r w:rsidR="00C30727" w:rsidRPr="001579BE">
        <w:rPr>
          <w:rFonts w:asciiTheme="majorBidi" w:hAnsiTheme="majorBidi" w:cstheme="majorBidi"/>
          <w:sz w:val="24"/>
          <w:szCs w:val="24"/>
        </w:rPr>
        <w:t>, 2018)</w:t>
      </w:r>
      <w:r w:rsidRPr="001579BE">
        <w:rPr>
          <w:rFonts w:asciiTheme="majorBidi" w:hAnsiTheme="majorBidi" w:cstheme="majorBidi"/>
          <w:sz w:val="24"/>
          <w:szCs w:val="24"/>
        </w:rPr>
        <w:t xml:space="preserve">. </w:t>
      </w:r>
    </w:p>
    <w:p w14:paraId="1C8B14D2" w14:textId="6F2E4E7A" w:rsidR="009F2891" w:rsidRPr="001579BE" w:rsidRDefault="009F2891" w:rsidP="003034BE">
      <w:pPr>
        <w:pStyle w:val="Ttulo3"/>
        <w:numPr>
          <w:ilvl w:val="2"/>
          <w:numId w:val="4"/>
        </w:numPr>
        <w:spacing w:line="360" w:lineRule="auto"/>
        <w:rPr>
          <w:rFonts w:asciiTheme="majorBidi" w:hAnsiTheme="majorBidi"/>
          <w:b/>
          <w:bCs/>
          <w:color w:val="auto"/>
        </w:rPr>
      </w:pPr>
      <w:bookmarkStart w:id="14" w:name="_Toc137456600"/>
      <w:r w:rsidRPr="001579BE">
        <w:rPr>
          <w:rFonts w:asciiTheme="majorBidi" w:hAnsiTheme="majorBidi"/>
          <w:b/>
          <w:bCs/>
          <w:color w:val="auto"/>
        </w:rPr>
        <w:t>Seguridad nacional</w:t>
      </w:r>
      <w:bookmarkEnd w:id="14"/>
    </w:p>
    <w:p w14:paraId="54770CDA" w14:textId="787611A2" w:rsidR="009F2891" w:rsidRPr="001579BE" w:rsidRDefault="00A47644"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La seguridad, como concepto en las Relaciones Internacionales, </w:t>
      </w:r>
      <w:r w:rsidR="003C3E2F" w:rsidRPr="001579BE">
        <w:rPr>
          <w:rFonts w:asciiTheme="majorBidi" w:hAnsiTheme="majorBidi" w:cstheme="majorBidi"/>
          <w:sz w:val="24"/>
          <w:szCs w:val="24"/>
        </w:rPr>
        <w:t xml:space="preserve">ha sido definida de múltiples maneras dependiendo del contexto histórico y político imperante, así como de las percepciones, doctrinas y cultura de cada ideólogo, dando lugar a diferentes términos en relación a la misma. El concepto de Seguridad Nacional </w:t>
      </w:r>
      <w:r w:rsidR="00904A3E" w:rsidRPr="001579BE">
        <w:rPr>
          <w:rFonts w:asciiTheme="majorBidi" w:hAnsiTheme="majorBidi" w:cstheme="majorBidi"/>
          <w:sz w:val="24"/>
          <w:szCs w:val="24"/>
        </w:rPr>
        <w:t xml:space="preserve">preeminente en </w:t>
      </w:r>
      <w:r w:rsidR="00D07C87" w:rsidRPr="001579BE">
        <w:rPr>
          <w:rFonts w:asciiTheme="majorBidi" w:hAnsiTheme="majorBidi" w:cstheme="majorBidi"/>
          <w:sz w:val="24"/>
          <w:szCs w:val="24"/>
        </w:rPr>
        <w:t>EE.UU.</w:t>
      </w:r>
      <w:r w:rsidR="00904A3E" w:rsidRPr="001579BE">
        <w:rPr>
          <w:rFonts w:asciiTheme="majorBidi" w:hAnsiTheme="majorBidi" w:cstheme="majorBidi"/>
          <w:sz w:val="24"/>
          <w:szCs w:val="24"/>
        </w:rPr>
        <w:t xml:space="preserve"> durante la Guerra Fría y </w:t>
      </w:r>
      <w:r w:rsidR="003C3E2F" w:rsidRPr="001579BE">
        <w:rPr>
          <w:rFonts w:asciiTheme="majorBidi" w:hAnsiTheme="majorBidi" w:cstheme="majorBidi"/>
          <w:sz w:val="24"/>
          <w:szCs w:val="24"/>
        </w:rPr>
        <w:t xml:space="preserve">definido como “la capacidad continuada de un país para proseguir el desarrollo de su vida interna sin interferencia seria, o amenaza de interferencia de potencias extranjeras” sitúa al Estado como responsable de la protección </w:t>
      </w:r>
      <w:r w:rsidR="003C3E2F" w:rsidRPr="001579BE">
        <w:rPr>
          <w:rFonts w:asciiTheme="majorBidi" w:hAnsiTheme="majorBidi" w:cstheme="majorBidi"/>
          <w:sz w:val="24"/>
          <w:szCs w:val="24"/>
        </w:rPr>
        <w:lastRenderedPageBreak/>
        <w:t>de los ciudadanos de un país, la seguridad de los cuales estaría garantizada mientras la seguridad del Estado también lo esté, para lo cual estaría legitimado el uso de la violencia desde un paradigma internacional realista</w:t>
      </w:r>
      <w:r w:rsidR="009F2891" w:rsidRPr="001579BE">
        <w:rPr>
          <w:rFonts w:asciiTheme="majorBidi" w:hAnsiTheme="majorBidi" w:cstheme="majorBidi"/>
          <w:sz w:val="24"/>
          <w:szCs w:val="24"/>
        </w:rPr>
        <w:t xml:space="preserve"> (</w:t>
      </w:r>
      <w:proofErr w:type="spellStart"/>
      <w:r w:rsidR="009F2891" w:rsidRPr="001579BE">
        <w:rPr>
          <w:rFonts w:asciiTheme="majorBidi" w:hAnsiTheme="majorBidi" w:cstheme="majorBidi"/>
          <w:sz w:val="24"/>
          <w:szCs w:val="24"/>
        </w:rPr>
        <w:t>Laborie</w:t>
      </w:r>
      <w:proofErr w:type="spellEnd"/>
      <w:r w:rsidR="009F2891" w:rsidRPr="001579BE">
        <w:rPr>
          <w:rFonts w:asciiTheme="majorBidi" w:hAnsiTheme="majorBidi" w:cstheme="majorBidi"/>
          <w:sz w:val="24"/>
          <w:szCs w:val="24"/>
        </w:rPr>
        <w:t>, 2011)</w:t>
      </w:r>
      <w:r w:rsidR="00904A3E" w:rsidRPr="001579BE">
        <w:rPr>
          <w:rFonts w:asciiTheme="majorBidi" w:hAnsiTheme="majorBidi" w:cstheme="majorBidi"/>
          <w:sz w:val="24"/>
          <w:szCs w:val="24"/>
        </w:rPr>
        <w:t>.</w:t>
      </w:r>
    </w:p>
    <w:p w14:paraId="02D1E962" w14:textId="1A2EB109" w:rsidR="003C3E2F" w:rsidRPr="001579BE" w:rsidRDefault="001416F1"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Este concepto quedará desactualizado tras el fin de la Guerra Fría y la llegada de la globalización, hechos que diversifican las amenazas más allá de lo puramente militar para comprender también problemas transfronterizos tales como la propiedad de los recursos naturales, los flujos migratorios incontrolados, el terrorismo, la pobreza, la degradación medioambiental, o el hambre</w:t>
      </w:r>
      <w:r w:rsidR="009F2891" w:rsidRPr="001579BE">
        <w:rPr>
          <w:rFonts w:asciiTheme="majorBidi" w:hAnsiTheme="majorBidi" w:cstheme="majorBidi"/>
          <w:sz w:val="24"/>
          <w:szCs w:val="24"/>
        </w:rPr>
        <w:t xml:space="preserve">. Para una nueva definición de la seguridad, </w:t>
      </w:r>
      <w:r w:rsidR="003A4C95" w:rsidRPr="001579BE">
        <w:rPr>
          <w:rFonts w:asciiTheme="majorBidi" w:hAnsiTheme="majorBidi" w:cstheme="majorBidi"/>
          <w:sz w:val="24"/>
          <w:szCs w:val="24"/>
        </w:rPr>
        <w:t xml:space="preserve">la Organización de las Naciones Unidas (ONU) </w:t>
      </w:r>
      <w:r w:rsidR="009F2891" w:rsidRPr="001579BE">
        <w:rPr>
          <w:rFonts w:asciiTheme="majorBidi" w:hAnsiTheme="majorBidi" w:cstheme="majorBidi"/>
          <w:sz w:val="24"/>
          <w:szCs w:val="24"/>
        </w:rPr>
        <w:t>promueve desde 1994 el principio de Seguridad Humana, que considera a cada Estado responsable de proteger a su población en cuanto al medio ambiente, la política, la sanidad, la economía o la alimentación, entre otras cuestiones (</w:t>
      </w:r>
      <w:proofErr w:type="spellStart"/>
      <w:r w:rsidR="009F2891" w:rsidRPr="001579BE">
        <w:rPr>
          <w:rFonts w:asciiTheme="majorBidi" w:hAnsiTheme="majorBidi" w:cstheme="majorBidi"/>
          <w:sz w:val="24"/>
          <w:szCs w:val="24"/>
        </w:rPr>
        <w:t>Laborie</w:t>
      </w:r>
      <w:proofErr w:type="spellEnd"/>
      <w:r w:rsidR="009F2891" w:rsidRPr="001579BE">
        <w:rPr>
          <w:rFonts w:asciiTheme="majorBidi" w:hAnsiTheme="majorBidi" w:cstheme="majorBidi"/>
          <w:sz w:val="24"/>
          <w:szCs w:val="24"/>
        </w:rPr>
        <w:t>, 2011</w:t>
      </w:r>
      <w:r w:rsidR="006E71DE" w:rsidRPr="001579BE">
        <w:rPr>
          <w:rFonts w:asciiTheme="majorBidi" w:hAnsiTheme="majorBidi" w:cstheme="majorBidi"/>
          <w:sz w:val="24"/>
          <w:szCs w:val="24"/>
        </w:rPr>
        <w:t>; Ortega y Font, 2012</w:t>
      </w:r>
      <w:r w:rsidR="009F2891" w:rsidRPr="001579BE">
        <w:rPr>
          <w:rFonts w:asciiTheme="majorBidi" w:hAnsiTheme="majorBidi" w:cstheme="majorBidi"/>
          <w:sz w:val="24"/>
          <w:szCs w:val="24"/>
        </w:rPr>
        <w:t>).</w:t>
      </w:r>
    </w:p>
    <w:p w14:paraId="6D5C7772" w14:textId="2D3E7523" w:rsidR="003A4C95" w:rsidRPr="001579BE" w:rsidRDefault="003A4C95"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Tanto la ONU como la UE y España han incorporado a sus políticas un concepto amplio de la seguridad, preocupado por problemas humanitarios, militares, económicos, sociales y políticos, y que contempla las “</w:t>
      </w:r>
      <w:r w:rsidRPr="001579BE">
        <w:rPr>
          <w:rFonts w:asciiTheme="majorBidi" w:hAnsiTheme="majorBidi" w:cstheme="majorBidi"/>
          <w:i/>
          <w:iCs/>
          <w:sz w:val="24"/>
          <w:szCs w:val="24"/>
        </w:rPr>
        <w:t>misiones integradas</w:t>
      </w:r>
      <w:r w:rsidRPr="001579BE">
        <w:rPr>
          <w:rFonts w:asciiTheme="majorBidi" w:hAnsiTheme="majorBidi" w:cstheme="majorBidi"/>
          <w:sz w:val="24"/>
          <w:szCs w:val="24"/>
        </w:rPr>
        <w:t>”</w:t>
      </w:r>
      <w:r w:rsidR="00B01AE7" w:rsidRPr="001579BE">
        <w:rPr>
          <w:rFonts w:asciiTheme="majorBidi" w:hAnsiTheme="majorBidi" w:cstheme="majorBidi"/>
          <w:sz w:val="24"/>
          <w:szCs w:val="24"/>
        </w:rPr>
        <w:t xml:space="preserve"> – </w:t>
      </w:r>
      <w:r w:rsidRPr="001579BE">
        <w:rPr>
          <w:rFonts w:asciiTheme="majorBidi" w:hAnsiTheme="majorBidi" w:cstheme="majorBidi"/>
          <w:sz w:val="24"/>
          <w:szCs w:val="24"/>
        </w:rPr>
        <w:t>en el caso de la ONU – las herramientas clásicas de la diplomacia y la asistencia técnica y financiera</w:t>
      </w:r>
      <w:r w:rsidR="00B01AE7" w:rsidRPr="001579BE">
        <w:rPr>
          <w:rFonts w:asciiTheme="majorBidi" w:hAnsiTheme="majorBidi" w:cstheme="majorBidi"/>
          <w:sz w:val="24"/>
          <w:szCs w:val="24"/>
        </w:rPr>
        <w:t xml:space="preserve"> – </w:t>
      </w:r>
      <w:r w:rsidRPr="001579BE">
        <w:rPr>
          <w:rFonts w:asciiTheme="majorBidi" w:hAnsiTheme="majorBidi" w:cstheme="majorBidi"/>
          <w:sz w:val="24"/>
          <w:szCs w:val="24"/>
        </w:rPr>
        <w:t>en e</w:t>
      </w:r>
      <w:r w:rsidR="00B01AE7" w:rsidRPr="001579BE">
        <w:rPr>
          <w:rFonts w:asciiTheme="majorBidi" w:hAnsiTheme="majorBidi" w:cstheme="majorBidi"/>
          <w:sz w:val="24"/>
          <w:szCs w:val="24"/>
        </w:rPr>
        <w:t>l</w:t>
      </w:r>
      <w:r w:rsidRPr="001579BE">
        <w:rPr>
          <w:rFonts w:asciiTheme="majorBidi" w:hAnsiTheme="majorBidi" w:cstheme="majorBidi"/>
          <w:sz w:val="24"/>
          <w:szCs w:val="24"/>
        </w:rPr>
        <w:t xml:space="preserve"> caso de la UE </w:t>
      </w:r>
      <w:r w:rsidR="00B01AE7" w:rsidRPr="001579BE">
        <w:rPr>
          <w:rFonts w:asciiTheme="majorBidi" w:hAnsiTheme="majorBidi" w:cstheme="majorBidi"/>
          <w:sz w:val="24"/>
          <w:szCs w:val="24"/>
        </w:rPr>
        <w:t>– y una actuación conjunta de las administraciones públicas, instrumentos civiles y militares, públicos y privados – en el caso de España – como medios para la salvaguarda de la seguridad (</w:t>
      </w:r>
      <w:proofErr w:type="spellStart"/>
      <w:r w:rsidR="00B01AE7" w:rsidRPr="001579BE">
        <w:rPr>
          <w:rFonts w:asciiTheme="majorBidi" w:hAnsiTheme="majorBidi" w:cstheme="majorBidi"/>
          <w:sz w:val="24"/>
          <w:szCs w:val="24"/>
        </w:rPr>
        <w:t>Laborie</w:t>
      </w:r>
      <w:proofErr w:type="spellEnd"/>
      <w:r w:rsidR="00B01AE7" w:rsidRPr="001579BE">
        <w:rPr>
          <w:rFonts w:asciiTheme="majorBidi" w:hAnsiTheme="majorBidi" w:cstheme="majorBidi"/>
          <w:sz w:val="24"/>
          <w:szCs w:val="24"/>
        </w:rPr>
        <w:t>, 2011</w:t>
      </w:r>
      <w:r w:rsidR="006E71DE" w:rsidRPr="001579BE">
        <w:rPr>
          <w:rFonts w:asciiTheme="majorBidi" w:hAnsiTheme="majorBidi" w:cstheme="majorBidi"/>
          <w:sz w:val="24"/>
          <w:szCs w:val="24"/>
        </w:rPr>
        <w:t>; Ortega y Font, 2012</w:t>
      </w:r>
      <w:r w:rsidR="00B01AE7" w:rsidRPr="001579BE">
        <w:rPr>
          <w:rFonts w:asciiTheme="majorBidi" w:hAnsiTheme="majorBidi" w:cstheme="majorBidi"/>
          <w:sz w:val="24"/>
          <w:szCs w:val="24"/>
        </w:rPr>
        <w:t>).</w:t>
      </w:r>
    </w:p>
    <w:p w14:paraId="1732AD42" w14:textId="201A7CBD" w:rsidR="00B01AE7" w:rsidRPr="001579BE" w:rsidRDefault="00B01AE7" w:rsidP="003034BE">
      <w:pPr>
        <w:pStyle w:val="Ttulo3"/>
        <w:numPr>
          <w:ilvl w:val="2"/>
          <w:numId w:val="4"/>
        </w:numPr>
        <w:spacing w:line="360" w:lineRule="auto"/>
        <w:rPr>
          <w:rFonts w:asciiTheme="majorBidi" w:hAnsiTheme="majorBidi"/>
          <w:b/>
          <w:bCs/>
          <w:color w:val="auto"/>
        </w:rPr>
      </w:pPr>
      <w:bookmarkStart w:id="15" w:name="_Toc137456601"/>
      <w:r w:rsidRPr="001579BE">
        <w:rPr>
          <w:rFonts w:asciiTheme="majorBidi" w:hAnsiTheme="majorBidi"/>
          <w:b/>
          <w:bCs/>
          <w:color w:val="auto"/>
        </w:rPr>
        <w:t>Seguridad alimentaria</w:t>
      </w:r>
      <w:bookmarkEnd w:id="15"/>
    </w:p>
    <w:p w14:paraId="0D1C84E2" w14:textId="29C61241" w:rsidR="00BA2A68" w:rsidRPr="001579BE" w:rsidRDefault="00BA2A68" w:rsidP="00B53479">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La </w:t>
      </w:r>
      <w:r w:rsidR="00D26487" w:rsidRPr="001579BE">
        <w:rPr>
          <w:rFonts w:asciiTheme="majorBidi" w:hAnsiTheme="majorBidi" w:cstheme="majorBidi"/>
          <w:sz w:val="24"/>
          <w:szCs w:val="24"/>
        </w:rPr>
        <w:t xml:space="preserve">FAO </w:t>
      </w:r>
      <w:r w:rsidR="003D6367" w:rsidRPr="001579BE">
        <w:rPr>
          <w:rFonts w:asciiTheme="majorBidi" w:hAnsiTheme="majorBidi" w:cstheme="majorBidi"/>
          <w:sz w:val="24"/>
          <w:szCs w:val="24"/>
        </w:rPr>
        <w:t>(</w:t>
      </w:r>
      <w:r w:rsidR="00904A3E" w:rsidRPr="001579BE">
        <w:rPr>
          <w:rFonts w:asciiTheme="majorBidi" w:hAnsiTheme="majorBidi" w:cstheme="majorBidi"/>
          <w:sz w:val="24"/>
          <w:szCs w:val="24"/>
        </w:rPr>
        <w:t>1996</w:t>
      </w:r>
      <w:r w:rsidR="003D6367" w:rsidRPr="001579BE">
        <w:rPr>
          <w:rFonts w:asciiTheme="majorBidi" w:hAnsiTheme="majorBidi" w:cstheme="majorBidi"/>
          <w:sz w:val="24"/>
          <w:szCs w:val="24"/>
        </w:rPr>
        <w:t xml:space="preserve">) </w:t>
      </w:r>
      <w:r w:rsidR="00D26487" w:rsidRPr="001579BE">
        <w:rPr>
          <w:rFonts w:asciiTheme="majorBidi" w:hAnsiTheme="majorBidi" w:cstheme="majorBidi"/>
          <w:sz w:val="24"/>
          <w:szCs w:val="24"/>
        </w:rPr>
        <w:t>la define como “el acceso físico y económico de todas las personas, en todo momento, a suficiente alimento, seguro y nutritivo, para satisfacer sus necesidades alimenticias y sus preferencias, con el objeto de llevar una vida activa y sana”.</w:t>
      </w:r>
    </w:p>
    <w:p w14:paraId="79936C64" w14:textId="544AB644" w:rsidR="007F5B1F" w:rsidRPr="001579BE" w:rsidRDefault="00F6755D"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A nivel nacional</w:t>
      </w:r>
      <w:r w:rsidR="00A47644" w:rsidRPr="001579BE">
        <w:rPr>
          <w:rFonts w:asciiTheme="majorBidi" w:hAnsiTheme="majorBidi" w:cstheme="majorBidi"/>
          <w:sz w:val="24"/>
          <w:szCs w:val="24"/>
        </w:rPr>
        <w:t xml:space="preserve"> se trata </w:t>
      </w:r>
      <w:r w:rsidRPr="001579BE">
        <w:rPr>
          <w:rFonts w:asciiTheme="majorBidi" w:hAnsiTheme="majorBidi" w:cstheme="majorBidi"/>
          <w:sz w:val="24"/>
          <w:szCs w:val="24"/>
        </w:rPr>
        <w:t>como una estrategia de</w:t>
      </w:r>
      <w:r w:rsidR="00C120E1" w:rsidRPr="001579BE">
        <w:rPr>
          <w:rFonts w:asciiTheme="majorBidi" w:hAnsiTheme="majorBidi" w:cstheme="majorBidi"/>
          <w:sz w:val="24"/>
          <w:szCs w:val="24"/>
        </w:rPr>
        <w:t>l Estado en pro de una</w:t>
      </w:r>
      <w:r w:rsidRPr="001579BE">
        <w:rPr>
          <w:rFonts w:asciiTheme="majorBidi" w:hAnsiTheme="majorBidi" w:cstheme="majorBidi"/>
          <w:sz w:val="24"/>
          <w:szCs w:val="24"/>
        </w:rPr>
        <w:t xml:space="preserve"> seguridad nacional preventiva</w:t>
      </w:r>
      <w:r w:rsidR="00C120E1" w:rsidRPr="001579BE">
        <w:rPr>
          <w:rFonts w:asciiTheme="majorBidi" w:hAnsiTheme="majorBidi" w:cstheme="majorBidi"/>
          <w:sz w:val="24"/>
          <w:szCs w:val="24"/>
        </w:rPr>
        <w:t>. V</w:t>
      </w:r>
      <w:r w:rsidRPr="001579BE">
        <w:rPr>
          <w:rFonts w:asciiTheme="majorBidi" w:hAnsiTheme="majorBidi" w:cstheme="majorBidi"/>
          <w:sz w:val="24"/>
          <w:szCs w:val="24"/>
        </w:rPr>
        <w:t>ulnerable a tensiones en los mercados internacionales</w:t>
      </w:r>
      <w:r w:rsidR="00C120E1" w:rsidRPr="001579BE">
        <w:rPr>
          <w:rFonts w:asciiTheme="majorBidi" w:hAnsiTheme="majorBidi" w:cstheme="majorBidi"/>
          <w:sz w:val="24"/>
          <w:szCs w:val="24"/>
        </w:rPr>
        <w:t xml:space="preserve"> fruto de la globalización</w:t>
      </w:r>
      <w:r w:rsidR="00BD4B4C" w:rsidRPr="001579BE">
        <w:rPr>
          <w:rFonts w:asciiTheme="majorBidi" w:hAnsiTheme="majorBidi" w:cstheme="majorBidi"/>
          <w:sz w:val="24"/>
          <w:szCs w:val="24"/>
        </w:rPr>
        <w:t>, como pueden ser el precio o la cantidad disponible,</w:t>
      </w:r>
      <w:r w:rsidR="007F5B1F" w:rsidRPr="001579BE">
        <w:rPr>
          <w:rFonts w:asciiTheme="majorBidi" w:hAnsiTheme="majorBidi" w:cstheme="majorBidi"/>
          <w:sz w:val="24"/>
          <w:szCs w:val="24"/>
        </w:rPr>
        <w:t xml:space="preserve"> </w:t>
      </w:r>
      <w:r w:rsidR="00C120E1" w:rsidRPr="001579BE">
        <w:rPr>
          <w:rFonts w:asciiTheme="majorBidi" w:hAnsiTheme="majorBidi" w:cstheme="majorBidi"/>
          <w:sz w:val="24"/>
          <w:szCs w:val="24"/>
        </w:rPr>
        <w:t>el concepto de</w:t>
      </w:r>
      <w:r w:rsidR="00B53479" w:rsidRPr="001579BE">
        <w:rPr>
          <w:rFonts w:asciiTheme="majorBidi" w:hAnsiTheme="majorBidi" w:cstheme="majorBidi"/>
          <w:sz w:val="24"/>
          <w:szCs w:val="24"/>
        </w:rPr>
        <w:t xml:space="preserve"> seguridad alimentaria enfatiza la importancia </w:t>
      </w:r>
      <w:r w:rsidR="006F529B" w:rsidRPr="001579BE">
        <w:rPr>
          <w:rFonts w:asciiTheme="majorBidi" w:hAnsiTheme="majorBidi" w:cstheme="majorBidi"/>
          <w:sz w:val="24"/>
          <w:szCs w:val="24"/>
        </w:rPr>
        <w:t>para</w:t>
      </w:r>
      <w:r w:rsidR="00B53479" w:rsidRPr="001579BE">
        <w:rPr>
          <w:rFonts w:asciiTheme="majorBidi" w:hAnsiTheme="majorBidi" w:cstheme="majorBidi"/>
          <w:sz w:val="24"/>
          <w:szCs w:val="24"/>
        </w:rPr>
        <w:t xml:space="preserve"> un país de contar con una cadena de suministros agroalimentaria capaz de enfrentar inestabilidades en oferta y demanda, en la actualidad o en el futuro (Gómez Trujillo </w:t>
      </w:r>
      <w:r w:rsidR="00B53479" w:rsidRPr="001579BE">
        <w:rPr>
          <w:rFonts w:asciiTheme="majorBidi" w:hAnsiTheme="majorBidi" w:cstheme="majorBidi"/>
          <w:i/>
          <w:iCs/>
          <w:sz w:val="24"/>
          <w:szCs w:val="24"/>
        </w:rPr>
        <w:t>et al.</w:t>
      </w:r>
      <w:r w:rsidR="00B53479" w:rsidRPr="001579BE">
        <w:rPr>
          <w:rFonts w:asciiTheme="majorBidi" w:hAnsiTheme="majorBidi" w:cstheme="majorBidi"/>
          <w:sz w:val="24"/>
          <w:szCs w:val="24"/>
        </w:rPr>
        <w:t>, 2016</w:t>
      </w:r>
      <w:r w:rsidR="004819B5" w:rsidRPr="001579BE">
        <w:rPr>
          <w:rFonts w:asciiTheme="majorBidi" w:hAnsiTheme="majorBidi" w:cstheme="majorBidi"/>
          <w:sz w:val="24"/>
          <w:szCs w:val="24"/>
        </w:rPr>
        <w:t>; Torres, 2003</w:t>
      </w:r>
      <w:r w:rsidR="00B53479" w:rsidRPr="001579BE">
        <w:rPr>
          <w:rFonts w:asciiTheme="majorBidi" w:hAnsiTheme="majorBidi" w:cstheme="majorBidi"/>
          <w:sz w:val="24"/>
          <w:szCs w:val="24"/>
        </w:rPr>
        <w:t>).</w:t>
      </w:r>
    </w:p>
    <w:p w14:paraId="7F2C9A21" w14:textId="18A6A6A4" w:rsidR="00977D4E" w:rsidRPr="001579BE" w:rsidRDefault="0056354F"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La seguridad alimentaria</w:t>
      </w:r>
      <w:r w:rsidR="007F5B1F" w:rsidRPr="001579BE">
        <w:rPr>
          <w:rFonts w:asciiTheme="majorBidi" w:hAnsiTheme="majorBidi" w:cstheme="majorBidi"/>
          <w:sz w:val="24"/>
          <w:szCs w:val="24"/>
        </w:rPr>
        <w:t xml:space="preserve"> enfrenta </w:t>
      </w:r>
      <w:r w:rsidR="008A323F" w:rsidRPr="001579BE">
        <w:rPr>
          <w:rFonts w:asciiTheme="majorBidi" w:hAnsiTheme="majorBidi" w:cstheme="majorBidi"/>
          <w:sz w:val="24"/>
          <w:szCs w:val="24"/>
        </w:rPr>
        <w:t>desafíos</w:t>
      </w:r>
      <w:r w:rsidR="007F5B1F" w:rsidRPr="001579BE">
        <w:rPr>
          <w:rFonts w:asciiTheme="majorBidi" w:hAnsiTheme="majorBidi" w:cstheme="majorBidi"/>
          <w:sz w:val="24"/>
          <w:szCs w:val="24"/>
        </w:rPr>
        <w:t xml:space="preserve"> a partir de cuatro elementos: la política económica interna y su capacidad de abastecimiento de productos agropecuarios, las </w:t>
      </w:r>
      <w:r w:rsidR="007F5B1F" w:rsidRPr="001579BE">
        <w:rPr>
          <w:rFonts w:asciiTheme="majorBidi" w:hAnsiTheme="majorBidi" w:cstheme="majorBidi"/>
          <w:sz w:val="24"/>
          <w:szCs w:val="24"/>
        </w:rPr>
        <w:lastRenderedPageBreak/>
        <w:t xml:space="preserve">desigualdades económicas internas que se agravan con las crisis y que restringen el acceso a alimentos a grandes partes de la población, las manipulaciones de precios por parte de los agentes internacionales más fuertes económicamente, y un escenario en que la necesidad de importación de productos alimentarios sea, en valor, superior al 25% del valor de las exportaciones totales de un país, a lo que habría que añadir </w:t>
      </w:r>
      <w:r w:rsidR="0056296F" w:rsidRPr="001579BE">
        <w:rPr>
          <w:rFonts w:asciiTheme="majorBidi" w:hAnsiTheme="majorBidi" w:cstheme="majorBidi"/>
          <w:sz w:val="24"/>
          <w:szCs w:val="24"/>
        </w:rPr>
        <w:t>posibles fenómenos climatológicos adversos (como las sequías, las olas de calor o las inundaciones, por ejemplo)</w:t>
      </w:r>
      <w:r w:rsidR="00977D4E" w:rsidRPr="001579BE">
        <w:rPr>
          <w:rFonts w:asciiTheme="majorBidi" w:hAnsiTheme="majorBidi" w:cstheme="majorBidi"/>
          <w:sz w:val="24"/>
          <w:szCs w:val="24"/>
        </w:rPr>
        <w:t xml:space="preserve"> (Torres, 2003).</w:t>
      </w:r>
    </w:p>
    <w:p w14:paraId="534671C3" w14:textId="5FB4D4C0" w:rsidR="002F5AA0" w:rsidRPr="001579BE" w:rsidRDefault="00977D4E"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Si bien los países ricos también se pueden llegar a encontrar en situaciones de inestabilidad en la disponibilidad de alimentos, son capaces de superar la adversidad dado su poder adquisitivo o su superioridad tecnológica, que posibilitan el acceso a alimentos incluso cuando los precios de los mismos se ven coyunturalmente disparados. Son los países menos desarrollados, incluso aquellos con mayor capacidad productiva de alimentos a nivel internacional, los que más frecuentemente encuentran su seguridad nacional amenazada por su seguridad alimentaria</w:t>
      </w:r>
      <w:r w:rsidR="002935CD" w:rsidRPr="001579BE">
        <w:rPr>
          <w:rFonts w:asciiTheme="majorBidi" w:hAnsiTheme="majorBidi" w:cstheme="majorBidi"/>
          <w:sz w:val="24"/>
          <w:szCs w:val="24"/>
        </w:rPr>
        <w:t xml:space="preserve">. Apenas una pequeña variación en el precio de los alimentos básicos en el mercado internacional puede suponer un importante shock en una economía con escasez de divisas internacionales, reduciendo su capacidad de importación, aumentando la inflación desde los productos básicos y afectando a la competitividad de sus exportaciones </w:t>
      </w:r>
      <w:r w:rsidR="00A47644" w:rsidRPr="001579BE">
        <w:rPr>
          <w:rFonts w:asciiTheme="majorBidi" w:hAnsiTheme="majorBidi" w:cstheme="majorBidi"/>
          <w:sz w:val="24"/>
          <w:szCs w:val="24"/>
        </w:rPr>
        <w:t>(Torres, 2003).</w:t>
      </w:r>
    </w:p>
    <w:p w14:paraId="3527B5C5" w14:textId="5D8CD342" w:rsidR="00DA7799" w:rsidRPr="001579BE" w:rsidRDefault="008A323F"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La seguridad alimentaria de un país amenazará la seguridad nacional cuando más de la mitad de la población se enfrente a un escenario de hambre. </w:t>
      </w:r>
      <w:r w:rsidR="00DA7799" w:rsidRPr="001579BE">
        <w:rPr>
          <w:rFonts w:asciiTheme="majorBidi" w:hAnsiTheme="majorBidi" w:cstheme="majorBidi"/>
          <w:sz w:val="24"/>
          <w:szCs w:val="24"/>
        </w:rPr>
        <w:t>Para garantizar su seguridad alimentaria, un país necesita de</w:t>
      </w:r>
      <w:r w:rsidR="0032699A" w:rsidRPr="001579BE">
        <w:rPr>
          <w:rFonts w:asciiTheme="majorBidi" w:hAnsiTheme="majorBidi" w:cstheme="majorBidi"/>
          <w:sz w:val="24"/>
          <w:szCs w:val="24"/>
        </w:rPr>
        <w:t xml:space="preserve"> la creación y mantenimiento </w:t>
      </w:r>
      <w:r w:rsidR="00DA7799" w:rsidRPr="001579BE">
        <w:rPr>
          <w:rFonts w:asciiTheme="majorBidi" w:hAnsiTheme="majorBidi" w:cstheme="majorBidi"/>
          <w:sz w:val="24"/>
          <w:szCs w:val="24"/>
        </w:rPr>
        <w:t>de una reserva del 20% de sus necesidades alimentarias anuales</w:t>
      </w:r>
      <w:r w:rsidR="0032699A" w:rsidRPr="001579BE">
        <w:rPr>
          <w:rFonts w:asciiTheme="majorBidi" w:hAnsiTheme="majorBidi" w:cstheme="majorBidi"/>
          <w:sz w:val="24"/>
          <w:szCs w:val="24"/>
        </w:rPr>
        <w:t xml:space="preserve">. Esta no es más que parte de una estrategia de seguridad alimentaria que, según Torres (2003) se debería diseñar, buscando su sostenibilidad en el tiempo racionalizando el uso de recursos naturales, a fin de generar oferta interna de alimentos, neutralizar volatilidades cíclicas en disponibilidad y precios de los productos y reducir al mínimo la dependencia externa en alimentos básicos.  </w:t>
      </w:r>
    </w:p>
    <w:p w14:paraId="2B065567" w14:textId="3EB88A83" w:rsidR="008A323F" w:rsidRPr="001579BE" w:rsidRDefault="008A323F" w:rsidP="003034BE">
      <w:pPr>
        <w:pStyle w:val="Ttulo3"/>
        <w:numPr>
          <w:ilvl w:val="2"/>
          <w:numId w:val="4"/>
        </w:numPr>
        <w:spacing w:line="360" w:lineRule="auto"/>
        <w:rPr>
          <w:rFonts w:asciiTheme="majorBidi" w:hAnsiTheme="majorBidi"/>
          <w:b/>
          <w:bCs/>
          <w:color w:val="auto"/>
        </w:rPr>
      </w:pPr>
      <w:bookmarkStart w:id="16" w:name="_Toc137456602"/>
      <w:r w:rsidRPr="001579BE">
        <w:rPr>
          <w:rFonts w:asciiTheme="majorBidi" w:hAnsiTheme="majorBidi"/>
          <w:b/>
          <w:bCs/>
          <w:color w:val="auto"/>
        </w:rPr>
        <w:t>Soberanía alimentaria</w:t>
      </w:r>
      <w:bookmarkEnd w:id="16"/>
    </w:p>
    <w:p w14:paraId="3010E689" w14:textId="4A1B53DD" w:rsidR="00570A12" w:rsidRPr="001579BE" w:rsidRDefault="00304358"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Similar a la autosuficiencia alimentaria y </w:t>
      </w:r>
      <w:r w:rsidR="00E52F1E" w:rsidRPr="001579BE">
        <w:rPr>
          <w:rFonts w:asciiTheme="majorBidi" w:hAnsiTheme="majorBidi" w:cstheme="majorBidi"/>
          <w:sz w:val="24"/>
          <w:szCs w:val="24"/>
        </w:rPr>
        <w:t>pudiendo ser considerada condición necesaria para</w:t>
      </w:r>
      <w:r w:rsidR="008A323F" w:rsidRPr="001579BE">
        <w:rPr>
          <w:rFonts w:asciiTheme="majorBidi" w:hAnsiTheme="majorBidi" w:cstheme="majorBidi"/>
          <w:sz w:val="24"/>
          <w:szCs w:val="24"/>
        </w:rPr>
        <w:t xml:space="preserve"> la seguridad alimentaria, </w:t>
      </w:r>
      <w:r w:rsidR="00646081" w:rsidRPr="001579BE">
        <w:rPr>
          <w:rFonts w:asciiTheme="majorBidi" w:hAnsiTheme="majorBidi" w:cstheme="majorBidi"/>
          <w:sz w:val="24"/>
          <w:szCs w:val="24"/>
        </w:rPr>
        <w:t>hace referencia a la independencia de un país respecto al exterior en el ámbito de la alimentación</w:t>
      </w:r>
      <w:r w:rsidR="00AC465B" w:rsidRPr="001579BE">
        <w:rPr>
          <w:rFonts w:asciiTheme="majorBidi" w:hAnsiTheme="majorBidi" w:cstheme="majorBidi"/>
          <w:sz w:val="24"/>
          <w:szCs w:val="24"/>
        </w:rPr>
        <w:t>.</w:t>
      </w:r>
      <w:r w:rsidR="00646081" w:rsidRPr="001579BE">
        <w:rPr>
          <w:rFonts w:asciiTheme="majorBidi" w:hAnsiTheme="majorBidi" w:cstheme="majorBidi"/>
          <w:sz w:val="24"/>
          <w:szCs w:val="24"/>
        </w:rPr>
        <w:t xml:space="preserve"> </w:t>
      </w:r>
      <w:r w:rsidR="00AC465B" w:rsidRPr="001579BE">
        <w:rPr>
          <w:rFonts w:asciiTheme="majorBidi" w:hAnsiTheme="majorBidi" w:cstheme="majorBidi"/>
          <w:sz w:val="24"/>
          <w:szCs w:val="24"/>
        </w:rPr>
        <w:t>I</w:t>
      </w:r>
      <w:r w:rsidR="00646081" w:rsidRPr="001579BE">
        <w:rPr>
          <w:rFonts w:asciiTheme="majorBidi" w:hAnsiTheme="majorBidi" w:cstheme="majorBidi"/>
          <w:sz w:val="24"/>
          <w:szCs w:val="24"/>
        </w:rPr>
        <w:t>mplica</w:t>
      </w:r>
      <w:r w:rsidR="00AC465B" w:rsidRPr="001579BE">
        <w:rPr>
          <w:rFonts w:asciiTheme="majorBidi" w:hAnsiTheme="majorBidi" w:cstheme="majorBidi"/>
          <w:sz w:val="24"/>
          <w:szCs w:val="24"/>
        </w:rPr>
        <w:t xml:space="preserve"> </w:t>
      </w:r>
      <w:r w:rsidR="00646081" w:rsidRPr="001579BE">
        <w:rPr>
          <w:rFonts w:asciiTheme="majorBidi" w:hAnsiTheme="majorBidi" w:cstheme="majorBidi"/>
          <w:sz w:val="24"/>
          <w:szCs w:val="24"/>
        </w:rPr>
        <w:t>la existencia y preservación</w:t>
      </w:r>
      <w:r w:rsidR="003B1477" w:rsidRPr="001579BE">
        <w:rPr>
          <w:rFonts w:asciiTheme="majorBidi" w:hAnsiTheme="majorBidi" w:cstheme="majorBidi"/>
          <w:sz w:val="24"/>
          <w:szCs w:val="24"/>
        </w:rPr>
        <w:t xml:space="preserve">, a nivel nacional, </w:t>
      </w:r>
      <w:r w:rsidR="00646081" w:rsidRPr="001579BE">
        <w:rPr>
          <w:rFonts w:asciiTheme="majorBidi" w:hAnsiTheme="majorBidi" w:cstheme="majorBidi"/>
          <w:sz w:val="24"/>
          <w:szCs w:val="24"/>
        </w:rPr>
        <w:t xml:space="preserve">de una infraestructura agropecuaria sólida, </w:t>
      </w:r>
      <w:r w:rsidR="00AC465B" w:rsidRPr="001579BE">
        <w:rPr>
          <w:rFonts w:asciiTheme="majorBidi" w:hAnsiTheme="majorBidi" w:cstheme="majorBidi"/>
          <w:sz w:val="24"/>
          <w:szCs w:val="24"/>
        </w:rPr>
        <w:t>una producción nacional competitiva en precios en el mercado internacional</w:t>
      </w:r>
      <w:r w:rsidR="003B1477" w:rsidRPr="001579BE">
        <w:rPr>
          <w:rFonts w:asciiTheme="majorBidi" w:hAnsiTheme="majorBidi" w:cstheme="majorBidi"/>
          <w:sz w:val="24"/>
          <w:szCs w:val="24"/>
        </w:rPr>
        <w:t xml:space="preserve">, una reserva suficiente de aquellos productos considerados de consumo básico – más frecuentemente, cereales –; y a nivel </w:t>
      </w:r>
      <w:r w:rsidR="003B1477" w:rsidRPr="001579BE">
        <w:rPr>
          <w:rFonts w:asciiTheme="majorBidi" w:hAnsiTheme="majorBidi" w:cstheme="majorBidi"/>
          <w:sz w:val="24"/>
          <w:szCs w:val="24"/>
        </w:rPr>
        <w:lastRenderedPageBreak/>
        <w:t>internacional</w:t>
      </w:r>
      <w:r w:rsidR="00AC465B" w:rsidRPr="001579BE">
        <w:rPr>
          <w:rFonts w:asciiTheme="majorBidi" w:hAnsiTheme="majorBidi" w:cstheme="majorBidi"/>
          <w:sz w:val="24"/>
          <w:szCs w:val="24"/>
        </w:rPr>
        <w:t xml:space="preserve"> y de </w:t>
      </w:r>
      <w:r w:rsidR="003B1477" w:rsidRPr="001579BE">
        <w:rPr>
          <w:rFonts w:asciiTheme="majorBidi" w:hAnsiTheme="majorBidi" w:cstheme="majorBidi"/>
          <w:sz w:val="24"/>
          <w:szCs w:val="24"/>
        </w:rPr>
        <w:t xml:space="preserve">mercados justos y </w:t>
      </w:r>
      <w:r w:rsidR="00AC465B" w:rsidRPr="001579BE">
        <w:rPr>
          <w:rFonts w:asciiTheme="majorBidi" w:hAnsiTheme="majorBidi" w:cstheme="majorBidi"/>
          <w:sz w:val="24"/>
          <w:szCs w:val="24"/>
        </w:rPr>
        <w:t>un contexto arancelario favorable</w:t>
      </w:r>
      <w:r w:rsidR="00570A12" w:rsidRPr="001579BE">
        <w:rPr>
          <w:rFonts w:asciiTheme="majorBidi" w:hAnsiTheme="majorBidi" w:cstheme="majorBidi"/>
          <w:sz w:val="24"/>
          <w:szCs w:val="24"/>
        </w:rPr>
        <w:t xml:space="preserve"> (Torres, 2003</w:t>
      </w:r>
      <w:r w:rsidR="00E52F1E" w:rsidRPr="001579BE">
        <w:rPr>
          <w:rFonts w:asciiTheme="majorBidi" w:hAnsiTheme="majorBidi" w:cstheme="majorBidi"/>
          <w:sz w:val="24"/>
          <w:szCs w:val="24"/>
        </w:rPr>
        <w:t xml:space="preserve">; </w:t>
      </w:r>
      <w:proofErr w:type="spellStart"/>
      <w:r w:rsidR="00E52F1E" w:rsidRPr="001579BE">
        <w:rPr>
          <w:rFonts w:asciiTheme="majorBidi" w:hAnsiTheme="majorBidi" w:cstheme="majorBidi"/>
          <w:sz w:val="24"/>
          <w:szCs w:val="24"/>
        </w:rPr>
        <w:t>Windfuhr</w:t>
      </w:r>
      <w:proofErr w:type="spellEnd"/>
      <w:r w:rsidR="00E52F1E" w:rsidRPr="001579BE">
        <w:rPr>
          <w:rFonts w:asciiTheme="majorBidi" w:hAnsiTheme="majorBidi" w:cstheme="majorBidi"/>
          <w:sz w:val="24"/>
          <w:szCs w:val="24"/>
        </w:rPr>
        <w:t xml:space="preserve"> y </w:t>
      </w:r>
      <w:proofErr w:type="spellStart"/>
      <w:r w:rsidR="00E52F1E" w:rsidRPr="001579BE">
        <w:rPr>
          <w:rFonts w:asciiTheme="majorBidi" w:hAnsiTheme="majorBidi" w:cstheme="majorBidi"/>
          <w:sz w:val="24"/>
          <w:szCs w:val="24"/>
        </w:rPr>
        <w:t>Jonsén</w:t>
      </w:r>
      <w:proofErr w:type="spellEnd"/>
      <w:r w:rsidR="00E52F1E" w:rsidRPr="001579BE">
        <w:rPr>
          <w:rFonts w:asciiTheme="majorBidi" w:hAnsiTheme="majorBidi" w:cstheme="majorBidi"/>
          <w:sz w:val="24"/>
          <w:szCs w:val="24"/>
        </w:rPr>
        <w:t>, 2005</w:t>
      </w:r>
      <w:r w:rsidR="00570A12" w:rsidRPr="001579BE">
        <w:rPr>
          <w:rFonts w:asciiTheme="majorBidi" w:hAnsiTheme="majorBidi" w:cstheme="majorBidi"/>
          <w:sz w:val="24"/>
          <w:szCs w:val="24"/>
        </w:rPr>
        <w:t>)</w:t>
      </w:r>
      <w:r w:rsidR="00AC465B" w:rsidRPr="001579BE">
        <w:rPr>
          <w:rFonts w:asciiTheme="majorBidi" w:hAnsiTheme="majorBidi" w:cstheme="majorBidi"/>
          <w:sz w:val="24"/>
          <w:szCs w:val="24"/>
        </w:rPr>
        <w:t xml:space="preserve">. </w:t>
      </w:r>
    </w:p>
    <w:p w14:paraId="39E702A9" w14:textId="09B9DFBD" w:rsidR="008A323F" w:rsidRPr="001579BE" w:rsidRDefault="00AC465B"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Desde el punto de vista de la economía, se entiende como un supuesto en que la producción nacional iguala a la demanda interna. En algunos países, el concepto se restringe a</w:t>
      </w:r>
      <w:r w:rsidR="008E4D5C" w:rsidRPr="001579BE">
        <w:rPr>
          <w:rFonts w:asciiTheme="majorBidi" w:hAnsiTheme="majorBidi" w:cstheme="majorBidi"/>
          <w:sz w:val="24"/>
          <w:szCs w:val="24"/>
        </w:rPr>
        <w:t xml:space="preserve"> la autosuficiencia en el </w:t>
      </w:r>
      <w:r w:rsidRPr="001579BE">
        <w:rPr>
          <w:rFonts w:asciiTheme="majorBidi" w:hAnsiTheme="majorBidi" w:cstheme="majorBidi"/>
          <w:sz w:val="24"/>
          <w:szCs w:val="24"/>
        </w:rPr>
        <w:t>producto</w:t>
      </w:r>
      <w:r w:rsidR="008E4D5C" w:rsidRPr="001579BE">
        <w:rPr>
          <w:rFonts w:asciiTheme="majorBidi" w:hAnsiTheme="majorBidi" w:cstheme="majorBidi"/>
          <w:sz w:val="24"/>
          <w:szCs w:val="24"/>
        </w:rPr>
        <w:t xml:space="preserve"> con mayor demanda interna</w:t>
      </w:r>
      <w:r w:rsidRPr="001579BE">
        <w:rPr>
          <w:rFonts w:asciiTheme="majorBidi" w:hAnsiTheme="majorBidi" w:cstheme="majorBidi"/>
          <w:sz w:val="24"/>
          <w:szCs w:val="24"/>
        </w:rPr>
        <w:t xml:space="preserve">, como es el caso de Corea del Sur y Japón con el arroz, o México con el maíz y los frijoles. </w:t>
      </w:r>
      <w:r w:rsidR="008E4D5C" w:rsidRPr="001579BE">
        <w:rPr>
          <w:rFonts w:asciiTheme="majorBidi" w:hAnsiTheme="majorBidi" w:cstheme="majorBidi"/>
          <w:sz w:val="24"/>
          <w:szCs w:val="24"/>
        </w:rPr>
        <w:t xml:space="preserve">En otros casos, se selecciona una cesta de productos básicos sustitutos entre sí, </w:t>
      </w:r>
      <w:r w:rsidR="00570A12" w:rsidRPr="001579BE">
        <w:rPr>
          <w:rFonts w:asciiTheme="majorBidi" w:hAnsiTheme="majorBidi" w:cstheme="majorBidi"/>
          <w:sz w:val="24"/>
          <w:szCs w:val="24"/>
        </w:rPr>
        <w:t>de los que se permitirá la importación y exportación siempre que no haya déficit ni otros sectores de la economía nacional deban de transferir fondos al agropecuario</w:t>
      </w:r>
      <w:r w:rsidR="00B331FF" w:rsidRPr="001579BE">
        <w:rPr>
          <w:rFonts w:asciiTheme="majorBidi" w:hAnsiTheme="majorBidi" w:cstheme="majorBidi"/>
          <w:sz w:val="24"/>
          <w:szCs w:val="24"/>
        </w:rPr>
        <w:t>. Por último, otro enfoque se limita a evitar el déficit en balanza de pagos nacional, admitiendo la posibilidad de que un país financie las importaciones de alimentos con las exportaciones de bienes de otras categorías</w:t>
      </w:r>
      <w:r w:rsidR="00570A12" w:rsidRPr="001579BE">
        <w:rPr>
          <w:rFonts w:asciiTheme="majorBidi" w:hAnsiTheme="majorBidi" w:cstheme="majorBidi"/>
          <w:sz w:val="24"/>
          <w:szCs w:val="24"/>
        </w:rPr>
        <w:t xml:space="preserve"> </w:t>
      </w:r>
      <w:r w:rsidR="008E4D5C" w:rsidRPr="001579BE">
        <w:rPr>
          <w:rFonts w:asciiTheme="majorBidi" w:hAnsiTheme="majorBidi" w:cstheme="majorBidi"/>
          <w:sz w:val="24"/>
          <w:szCs w:val="24"/>
        </w:rPr>
        <w:t>(</w:t>
      </w:r>
      <w:proofErr w:type="spellStart"/>
      <w:r w:rsidR="00570A12" w:rsidRPr="001579BE">
        <w:rPr>
          <w:rFonts w:asciiTheme="majorBidi" w:hAnsiTheme="majorBidi" w:cstheme="majorBidi"/>
          <w:sz w:val="24"/>
          <w:szCs w:val="24"/>
        </w:rPr>
        <w:t>Xue</w:t>
      </w:r>
      <w:proofErr w:type="spellEnd"/>
      <w:r w:rsidR="00570A12" w:rsidRPr="001579BE">
        <w:rPr>
          <w:rFonts w:asciiTheme="majorBidi" w:hAnsiTheme="majorBidi" w:cstheme="majorBidi"/>
          <w:sz w:val="24"/>
          <w:szCs w:val="24"/>
        </w:rPr>
        <w:t xml:space="preserve"> Dong, 1996; </w:t>
      </w:r>
      <w:r w:rsidR="008E4D5C" w:rsidRPr="001579BE">
        <w:rPr>
          <w:rFonts w:asciiTheme="majorBidi" w:hAnsiTheme="majorBidi" w:cstheme="majorBidi"/>
          <w:sz w:val="24"/>
          <w:szCs w:val="24"/>
        </w:rPr>
        <w:t>Torres, 2003).</w:t>
      </w:r>
    </w:p>
    <w:p w14:paraId="3AC91979" w14:textId="49989ACE" w:rsidR="00C1619C" w:rsidRPr="001579BE" w:rsidRDefault="00C1619C" w:rsidP="003034BE">
      <w:pPr>
        <w:pStyle w:val="Ttulo3"/>
        <w:numPr>
          <w:ilvl w:val="2"/>
          <w:numId w:val="4"/>
        </w:numPr>
        <w:spacing w:line="360" w:lineRule="auto"/>
        <w:rPr>
          <w:rFonts w:asciiTheme="majorBidi" w:hAnsiTheme="majorBidi"/>
          <w:b/>
          <w:bCs/>
          <w:color w:val="auto"/>
        </w:rPr>
      </w:pPr>
      <w:bookmarkStart w:id="17" w:name="_Toc137456603"/>
      <w:r w:rsidRPr="001579BE">
        <w:rPr>
          <w:rFonts w:asciiTheme="majorBidi" w:hAnsiTheme="majorBidi"/>
          <w:b/>
          <w:bCs/>
          <w:color w:val="auto"/>
        </w:rPr>
        <w:t>Política alimentaria</w:t>
      </w:r>
      <w:bookmarkEnd w:id="17"/>
    </w:p>
    <w:p w14:paraId="5987A918" w14:textId="0F272557" w:rsidR="00A53B28" w:rsidRPr="001579BE" w:rsidRDefault="003B1C67" w:rsidP="00E86BE2">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El concepto s</w:t>
      </w:r>
      <w:r w:rsidR="00C1619C" w:rsidRPr="001579BE">
        <w:rPr>
          <w:rFonts w:asciiTheme="majorBidi" w:hAnsiTheme="majorBidi" w:cstheme="majorBidi"/>
          <w:sz w:val="24"/>
          <w:szCs w:val="24"/>
        </w:rPr>
        <w:t>e refiere a las políticas y estrategias implementa</w:t>
      </w:r>
      <w:r w:rsidR="00A53B28" w:rsidRPr="001579BE">
        <w:rPr>
          <w:rFonts w:asciiTheme="majorBidi" w:hAnsiTheme="majorBidi" w:cstheme="majorBidi"/>
          <w:sz w:val="24"/>
          <w:szCs w:val="24"/>
        </w:rPr>
        <w:t>das</w:t>
      </w:r>
      <w:r w:rsidR="00C1619C" w:rsidRPr="001579BE">
        <w:rPr>
          <w:rFonts w:asciiTheme="majorBidi" w:hAnsiTheme="majorBidi" w:cstheme="majorBidi"/>
          <w:sz w:val="24"/>
          <w:szCs w:val="24"/>
        </w:rPr>
        <w:t xml:space="preserve"> </w:t>
      </w:r>
      <w:r w:rsidR="007B251E" w:rsidRPr="001579BE">
        <w:rPr>
          <w:rFonts w:asciiTheme="majorBidi" w:hAnsiTheme="majorBidi" w:cstheme="majorBidi"/>
          <w:sz w:val="24"/>
          <w:szCs w:val="24"/>
        </w:rPr>
        <w:t xml:space="preserve">a lo largo de </w:t>
      </w:r>
      <w:r w:rsidR="00A53B28" w:rsidRPr="001579BE">
        <w:rPr>
          <w:rFonts w:asciiTheme="majorBidi" w:hAnsiTheme="majorBidi" w:cstheme="majorBidi"/>
          <w:sz w:val="24"/>
          <w:szCs w:val="24"/>
        </w:rPr>
        <w:t>los</w:t>
      </w:r>
      <w:r w:rsidR="007B251E" w:rsidRPr="001579BE">
        <w:rPr>
          <w:rFonts w:asciiTheme="majorBidi" w:hAnsiTheme="majorBidi" w:cstheme="majorBidi"/>
          <w:sz w:val="24"/>
          <w:szCs w:val="24"/>
        </w:rPr>
        <w:t xml:space="preserve"> sistemas alimentarios – en las actividades de producción, extracción, transformación o comercialización de los alimentos – </w:t>
      </w:r>
      <w:r w:rsidR="00C1619C" w:rsidRPr="001579BE">
        <w:rPr>
          <w:rFonts w:asciiTheme="majorBidi" w:hAnsiTheme="majorBidi" w:cstheme="majorBidi"/>
          <w:sz w:val="24"/>
          <w:szCs w:val="24"/>
        </w:rPr>
        <w:t xml:space="preserve">para garantizar la seguridad </w:t>
      </w:r>
      <w:r w:rsidR="007B251E" w:rsidRPr="001579BE">
        <w:rPr>
          <w:rFonts w:asciiTheme="majorBidi" w:hAnsiTheme="majorBidi" w:cstheme="majorBidi"/>
          <w:sz w:val="24"/>
          <w:szCs w:val="24"/>
        </w:rPr>
        <w:t xml:space="preserve">y soberanía </w:t>
      </w:r>
      <w:r w:rsidR="00C1619C" w:rsidRPr="001579BE">
        <w:rPr>
          <w:rFonts w:asciiTheme="majorBidi" w:hAnsiTheme="majorBidi" w:cstheme="majorBidi"/>
          <w:sz w:val="24"/>
          <w:szCs w:val="24"/>
        </w:rPr>
        <w:t>alimentaria y nutricional de su población</w:t>
      </w:r>
      <w:r w:rsidR="007B251E" w:rsidRPr="001579BE">
        <w:rPr>
          <w:rFonts w:asciiTheme="majorBidi" w:hAnsiTheme="majorBidi" w:cstheme="majorBidi"/>
          <w:sz w:val="24"/>
          <w:szCs w:val="24"/>
        </w:rPr>
        <w:t>, inclusive como parte de una política de salud pública</w:t>
      </w:r>
      <w:r w:rsidR="00C1619C" w:rsidRPr="001579BE">
        <w:rPr>
          <w:rFonts w:asciiTheme="majorBidi" w:hAnsiTheme="majorBidi" w:cstheme="majorBidi"/>
          <w:sz w:val="24"/>
          <w:szCs w:val="24"/>
        </w:rPr>
        <w:t>.</w:t>
      </w:r>
      <w:r w:rsidR="00A53B28" w:rsidRPr="001579BE">
        <w:rPr>
          <w:rFonts w:asciiTheme="majorBidi" w:hAnsiTheme="majorBidi" w:cstheme="majorBidi"/>
          <w:sz w:val="24"/>
          <w:szCs w:val="24"/>
        </w:rPr>
        <w:t xml:space="preserve"> Estas políticas se ajustan al contexto imperante en cada caso y son </w:t>
      </w:r>
      <w:r w:rsidR="00A9165D" w:rsidRPr="001579BE">
        <w:rPr>
          <w:rFonts w:asciiTheme="majorBidi" w:hAnsiTheme="majorBidi" w:cstheme="majorBidi"/>
          <w:sz w:val="24"/>
          <w:szCs w:val="24"/>
        </w:rPr>
        <w:t>diseñadas</w:t>
      </w:r>
      <w:r w:rsidR="00A53B28" w:rsidRPr="001579BE">
        <w:rPr>
          <w:rFonts w:asciiTheme="majorBidi" w:hAnsiTheme="majorBidi" w:cstheme="majorBidi"/>
          <w:sz w:val="24"/>
          <w:szCs w:val="24"/>
        </w:rPr>
        <w:t xml:space="preserve"> y ejecutadas por las administraciones públicas a todos los niveles, desde el local al supranacional pasando por el nacional y regional, además de incluir en ellas a la sociedad civil y al sector privado (Lang </w:t>
      </w:r>
      <w:r w:rsidR="00A53B28" w:rsidRPr="001579BE">
        <w:rPr>
          <w:rFonts w:asciiTheme="majorBidi" w:hAnsiTheme="majorBidi" w:cstheme="majorBidi"/>
          <w:i/>
          <w:iCs/>
          <w:sz w:val="24"/>
          <w:szCs w:val="24"/>
        </w:rPr>
        <w:t>et al.</w:t>
      </w:r>
      <w:r w:rsidR="00A53B28" w:rsidRPr="001579BE">
        <w:rPr>
          <w:rFonts w:asciiTheme="majorBidi" w:hAnsiTheme="majorBidi" w:cstheme="majorBidi"/>
          <w:sz w:val="24"/>
          <w:szCs w:val="24"/>
        </w:rPr>
        <w:t>, 2009).</w:t>
      </w:r>
    </w:p>
    <w:p w14:paraId="4F3D589B" w14:textId="1B36BB41" w:rsidR="008C46FF" w:rsidRPr="001579BE" w:rsidRDefault="009C7E23" w:rsidP="00E86BE2">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Si </w:t>
      </w:r>
      <w:r w:rsidR="00A9165D" w:rsidRPr="001579BE">
        <w:rPr>
          <w:rFonts w:asciiTheme="majorBidi" w:hAnsiTheme="majorBidi" w:cstheme="majorBidi"/>
          <w:sz w:val="24"/>
          <w:szCs w:val="24"/>
        </w:rPr>
        <w:t xml:space="preserve">estas políticas </w:t>
      </w:r>
      <w:r w:rsidRPr="001579BE">
        <w:rPr>
          <w:rFonts w:asciiTheme="majorBidi" w:hAnsiTheme="majorBidi" w:cstheme="majorBidi"/>
          <w:sz w:val="24"/>
          <w:szCs w:val="24"/>
        </w:rPr>
        <w:t xml:space="preserve">se </w:t>
      </w:r>
      <w:r w:rsidR="00A9165D" w:rsidRPr="001579BE">
        <w:rPr>
          <w:rFonts w:asciiTheme="majorBidi" w:hAnsiTheme="majorBidi" w:cstheme="majorBidi"/>
          <w:sz w:val="24"/>
          <w:szCs w:val="24"/>
        </w:rPr>
        <w:t>trazan</w:t>
      </w:r>
      <w:r w:rsidRPr="001579BE">
        <w:rPr>
          <w:rFonts w:asciiTheme="majorBidi" w:hAnsiTheme="majorBidi" w:cstheme="majorBidi"/>
          <w:sz w:val="24"/>
          <w:szCs w:val="24"/>
        </w:rPr>
        <w:t xml:space="preserve"> con perspectiva de seguridad alimentaria, tendrán una dimensión más realista, del alimento como un bien comercializable necesario para la seguridad nacional e implicarán medidas de aumento de la producción, de liberalización del comercio de alimentos, y de gestión de riesgos y amenazas al suministro. Si se </w:t>
      </w:r>
      <w:r w:rsidR="00A9165D" w:rsidRPr="001579BE">
        <w:rPr>
          <w:rFonts w:asciiTheme="majorBidi" w:hAnsiTheme="majorBidi" w:cstheme="majorBidi"/>
          <w:sz w:val="24"/>
          <w:szCs w:val="24"/>
        </w:rPr>
        <w:t>trazan</w:t>
      </w:r>
      <w:r w:rsidRPr="001579BE">
        <w:rPr>
          <w:rFonts w:asciiTheme="majorBidi" w:hAnsiTheme="majorBidi" w:cstheme="majorBidi"/>
          <w:sz w:val="24"/>
          <w:szCs w:val="24"/>
        </w:rPr>
        <w:t xml:space="preserve"> con perspectiva de soberanía alimentaria, tendrán una dimensión más holística</w:t>
      </w:r>
      <w:r w:rsidR="00E86BE2" w:rsidRPr="001579BE">
        <w:rPr>
          <w:rFonts w:asciiTheme="majorBidi" w:hAnsiTheme="majorBidi" w:cstheme="majorBidi"/>
          <w:sz w:val="24"/>
          <w:szCs w:val="24"/>
        </w:rPr>
        <w:t>,</w:t>
      </w:r>
      <w:r w:rsidRPr="001579BE">
        <w:rPr>
          <w:rFonts w:asciiTheme="majorBidi" w:hAnsiTheme="majorBidi" w:cstheme="majorBidi"/>
          <w:sz w:val="24"/>
          <w:szCs w:val="24"/>
        </w:rPr>
        <w:t xml:space="preserve"> de percepción del alimento como un derecho humano, </w:t>
      </w:r>
      <w:r w:rsidR="00E86BE2" w:rsidRPr="001579BE">
        <w:rPr>
          <w:rFonts w:asciiTheme="majorBidi" w:hAnsiTheme="majorBidi" w:cstheme="majorBidi"/>
          <w:sz w:val="24"/>
          <w:szCs w:val="24"/>
        </w:rPr>
        <w:t xml:space="preserve">e implicarán medidas como </w:t>
      </w:r>
      <w:r w:rsidRPr="001579BE">
        <w:rPr>
          <w:rFonts w:asciiTheme="majorBidi" w:hAnsiTheme="majorBidi" w:cstheme="majorBidi"/>
          <w:sz w:val="24"/>
          <w:szCs w:val="24"/>
        </w:rPr>
        <w:t xml:space="preserve">la protección de pequeños agricultores, </w:t>
      </w:r>
      <w:r w:rsidR="00AE26A5" w:rsidRPr="001579BE">
        <w:rPr>
          <w:rFonts w:asciiTheme="majorBidi" w:hAnsiTheme="majorBidi" w:cstheme="majorBidi"/>
          <w:sz w:val="24"/>
          <w:szCs w:val="24"/>
        </w:rPr>
        <w:t>o la regulación de los precios de los alimentos (López-Giraldo y Franco-Giraldo, 2015).</w:t>
      </w:r>
    </w:p>
    <w:p w14:paraId="08E4E250" w14:textId="77777777" w:rsidR="001579BE" w:rsidRPr="001579BE" w:rsidRDefault="001579BE" w:rsidP="00E86BE2">
      <w:pPr>
        <w:spacing w:line="360" w:lineRule="auto"/>
        <w:ind w:firstLine="708"/>
        <w:jc w:val="both"/>
        <w:rPr>
          <w:rFonts w:asciiTheme="majorBidi" w:hAnsiTheme="majorBidi" w:cstheme="majorBidi"/>
          <w:sz w:val="24"/>
          <w:szCs w:val="24"/>
        </w:rPr>
      </w:pPr>
    </w:p>
    <w:p w14:paraId="45D83B31" w14:textId="73BFA9BC" w:rsidR="002408EF" w:rsidRPr="001579BE" w:rsidRDefault="002614F3" w:rsidP="0009454F">
      <w:pPr>
        <w:pStyle w:val="Ttulo2"/>
        <w:numPr>
          <w:ilvl w:val="1"/>
          <w:numId w:val="1"/>
        </w:numPr>
        <w:spacing w:after="240"/>
        <w:jc w:val="both"/>
        <w:rPr>
          <w:rFonts w:asciiTheme="majorBidi" w:hAnsiTheme="majorBidi"/>
          <w:b/>
          <w:bCs/>
          <w:color w:val="auto"/>
          <w:sz w:val="24"/>
          <w:szCs w:val="24"/>
        </w:rPr>
      </w:pPr>
      <w:bookmarkStart w:id="18" w:name="_Toc137456604"/>
      <w:r w:rsidRPr="001579BE">
        <w:rPr>
          <w:rFonts w:asciiTheme="majorBidi" w:hAnsiTheme="majorBidi"/>
          <w:b/>
          <w:bCs/>
          <w:color w:val="auto"/>
          <w:sz w:val="24"/>
          <w:szCs w:val="24"/>
        </w:rPr>
        <w:lastRenderedPageBreak/>
        <w:t>T</w:t>
      </w:r>
      <w:r w:rsidR="002408EF" w:rsidRPr="001579BE">
        <w:rPr>
          <w:rFonts w:asciiTheme="majorBidi" w:hAnsiTheme="majorBidi"/>
          <w:b/>
          <w:bCs/>
          <w:color w:val="auto"/>
          <w:sz w:val="24"/>
          <w:szCs w:val="24"/>
        </w:rPr>
        <w:t>eorías de comercio internacional relevantes</w:t>
      </w:r>
      <w:bookmarkEnd w:id="18"/>
    </w:p>
    <w:p w14:paraId="3F770A53" w14:textId="4889EBA5" w:rsidR="00C1619C" w:rsidRPr="001579BE" w:rsidRDefault="00C1619C" w:rsidP="003034BE">
      <w:pPr>
        <w:pStyle w:val="Ttulo3"/>
        <w:numPr>
          <w:ilvl w:val="2"/>
          <w:numId w:val="5"/>
        </w:numPr>
        <w:spacing w:line="360" w:lineRule="auto"/>
        <w:rPr>
          <w:rFonts w:asciiTheme="majorBidi" w:hAnsiTheme="majorBidi"/>
          <w:b/>
          <w:bCs/>
          <w:color w:val="auto"/>
        </w:rPr>
      </w:pPr>
      <w:bookmarkStart w:id="19" w:name="_Toc137456605"/>
      <w:r w:rsidRPr="001579BE">
        <w:rPr>
          <w:rFonts w:asciiTheme="majorBidi" w:hAnsiTheme="majorBidi"/>
          <w:b/>
          <w:bCs/>
          <w:color w:val="auto"/>
        </w:rPr>
        <w:t>Teoría de la ventaja comparativa</w:t>
      </w:r>
      <w:bookmarkEnd w:id="19"/>
      <w:r w:rsidRPr="001579BE">
        <w:rPr>
          <w:rFonts w:asciiTheme="majorBidi" w:hAnsiTheme="majorBidi"/>
          <w:b/>
          <w:bCs/>
          <w:color w:val="auto"/>
        </w:rPr>
        <w:t xml:space="preserve"> </w:t>
      </w:r>
    </w:p>
    <w:p w14:paraId="2B0CAFBD" w14:textId="20733549" w:rsidR="005C3FAB" w:rsidRPr="001579BE" w:rsidRDefault="001971A1" w:rsidP="0009454F">
      <w:pPr>
        <w:spacing w:line="360" w:lineRule="auto"/>
        <w:jc w:val="both"/>
        <w:rPr>
          <w:rFonts w:asciiTheme="majorBidi" w:hAnsiTheme="majorBidi" w:cstheme="majorBidi"/>
          <w:sz w:val="24"/>
          <w:szCs w:val="24"/>
        </w:rPr>
      </w:pPr>
      <w:r w:rsidRPr="001579BE">
        <w:rPr>
          <w:rFonts w:asciiTheme="majorBidi" w:hAnsiTheme="majorBidi" w:cstheme="majorBidi"/>
          <w:sz w:val="24"/>
          <w:szCs w:val="24"/>
        </w:rPr>
        <w:tab/>
      </w:r>
      <w:r w:rsidR="00277A44" w:rsidRPr="001579BE">
        <w:rPr>
          <w:rFonts w:asciiTheme="majorBidi" w:hAnsiTheme="majorBidi" w:cstheme="majorBidi"/>
          <w:sz w:val="24"/>
          <w:szCs w:val="24"/>
        </w:rPr>
        <w:t>David Ricardo elaboró esta teoría e</w:t>
      </w:r>
      <w:r w:rsidRPr="001579BE">
        <w:rPr>
          <w:rFonts w:asciiTheme="majorBidi" w:hAnsiTheme="majorBidi" w:cstheme="majorBidi"/>
          <w:sz w:val="24"/>
          <w:szCs w:val="24"/>
        </w:rPr>
        <w:t xml:space="preserve">n respuesta a la teoría de la ventaja absoluta de Adam Smith, según la cual cada </w:t>
      </w:r>
      <w:r w:rsidR="00277A44" w:rsidRPr="001579BE">
        <w:rPr>
          <w:rFonts w:asciiTheme="majorBidi" w:hAnsiTheme="majorBidi" w:cstheme="majorBidi"/>
          <w:sz w:val="24"/>
          <w:szCs w:val="24"/>
        </w:rPr>
        <w:t xml:space="preserve">país en el sistema de comercio internacional se especializaría en producir aquello en lo que fuera más eficiente – la ventaja absoluta – con el fin de exportarlo, y dejaría de producir aquello en lo que fuera menos eficiente para en su lugar importarlo. Según Smith, esto conduciría a un aumento de la producción mundial del que se beneficiarían todos los países participantes en el comercio </w:t>
      </w:r>
      <w:r w:rsidR="003239AF" w:rsidRPr="001579BE">
        <w:rPr>
          <w:rFonts w:asciiTheme="majorBidi" w:hAnsiTheme="majorBidi" w:cstheme="majorBidi"/>
          <w:sz w:val="24"/>
          <w:szCs w:val="24"/>
        </w:rPr>
        <w:t>internaciona</w:t>
      </w:r>
      <w:r w:rsidR="00277A44" w:rsidRPr="001579BE">
        <w:rPr>
          <w:rFonts w:asciiTheme="majorBidi" w:hAnsiTheme="majorBidi" w:cstheme="majorBidi"/>
          <w:sz w:val="24"/>
          <w:szCs w:val="24"/>
        </w:rPr>
        <w:t>l</w:t>
      </w:r>
      <w:r w:rsidR="00050E94" w:rsidRPr="001579BE">
        <w:rPr>
          <w:rFonts w:asciiTheme="majorBidi" w:hAnsiTheme="majorBidi" w:cstheme="majorBidi"/>
          <w:sz w:val="24"/>
          <w:szCs w:val="24"/>
        </w:rPr>
        <w:t xml:space="preserve"> (Smith, 2023)</w:t>
      </w:r>
      <w:r w:rsidR="001B4420" w:rsidRPr="001579BE">
        <w:rPr>
          <w:rFonts w:asciiTheme="majorBidi" w:hAnsiTheme="majorBidi" w:cstheme="majorBidi"/>
          <w:sz w:val="24"/>
          <w:szCs w:val="24"/>
        </w:rPr>
        <w:t xml:space="preserve">. </w:t>
      </w:r>
      <w:r w:rsidR="00277A44" w:rsidRPr="001579BE">
        <w:rPr>
          <w:rFonts w:asciiTheme="majorBidi" w:hAnsiTheme="majorBidi" w:cstheme="majorBidi"/>
          <w:sz w:val="24"/>
          <w:szCs w:val="24"/>
        </w:rPr>
        <w:t xml:space="preserve"> </w:t>
      </w:r>
    </w:p>
    <w:p w14:paraId="7D99765C" w14:textId="6E1BA07B" w:rsidR="001971A1" w:rsidRPr="001579BE" w:rsidRDefault="00277A44"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Ricardo matizó que aunque un país no fuera el más eficiente a nivel global en la producción de ningún bien o servicio, seguiría beneficiándose de participar en el libre comercio </w:t>
      </w:r>
      <w:r w:rsidR="004B5B38" w:rsidRPr="001579BE">
        <w:rPr>
          <w:rFonts w:asciiTheme="majorBidi" w:hAnsiTheme="majorBidi" w:cstheme="majorBidi"/>
          <w:sz w:val="24"/>
          <w:szCs w:val="24"/>
        </w:rPr>
        <w:t>si al calcular los costes de un producto en términos de otro, los costes relativos, estos son diferentes, habiendo entonces posibilidad de intercambio. Tanto el país en cuestión como sus socios comerciales s</w:t>
      </w:r>
      <w:r w:rsidR="005C3FAB" w:rsidRPr="001579BE">
        <w:rPr>
          <w:rFonts w:asciiTheme="majorBidi" w:hAnsiTheme="majorBidi" w:cstheme="majorBidi"/>
          <w:sz w:val="24"/>
          <w:szCs w:val="24"/>
        </w:rPr>
        <w:t>acarán una rentabilidad</w:t>
      </w:r>
      <w:r w:rsidR="004B5B38" w:rsidRPr="001579BE">
        <w:rPr>
          <w:rFonts w:asciiTheme="majorBidi" w:hAnsiTheme="majorBidi" w:cstheme="majorBidi"/>
          <w:sz w:val="24"/>
          <w:szCs w:val="24"/>
        </w:rPr>
        <w:t xml:space="preserve"> de este intercambio </w:t>
      </w:r>
      <w:r w:rsidR="00E20A83" w:rsidRPr="001579BE">
        <w:rPr>
          <w:rFonts w:asciiTheme="majorBidi" w:hAnsiTheme="majorBidi" w:cstheme="majorBidi"/>
          <w:sz w:val="24"/>
          <w:szCs w:val="24"/>
        </w:rPr>
        <w:t>si se especializa</w:t>
      </w:r>
      <w:r w:rsidR="004B5B38" w:rsidRPr="001579BE">
        <w:rPr>
          <w:rFonts w:asciiTheme="majorBidi" w:hAnsiTheme="majorBidi" w:cstheme="majorBidi"/>
          <w:sz w:val="24"/>
          <w:szCs w:val="24"/>
        </w:rPr>
        <w:t>n</w:t>
      </w:r>
      <w:r w:rsidR="00E20A83" w:rsidRPr="001579BE">
        <w:rPr>
          <w:rFonts w:asciiTheme="majorBidi" w:hAnsiTheme="majorBidi" w:cstheme="majorBidi"/>
          <w:sz w:val="24"/>
          <w:szCs w:val="24"/>
        </w:rPr>
        <w:t xml:space="preserve"> en </w:t>
      </w:r>
      <w:r w:rsidRPr="001579BE">
        <w:rPr>
          <w:rFonts w:asciiTheme="majorBidi" w:hAnsiTheme="majorBidi" w:cstheme="majorBidi"/>
          <w:sz w:val="24"/>
          <w:szCs w:val="24"/>
        </w:rPr>
        <w:t>la exportación de aquel bien en que su desventaja absoluta sea menor</w:t>
      </w:r>
      <w:r w:rsidR="00E20A83" w:rsidRPr="001579BE">
        <w:rPr>
          <w:rFonts w:asciiTheme="majorBidi" w:hAnsiTheme="majorBidi" w:cstheme="majorBidi"/>
          <w:sz w:val="24"/>
          <w:szCs w:val="24"/>
        </w:rPr>
        <w:t xml:space="preserve"> y en </w:t>
      </w:r>
      <w:r w:rsidR="004B5B38" w:rsidRPr="001579BE">
        <w:rPr>
          <w:rFonts w:asciiTheme="majorBidi" w:hAnsiTheme="majorBidi" w:cstheme="majorBidi"/>
          <w:sz w:val="24"/>
          <w:szCs w:val="24"/>
        </w:rPr>
        <w:t>la importación de</w:t>
      </w:r>
      <w:r w:rsidR="00E20A83" w:rsidRPr="001579BE">
        <w:rPr>
          <w:rFonts w:asciiTheme="majorBidi" w:hAnsiTheme="majorBidi" w:cstheme="majorBidi"/>
          <w:sz w:val="24"/>
          <w:szCs w:val="24"/>
        </w:rPr>
        <w:t xml:space="preserve"> aquel en que su desventaja absoluta sea mayor</w:t>
      </w:r>
      <w:r w:rsidR="005C3FAB" w:rsidRPr="001579BE">
        <w:rPr>
          <w:rFonts w:asciiTheme="majorBidi" w:hAnsiTheme="majorBidi" w:cstheme="majorBidi"/>
          <w:sz w:val="24"/>
          <w:szCs w:val="24"/>
        </w:rPr>
        <w:t xml:space="preserve"> (</w:t>
      </w:r>
      <w:r w:rsidR="001B4420" w:rsidRPr="001579BE">
        <w:rPr>
          <w:rFonts w:asciiTheme="majorBidi" w:hAnsiTheme="majorBidi" w:cstheme="majorBidi"/>
          <w:sz w:val="24"/>
          <w:szCs w:val="24"/>
        </w:rPr>
        <w:t>Ricardo</w:t>
      </w:r>
      <w:r w:rsidR="005C3FAB" w:rsidRPr="001579BE">
        <w:rPr>
          <w:rFonts w:asciiTheme="majorBidi" w:hAnsiTheme="majorBidi" w:cstheme="majorBidi"/>
          <w:sz w:val="24"/>
          <w:szCs w:val="24"/>
        </w:rPr>
        <w:t>,</w:t>
      </w:r>
      <w:r w:rsidR="001B4420" w:rsidRPr="001579BE">
        <w:rPr>
          <w:rFonts w:asciiTheme="majorBidi" w:hAnsiTheme="majorBidi" w:cstheme="majorBidi"/>
          <w:sz w:val="24"/>
          <w:szCs w:val="24"/>
        </w:rPr>
        <w:t xml:space="preserve"> 1975</w:t>
      </w:r>
      <w:r w:rsidR="005C3FAB" w:rsidRPr="001579BE">
        <w:rPr>
          <w:rFonts w:asciiTheme="majorBidi" w:hAnsiTheme="majorBidi" w:cstheme="majorBidi"/>
          <w:sz w:val="24"/>
          <w:szCs w:val="24"/>
        </w:rPr>
        <w:t>).</w:t>
      </w:r>
      <w:r w:rsidR="00057054" w:rsidRPr="001579BE">
        <w:rPr>
          <w:rFonts w:asciiTheme="majorBidi" w:hAnsiTheme="majorBidi" w:cstheme="majorBidi"/>
          <w:sz w:val="24"/>
          <w:szCs w:val="24"/>
        </w:rPr>
        <w:t xml:space="preserve"> En el caso del comercio internacional de grano o alimentos, los países podrían aprovechar sus ventajas comparativas en la producción de ciertos cultivos y comerciar con países que tuvieran ventajas comparativas en la producción de otros tipos de productos.</w:t>
      </w:r>
    </w:p>
    <w:p w14:paraId="6D10E1AB" w14:textId="26708802" w:rsidR="00517C59" w:rsidRPr="001579BE" w:rsidRDefault="00517C59" w:rsidP="003034BE">
      <w:pPr>
        <w:pStyle w:val="Ttulo3"/>
        <w:numPr>
          <w:ilvl w:val="2"/>
          <w:numId w:val="5"/>
        </w:numPr>
        <w:spacing w:line="360" w:lineRule="auto"/>
        <w:rPr>
          <w:rFonts w:asciiTheme="majorBidi" w:hAnsiTheme="majorBidi"/>
          <w:b/>
          <w:bCs/>
          <w:color w:val="auto"/>
        </w:rPr>
      </w:pPr>
      <w:bookmarkStart w:id="20" w:name="_Toc137456606"/>
      <w:r w:rsidRPr="001579BE">
        <w:rPr>
          <w:rFonts w:asciiTheme="majorBidi" w:hAnsiTheme="majorBidi"/>
          <w:b/>
          <w:bCs/>
          <w:color w:val="auto"/>
        </w:rPr>
        <w:t>Teoría Heckscher-O</w:t>
      </w:r>
      <w:r w:rsidR="009B3244" w:rsidRPr="001579BE">
        <w:rPr>
          <w:rFonts w:asciiTheme="majorBidi" w:hAnsiTheme="majorBidi"/>
          <w:b/>
          <w:bCs/>
          <w:color w:val="auto"/>
        </w:rPr>
        <w:t>h</w:t>
      </w:r>
      <w:r w:rsidRPr="001579BE">
        <w:rPr>
          <w:rFonts w:asciiTheme="majorBidi" w:hAnsiTheme="majorBidi"/>
          <w:b/>
          <w:bCs/>
          <w:color w:val="auto"/>
        </w:rPr>
        <w:t>lin</w:t>
      </w:r>
      <w:bookmarkEnd w:id="20"/>
    </w:p>
    <w:p w14:paraId="5F4CB379" w14:textId="6F03B841" w:rsidR="00517C59" w:rsidRPr="001579BE" w:rsidRDefault="00517C59" w:rsidP="0009454F">
      <w:pPr>
        <w:spacing w:line="360" w:lineRule="auto"/>
        <w:jc w:val="both"/>
        <w:rPr>
          <w:rFonts w:asciiTheme="majorBidi" w:hAnsiTheme="majorBidi" w:cstheme="majorBidi"/>
          <w:sz w:val="24"/>
          <w:szCs w:val="24"/>
        </w:rPr>
      </w:pPr>
      <w:r w:rsidRPr="001579BE">
        <w:rPr>
          <w:rFonts w:asciiTheme="majorBidi" w:hAnsiTheme="majorBidi" w:cstheme="majorBidi"/>
          <w:sz w:val="24"/>
          <w:szCs w:val="24"/>
        </w:rPr>
        <w:tab/>
        <w:t>A continuación de la teoría de la ventaja comparativa de Ricardo, la teoría Heckscher-O</w:t>
      </w:r>
      <w:r w:rsidR="009B3244" w:rsidRPr="001579BE">
        <w:rPr>
          <w:rFonts w:asciiTheme="majorBidi" w:hAnsiTheme="majorBidi" w:cstheme="majorBidi"/>
          <w:sz w:val="24"/>
          <w:szCs w:val="24"/>
        </w:rPr>
        <w:t>h</w:t>
      </w:r>
      <w:r w:rsidRPr="001579BE">
        <w:rPr>
          <w:rFonts w:asciiTheme="majorBidi" w:hAnsiTheme="majorBidi" w:cstheme="majorBidi"/>
          <w:sz w:val="24"/>
          <w:szCs w:val="24"/>
        </w:rPr>
        <w:t>lin busca explicar el origen de esta posible vent</w:t>
      </w:r>
      <w:r w:rsidR="009B3244" w:rsidRPr="001579BE">
        <w:rPr>
          <w:rFonts w:asciiTheme="majorBidi" w:hAnsiTheme="majorBidi" w:cstheme="majorBidi"/>
          <w:sz w:val="24"/>
          <w:szCs w:val="24"/>
        </w:rPr>
        <w:t>aj</w:t>
      </w:r>
      <w:r w:rsidRPr="001579BE">
        <w:rPr>
          <w:rFonts w:asciiTheme="majorBidi" w:hAnsiTheme="majorBidi" w:cstheme="majorBidi"/>
          <w:sz w:val="24"/>
          <w:szCs w:val="24"/>
        </w:rPr>
        <w:t xml:space="preserve">a comparativa en la producción de un país. </w:t>
      </w:r>
      <w:r w:rsidR="001852CE" w:rsidRPr="001579BE">
        <w:rPr>
          <w:rFonts w:asciiTheme="majorBidi" w:hAnsiTheme="majorBidi" w:cstheme="majorBidi"/>
          <w:sz w:val="24"/>
          <w:szCs w:val="24"/>
        </w:rPr>
        <w:t>Esta hipótesis se basa en que los costes relativos de producción, la ventaja comparativa, de una economía vendrán dados por su dotación relativa de factores de producción y de la intensidad en el uso que haga de ellos. Cada país se especializará en y exportará entonces el producto para el que haga un uso intensivo de factores de producción de que disponga en relativa abundancia, e importará aquellos productos que necesiten del uso intensivo de factores escasos en el país</w:t>
      </w:r>
      <w:r w:rsidR="003E7F86" w:rsidRPr="001579BE">
        <w:rPr>
          <w:rFonts w:asciiTheme="majorBidi" w:hAnsiTheme="majorBidi" w:cstheme="majorBidi"/>
          <w:sz w:val="24"/>
          <w:szCs w:val="24"/>
        </w:rPr>
        <w:t xml:space="preserve"> (Bianco, 2019)</w:t>
      </w:r>
      <w:r w:rsidR="001852CE" w:rsidRPr="001579BE">
        <w:rPr>
          <w:rFonts w:asciiTheme="majorBidi" w:hAnsiTheme="majorBidi" w:cstheme="majorBidi"/>
          <w:sz w:val="24"/>
          <w:szCs w:val="24"/>
        </w:rPr>
        <w:t xml:space="preserve">.  </w:t>
      </w:r>
    </w:p>
    <w:p w14:paraId="0D61BDC1" w14:textId="7BEE2BB3" w:rsidR="00455558" w:rsidRPr="001579BE" w:rsidRDefault="00455558"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Entre estos factores productivos encontramos los recursos naturales, el capital financiero, el capital tecnológico, o la mano de obra. Tanto su disponibilidad como la intensidad de su uso por parte de un país pueden variar mediante la intervención de los países a través de inversiones en infraestructura, en educación o en tecnología, lo que </w:t>
      </w:r>
      <w:r w:rsidRPr="001579BE">
        <w:rPr>
          <w:rFonts w:asciiTheme="majorBidi" w:hAnsiTheme="majorBidi" w:cstheme="majorBidi"/>
          <w:sz w:val="24"/>
          <w:szCs w:val="24"/>
        </w:rPr>
        <w:lastRenderedPageBreak/>
        <w:t xml:space="preserve">desembocaría en un cambio en la ventaja comparativa de dicho país. </w:t>
      </w:r>
      <w:r w:rsidR="002503CD" w:rsidRPr="001579BE">
        <w:rPr>
          <w:rFonts w:asciiTheme="majorBidi" w:hAnsiTheme="majorBidi" w:cstheme="majorBidi"/>
          <w:sz w:val="24"/>
          <w:szCs w:val="24"/>
        </w:rPr>
        <w:t>Al cambiar las ventajas comparativas de los productores agrícolas con</w:t>
      </w:r>
      <w:r w:rsidR="00313C78" w:rsidRPr="001579BE">
        <w:rPr>
          <w:rFonts w:asciiTheme="majorBidi" w:hAnsiTheme="majorBidi" w:cstheme="majorBidi"/>
          <w:sz w:val="24"/>
          <w:szCs w:val="24"/>
        </w:rPr>
        <w:t xml:space="preserve">, por ejemplo, </w:t>
      </w:r>
      <w:r w:rsidR="002503CD" w:rsidRPr="001579BE">
        <w:rPr>
          <w:rFonts w:asciiTheme="majorBidi" w:hAnsiTheme="majorBidi" w:cstheme="majorBidi"/>
          <w:sz w:val="24"/>
          <w:szCs w:val="24"/>
        </w:rPr>
        <w:t>la mecanización del campo</w:t>
      </w:r>
      <w:r w:rsidR="00313C78" w:rsidRPr="001579BE">
        <w:rPr>
          <w:rFonts w:asciiTheme="majorBidi" w:hAnsiTheme="majorBidi" w:cstheme="majorBidi"/>
          <w:sz w:val="24"/>
          <w:szCs w:val="24"/>
        </w:rPr>
        <w:t xml:space="preserve"> o</w:t>
      </w:r>
      <w:r w:rsidR="002503CD" w:rsidRPr="001579BE">
        <w:rPr>
          <w:rFonts w:asciiTheme="majorBidi" w:hAnsiTheme="majorBidi" w:cstheme="majorBidi"/>
          <w:sz w:val="24"/>
          <w:szCs w:val="24"/>
        </w:rPr>
        <w:t xml:space="preserve"> con incrementos en superficie cultivable o irrigada</w:t>
      </w:r>
      <w:r w:rsidR="00313C78" w:rsidRPr="001579BE">
        <w:rPr>
          <w:rFonts w:asciiTheme="majorBidi" w:hAnsiTheme="majorBidi" w:cstheme="majorBidi"/>
          <w:sz w:val="24"/>
          <w:szCs w:val="24"/>
        </w:rPr>
        <w:t xml:space="preserve">, es de esperar que cambien los flujos comerciales en este mercado. </w:t>
      </w:r>
      <w:r w:rsidR="00273173" w:rsidRPr="001579BE">
        <w:rPr>
          <w:rFonts w:asciiTheme="majorBidi" w:hAnsiTheme="majorBidi" w:cstheme="majorBidi"/>
          <w:sz w:val="24"/>
          <w:szCs w:val="24"/>
        </w:rPr>
        <w:t xml:space="preserve">En el caso del comercio internacional de alimentos y productos agrícolas, las condiciones específicas de desigual distribución de la tecnología de producción a lo largo del globo, los patrones de demanda considerablemente inelástica de estos bienes, y la </w:t>
      </w:r>
      <w:r w:rsidR="00934252" w:rsidRPr="001579BE">
        <w:rPr>
          <w:rFonts w:asciiTheme="majorBidi" w:hAnsiTheme="majorBidi" w:cstheme="majorBidi"/>
          <w:sz w:val="24"/>
          <w:szCs w:val="24"/>
        </w:rPr>
        <w:t>cuasi omnipresente intervención estatal en los mercados dificultan a los países la creación de ventajas comparativas</w:t>
      </w:r>
      <w:r w:rsidR="00313C78" w:rsidRPr="001579BE">
        <w:rPr>
          <w:rFonts w:asciiTheme="majorBidi" w:hAnsiTheme="majorBidi" w:cstheme="majorBidi"/>
          <w:sz w:val="24"/>
          <w:szCs w:val="24"/>
        </w:rPr>
        <w:t xml:space="preserve"> (Tobey y </w:t>
      </w:r>
      <w:proofErr w:type="spellStart"/>
      <w:r w:rsidR="00313C78" w:rsidRPr="001579BE">
        <w:rPr>
          <w:rFonts w:asciiTheme="majorBidi" w:hAnsiTheme="majorBidi" w:cstheme="majorBidi"/>
          <w:sz w:val="24"/>
          <w:szCs w:val="24"/>
        </w:rPr>
        <w:t>Chomo</w:t>
      </w:r>
      <w:proofErr w:type="spellEnd"/>
      <w:r w:rsidR="00313C78" w:rsidRPr="001579BE">
        <w:rPr>
          <w:rFonts w:asciiTheme="majorBidi" w:hAnsiTheme="majorBidi" w:cstheme="majorBidi"/>
          <w:sz w:val="24"/>
          <w:szCs w:val="24"/>
        </w:rPr>
        <w:t>, 1994)</w:t>
      </w:r>
      <w:r w:rsidR="00934252" w:rsidRPr="001579BE">
        <w:rPr>
          <w:rFonts w:asciiTheme="majorBidi" w:hAnsiTheme="majorBidi" w:cstheme="majorBidi"/>
          <w:sz w:val="24"/>
          <w:szCs w:val="24"/>
        </w:rPr>
        <w:t xml:space="preserve">.   </w:t>
      </w:r>
    </w:p>
    <w:p w14:paraId="3C927ED6" w14:textId="7228EBD2" w:rsidR="00C36232" w:rsidRPr="001579BE" w:rsidRDefault="00C36232" w:rsidP="003034BE">
      <w:pPr>
        <w:pStyle w:val="Ttulo3"/>
        <w:numPr>
          <w:ilvl w:val="2"/>
          <w:numId w:val="5"/>
        </w:numPr>
        <w:spacing w:line="360" w:lineRule="auto"/>
        <w:rPr>
          <w:rFonts w:asciiTheme="majorBidi" w:hAnsiTheme="majorBidi"/>
          <w:b/>
          <w:bCs/>
          <w:color w:val="auto"/>
        </w:rPr>
      </w:pPr>
      <w:bookmarkStart w:id="21" w:name="_Toc137456607"/>
      <w:r w:rsidRPr="001579BE">
        <w:rPr>
          <w:rFonts w:asciiTheme="majorBidi" w:hAnsiTheme="majorBidi"/>
          <w:b/>
          <w:bCs/>
          <w:color w:val="auto"/>
        </w:rPr>
        <w:t>Teoría de la competencia imperfecta</w:t>
      </w:r>
      <w:bookmarkEnd w:id="21"/>
      <w:r w:rsidRPr="001579BE">
        <w:rPr>
          <w:rFonts w:asciiTheme="majorBidi" w:hAnsiTheme="majorBidi"/>
          <w:b/>
          <w:bCs/>
          <w:color w:val="auto"/>
        </w:rPr>
        <w:t xml:space="preserve">  </w:t>
      </w:r>
    </w:p>
    <w:p w14:paraId="04652629" w14:textId="698C3AC4" w:rsidR="0064549C" w:rsidRPr="001579BE" w:rsidRDefault="00C36232"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Joan Robinson</w:t>
      </w:r>
      <w:r w:rsidR="00171FD0" w:rsidRPr="001579BE">
        <w:rPr>
          <w:rFonts w:asciiTheme="majorBidi" w:hAnsiTheme="majorBidi" w:cstheme="majorBidi"/>
          <w:sz w:val="24"/>
          <w:szCs w:val="24"/>
        </w:rPr>
        <w:t xml:space="preserve"> </w:t>
      </w:r>
      <w:r w:rsidR="0064549C" w:rsidRPr="001579BE">
        <w:rPr>
          <w:rFonts w:asciiTheme="majorBidi" w:hAnsiTheme="majorBidi" w:cstheme="majorBidi"/>
          <w:sz w:val="24"/>
          <w:szCs w:val="24"/>
        </w:rPr>
        <w:t xml:space="preserve">(1932) </w:t>
      </w:r>
      <w:r w:rsidR="00171FD0" w:rsidRPr="001579BE">
        <w:rPr>
          <w:rFonts w:asciiTheme="majorBidi" w:hAnsiTheme="majorBidi" w:cstheme="majorBidi"/>
          <w:sz w:val="24"/>
          <w:szCs w:val="24"/>
        </w:rPr>
        <w:t xml:space="preserve">desafió asunciones previas relativas a la probabilidad </w:t>
      </w:r>
      <w:r w:rsidR="0010063E" w:rsidRPr="001579BE">
        <w:rPr>
          <w:rFonts w:asciiTheme="majorBidi" w:hAnsiTheme="majorBidi" w:cstheme="majorBidi"/>
          <w:sz w:val="24"/>
          <w:szCs w:val="24"/>
        </w:rPr>
        <w:t>que se asumía hasta el momento como casi segura de</w:t>
      </w:r>
      <w:r w:rsidR="00171FD0" w:rsidRPr="001579BE">
        <w:rPr>
          <w:rFonts w:asciiTheme="majorBidi" w:hAnsiTheme="majorBidi" w:cstheme="majorBidi"/>
          <w:sz w:val="24"/>
          <w:szCs w:val="24"/>
        </w:rPr>
        <w:t xml:space="preserve"> la caída de precios en un mercado por la mera existencia de imperfecciones en el mismo. Según su teoría</w:t>
      </w:r>
      <w:r w:rsidRPr="001579BE">
        <w:rPr>
          <w:rFonts w:asciiTheme="majorBidi" w:hAnsiTheme="majorBidi" w:cstheme="majorBidi"/>
          <w:sz w:val="24"/>
          <w:szCs w:val="24"/>
        </w:rPr>
        <w:t xml:space="preserve">, una competencia no perfecta en un mercado dado </w:t>
      </w:r>
      <w:r w:rsidR="006A7538" w:rsidRPr="001579BE">
        <w:rPr>
          <w:rFonts w:asciiTheme="majorBidi" w:hAnsiTheme="majorBidi" w:cstheme="majorBidi"/>
          <w:sz w:val="24"/>
          <w:szCs w:val="24"/>
        </w:rPr>
        <w:t>podría</w:t>
      </w:r>
      <w:r w:rsidRPr="001579BE">
        <w:rPr>
          <w:rFonts w:asciiTheme="majorBidi" w:hAnsiTheme="majorBidi" w:cstheme="majorBidi"/>
          <w:sz w:val="24"/>
          <w:szCs w:val="24"/>
        </w:rPr>
        <w:t xml:space="preserve"> llevar a la caída de precios de los productos</w:t>
      </w:r>
      <w:r w:rsidR="006A7538" w:rsidRPr="001579BE">
        <w:rPr>
          <w:rFonts w:asciiTheme="majorBidi" w:hAnsiTheme="majorBidi" w:cstheme="majorBidi"/>
          <w:sz w:val="24"/>
          <w:szCs w:val="24"/>
        </w:rPr>
        <w:t xml:space="preserve">, y sin embargo no </w:t>
      </w:r>
      <w:r w:rsidR="00E615CD" w:rsidRPr="001579BE">
        <w:rPr>
          <w:rFonts w:asciiTheme="majorBidi" w:hAnsiTheme="majorBidi" w:cstheme="majorBidi"/>
          <w:sz w:val="24"/>
          <w:szCs w:val="24"/>
        </w:rPr>
        <w:t xml:space="preserve">siempre </w:t>
      </w:r>
      <w:r w:rsidR="006A7538" w:rsidRPr="001579BE">
        <w:rPr>
          <w:rFonts w:asciiTheme="majorBidi" w:hAnsiTheme="majorBidi" w:cstheme="majorBidi"/>
          <w:sz w:val="24"/>
          <w:szCs w:val="24"/>
        </w:rPr>
        <w:t>lo hace</w:t>
      </w:r>
      <w:r w:rsidRPr="001579BE">
        <w:rPr>
          <w:rFonts w:asciiTheme="majorBidi" w:hAnsiTheme="majorBidi" w:cstheme="majorBidi"/>
          <w:sz w:val="24"/>
          <w:szCs w:val="24"/>
        </w:rPr>
        <w:t xml:space="preserve">. </w:t>
      </w:r>
    </w:p>
    <w:p w14:paraId="6F512848" w14:textId="6C396869" w:rsidR="00C36232" w:rsidRPr="001579BE" w:rsidRDefault="00E615CD"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El</w:t>
      </w:r>
      <w:r w:rsidR="006A7538" w:rsidRPr="001579BE">
        <w:rPr>
          <w:rFonts w:asciiTheme="majorBidi" w:hAnsiTheme="majorBidi" w:cstheme="majorBidi"/>
          <w:sz w:val="24"/>
          <w:szCs w:val="24"/>
        </w:rPr>
        <w:t xml:space="preserve"> proceso comenzaría con </w:t>
      </w:r>
      <w:r w:rsidR="008E0E75" w:rsidRPr="001579BE">
        <w:rPr>
          <w:rFonts w:asciiTheme="majorBidi" w:hAnsiTheme="majorBidi" w:cstheme="majorBidi"/>
          <w:sz w:val="24"/>
          <w:szCs w:val="24"/>
        </w:rPr>
        <w:t xml:space="preserve">un mercado en equilibrio, en el que </w:t>
      </w:r>
      <w:r w:rsidR="00D57A16" w:rsidRPr="001579BE">
        <w:rPr>
          <w:rFonts w:asciiTheme="majorBidi" w:hAnsiTheme="majorBidi" w:cstheme="majorBidi"/>
          <w:sz w:val="24"/>
          <w:szCs w:val="24"/>
        </w:rPr>
        <w:t>precios y costes son iguales. En cuanto la demanda de los productos de un oferente subiera y éste consiguiera beneficios por encima de los normales del mercado, se atraería a nuevos oferentes que entrarían en competición</w:t>
      </w:r>
      <w:r w:rsidR="000E082E" w:rsidRPr="001579BE">
        <w:rPr>
          <w:rFonts w:asciiTheme="majorBidi" w:hAnsiTheme="majorBidi" w:cstheme="majorBidi"/>
          <w:sz w:val="24"/>
          <w:szCs w:val="24"/>
        </w:rPr>
        <w:t>, aumentando la oferta total del bien</w:t>
      </w:r>
      <w:r w:rsidR="00D57A16" w:rsidRPr="001579BE">
        <w:rPr>
          <w:rFonts w:asciiTheme="majorBidi" w:hAnsiTheme="majorBidi" w:cstheme="majorBidi"/>
          <w:sz w:val="24"/>
          <w:szCs w:val="24"/>
        </w:rPr>
        <w:t xml:space="preserve"> y la demanda se acabaría normalizando</w:t>
      </w:r>
      <w:r w:rsidR="000E082E" w:rsidRPr="001579BE">
        <w:rPr>
          <w:rFonts w:asciiTheme="majorBidi" w:hAnsiTheme="majorBidi" w:cstheme="majorBidi"/>
          <w:sz w:val="24"/>
          <w:szCs w:val="24"/>
        </w:rPr>
        <w:t>, llegándose a un nuevo punto de equilibrio</w:t>
      </w:r>
      <w:r w:rsidR="00D57A16" w:rsidRPr="001579BE">
        <w:rPr>
          <w:rFonts w:asciiTheme="majorBidi" w:hAnsiTheme="majorBidi" w:cstheme="majorBidi"/>
          <w:sz w:val="24"/>
          <w:szCs w:val="24"/>
        </w:rPr>
        <w:t>. De esta manera, a largo plazo y en condiciones de equilibrio, Robinson defiende que los costes de los oferentes deben de bajar constantemente</w:t>
      </w:r>
      <w:r w:rsidR="0064549C" w:rsidRPr="001579BE">
        <w:rPr>
          <w:rFonts w:asciiTheme="majorBidi" w:hAnsiTheme="majorBidi" w:cstheme="majorBidi"/>
          <w:sz w:val="24"/>
          <w:szCs w:val="24"/>
        </w:rPr>
        <w:t xml:space="preserve"> pero que esta caída no necesariamente se traduce en menores precios. En un mercado en equilibrio</w:t>
      </w:r>
      <w:r w:rsidRPr="001579BE">
        <w:rPr>
          <w:rFonts w:asciiTheme="majorBidi" w:hAnsiTheme="majorBidi" w:cstheme="majorBidi"/>
          <w:sz w:val="24"/>
          <w:szCs w:val="24"/>
        </w:rPr>
        <w:t xml:space="preserve">, la curva de demanda podría comportarse de </w:t>
      </w:r>
      <w:r w:rsidR="0074073E" w:rsidRPr="001579BE">
        <w:rPr>
          <w:rFonts w:asciiTheme="majorBidi" w:hAnsiTheme="majorBidi" w:cstheme="majorBidi"/>
          <w:sz w:val="24"/>
          <w:szCs w:val="24"/>
        </w:rPr>
        <w:t xml:space="preserve">diferentes </w:t>
      </w:r>
      <w:r w:rsidRPr="001579BE">
        <w:rPr>
          <w:rFonts w:asciiTheme="majorBidi" w:hAnsiTheme="majorBidi" w:cstheme="majorBidi"/>
          <w:sz w:val="24"/>
          <w:szCs w:val="24"/>
        </w:rPr>
        <w:t>maneras</w:t>
      </w:r>
      <w:r w:rsidR="0064549C" w:rsidRPr="001579BE">
        <w:rPr>
          <w:rFonts w:asciiTheme="majorBidi" w:hAnsiTheme="majorBidi" w:cstheme="majorBidi"/>
          <w:sz w:val="24"/>
          <w:szCs w:val="24"/>
        </w:rPr>
        <w:t xml:space="preserve"> </w:t>
      </w:r>
      <w:r w:rsidRPr="001579BE">
        <w:rPr>
          <w:rFonts w:asciiTheme="majorBidi" w:hAnsiTheme="majorBidi" w:cstheme="majorBidi"/>
          <w:sz w:val="24"/>
          <w:szCs w:val="24"/>
        </w:rPr>
        <w:t>dependiendo de cómo se distribuyera un aumento en dicha métrica. Si el crecimiento de demanda se repartiera uniformemente en todo el mercado, el precio del bien bajaría al ser todos los productores igual de atractivos; si la nueva demanda encontrara nuevos oferentes que se ajustaran mejor a sus necesidades, el precio del bien subiría</w:t>
      </w:r>
      <w:r w:rsidR="002C709F" w:rsidRPr="001579BE">
        <w:rPr>
          <w:rFonts w:asciiTheme="majorBidi" w:hAnsiTheme="majorBidi" w:cstheme="majorBidi"/>
          <w:sz w:val="24"/>
          <w:szCs w:val="24"/>
        </w:rPr>
        <w:t xml:space="preserve"> </w:t>
      </w:r>
      <w:r w:rsidR="00893D16" w:rsidRPr="001579BE">
        <w:rPr>
          <w:rFonts w:asciiTheme="majorBidi" w:hAnsiTheme="majorBidi" w:cstheme="majorBidi"/>
          <w:sz w:val="24"/>
          <w:szCs w:val="24"/>
        </w:rPr>
        <w:t>(Robinson, 1932)</w:t>
      </w:r>
      <w:r w:rsidR="002C709F" w:rsidRPr="001579BE">
        <w:rPr>
          <w:rFonts w:asciiTheme="majorBidi" w:hAnsiTheme="majorBidi" w:cstheme="majorBidi"/>
          <w:sz w:val="24"/>
          <w:szCs w:val="24"/>
        </w:rPr>
        <w:t>.</w:t>
      </w:r>
    </w:p>
    <w:p w14:paraId="0F7B4CF1" w14:textId="2EFFDBC9" w:rsidR="00240B9A" w:rsidRPr="001579BE" w:rsidRDefault="00240B9A"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Robinson (1932) reconoce que la caída de precios debido al aumento de demanda es el escenario </w:t>
      </w:r>
      <w:r w:rsidR="0064549C" w:rsidRPr="001579BE">
        <w:rPr>
          <w:rFonts w:asciiTheme="majorBidi" w:hAnsiTheme="majorBidi" w:cstheme="majorBidi"/>
          <w:sz w:val="24"/>
          <w:szCs w:val="24"/>
        </w:rPr>
        <w:t>más frecuente y probable</w:t>
      </w:r>
      <w:r w:rsidRPr="001579BE">
        <w:rPr>
          <w:rFonts w:asciiTheme="majorBidi" w:hAnsiTheme="majorBidi" w:cstheme="majorBidi"/>
          <w:sz w:val="24"/>
          <w:szCs w:val="24"/>
        </w:rPr>
        <w:t>. Sin embargo, también recuerda que si el escenario planteado se repite sucesivamente las imperfecciones del mercado que provocan el aumento de demanda acabarían desapareciendo</w:t>
      </w:r>
      <w:r w:rsidR="008E0E75" w:rsidRPr="001579BE">
        <w:rPr>
          <w:rFonts w:asciiTheme="majorBidi" w:hAnsiTheme="majorBidi" w:cstheme="majorBidi"/>
          <w:sz w:val="24"/>
          <w:szCs w:val="24"/>
        </w:rPr>
        <w:t>;</w:t>
      </w:r>
      <w:r w:rsidRPr="001579BE">
        <w:rPr>
          <w:rFonts w:asciiTheme="majorBidi" w:hAnsiTheme="majorBidi" w:cstheme="majorBidi"/>
          <w:sz w:val="24"/>
          <w:szCs w:val="24"/>
        </w:rPr>
        <w:t xml:space="preserve"> aunque reconoce que en la práctica </w:t>
      </w:r>
      <w:r w:rsidR="008E0E75" w:rsidRPr="001579BE">
        <w:rPr>
          <w:rFonts w:asciiTheme="majorBidi" w:hAnsiTheme="majorBidi" w:cstheme="majorBidi"/>
          <w:sz w:val="24"/>
          <w:szCs w:val="24"/>
        </w:rPr>
        <w:t xml:space="preserve">las imperfecciones siempre están presentes al existir aquellas en las que los </w:t>
      </w:r>
      <w:r w:rsidR="008E0E75" w:rsidRPr="001579BE">
        <w:rPr>
          <w:rFonts w:asciiTheme="majorBidi" w:hAnsiTheme="majorBidi" w:cstheme="majorBidi"/>
          <w:sz w:val="24"/>
          <w:szCs w:val="24"/>
        </w:rPr>
        <w:lastRenderedPageBreak/>
        <w:t xml:space="preserve">oferentes tienen algún control, mediante el cual </w:t>
      </w:r>
      <w:r w:rsidRPr="001579BE">
        <w:rPr>
          <w:rFonts w:asciiTheme="majorBidi" w:hAnsiTheme="majorBidi" w:cstheme="majorBidi"/>
          <w:sz w:val="24"/>
          <w:szCs w:val="24"/>
        </w:rPr>
        <w:t xml:space="preserve">se esfuerzan por mantenerse como los más atractivos. </w:t>
      </w:r>
    </w:p>
    <w:p w14:paraId="289F89CF" w14:textId="6B100FBF" w:rsidR="00DF73E3" w:rsidRPr="001579BE" w:rsidRDefault="00DF73E3"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En el caso del comercio internacional de grano, se dan dos condiciones que influyen en la imperfección de la competencia: por una parte, la homogeneidad en los productos y su perfecta sustitución – no habría diferencia material entre el trigo cultivado en Ucrania y el trigo cultivado en EE.UU. </w:t>
      </w:r>
      <w:r w:rsidR="00225CB5" w:rsidRPr="001579BE">
        <w:rPr>
          <w:rFonts w:asciiTheme="majorBidi" w:hAnsiTheme="majorBidi" w:cstheme="majorBidi"/>
          <w:sz w:val="24"/>
          <w:szCs w:val="24"/>
        </w:rPr>
        <w:t>–</w:t>
      </w:r>
      <w:r w:rsidRPr="001579BE">
        <w:rPr>
          <w:rFonts w:asciiTheme="majorBidi" w:hAnsiTheme="majorBidi" w:cstheme="majorBidi"/>
          <w:sz w:val="24"/>
          <w:szCs w:val="24"/>
        </w:rPr>
        <w:t xml:space="preserve"> </w:t>
      </w:r>
      <w:r w:rsidR="00225CB5" w:rsidRPr="001579BE">
        <w:rPr>
          <w:rFonts w:asciiTheme="majorBidi" w:hAnsiTheme="majorBidi" w:cstheme="majorBidi"/>
          <w:sz w:val="24"/>
          <w:szCs w:val="24"/>
        </w:rPr>
        <w:t xml:space="preserve">crearían un mercado de competencia perfecta, pero por otro lado, las distancias y las dificultades en el transporte de estos alimentos </w:t>
      </w:r>
      <w:r w:rsidR="00860B7A" w:rsidRPr="001579BE">
        <w:rPr>
          <w:rFonts w:asciiTheme="majorBidi" w:hAnsiTheme="majorBidi" w:cstheme="majorBidi"/>
          <w:sz w:val="24"/>
          <w:szCs w:val="24"/>
        </w:rPr>
        <w:t>supondrían</w:t>
      </w:r>
      <w:r w:rsidR="00225CB5" w:rsidRPr="001579BE">
        <w:rPr>
          <w:rFonts w:asciiTheme="majorBidi" w:hAnsiTheme="majorBidi" w:cstheme="majorBidi"/>
          <w:sz w:val="24"/>
          <w:szCs w:val="24"/>
        </w:rPr>
        <w:t xml:space="preserve"> una imperfección en la competencia insalvable</w:t>
      </w:r>
      <w:r w:rsidR="00955575" w:rsidRPr="001579BE">
        <w:rPr>
          <w:rFonts w:asciiTheme="majorBidi" w:hAnsiTheme="majorBidi" w:cstheme="majorBidi"/>
          <w:sz w:val="24"/>
          <w:szCs w:val="24"/>
        </w:rPr>
        <w:t xml:space="preserve"> y que en teoría no motivaría el comercio internacional</w:t>
      </w:r>
      <w:r w:rsidR="00A04267" w:rsidRPr="001579BE">
        <w:rPr>
          <w:rFonts w:asciiTheme="majorBidi" w:hAnsiTheme="majorBidi" w:cstheme="majorBidi"/>
          <w:sz w:val="24"/>
          <w:szCs w:val="24"/>
        </w:rPr>
        <w:t xml:space="preserve">. En el caso mencionado, la </w:t>
      </w:r>
      <w:r w:rsidR="00955575" w:rsidRPr="001579BE">
        <w:rPr>
          <w:rFonts w:asciiTheme="majorBidi" w:hAnsiTheme="majorBidi" w:cstheme="majorBidi"/>
          <w:sz w:val="24"/>
          <w:szCs w:val="24"/>
        </w:rPr>
        <w:t xml:space="preserve">diferencia de precios de los alimentos básicos como consecuencia de la especialización de ciertos países productores y la perfecta sustitución dan pie al comercio internacional de estos productos </w:t>
      </w:r>
      <w:r w:rsidR="00A36810" w:rsidRPr="001579BE">
        <w:rPr>
          <w:rFonts w:asciiTheme="majorBidi" w:hAnsiTheme="majorBidi" w:cstheme="majorBidi"/>
          <w:sz w:val="24"/>
          <w:szCs w:val="24"/>
        </w:rPr>
        <w:t>(</w:t>
      </w:r>
      <w:proofErr w:type="spellStart"/>
      <w:r w:rsidR="00A36810" w:rsidRPr="001579BE">
        <w:rPr>
          <w:rFonts w:asciiTheme="majorBidi" w:hAnsiTheme="majorBidi" w:cstheme="majorBidi"/>
          <w:sz w:val="24"/>
          <w:szCs w:val="24"/>
        </w:rPr>
        <w:t>Lovasy</w:t>
      </w:r>
      <w:proofErr w:type="spellEnd"/>
      <w:r w:rsidR="00A36810" w:rsidRPr="001579BE">
        <w:rPr>
          <w:rFonts w:asciiTheme="majorBidi" w:hAnsiTheme="majorBidi" w:cstheme="majorBidi"/>
          <w:sz w:val="24"/>
          <w:szCs w:val="24"/>
        </w:rPr>
        <w:t>, 1941)</w:t>
      </w:r>
      <w:r w:rsidR="00225CB5" w:rsidRPr="001579BE">
        <w:rPr>
          <w:rFonts w:asciiTheme="majorBidi" w:hAnsiTheme="majorBidi" w:cstheme="majorBidi"/>
          <w:sz w:val="24"/>
          <w:szCs w:val="24"/>
        </w:rPr>
        <w:t xml:space="preserve">. </w:t>
      </w:r>
    </w:p>
    <w:p w14:paraId="5D2F95A9" w14:textId="68A5791B" w:rsidR="00214F54" w:rsidRPr="001579BE" w:rsidRDefault="0084443F" w:rsidP="003034BE">
      <w:pPr>
        <w:pStyle w:val="Ttulo3"/>
        <w:numPr>
          <w:ilvl w:val="2"/>
          <w:numId w:val="5"/>
        </w:numPr>
        <w:spacing w:line="360" w:lineRule="auto"/>
        <w:rPr>
          <w:rFonts w:asciiTheme="majorBidi" w:hAnsiTheme="majorBidi"/>
          <w:b/>
          <w:bCs/>
          <w:color w:val="auto"/>
        </w:rPr>
      </w:pPr>
      <w:bookmarkStart w:id="22" w:name="_Toc137456608"/>
      <w:r w:rsidRPr="001579BE">
        <w:rPr>
          <w:rFonts w:asciiTheme="majorBidi" w:hAnsiTheme="majorBidi"/>
          <w:b/>
          <w:bCs/>
          <w:color w:val="auto"/>
        </w:rPr>
        <w:t xml:space="preserve">La hipótesis </w:t>
      </w:r>
      <w:proofErr w:type="spellStart"/>
      <w:r w:rsidR="00214F54" w:rsidRPr="001579BE">
        <w:rPr>
          <w:rFonts w:asciiTheme="majorBidi" w:hAnsiTheme="majorBidi"/>
          <w:b/>
          <w:bCs/>
          <w:color w:val="auto"/>
        </w:rPr>
        <w:t>Prebisch</w:t>
      </w:r>
      <w:proofErr w:type="spellEnd"/>
      <w:r w:rsidR="00214F54" w:rsidRPr="001579BE">
        <w:rPr>
          <w:rFonts w:asciiTheme="majorBidi" w:hAnsiTheme="majorBidi"/>
          <w:b/>
          <w:bCs/>
          <w:color w:val="auto"/>
        </w:rPr>
        <w:t>-Singer</w:t>
      </w:r>
      <w:bookmarkEnd w:id="22"/>
    </w:p>
    <w:p w14:paraId="7C19DCA1" w14:textId="1B289B63" w:rsidR="00B840B9" w:rsidRPr="001579BE" w:rsidRDefault="00AF430D"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Raúl </w:t>
      </w:r>
      <w:proofErr w:type="spellStart"/>
      <w:r w:rsidRPr="001579BE">
        <w:rPr>
          <w:rFonts w:asciiTheme="majorBidi" w:hAnsiTheme="majorBidi" w:cstheme="majorBidi"/>
          <w:sz w:val="24"/>
          <w:szCs w:val="24"/>
        </w:rPr>
        <w:t>Prebisch</w:t>
      </w:r>
      <w:proofErr w:type="spellEnd"/>
      <w:r w:rsidRPr="001579BE">
        <w:rPr>
          <w:rFonts w:asciiTheme="majorBidi" w:hAnsiTheme="majorBidi" w:cstheme="majorBidi"/>
          <w:sz w:val="24"/>
          <w:szCs w:val="24"/>
        </w:rPr>
        <w:t xml:space="preserve"> y Sir Hans Singer desarrollaron teoría</w:t>
      </w:r>
      <w:r w:rsidR="00293C18" w:rsidRPr="001579BE">
        <w:rPr>
          <w:rFonts w:asciiTheme="majorBidi" w:hAnsiTheme="majorBidi" w:cstheme="majorBidi"/>
          <w:sz w:val="24"/>
          <w:szCs w:val="24"/>
        </w:rPr>
        <w:t>s</w:t>
      </w:r>
      <w:r w:rsidRPr="001579BE">
        <w:rPr>
          <w:rFonts w:asciiTheme="majorBidi" w:hAnsiTheme="majorBidi" w:cstheme="majorBidi"/>
          <w:sz w:val="24"/>
          <w:szCs w:val="24"/>
        </w:rPr>
        <w:t xml:space="preserve"> que describiría</w:t>
      </w:r>
      <w:r w:rsidR="00293C18" w:rsidRPr="001579BE">
        <w:rPr>
          <w:rFonts w:asciiTheme="majorBidi" w:hAnsiTheme="majorBidi" w:cstheme="majorBidi"/>
          <w:sz w:val="24"/>
          <w:szCs w:val="24"/>
        </w:rPr>
        <w:t>n</w:t>
      </w:r>
      <w:r w:rsidRPr="001579BE">
        <w:rPr>
          <w:rFonts w:asciiTheme="majorBidi" w:hAnsiTheme="majorBidi" w:cstheme="majorBidi"/>
          <w:sz w:val="24"/>
          <w:szCs w:val="24"/>
        </w:rPr>
        <w:t xml:space="preserve"> las tendencias de precios en el mercado internacional de bienes primarios, como las materias primas y los alimentos, </w:t>
      </w:r>
      <w:r w:rsidR="00B840B9" w:rsidRPr="001579BE">
        <w:rPr>
          <w:rFonts w:asciiTheme="majorBidi" w:hAnsiTheme="majorBidi" w:cstheme="majorBidi"/>
          <w:sz w:val="24"/>
          <w:szCs w:val="24"/>
        </w:rPr>
        <w:t xml:space="preserve">e industriales </w:t>
      </w:r>
      <w:r w:rsidR="0084443F" w:rsidRPr="001579BE">
        <w:rPr>
          <w:rFonts w:asciiTheme="majorBidi" w:hAnsiTheme="majorBidi" w:cstheme="majorBidi"/>
          <w:sz w:val="24"/>
          <w:szCs w:val="24"/>
        </w:rPr>
        <w:t xml:space="preserve">y sus fluctuaciones en momentos de crisis o de crecimiento económico. </w:t>
      </w:r>
      <w:r w:rsidR="004F1800" w:rsidRPr="001579BE">
        <w:rPr>
          <w:rFonts w:asciiTheme="majorBidi" w:hAnsiTheme="majorBidi" w:cstheme="majorBidi"/>
          <w:sz w:val="24"/>
          <w:szCs w:val="24"/>
        </w:rPr>
        <w:t>Singer demostró que en los cincuenta años anteriores a la Segunda Guerra Mundial los precios de las materias primas habían caído de manera constante respecto a los precios de los productos industriales</w:t>
      </w:r>
      <w:r w:rsidR="00783686" w:rsidRPr="001579BE">
        <w:rPr>
          <w:rFonts w:asciiTheme="majorBidi" w:hAnsiTheme="majorBidi" w:cstheme="majorBidi"/>
          <w:sz w:val="24"/>
          <w:szCs w:val="24"/>
        </w:rPr>
        <w:t xml:space="preserve">. Basándose en este trabajo de Singer, </w:t>
      </w:r>
      <w:proofErr w:type="spellStart"/>
      <w:r w:rsidR="00783686" w:rsidRPr="001579BE">
        <w:rPr>
          <w:rFonts w:asciiTheme="majorBidi" w:hAnsiTheme="majorBidi" w:cstheme="majorBidi"/>
          <w:sz w:val="24"/>
          <w:szCs w:val="24"/>
        </w:rPr>
        <w:t>Prebisch</w:t>
      </w:r>
      <w:proofErr w:type="spellEnd"/>
      <w:r w:rsidR="00783686" w:rsidRPr="001579BE">
        <w:rPr>
          <w:rFonts w:asciiTheme="majorBidi" w:hAnsiTheme="majorBidi" w:cstheme="majorBidi"/>
          <w:sz w:val="24"/>
          <w:szCs w:val="24"/>
        </w:rPr>
        <w:t xml:space="preserve"> desarrolló y popularizó el concepto del deterioro de los términos de intercambio</w:t>
      </w:r>
      <w:r w:rsidR="0065735E" w:rsidRPr="001579BE">
        <w:rPr>
          <w:rFonts w:asciiTheme="majorBidi" w:hAnsiTheme="majorBidi" w:cstheme="majorBidi"/>
          <w:sz w:val="24"/>
          <w:szCs w:val="24"/>
        </w:rPr>
        <w:t xml:space="preserve"> (</w:t>
      </w:r>
      <w:proofErr w:type="spellStart"/>
      <w:r w:rsidR="0065735E" w:rsidRPr="001579BE">
        <w:rPr>
          <w:rFonts w:asciiTheme="majorBidi" w:hAnsiTheme="majorBidi" w:cstheme="majorBidi"/>
          <w:sz w:val="24"/>
          <w:szCs w:val="24"/>
        </w:rPr>
        <w:t>Toye</w:t>
      </w:r>
      <w:proofErr w:type="spellEnd"/>
      <w:r w:rsidR="0065735E" w:rsidRPr="001579BE">
        <w:rPr>
          <w:rFonts w:asciiTheme="majorBidi" w:hAnsiTheme="majorBidi" w:cstheme="majorBidi"/>
          <w:sz w:val="24"/>
          <w:szCs w:val="24"/>
        </w:rPr>
        <w:t xml:space="preserve"> y </w:t>
      </w:r>
      <w:proofErr w:type="spellStart"/>
      <w:r w:rsidR="0065735E" w:rsidRPr="001579BE">
        <w:rPr>
          <w:rFonts w:asciiTheme="majorBidi" w:hAnsiTheme="majorBidi" w:cstheme="majorBidi"/>
          <w:sz w:val="24"/>
          <w:szCs w:val="24"/>
        </w:rPr>
        <w:t>Toye</w:t>
      </w:r>
      <w:proofErr w:type="spellEnd"/>
      <w:r w:rsidR="0065735E" w:rsidRPr="001579BE">
        <w:rPr>
          <w:rFonts w:asciiTheme="majorBidi" w:hAnsiTheme="majorBidi" w:cstheme="majorBidi"/>
          <w:sz w:val="24"/>
          <w:szCs w:val="24"/>
        </w:rPr>
        <w:t>, 2003)</w:t>
      </w:r>
      <w:r w:rsidR="00783686" w:rsidRPr="001579BE">
        <w:rPr>
          <w:rFonts w:asciiTheme="majorBidi" w:hAnsiTheme="majorBidi" w:cstheme="majorBidi"/>
          <w:sz w:val="24"/>
          <w:szCs w:val="24"/>
        </w:rPr>
        <w:t xml:space="preserve">. </w:t>
      </w:r>
    </w:p>
    <w:p w14:paraId="32FC024A" w14:textId="3B64FD03" w:rsidR="00286E01" w:rsidRPr="001579BE" w:rsidRDefault="00783686" w:rsidP="001207CA">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Según este concepto, l</w:t>
      </w:r>
      <w:r w:rsidR="00B840B9" w:rsidRPr="001579BE">
        <w:rPr>
          <w:rFonts w:asciiTheme="majorBidi" w:hAnsiTheme="majorBidi" w:cstheme="majorBidi"/>
          <w:sz w:val="24"/>
          <w:szCs w:val="24"/>
        </w:rPr>
        <w:t xml:space="preserve">os países especializados en la producción y exportación de bienes primarios se verían en desventaja y desequilibrio de su balanza comercial cuando la economía mundial atravesase dificultades, al caer el precio de los alimentos y materias </w:t>
      </w:r>
      <w:r w:rsidR="0065735E" w:rsidRPr="001579BE">
        <w:rPr>
          <w:rFonts w:asciiTheme="majorBidi" w:hAnsiTheme="majorBidi" w:cstheme="majorBidi"/>
          <w:sz w:val="24"/>
          <w:szCs w:val="24"/>
        </w:rPr>
        <w:t xml:space="preserve">primas </w:t>
      </w:r>
      <w:r w:rsidR="00B840B9" w:rsidRPr="001579BE">
        <w:rPr>
          <w:rFonts w:asciiTheme="majorBidi" w:hAnsiTheme="majorBidi" w:cstheme="majorBidi"/>
          <w:sz w:val="24"/>
          <w:szCs w:val="24"/>
        </w:rPr>
        <w:t xml:space="preserve">– sus exportaciones – pero no el de </w:t>
      </w:r>
      <w:r w:rsidR="004F1800" w:rsidRPr="001579BE">
        <w:rPr>
          <w:rFonts w:asciiTheme="majorBidi" w:hAnsiTheme="majorBidi" w:cstheme="majorBidi"/>
          <w:sz w:val="24"/>
          <w:szCs w:val="24"/>
        </w:rPr>
        <w:t>las manufacturas</w:t>
      </w:r>
      <w:r w:rsidR="00B840B9" w:rsidRPr="001579BE">
        <w:rPr>
          <w:rFonts w:asciiTheme="majorBidi" w:hAnsiTheme="majorBidi" w:cstheme="majorBidi"/>
          <w:sz w:val="24"/>
          <w:szCs w:val="24"/>
        </w:rPr>
        <w:t xml:space="preserve"> – sus importaciones –</w:t>
      </w:r>
      <w:r w:rsidR="00F20C52" w:rsidRPr="001579BE">
        <w:rPr>
          <w:rFonts w:asciiTheme="majorBidi" w:hAnsiTheme="majorBidi" w:cstheme="majorBidi"/>
          <w:sz w:val="24"/>
          <w:szCs w:val="24"/>
        </w:rPr>
        <w:t xml:space="preserve">, </w:t>
      </w:r>
      <w:r w:rsidR="00B840B9" w:rsidRPr="001579BE">
        <w:rPr>
          <w:rFonts w:asciiTheme="majorBidi" w:hAnsiTheme="majorBidi" w:cstheme="majorBidi"/>
          <w:sz w:val="24"/>
          <w:szCs w:val="24"/>
        </w:rPr>
        <w:t>empeorando esta relación con cada ciclo económico</w:t>
      </w:r>
      <w:r w:rsidR="00997125" w:rsidRPr="001579BE">
        <w:rPr>
          <w:rFonts w:asciiTheme="majorBidi" w:hAnsiTheme="majorBidi" w:cstheme="majorBidi"/>
          <w:sz w:val="24"/>
          <w:szCs w:val="24"/>
        </w:rPr>
        <w:t>.</w:t>
      </w:r>
      <w:r w:rsidR="00726D01" w:rsidRPr="001579BE">
        <w:rPr>
          <w:rFonts w:asciiTheme="majorBidi" w:hAnsiTheme="majorBidi" w:cstheme="majorBidi"/>
          <w:sz w:val="24"/>
          <w:szCs w:val="24"/>
        </w:rPr>
        <w:t xml:space="preserve"> De esta manera, en un momento de crisis económica global se deteriorarían los términos de intercambio en perjuicio de los países más agrarios y con economías más marginales, y en beneficio de aquellas economías industriales con posiciones de centro en el comercio internacional</w:t>
      </w:r>
      <w:r w:rsidR="001340FE" w:rsidRPr="001579BE">
        <w:rPr>
          <w:rFonts w:asciiTheme="majorBidi" w:hAnsiTheme="majorBidi" w:cstheme="majorBidi"/>
          <w:sz w:val="24"/>
          <w:szCs w:val="24"/>
        </w:rPr>
        <w:t xml:space="preserve"> (</w:t>
      </w:r>
      <w:proofErr w:type="spellStart"/>
      <w:r w:rsidR="001340FE" w:rsidRPr="001579BE">
        <w:rPr>
          <w:rFonts w:asciiTheme="majorBidi" w:hAnsiTheme="majorBidi" w:cstheme="majorBidi"/>
          <w:sz w:val="24"/>
          <w:szCs w:val="24"/>
        </w:rPr>
        <w:t>Prebisch</w:t>
      </w:r>
      <w:proofErr w:type="spellEnd"/>
      <w:r w:rsidR="001340FE" w:rsidRPr="001579BE">
        <w:rPr>
          <w:rFonts w:asciiTheme="majorBidi" w:hAnsiTheme="majorBidi" w:cstheme="majorBidi"/>
          <w:sz w:val="24"/>
          <w:szCs w:val="24"/>
        </w:rPr>
        <w:t>, 1986; Vilches, 2023)</w:t>
      </w:r>
      <w:r w:rsidR="00726D01" w:rsidRPr="001579BE">
        <w:rPr>
          <w:rFonts w:asciiTheme="majorBidi" w:hAnsiTheme="majorBidi" w:cstheme="majorBidi"/>
          <w:sz w:val="24"/>
          <w:szCs w:val="24"/>
        </w:rPr>
        <w:t>.</w:t>
      </w:r>
      <w:r w:rsidR="00997125" w:rsidRPr="001579BE">
        <w:rPr>
          <w:rFonts w:asciiTheme="majorBidi" w:hAnsiTheme="majorBidi" w:cstheme="majorBidi"/>
          <w:sz w:val="24"/>
          <w:szCs w:val="24"/>
        </w:rPr>
        <w:t xml:space="preserve"> </w:t>
      </w:r>
    </w:p>
    <w:p w14:paraId="2CE80BAA" w14:textId="7B50701B" w:rsidR="00DA3A0D" w:rsidRPr="001579BE" w:rsidRDefault="00E541E6" w:rsidP="00F66275">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Aun</w:t>
      </w:r>
      <w:r w:rsidR="00486BE8" w:rsidRPr="001579BE">
        <w:rPr>
          <w:rFonts w:asciiTheme="majorBidi" w:hAnsiTheme="majorBidi" w:cstheme="majorBidi"/>
          <w:sz w:val="24"/>
          <w:szCs w:val="24"/>
        </w:rPr>
        <w:t xml:space="preserve"> a</w:t>
      </w:r>
      <w:r w:rsidR="00C14F28" w:rsidRPr="001579BE">
        <w:rPr>
          <w:rFonts w:asciiTheme="majorBidi" w:hAnsiTheme="majorBidi" w:cstheme="majorBidi"/>
          <w:sz w:val="24"/>
          <w:szCs w:val="24"/>
        </w:rPr>
        <w:t>sí, en</w:t>
      </w:r>
      <w:r w:rsidR="00286E01" w:rsidRPr="001579BE">
        <w:rPr>
          <w:rFonts w:asciiTheme="majorBidi" w:hAnsiTheme="majorBidi" w:cstheme="majorBidi"/>
          <w:sz w:val="24"/>
          <w:szCs w:val="24"/>
        </w:rPr>
        <w:t xml:space="preserve"> un contexto de crisis económica mundial la mayor caída en la renta percibida por los trabajadores de los países en la periferia económica frente al menor </w:t>
      </w:r>
      <w:r w:rsidR="00286E01" w:rsidRPr="001579BE">
        <w:rPr>
          <w:rFonts w:asciiTheme="majorBidi" w:hAnsiTheme="majorBidi" w:cstheme="majorBidi"/>
          <w:sz w:val="24"/>
          <w:szCs w:val="24"/>
        </w:rPr>
        <w:lastRenderedPageBreak/>
        <w:t xml:space="preserve">impacto de la crisis en los salarios de los trabajadores en los países del centro no afectaría a la demanda de bienes de primera necesidad como los alimentos básicos, como sería el grano: la elasticidad-ingreso de su demanda sería menor que la de los bienes manufacturados, viéndose la demanda de alimentos menos sensible a los incrementos o descensos de renta de los consumidores y por tanto más resistente a caídas en los salarios de los trabajadores. </w:t>
      </w:r>
      <w:r w:rsidRPr="001579BE">
        <w:rPr>
          <w:rFonts w:asciiTheme="majorBidi" w:hAnsiTheme="majorBidi" w:cstheme="majorBidi"/>
          <w:sz w:val="24"/>
          <w:szCs w:val="24"/>
        </w:rPr>
        <w:t>Sin embargo, esta misma relación indic</w:t>
      </w:r>
      <w:r w:rsidR="003E48F9" w:rsidRPr="001579BE">
        <w:rPr>
          <w:rFonts w:asciiTheme="majorBidi" w:hAnsiTheme="majorBidi" w:cstheme="majorBidi"/>
          <w:sz w:val="24"/>
          <w:szCs w:val="24"/>
        </w:rPr>
        <w:t>arí</w:t>
      </w:r>
      <w:r w:rsidRPr="001579BE">
        <w:rPr>
          <w:rFonts w:asciiTheme="majorBidi" w:hAnsiTheme="majorBidi" w:cstheme="majorBidi"/>
          <w:sz w:val="24"/>
          <w:szCs w:val="24"/>
        </w:rPr>
        <w:t>a que la demanda de bienes primarios como los alimentos no aumenta cuando sí lo hace la renta disponible de los hogares</w:t>
      </w:r>
      <w:r w:rsidR="00997125" w:rsidRPr="001579BE">
        <w:rPr>
          <w:rFonts w:asciiTheme="majorBidi" w:hAnsiTheme="majorBidi" w:cstheme="majorBidi"/>
          <w:sz w:val="24"/>
          <w:szCs w:val="24"/>
        </w:rPr>
        <w:t>, a diferencia de lo que sucede con los productos manufacturados</w:t>
      </w:r>
      <w:r w:rsidR="00AF1BCF" w:rsidRPr="001579BE">
        <w:rPr>
          <w:rFonts w:asciiTheme="majorBidi" w:hAnsiTheme="majorBidi" w:cstheme="majorBidi"/>
          <w:sz w:val="24"/>
          <w:szCs w:val="24"/>
        </w:rPr>
        <w:t xml:space="preserve"> </w:t>
      </w:r>
      <w:r w:rsidR="00726D01" w:rsidRPr="001579BE">
        <w:rPr>
          <w:rFonts w:asciiTheme="majorBidi" w:hAnsiTheme="majorBidi" w:cstheme="majorBidi"/>
          <w:sz w:val="24"/>
          <w:szCs w:val="24"/>
        </w:rPr>
        <w:t>(Wirth, 2018)</w:t>
      </w:r>
      <w:r w:rsidR="003158CD" w:rsidRPr="001579BE">
        <w:rPr>
          <w:rFonts w:asciiTheme="majorBidi" w:hAnsiTheme="majorBidi" w:cstheme="majorBidi"/>
          <w:sz w:val="24"/>
          <w:szCs w:val="24"/>
        </w:rPr>
        <w:t>.</w:t>
      </w:r>
    </w:p>
    <w:p w14:paraId="53341833" w14:textId="3526FA85" w:rsidR="00AF430D" w:rsidRPr="001579BE" w:rsidRDefault="00DA3A0D" w:rsidP="000A5A74">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La curva de Engel de un bien describe la relación de dependencia entre el gasto que una población hace en determinado bien y la renta de dicha población.</w:t>
      </w:r>
      <w:r w:rsidR="00D47717" w:rsidRPr="001579BE">
        <w:rPr>
          <w:rFonts w:asciiTheme="majorBidi" w:hAnsiTheme="majorBidi" w:cstheme="majorBidi"/>
          <w:sz w:val="24"/>
          <w:szCs w:val="24"/>
        </w:rPr>
        <w:t xml:space="preserve"> De esta manera, las curvas de Engel de </w:t>
      </w:r>
      <w:r w:rsidR="00FE2C0D" w:rsidRPr="001579BE">
        <w:rPr>
          <w:rFonts w:asciiTheme="majorBidi" w:hAnsiTheme="majorBidi" w:cstheme="majorBidi"/>
          <w:sz w:val="24"/>
          <w:szCs w:val="24"/>
        </w:rPr>
        <w:t>los</w:t>
      </w:r>
      <w:r w:rsidR="00D47717" w:rsidRPr="001579BE">
        <w:rPr>
          <w:rFonts w:asciiTheme="majorBidi" w:hAnsiTheme="majorBidi" w:cstheme="majorBidi"/>
          <w:sz w:val="24"/>
          <w:szCs w:val="24"/>
        </w:rPr>
        <w:t xml:space="preserve"> productos primarios</w:t>
      </w:r>
      <w:r w:rsidR="00FE2C0D" w:rsidRPr="001579BE">
        <w:rPr>
          <w:rFonts w:asciiTheme="majorBidi" w:hAnsiTheme="majorBidi" w:cstheme="majorBidi"/>
          <w:sz w:val="24"/>
          <w:szCs w:val="24"/>
        </w:rPr>
        <w:t xml:space="preserve"> </w:t>
      </w:r>
      <w:r w:rsidR="00286455" w:rsidRPr="001579BE">
        <w:rPr>
          <w:rFonts w:asciiTheme="majorBidi" w:hAnsiTheme="majorBidi" w:cstheme="majorBidi"/>
          <w:sz w:val="24"/>
          <w:szCs w:val="24"/>
        </w:rPr>
        <w:t xml:space="preserve">como podrían ser los alimentos </w:t>
      </w:r>
      <w:r w:rsidR="00FE2C0D" w:rsidRPr="001579BE">
        <w:rPr>
          <w:rFonts w:asciiTheme="majorBidi" w:hAnsiTheme="majorBidi" w:cstheme="majorBidi"/>
          <w:sz w:val="24"/>
          <w:szCs w:val="24"/>
        </w:rPr>
        <w:t>– o bienes normales, según el autor –</w:t>
      </w:r>
      <w:r w:rsidR="00D47717" w:rsidRPr="001579BE">
        <w:rPr>
          <w:rFonts w:asciiTheme="majorBidi" w:hAnsiTheme="majorBidi" w:cstheme="majorBidi"/>
          <w:sz w:val="24"/>
          <w:szCs w:val="24"/>
        </w:rPr>
        <w:t xml:space="preserve"> se establece</w:t>
      </w:r>
      <w:r w:rsidR="00E21F97" w:rsidRPr="001579BE">
        <w:rPr>
          <w:rFonts w:asciiTheme="majorBidi" w:hAnsiTheme="majorBidi" w:cstheme="majorBidi"/>
          <w:sz w:val="24"/>
          <w:szCs w:val="24"/>
        </w:rPr>
        <w:t>ría</w:t>
      </w:r>
      <w:r w:rsidR="00D47717" w:rsidRPr="001579BE">
        <w:rPr>
          <w:rFonts w:asciiTheme="majorBidi" w:hAnsiTheme="majorBidi" w:cstheme="majorBidi"/>
          <w:sz w:val="24"/>
          <w:szCs w:val="24"/>
        </w:rPr>
        <w:t>n como más planas al no aumentar su consumo cuando crece la renta disponible de un hogar</w:t>
      </w:r>
      <w:r w:rsidR="00F66275" w:rsidRPr="001579BE">
        <w:rPr>
          <w:rFonts w:asciiTheme="majorBidi" w:hAnsiTheme="majorBidi" w:cstheme="majorBidi"/>
          <w:sz w:val="24"/>
          <w:szCs w:val="24"/>
        </w:rPr>
        <w:t>: la necesidad de alimentación</w:t>
      </w:r>
      <w:r w:rsidR="004B6F95" w:rsidRPr="001579BE">
        <w:rPr>
          <w:rFonts w:asciiTheme="majorBidi" w:hAnsiTheme="majorBidi" w:cstheme="majorBidi"/>
          <w:sz w:val="24"/>
          <w:szCs w:val="24"/>
        </w:rPr>
        <w:t>, derivada de un impulso fisiológico,</w:t>
      </w:r>
      <w:r w:rsidR="00F66275" w:rsidRPr="001579BE">
        <w:rPr>
          <w:rFonts w:asciiTheme="majorBidi" w:hAnsiTheme="majorBidi" w:cstheme="majorBidi"/>
          <w:sz w:val="24"/>
          <w:szCs w:val="24"/>
        </w:rPr>
        <w:t xml:space="preserve"> sería finita</w:t>
      </w:r>
      <w:r w:rsidR="00EB150C" w:rsidRPr="001579BE">
        <w:rPr>
          <w:rFonts w:asciiTheme="majorBidi" w:hAnsiTheme="majorBidi" w:cstheme="majorBidi"/>
          <w:sz w:val="24"/>
          <w:szCs w:val="24"/>
        </w:rPr>
        <w:t xml:space="preserve"> y saciable</w:t>
      </w:r>
      <w:r w:rsidR="00D47717" w:rsidRPr="001579BE">
        <w:rPr>
          <w:rFonts w:asciiTheme="majorBidi" w:hAnsiTheme="majorBidi" w:cstheme="majorBidi"/>
          <w:sz w:val="24"/>
          <w:szCs w:val="24"/>
        </w:rPr>
        <w:t xml:space="preserve">. Las curvas de Engel de productos manufacturados </w:t>
      </w:r>
      <w:r w:rsidR="00FE2C0D" w:rsidRPr="001579BE">
        <w:rPr>
          <w:rFonts w:asciiTheme="majorBidi" w:hAnsiTheme="majorBidi" w:cstheme="majorBidi"/>
          <w:sz w:val="24"/>
          <w:szCs w:val="24"/>
        </w:rPr>
        <w:t>– o bienes de lujo</w:t>
      </w:r>
      <w:r w:rsidR="00286455" w:rsidRPr="001579BE">
        <w:rPr>
          <w:rFonts w:asciiTheme="majorBidi" w:hAnsiTheme="majorBidi" w:cstheme="majorBidi"/>
          <w:sz w:val="24"/>
          <w:szCs w:val="24"/>
        </w:rPr>
        <w:t xml:space="preserve"> – </w:t>
      </w:r>
      <w:r w:rsidR="00D47717" w:rsidRPr="001579BE">
        <w:rPr>
          <w:rFonts w:asciiTheme="majorBidi" w:hAnsiTheme="majorBidi" w:cstheme="majorBidi"/>
          <w:sz w:val="24"/>
          <w:szCs w:val="24"/>
        </w:rPr>
        <w:t xml:space="preserve">serían más dramáticas, experimentando una subida en su consumo cuando se incrementa la renta disponible del mismo hogar. </w:t>
      </w:r>
      <w:r w:rsidR="00286455" w:rsidRPr="001579BE">
        <w:rPr>
          <w:rFonts w:asciiTheme="majorBidi" w:hAnsiTheme="majorBidi" w:cstheme="majorBidi"/>
          <w:sz w:val="24"/>
          <w:szCs w:val="24"/>
        </w:rPr>
        <w:t>Tras el estudio empírico de los hábitos de consumo de varios hogares, Engel afirmó que a menor renta disponible en una familia mayor será la proporción de la misma que el hogar habrá de dedicar a la provisión de alimentos</w:t>
      </w:r>
      <w:r w:rsidR="00AB2016" w:rsidRPr="001579BE">
        <w:rPr>
          <w:rFonts w:asciiTheme="majorBidi" w:hAnsiTheme="majorBidi" w:cstheme="majorBidi"/>
          <w:sz w:val="24"/>
          <w:szCs w:val="24"/>
        </w:rPr>
        <w:t>, y que a mayor renta menor será la proporción de gasto dedicado a los alimentos</w:t>
      </w:r>
      <w:r w:rsidR="00286455" w:rsidRPr="001579BE">
        <w:rPr>
          <w:rFonts w:asciiTheme="majorBidi" w:hAnsiTheme="majorBidi" w:cstheme="majorBidi"/>
          <w:sz w:val="24"/>
          <w:szCs w:val="24"/>
        </w:rPr>
        <w:t xml:space="preserve"> (García Arancibia, 2013</w:t>
      </w:r>
      <w:r w:rsidR="000A5A74" w:rsidRPr="001579BE">
        <w:rPr>
          <w:rFonts w:asciiTheme="majorBidi" w:hAnsiTheme="majorBidi" w:cstheme="majorBidi"/>
          <w:sz w:val="24"/>
          <w:szCs w:val="24"/>
        </w:rPr>
        <w:t>;</w:t>
      </w:r>
      <w:r w:rsidR="004E11B2" w:rsidRPr="001579BE">
        <w:rPr>
          <w:rFonts w:asciiTheme="majorBidi" w:hAnsiTheme="majorBidi" w:cstheme="majorBidi"/>
          <w:sz w:val="24"/>
          <w:szCs w:val="24"/>
        </w:rPr>
        <w:t xml:space="preserve"> </w:t>
      </w:r>
      <w:r w:rsidR="000A5A74" w:rsidRPr="001579BE">
        <w:rPr>
          <w:rFonts w:asciiTheme="majorBidi" w:hAnsiTheme="majorBidi" w:cstheme="majorBidi"/>
          <w:sz w:val="24"/>
          <w:szCs w:val="24"/>
        </w:rPr>
        <w:t>López Lluch, 2015</w:t>
      </w:r>
      <w:r w:rsidR="00286455" w:rsidRPr="001579BE">
        <w:rPr>
          <w:rFonts w:asciiTheme="majorBidi" w:hAnsiTheme="majorBidi" w:cstheme="majorBidi"/>
          <w:sz w:val="24"/>
          <w:szCs w:val="24"/>
        </w:rPr>
        <w:t xml:space="preserve">). </w:t>
      </w:r>
    </w:p>
    <w:p w14:paraId="59E30629" w14:textId="37C1DEC7" w:rsidR="00894134" w:rsidRPr="001579BE" w:rsidRDefault="002D4C60"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Sin embargo, el paso del tiempo demostraría que la hipótesis </w:t>
      </w:r>
      <w:proofErr w:type="spellStart"/>
      <w:r w:rsidRPr="001579BE">
        <w:rPr>
          <w:rFonts w:asciiTheme="majorBidi" w:hAnsiTheme="majorBidi" w:cstheme="majorBidi"/>
          <w:sz w:val="24"/>
          <w:szCs w:val="24"/>
        </w:rPr>
        <w:t>Prebisch</w:t>
      </w:r>
      <w:proofErr w:type="spellEnd"/>
      <w:r w:rsidRPr="001579BE">
        <w:rPr>
          <w:rFonts w:asciiTheme="majorBidi" w:hAnsiTheme="majorBidi" w:cstheme="majorBidi"/>
          <w:sz w:val="24"/>
          <w:szCs w:val="24"/>
        </w:rPr>
        <w:t>-Singer del deterioro de los términos de intercambio y de los precios de las materias primas no se puede aplicar de manera uniforme a todos los productos primarios. Para la discusión de su aplicación a los alimentos habrá de diferenciarse entre bienes reproducibles y no reproducibles, siendo la tierra productiva un bien no reproducible, y entre productos agrarios de clima templado o tropical</w:t>
      </w:r>
      <w:r w:rsidR="00894134" w:rsidRPr="001579BE">
        <w:rPr>
          <w:rFonts w:asciiTheme="majorBidi" w:hAnsiTheme="majorBidi" w:cstheme="majorBidi"/>
          <w:sz w:val="24"/>
          <w:szCs w:val="24"/>
        </w:rPr>
        <w:t xml:space="preserve"> (Vilches, 2023)</w:t>
      </w:r>
      <w:r w:rsidRPr="001579BE">
        <w:rPr>
          <w:rFonts w:asciiTheme="majorBidi" w:hAnsiTheme="majorBidi" w:cstheme="majorBidi"/>
          <w:sz w:val="24"/>
          <w:szCs w:val="24"/>
        </w:rPr>
        <w:t xml:space="preserve">. </w:t>
      </w:r>
    </w:p>
    <w:p w14:paraId="4C3795FD" w14:textId="520ACD3E" w:rsidR="00351AF3" w:rsidRPr="001579BE" w:rsidRDefault="00D62598" w:rsidP="00351AF3">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Por una parte,</w:t>
      </w:r>
      <w:r w:rsidR="002D4C60" w:rsidRPr="001579BE">
        <w:rPr>
          <w:rFonts w:asciiTheme="majorBidi" w:hAnsiTheme="majorBidi" w:cstheme="majorBidi"/>
          <w:sz w:val="24"/>
          <w:szCs w:val="24"/>
        </w:rPr>
        <w:t xml:space="preserve"> la productividad de la tierra agrícola ha experimentado un aumento </w:t>
      </w:r>
      <w:r w:rsidRPr="001579BE">
        <w:rPr>
          <w:rFonts w:asciiTheme="majorBidi" w:hAnsiTheme="majorBidi" w:cstheme="majorBidi"/>
          <w:sz w:val="24"/>
          <w:szCs w:val="24"/>
        </w:rPr>
        <w:t>permanente que contrarresta el efecto positivo sobre los precios de su producción que tiene su carácter de</w:t>
      </w:r>
      <w:r w:rsidR="00E24006" w:rsidRPr="001579BE">
        <w:rPr>
          <w:rFonts w:asciiTheme="majorBidi" w:hAnsiTheme="majorBidi" w:cstheme="majorBidi"/>
          <w:sz w:val="24"/>
          <w:szCs w:val="24"/>
        </w:rPr>
        <w:t xml:space="preserve"> bien</w:t>
      </w:r>
      <w:r w:rsidRPr="001579BE">
        <w:rPr>
          <w:rFonts w:asciiTheme="majorBidi" w:hAnsiTheme="majorBidi" w:cstheme="majorBidi"/>
          <w:sz w:val="24"/>
          <w:szCs w:val="24"/>
        </w:rPr>
        <w:t xml:space="preserve"> no reproducible. </w:t>
      </w:r>
      <w:r w:rsidR="00E24006" w:rsidRPr="001579BE">
        <w:rPr>
          <w:rFonts w:asciiTheme="majorBidi" w:hAnsiTheme="majorBidi" w:cstheme="majorBidi"/>
          <w:sz w:val="24"/>
          <w:szCs w:val="24"/>
        </w:rPr>
        <w:t>Por otro, los países productores del centro de la economía global que llevaron a cabo su proceso de desarrollo primero mediante reestructuraciones agrarias</w:t>
      </w:r>
      <w:r w:rsidR="00733084" w:rsidRPr="001579BE">
        <w:rPr>
          <w:rFonts w:asciiTheme="majorBidi" w:hAnsiTheme="majorBidi" w:cstheme="majorBidi"/>
          <w:sz w:val="24"/>
          <w:szCs w:val="24"/>
        </w:rPr>
        <w:t xml:space="preserve"> entre 1940 y 1970</w:t>
      </w:r>
      <w:r w:rsidR="00E24006" w:rsidRPr="001579BE">
        <w:rPr>
          <w:rFonts w:asciiTheme="majorBidi" w:hAnsiTheme="majorBidi" w:cstheme="majorBidi"/>
          <w:sz w:val="24"/>
          <w:szCs w:val="24"/>
        </w:rPr>
        <w:t xml:space="preserve"> </w:t>
      </w:r>
      <w:r w:rsidR="00945CAE" w:rsidRPr="001579BE">
        <w:rPr>
          <w:rFonts w:asciiTheme="majorBidi" w:hAnsiTheme="majorBidi" w:cstheme="majorBidi"/>
          <w:sz w:val="24"/>
          <w:szCs w:val="24"/>
        </w:rPr>
        <w:t xml:space="preserve">– conocidas como la “revolución verde”, dieron a la producción agraria un carácter ciertamente industrial mediante la </w:t>
      </w:r>
      <w:r w:rsidR="00945CAE" w:rsidRPr="001579BE">
        <w:rPr>
          <w:rFonts w:asciiTheme="majorBidi" w:hAnsiTheme="majorBidi" w:cstheme="majorBidi"/>
          <w:sz w:val="24"/>
          <w:szCs w:val="24"/>
        </w:rPr>
        <w:lastRenderedPageBreak/>
        <w:t xml:space="preserve">implementación del monocultivo, la creación de variedades de </w:t>
      </w:r>
      <w:r w:rsidR="007B3EF2" w:rsidRPr="001579BE">
        <w:rPr>
          <w:rFonts w:asciiTheme="majorBidi" w:hAnsiTheme="majorBidi" w:cstheme="majorBidi"/>
          <w:sz w:val="24"/>
          <w:szCs w:val="24"/>
        </w:rPr>
        <w:t xml:space="preserve">granos </w:t>
      </w:r>
      <w:r w:rsidR="00945CAE" w:rsidRPr="001579BE">
        <w:rPr>
          <w:rFonts w:asciiTheme="majorBidi" w:hAnsiTheme="majorBidi" w:cstheme="majorBidi"/>
          <w:sz w:val="24"/>
          <w:szCs w:val="24"/>
        </w:rPr>
        <w:t>de alto rendimiento</w:t>
      </w:r>
      <w:r w:rsidR="00E73780" w:rsidRPr="001579BE">
        <w:rPr>
          <w:rFonts w:asciiTheme="majorBidi" w:hAnsiTheme="majorBidi" w:cstheme="majorBidi"/>
          <w:sz w:val="24"/>
          <w:szCs w:val="24"/>
        </w:rPr>
        <w:t>, el mayor consumo de agua</w:t>
      </w:r>
      <w:r w:rsidR="00945CAE" w:rsidRPr="001579BE">
        <w:rPr>
          <w:rFonts w:asciiTheme="majorBidi" w:hAnsiTheme="majorBidi" w:cstheme="majorBidi"/>
          <w:sz w:val="24"/>
          <w:szCs w:val="24"/>
        </w:rPr>
        <w:t xml:space="preserve"> y el uso extensivo de fertilizantes y plaguicidas</w:t>
      </w:r>
      <w:r w:rsidR="00351AF3" w:rsidRPr="001579BE">
        <w:rPr>
          <w:rFonts w:asciiTheme="majorBidi" w:hAnsiTheme="majorBidi" w:cstheme="majorBidi"/>
          <w:sz w:val="24"/>
          <w:szCs w:val="24"/>
        </w:rPr>
        <w:t xml:space="preserve"> (</w:t>
      </w:r>
      <w:proofErr w:type="spellStart"/>
      <w:r w:rsidR="00351AF3" w:rsidRPr="001579BE">
        <w:rPr>
          <w:rFonts w:asciiTheme="majorBidi" w:hAnsiTheme="majorBidi" w:cstheme="majorBidi"/>
          <w:sz w:val="24"/>
          <w:szCs w:val="24"/>
        </w:rPr>
        <w:t>Martinez</w:t>
      </w:r>
      <w:proofErr w:type="spellEnd"/>
      <w:r w:rsidR="00351AF3" w:rsidRPr="001579BE">
        <w:rPr>
          <w:rFonts w:asciiTheme="majorBidi" w:hAnsiTheme="majorBidi" w:cstheme="majorBidi"/>
          <w:sz w:val="24"/>
          <w:szCs w:val="24"/>
        </w:rPr>
        <w:t>-Centeno y Huerta Sobalvarro, 2018)</w:t>
      </w:r>
      <w:r w:rsidR="00945CAE" w:rsidRPr="001579BE">
        <w:rPr>
          <w:rFonts w:asciiTheme="majorBidi" w:hAnsiTheme="majorBidi" w:cstheme="majorBidi"/>
          <w:sz w:val="24"/>
          <w:szCs w:val="24"/>
        </w:rPr>
        <w:t xml:space="preserve"> – en favor de la productividad </w:t>
      </w:r>
      <w:r w:rsidR="00E24006" w:rsidRPr="001579BE">
        <w:rPr>
          <w:rFonts w:asciiTheme="majorBidi" w:hAnsiTheme="majorBidi" w:cstheme="majorBidi"/>
          <w:sz w:val="24"/>
          <w:szCs w:val="24"/>
        </w:rPr>
        <w:t>vieron como estas aumentaron los salarios de sus productores y por ende el nivel de vida de sus poblaciones rurales</w:t>
      </w:r>
      <w:r w:rsidR="00351AF3" w:rsidRPr="001579BE">
        <w:rPr>
          <w:rFonts w:asciiTheme="majorBidi" w:hAnsiTheme="majorBidi" w:cstheme="majorBidi"/>
          <w:sz w:val="24"/>
          <w:szCs w:val="24"/>
        </w:rPr>
        <w:t xml:space="preserve"> (Vilches, 2023)</w:t>
      </w:r>
      <w:r w:rsidR="00E24006" w:rsidRPr="001579BE">
        <w:rPr>
          <w:rFonts w:asciiTheme="majorBidi" w:hAnsiTheme="majorBidi" w:cstheme="majorBidi"/>
          <w:sz w:val="24"/>
          <w:szCs w:val="24"/>
        </w:rPr>
        <w:t xml:space="preserve">. </w:t>
      </w:r>
    </w:p>
    <w:p w14:paraId="3168CABC" w14:textId="2A38483A" w:rsidR="002D4C60" w:rsidRPr="001579BE" w:rsidRDefault="00E24006" w:rsidP="00351AF3">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Mientras tanto, los países productores de bienes agrarios tropicales se sitúan en la periferia del comercio internacional y cuentan con estructuras agrarias de menor productividad y de menores salarios, basándose en los mismos para competir entre sí en una estrategia de precios bajos.</w:t>
      </w:r>
      <w:r w:rsidR="00894134" w:rsidRPr="001579BE">
        <w:rPr>
          <w:rFonts w:asciiTheme="majorBidi" w:hAnsiTheme="majorBidi" w:cstheme="majorBidi"/>
          <w:sz w:val="24"/>
          <w:szCs w:val="24"/>
        </w:rPr>
        <w:t xml:space="preserve"> Durante el periodo de tiempo analizado por Singer, el desplome de precios afectó a los productos tropicales de forma mucho más considerable que a los productos de clima templado, si bien la situación se revirtió en las décadas de los años sesenta a ochenta del siglo XX. Desde entonces, los precios de los bienes agrícolas, </w:t>
      </w:r>
      <w:r w:rsidR="00BC7CFA" w:rsidRPr="001579BE">
        <w:rPr>
          <w:rFonts w:asciiTheme="majorBidi" w:hAnsiTheme="majorBidi" w:cstheme="majorBidi"/>
          <w:sz w:val="24"/>
          <w:szCs w:val="24"/>
        </w:rPr>
        <w:t>aun</w:t>
      </w:r>
      <w:r w:rsidR="00894134" w:rsidRPr="001579BE">
        <w:rPr>
          <w:rFonts w:asciiTheme="majorBidi" w:hAnsiTheme="majorBidi" w:cstheme="majorBidi"/>
          <w:sz w:val="24"/>
          <w:szCs w:val="24"/>
        </w:rPr>
        <w:t xml:space="preserve"> habiendo mejorado, tan sólo han conseguido recuperarse de las caídas de precios (Vilches, 2023).</w:t>
      </w:r>
    </w:p>
    <w:p w14:paraId="093F97E0" w14:textId="588271C0" w:rsidR="00867F79" w:rsidRPr="001579BE" w:rsidRDefault="00214F54" w:rsidP="003034BE">
      <w:pPr>
        <w:pStyle w:val="Ttulo3"/>
        <w:numPr>
          <w:ilvl w:val="2"/>
          <w:numId w:val="5"/>
        </w:numPr>
        <w:spacing w:line="360" w:lineRule="auto"/>
        <w:rPr>
          <w:rFonts w:asciiTheme="majorBidi" w:hAnsiTheme="majorBidi"/>
          <w:b/>
          <w:bCs/>
          <w:color w:val="auto"/>
        </w:rPr>
      </w:pPr>
      <w:bookmarkStart w:id="23" w:name="_Toc137456609"/>
      <w:r w:rsidRPr="001579BE">
        <w:rPr>
          <w:rFonts w:asciiTheme="majorBidi" w:hAnsiTheme="majorBidi"/>
          <w:b/>
          <w:bCs/>
          <w:color w:val="auto"/>
        </w:rPr>
        <w:t>Proteccionismo</w:t>
      </w:r>
      <w:bookmarkEnd w:id="23"/>
    </w:p>
    <w:p w14:paraId="2653DE4F" w14:textId="2C6F316C" w:rsidR="00DC0B50" w:rsidRPr="001579BE" w:rsidRDefault="00ED392D" w:rsidP="0009454F">
      <w:pPr>
        <w:spacing w:line="360" w:lineRule="auto"/>
        <w:jc w:val="both"/>
        <w:rPr>
          <w:rFonts w:asciiTheme="majorBidi" w:hAnsiTheme="majorBidi" w:cstheme="majorBidi"/>
          <w:sz w:val="24"/>
          <w:szCs w:val="24"/>
        </w:rPr>
      </w:pPr>
      <w:r w:rsidRPr="001579BE">
        <w:rPr>
          <w:rFonts w:asciiTheme="majorBidi" w:hAnsiTheme="majorBidi" w:cstheme="majorBidi"/>
          <w:sz w:val="24"/>
          <w:szCs w:val="24"/>
        </w:rPr>
        <w:tab/>
        <w:t xml:space="preserve">Como su nombre indica, el proteccionismo aboga por la </w:t>
      </w:r>
      <w:r w:rsidR="00A027BB" w:rsidRPr="001579BE">
        <w:rPr>
          <w:rFonts w:asciiTheme="majorBidi" w:hAnsiTheme="majorBidi" w:cstheme="majorBidi"/>
          <w:sz w:val="24"/>
          <w:szCs w:val="24"/>
        </w:rPr>
        <w:t xml:space="preserve">intervención del Estado para la </w:t>
      </w:r>
      <w:r w:rsidRPr="001579BE">
        <w:rPr>
          <w:rFonts w:asciiTheme="majorBidi" w:hAnsiTheme="majorBidi" w:cstheme="majorBidi"/>
          <w:sz w:val="24"/>
          <w:szCs w:val="24"/>
        </w:rPr>
        <w:t>protección del producto, y por ende la industria</w:t>
      </w:r>
      <w:r w:rsidR="00401AD9" w:rsidRPr="001579BE">
        <w:rPr>
          <w:rFonts w:asciiTheme="majorBidi" w:hAnsiTheme="majorBidi" w:cstheme="majorBidi"/>
          <w:sz w:val="24"/>
          <w:szCs w:val="24"/>
        </w:rPr>
        <w:t xml:space="preserve">, </w:t>
      </w:r>
      <w:r w:rsidRPr="001579BE">
        <w:rPr>
          <w:rFonts w:asciiTheme="majorBidi" w:hAnsiTheme="majorBidi" w:cstheme="majorBidi"/>
          <w:sz w:val="24"/>
          <w:szCs w:val="24"/>
        </w:rPr>
        <w:t>nacional</w:t>
      </w:r>
      <w:r w:rsidR="00401AD9" w:rsidRPr="001579BE">
        <w:rPr>
          <w:rFonts w:asciiTheme="majorBidi" w:hAnsiTheme="majorBidi" w:cstheme="majorBidi"/>
          <w:sz w:val="24"/>
          <w:szCs w:val="24"/>
        </w:rPr>
        <w:t xml:space="preserve"> ante la amenaza de la llegada de un producto sustitutivo más barato desde el extranjero</w:t>
      </w:r>
      <w:r w:rsidR="00A027BB" w:rsidRPr="001579BE">
        <w:rPr>
          <w:rFonts w:asciiTheme="majorBidi" w:hAnsiTheme="majorBidi" w:cstheme="majorBidi"/>
          <w:sz w:val="24"/>
          <w:szCs w:val="24"/>
        </w:rPr>
        <w:t>, obstaculizándola</w:t>
      </w:r>
      <w:r w:rsidRPr="001579BE">
        <w:rPr>
          <w:rFonts w:asciiTheme="majorBidi" w:hAnsiTheme="majorBidi" w:cstheme="majorBidi"/>
          <w:sz w:val="24"/>
          <w:szCs w:val="24"/>
        </w:rPr>
        <w:t>.</w:t>
      </w:r>
      <w:r w:rsidR="00A027BB" w:rsidRPr="001579BE">
        <w:rPr>
          <w:rFonts w:asciiTheme="majorBidi" w:hAnsiTheme="majorBidi" w:cstheme="majorBidi"/>
          <w:sz w:val="24"/>
          <w:szCs w:val="24"/>
        </w:rPr>
        <w:t xml:space="preserve"> Sostiene que el desincentivar el consumo de productos extranjeros frente a los de empresas locales se traduce en un aumento en la creación de empleo.</w:t>
      </w:r>
      <w:r w:rsidR="00401AD9" w:rsidRPr="001579BE">
        <w:rPr>
          <w:rFonts w:asciiTheme="majorBidi" w:hAnsiTheme="majorBidi" w:cstheme="majorBidi"/>
          <w:sz w:val="24"/>
          <w:szCs w:val="24"/>
        </w:rPr>
        <w:t xml:space="preserve"> En ocasiones se podrá ver retroalimentado por las construcciones de identidad de la región que lo aplica, entremezclándose con el nacionalismo</w:t>
      </w:r>
      <w:r w:rsidR="00DC0B50" w:rsidRPr="001579BE">
        <w:rPr>
          <w:rFonts w:asciiTheme="majorBidi" w:hAnsiTheme="majorBidi" w:cstheme="majorBidi"/>
          <w:sz w:val="24"/>
          <w:szCs w:val="24"/>
        </w:rPr>
        <w:t xml:space="preserve"> (Baena, 2018). </w:t>
      </w:r>
      <w:r w:rsidR="00E345CA" w:rsidRPr="001579BE">
        <w:rPr>
          <w:rFonts w:asciiTheme="majorBidi" w:hAnsiTheme="majorBidi" w:cstheme="majorBidi"/>
          <w:sz w:val="24"/>
          <w:szCs w:val="24"/>
        </w:rPr>
        <w:t xml:space="preserve"> </w:t>
      </w:r>
    </w:p>
    <w:p w14:paraId="26426870" w14:textId="45D077D9" w:rsidR="00ED392D" w:rsidRPr="001579BE" w:rsidRDefault="00A027BB" w:rsidP="00DC0B50">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Como doctrina económica s</w:t>
      </w:r>
      <w:r w:rsidR="000F3CCB" w:rsidRPr="001579BE">
        <w:rPr>
          <w:rFonts w:asciiTheme="majorBidi" w:hAnsiTheme="majorBidi" w:cstheme="majorBidi"/>
          <w:sz w:val="24"/>
          <w:szCs w:val="24"/>
        </w:rPr>
        <w:t>urgió en el siglo XVII</w:t>
      </w:r>
      <w:r w:rsidR="00DC0B50" w:rsidRPr="001579BE">
        <w:rPr>
          <w:rFonts w:asciiTheme="majorBidi" w:hAnsiTheme="majorBidi" w:cstheme="majorBidi"/>
          <w:sz w:val="24"/>
          <w:szCs w:val="24"/>
        </w:rPr>
        <w:t>, bebiendo del mercantilismo y su concepción del comercio internacional como herramienta de aumento del poder del Estado mediante el aumento de su renta y como juego de suma cero</w:t>
      </w:r>
      <w:r w:rsidR="002E5C23" w:rsidRPr="001579BE">
        <w:rPr>
          <w:rFonts w:asciiTheme="majorBidi" w:hAnsiTheme="majorBidi" w:cstheme="majorBidi"/>
          <w:sz w:val="24"/>
          <w:szCs w:val="24"/>
        </w:rPr>
        <w:t xml:space="preserve"> (Rojas, 2007)</w:t>
      </w:r>
      <w:r w:rsidR="00DC0B50" w:rsidRPr="001579BE">
        <w:rPr>
          <w:rFonts w:asciiTheme="majorBidi" w:hAnsiTheme="majorBidi" w:cstheme="majorBidi"/>
          <w:sz w:val="24"/>
          <w:szCs w:val="24"/>
        </w:rPr>
        <w:t xml:space="preserve">. </w:t>
      </w:r>
      <w:r w:rsidRPr="001579BE">
        <w:rPr>
          <w:rFonts w:asciiTheme="majorBidi" w:hAnsiTheme="majorBidi" w:cstheme="majorBidi"/>
          <w:sz w:val="24"/>
          <w:szCs w:val="24"/>
        </w:rPr>
        <w:t xml:space="preserve">Es frecuente su adopción por parte de países cuyas economías entran en crisis o decrecimiento, </w:t>
      </w:r>
      <w:r w:rsidR="00D42315" w:rsidRPr="001579BE">
        <w:rPr>
          <w:rFonts w:asciiTheme="majorBidi" w:hAnsiTheme="majorBidi" w:cstheme="majorBidi"/>
          <w:sz w:val="24"/>
          <w:szCs w:val="24"/>
        </w:rPr>
        <w:t xml:space="preserve">o por parte </w:t>
      </w:r>
      <w:r w:rsidRPr="001579BE">
        <w:rPr>
          <w:rFonts w:asciiTheme="majorBidi" w:hAnsiTheme="majorBidi" w:cstheme="majorBidi"/>
          <w:sz w:val="24"/>
          <w:szCs w:val="24"/>
        </w:rPr>
        <w:t>de países en vías de desarrollo que buscan amparar su incipiente industria frente a la mayor competitividad de las economías desarrolladas</w:t>
      </w:r>
      <w:r w:rsidR="00D42315" w:rsidRPr="001579BE">
        <w:rPr>
          <w:rFonts w:asciiTheme="majorBidi" w:hAnsiTheme="majorBidi" w:cstheme="majorBidi"/>
          <w:sz w:val="24"/>
          <w:szCs w:val="24"/>
        </w:rPr>
        <w:t xml:space="preserve"> </w:t>
      </w:r>
      <w:r w:rsidRPr="001579BE">
        <w:rPr>
          <w:rFonts w:asciiTheme="majorBidi" w:hAnsiTheme="majorBidi" w:cstheme="majorBidi"/>
          <w:sz w:val="24"/>
          <w:szCs w:val="24"/>
        </w:rPr>
        <w:t xml:space="preserve">(Baena, 2018). </w:t>
      </w:r>
    </w:p>
    <w:p w14:paraId="3759C2F4" w14:textId="77777777" w:rsidR="000A3F66" w:rsidRPr="001579BE" w:rsidRDefault="00867F79" w:rsidP="004D6D53">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Aun siendo casi más una </w:t>
      </w:r>
      <w:r w:rsidR="00401AD9" w:rsidRPr="001579BE">
        <w:rPr>
          <w:rFonts w:asciiTheme="majorBidi" w:hAnsiTheme="majorBidi" w:cstheme="majorBidi"/>
          <w:sz w:val="24"/>
          <w:szCs w:val="24"/>
        </w:rPr>
        <w:t xml:space="preserve">doctrina </w:t>
      </w:r>
      <w:r w:rsidRPr="001579BE">
        <w:rPr>
          <w:rFonts w:asciiTheme="majorBidi" w:hAnsiTheme="majorBidi" w:cstheme="majorBidi"/>
          <w:sz w:val="24"/>
          <w:szCs w:val="24"/>
        </w:rPr>
        <w:t>que una teoría de comercio internacional, el proteccionismo también se traduce en políticas regulatorias de este comercio</w:t>
      </w:r>
      <w:r w:rsidR="002A3C95" w:rsidRPr="001579BE">
        <w:rPr>
          <w:rFonts w:asciiTheme="majorBidi" w:hAnsiTheme="majorBidi" w:cstheme="majorBidi"/>
          <w:sz w:val="24"/>
          <w:szCs w:val="24"/>
        </w:rPr>
        <w:t xml:space="preserve"> con el objetivo de impedir, ralentizar o limitar la entrada de producto extranjero en el mercado </w:t>
      </w:r>
      <w:r w:rsidR="002A3C95" w:rsidRPr="001579BE">
        <w:rPr>
          <w:rFonts w:asciiTheme="majorBidi" w:hAnsiTheme="majorBidi" w:cstheme="majorBidi"/>
          <w:sz w:val="24"/>
          <w:szCs w:val="24"/>
        </w:rPr>
        <w:lastRenderedPageBreak/>
        <w:t>nacional</w:t>
      </w:r>
      <w:r w:rsidR="00393D34" w:rsidRPr="001579BE">
        <w:rPr>
          <w:rFonts w:asciiTheme="majorBidi" w:hAnsiTheme="majorBidi" w:cstheme="majorBidi"/>
          <w:sz w:val="24"/>
          <w:szCs w:val="24"/>
        </w:rPr>
        <w:t xml:space="preserve"> (Baena, 2018)</w:t>
      </w:r>
      <w:r w:rsidR="002A3C95" w:rsidRPr="001579BE">
        <w:rPr>
          <w:rFonts w:asciiTheme="majorBidi" w:hAnsiTheme="majorBidi" w:cstheme="majorBidi"/>
          <w:sz w:val="24"/>
          <w:szCs w:val="24"/>
        </w:rPr>
        <w:t>. Para ello empleará medidas</w:t>
      </w:r>
      <w:r w:rsidRPr="001579BE">
        <w:rPr>
          <w:rFonts w:asciiTheme="majorBidi" w:hAnsiTheme="majorBidi" w:cstheme="majorBidi"/>
          <w:sz w:val="24"/>
          <w:szCs w:val="24"/>
        </w:rPr>
        <w:t xml:space="preserve"> como </w:t>
      </w:r>
      <w:r w:rsidR="003B1C67" w:rsidRPr="001579BE">
        <w:rPr>
          <w:rFonts w:asciiTheme="majorBidi" w:hAnsiTheme="majorBidi" w:cstheme="majorBidi"/>
          <w:sz w:val="24"/>
          <w:szCs w:val="24"/>
        </w:rPr>
        <w:t xml:space="preserve">los </w:t>
      </w:r>
      <w:r w:rsidR="000F028C" w:rsidRPr="001579BE">
        <w:rPr>
          <w:rFonts w:asciiTheme="majorBidi" w:hAnsiTheme="majorBidi" w:cstheme="majorBidi"/>
          <w:sz w:val="24"/>
          <w:szCs w:val="24"/>
        </w:rPr>
        <w:t xml:space="preserve">tradicionales </w:t>
      </w:r>
      <w:r w:rsidR="003B1C67" w:rsidRPr="001579BE">
        <w:rPr>
          <w:rFonts w:asciiTheme="majorBidi" w:hAnsiTheme="majorBidi" w:cstheme="majorBidi"/>
          <w:sz w:val="24"/>
          <w:szCs w:val="24"/>
        </w:rPr>
        <w:t>aranceles permanentes</w:t>
      </w:r>
      <w:r w:rsidR="000F028C" w:rsidRPr="001579BE">
        <w:rPr>
          <w:rFonts w:asciiTheme="majorBidi" w:hAnsiTheme="majorBidi" w:cstheme="majorBidi"/>
          <w:sz w:val="24"/>
          <w:szCs w:val="24"/>
        </w:rPr>
        <w:t xml:space="preserve"> o medidas más contemporáneas como </w:t>
      </w:r>
      <w:r w:rsidRPr="001579BE">
        <w:rPr>
          <w:rFonts w:asciiTheme="majorBidi" w:hAnsiTheme="majorBidi" w:cstheme="majorBidi"/>
          <w:sz w:val="24"/>
          <w:szCs w:val="24"/>
        </w:rPr>
        <w:t xml:space="preserve">las leyes </w:t>
      </w:r>
      <w:r w:rsidRPr="001579BE">
        <w:rPr>
          <w:rFonts w:asciiTheme="majorBidi" w:hAnsiTheme="majorBidi" w:cstheme="majorBidi"/>
          <w:i/>
          <w:iCs/>
          <w:sz w:val="24"/>
          <w:szCs w:val="24"/>
        </w:rPr>
        <w:t>antidumping</w:t>
      </w:r>
      <w:r w:rsidR="00ED392D" w:rsidRPr="001579BE">
        <w:rPr>
          <w:rFonts w:asciiTheme="majorBidi" w:hAnsiTheme="majorBidi" w:cstheme="majorBidi"/>
          <w:sz w:val="24"/>
          <w:szCs w:val="24"/>
        </w:rPr>
        <w:t xml:space="preserve"> (que buscan evitar la exportación de productos a precio por debajo de coste mediante </w:t>
      </w:r>
      <w:r w:rsidR="00401AD9" w:rsidRPr="001579BE">
        <w:rPr>
          <w:rFonts w:asciiTheme="majorBidi" w:hAnsiTheme="majorBidi" w:cstheme="majorBidi"/>
          <w:sz w:val="24"/>
          <w:szCs w:val="24"/>
        </w:rPr>
        <w:t>la imposición de aranceles ad hoc</w:t>
      </w:r>
      <w:r w:rsidR="00A027BB" w:rsidRPr="001579BE">
        <w:rPr>
          <w:rFonts w:asciiTheme="majorBidi" w:hAnsiTheme="majorBidi" w:cstheme="majorBidi"/>
          <w:sz w:val="24"/>
          <w:szCs w:val="24"/>
        </w:rPr>
        <w:t xml:space="preserve">), las medidas </w:t>
      </w:r>
      <w:proofErr w:type="spellStart"/>
      <w:r w:rsidR="00A027BB" w:rsidRPr="001579BE">
        <w:rPr>
          <w:rFonts w:asciiTheme="majorBidi" w:hAnsiTheme="majorBidi" w:cstheme="majorBidi"/>
          <w:sz w:val="24"/>
          <w:szCs w:val="24"/>
        </w:rPr>
        <w:t>anti-subvención</w:t>
      </w:r>
      <w:proofErr w:type="spellEnd"/>
      <w:r w:rsidR="00401AD9" w:rsidRPr="001579BE">
        <w:rPr>
          <w:rFonts w:asciiTheme="majorBidi" w:hAnsiTheme="majorBidi" w:cstheme="majorBidi"/>
          <w:sz w:val="24"/>
          <w:szCs w:val="24"/>
        </w:rPr>
        <w:t>,</w:t>
      </w:r>
      <w:r w:rsidR="00393D34" w:rsidRPr="001579BE">
        <w:rPr>
          <w:rFonts w:asciiTheme="majorBidi" w:hAnsiTheme="majorBidi" w:cstheme="majorBidi"/>
          <w:sz w:val="24"/>
          <w:szCs w:val="24"/>
        </w:rPr>
        <w:t xml:space="preserve"> las licencias y controles de calidad y sanitarios, o el establecimiento de precios mínimos</w:t>
      </w:r>
      <w:r w:rsidR="00401AD9" w:rsidRPr="001579BE">
        <w:rPr>
          <w:rFonts w:asciiTheme="majorBidi" w:hAnsiTheme="majorBidi" w:cstheme="majorBidi"/>
          <w:sz w:val="24"/>
          <w:szCs w:val="24"/>
        </w:rPr>
        <w:t xml:space="preserve"> </w:t>
      </w:r>
      <w:r w:rsidR="008237B3" w:rsidRPr="001579BE">
        <w:rPr>
          <w:rFonts w:asciiTheme="majorBidi" w:hAnsiTheme="majorBidi" w:cstheme="majorBidi"/>
          <w:sz w:val="24"/>
          <w:szCs w:val="24"/>
        </w:rPr>
        <w:t>(Millet y García-Durán, 2009).</w:t>
      </w:r>
      <w:r w:rsidR="0081424C" w:rsidRPr="001579BE">
        <w:rPr>
          <w:rFonts w:asciiTheme="majorBidi" w:hAnsiTheme="majorBidi" w:cstheme="majorBidi"/>
          <w:sz w:val="24"/>
          <w:szCs w:val="24"/>
        </w:rPr>
        <w:t xml:space="preserve"> </w:t>
      </w:r>
    </w:p>
    <w:p w14:paraId="1F52BEB9" w14:textId="7C1FB4BF" w:rsidR="00867F79" w:rsidRPr="001579BE" w:rsidRDefault="0081424C" w:rsidP="000A3F66">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Como ejemplo se situaría la Política Agraria Común (PAC): el marco político implementado por la Comunidad Económica Europea (CEE) con el objetivo de convertir a la CEE en un exportador neto de alimentos</w:t>
      </w:r>
      <w:r w:rsidR="004D6D53" w:rsidRPr="001579BE">
        <w:rPr>
          <w:rFonts w:asciiTheme="majorBidi" w:hAnsiTheme="majorBidi" w:cstheme="majorBidi"/>
          <w:sz w:val="24"/>
          <w:szCs w:val="24"/>
        </w:rPr>
        <w:t>,</w:t>
      </w:r>
      <w:r w:rsidR="000A3F66" w:rsidRPr="001579BE">
        <w:rPr>
          <w:rFonts w:asciiTheme="majorBidi" w:hAnsiTheme="majorBidi" w:cstheme="majorBidi"/>
          <w:sz w:val="24"/>
          <w:szCs w:val="24"/>
        </w:rPr>
        <w:t xml:space="preserve"> garantizando su seguridad alimentaria después de la escasez vivida en ambas Guerras Mundiales. La PAC estabilizó los precios e incentivó la producción en un ejercicio de proteccionismo</w:t>
      </w:r>
      <w:r w:rsidR="00757F1A" w:rsidRPr="001579BE">
        <w:rPr>
          <w:rFonts w:asciiTheme="majorBidi" w:hAnsiTheme="majorBidi" w:cstheme="majorBidi"/>
          <w:sz w:val="24"/>
          <w:szCs w:val="24"/>
        </w:rPr>
        <w:t xml:space="preserve"> </w:t>
      </w:r>
      <w:r w:rsidR="000A3F66" w:rsidRPr="001579BE">
        <w:rPr>
          <w:rFonts w:asciiTheme="majorBidi" w:hAnsiTheme="majorBidi" w:cstheme="majorBidi"/>
          <w:sz w:val="24"/>
          <w:szCs w:val="24"/>
        </w:rPr>
        <w:t>desde su institución en 19</w:t>
      </w:r>
      <w:r w:rsidR="00856A59">
        <w:rPr>
          <w:rFonts w:asciiTheme="majorBidi" w:hAnsiTheme="majorBidi" w:cstheme="majorBidi"/>
          <w:sz w:val="24"/>
          <w:szCs w:val="24"/>
        </w:rPr>
        <w:t>62</w:t>
      </w:r>
      <w:r w:rsidR="000A3F66" w:rsidRPr="001579BE">
        <w:rPr>
          <w:rFonts w:asciiTheme="majorBidi" w:hAnsiTheme="majorBidi" w:cstheme="majorBidi"/>
          <w:sz w:val="24"/>
          <w:szCs w:val="24"/>
        </w:rPr>
        <w:t xml:space="preserve"> hasta </w:t>
      </w:r>
      <w:r w:rsidR="004D6D53" w:rsidRPr="001579BE">
        <w:rPr>
          <w:rFonts w:asciiTheme="majorBidi" w:hAnsiTheme="majorBidi" w:cstheme="majorBidi"/>
          <w:sz w:val="24"/>
          <w:szCs w:val="24"/>
        </w:rPr>
        <w:t>que intensificó sus partidas de subvenciones a los productores y exportadores de alimentos europeos en los años 80 del siglo pasado, tras fuertes caídas de precios en los mercados internacionales</w:t>
      </w:r>
      <w:r w:rsidR="000A3F66" w:rsidRPr="001579BE">
        <w:rPr>
          <w:rFonts w:asciiTheme="majorBidi" w:hAnsiTheme="majorBidi" w:cstheme="majorBidi"/>
          <w:sz w:val="24"/>
          <w:szCs w:val="24"/>
        </w:rPr>
        <w:t xml:space="preserve">, tras lo que fue reformada para ajustarse a la tendencia de liberalización del comercio internacional que lanzó el Acuerdo General sobre Aranceles Aduaneros y Comercio (GATT, por sus siglas en inglés) </w:t>
      </w:r>
      <w:r w:rsidR="00757F1A" w:rsidRPr="001579BE">
        <w:rPr>
          <w:rFonts w:asciiTheme="majorBidi" w:hAnsiTheme="majorBidi" w:cstheme="majorBidi"/>
          <w:sz w:val="24"/>
          <w:szCs w:val="24"/>
        </w:rPr>
        <w:t>(Flores Paredes, 2006</w:t>
      </w:r>
      <w:r w:rsidR="00727703" w:rsidRPr="001579BE">
        <w:rPr>
          <w:rFonts w:asciiTheme="majorBidi" w:hAnsiTheme="majorBidi" w:cstheme="majorBidi"/>
          <w:sz w:val="24"/>
          <w:szCs w:val="24"/>
        </w:rPr>
        <w:t xml:space="preserve">; Manrique </w:t>
      </w:r>
      <w:proofErr w:type="spellStart"/>
      <w:r w:rsidR="00727703" w:rsidRPr="001579BE">
        <w:rPr>
          <w:rFonts w:asciiTheme="majorBidi" w:hAnsiTheme="majorBidi" w:cstheme="majorBidi"/>
          <w:sz w:val="24"/>
          <w:szCs w:val="24"/>
        </w:rPr>
        <w:t>Persiva</w:t>
      </w:r>
      <w:proofErr w:type="spellEnd"/>
      <w:r w:rsidR="00727703" w:rsidRPr="001579BE">
        <w:rPr>
          <w:rFonts w:asciiTheme="majorBidi" w:hAnsiTheme="majorBidi" w:cstheme="majorBidi"/>
          <w:sz w:val="24"/>
          <w:szCs w:val="24"/>
        </w:rPr>
        <w:t>, 2010</w:t>
      </w:r>
      <w:r w:rsidR="00757F1A" w:rsidRPr="001579BE">
        <w:rPr>
          <w:rFonts w:asciiTheme="majorBidi" w:hAnsiTheme="majorBidi" w:cstheme="majorBidi"/>
          <w:sz w:val="24"/>
          <w:szCs w:val="24"/>
        </w:rPr>
        <w:t>).</w:t>
      </w:r>
    </w:p>
    <w:p w14:paraId="73E0BF0C" w14:textId="77777777" w:rsidR="000C5C86" w:rsidRPr="001579BE" w:rsidRDefault="000C5C86" w:rsidP="000C5C86">
      <w:pPr>
        <w:spacing w:line="360" w:lineRule="auto"/>
        <w:ind w:firstLine="708"/>
        <w:jc w:val="both"/>
        <w:rPr>
          <w:rFonts w:asciiTheme="majorBidi" w:hAnsiTheme="majorBidi" w:cstheme="majorBidi"/>
          <w:sz w:val="24"/>
          <w:szCs w:val="24"/>
        </w:rPr>
      </w:pPr>
    </w:p>
    <w:p w14:paraId="5741CC61" w14:textId="082360C6" w:rsidR="002408EF" w:rsidRPr="001579BE" w:rsidRDefault="003B6817" w:rsidP="0009454F">
      <w:pPr>
        <w:pStyle w:val="Ttulo1"/>
        <w:spacing w:after="240"/>
        <w:jc w:val="both"/>
        <w:rPr>
          <w:rFonts w:asciiTheme="majorBidi" w:eastAsiaTheme="minorHAnsi" w:hAnsiTheme="majorBidi"/>
          <w:b/>
          <w:bCs/>
          <w:color w:val="auto"/>
          <w:sz w:val="24"/>
          <w:szCs w:val="24"/>
          <w:lang w:eastAsia="en-US"/>
        </w:rPr>
      </w:pPr>
      <w:bookmarkStart w:id="24" w:name="_Toc137456610"/>
      <w:r w:rsidRPr="001579BE">
        <w:rPr>
          <w:rFonts w:asciiTheme="majorBidi" w:eastAsiaTheme="minorHAnsi" w:hAnsiTheme="majorBidi"/>
          <w:b/>
          <w:bCs/>
          <w:color w:val="auto"/>
          <w:sz w:val="24"/>
          <w:szCs w:val="24"/>
          <w:lang w:eastAsia="en-US"/>
        </w:rPr>
        <w:t xml:space="preserve">Capítulo 3. </w:t>
      </w:r>
      <w:r w:rsidR="002408EF" w:rsidRPr="001579BE">
        <w:rPr>
          <w:rFonts w:asciiTheme="majorBidi" w:eastAsiaTheme="minorHAnsi" w:hAnsiTheme="majorBidi"/>
          <w:b/>
          <w:bCs/>
          <w:color w:val="auto"/>
          <w:sz w:val="24"/>
          <w:szCs w:val="24"/>
          <w:lang w:eastAsia="en-US"/>
        </w:rPr>
        <w:t>Estado de la cuestión</w:t>
      </w:r>
      <w:bookmarkEnd w:id="24"/>
    </w:p>
    <w:p w14:paraId="0D030C90" w14:textId="5D08A781" w:rsidR="00FC4EE5" w:rsidRPr="001579BE" w:rsidRDefault="00FC4EE5"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En materia de estudio del mercado y comercio internacional de grano, Castillo (1981) analizó detalladamente los principales hechos que lo </w:t>
      </w:r>
      <w:r w:rsidR="007F0FD5" w:rsidRPr="001579BE">
        <w:rPr>
          <w:rFonts w:asciiTheme="majorBidi" w:hAnsiTheme="majorBidi" w:cstheme="majorBidi"/>
          <w:sz w:val="24"/>
          <w:szCs w:val="24"/>
        </w:rPr>
        <w:t xml:space="preserve">fueron </w:t>
      </w:r>
      <w:r w:rsidRPr="001579BE">
        <w:rPr>
          <w:rFonts w:asciiTheme="majorBidi" w:hAnsiTheme="majorBidi" w:cstheme="majorBidi"/>
          <w:sz w:val="24"/>
          <w:szCs w:val="24"/>
        </w:rPr>
        <w:t>configura</w:t>
      </w:r>
      <w:r w:rsidR="007F0FD5" w:rsidRPr="001579BE">
        <w:rPr>
          <w:rFonts w:asciiTheme="majorBidi" w:hAnsiTheme="majorBidi" w:cstheme="majorBidi"/>
          <w:sz w:val="24"/>
          <w:szCs w:val="24"/>
        </w:rPr>
        <w:t xml:space="preserve">ndo desde el periodo de entreguerras. Entre ellos, destaca la tendencia a el uso de políticas intervencionistas por los sucesivos gobiernos de </w:t>
      </w:r>
      <w:r w:rsidR="00D07C87" w:rsidRPr="001579BE">
        <w:rPr>
          <w:rFonts w:asciiTheme="majorBidi" w:hAnsiTheme="majorBidi" w:cstheme="majorBidi"/>
          <w:sz w:val="24"/>
          <w:szCs w:val="24"/>
        </w:rPr>
        <w:t>EE.UU.</w:t>
      </w:r>
      <w:r w:rsidR="007F0FD5" w:rsidRPr="001579BE">
        <w:rPr>
          <w:rFonts w:asciiTheme="majorBidi" w:hAnsiTheme="majorBidi" w:cstheme="majorBidi"/>
          <w:sz w:val="24"/>
          <w:szCs w:val="24"/>
        </w:rPr>
        <w:t xml:space="preserve">, como el fomentar el consumo de sus cultivos en países sobre los que ejercía influencia después de la Segunda Guerra Mundial, el control de los flujos de exportación de grano como arma durante sus conflictos con la </w:t>
      </w:r>
      <w:r w:rsidR="00AE7D8E" w:rsidRPr="001579BE">
        <w:rPr>
          <w:rFonts w:asciiTheme="majorBidi" w:hAnsiTheme="majorBidi" w:cstheme="majorBidi"/>
          <w:sz w:val="24"/>
          <w:szCs w:val="24"/>
        </w:rPr>
        <w:t>Unión de Repúblicas Socialistas Soviéticas (URSS)</w:t>
      </w:r>
      <w:r w:rsidR="007F0FD5" w:rsidRPr="001579BE">
        <w:rPr>
          <w:rFonts w:asciiTheme="majorBidi" w:hAnsiTheme="majorBidi" w:cstheme="majorBidi"/>
          <w:sz w:val="24"/>
          <w:szCs w:val="24"/>
        </w:rPr>
        <w:t xml:space="preserve">, o los créditos a los productores para financiar el almacenaje de grano y así controlar la oferta. </w:t>
      </w:r>
      <w:r w:rsidR="006E66D8" w:rsidRPr="001579BE">
        <w:rPr>
          <w:rFonts w:asciiTheme="majorBidi" w:hAnsiTheme="majorBidi" w:cstheme="majorBidi"/>
          <w:sz w:val="24"/>
          <w:szCs w:val="24"/>
        </w:rPr>
        <w:t xml:space="preserve">Según Castillo, el propio gobierno de </w:t>
      </w:r>
      <w:r w:rsidR="00D07C87" w:rsidRPr="001579BE">
        <w:rPr>
          <w:rFonts w:asciiTheme="majorBidi" w:hAnsiTheme="majorBidi" w:cstheme="majorBidi"/>
          <w:sz w:val="24"/>
          <w:szCs w:val="24"/>
        </w:rPr>
        <w:t>EE.UU.</w:t>
      </w:r>
      <w:r w:rsidR="006E66D8" w:rsidRPr="001579BE">
        <w:rPr>
          <w:rFonts w:asciiTheme="majorBidi" w:hAnsiTheme="majorBidi" w:cstheme="majorBidi"/>
          <w:sz w:val="24"/>
          <w:szCs w:val="24"/>
        </w:rPr>
        <w:t xml:space="preserve"> trabajó durante los años sesenta mano con mano con empresas nacionales para desarrollar planes de inversión en países compradores de su grano, y así estimular la demanda de sus exportaciones. </w:t>
      </w:r>
      <w:r w:rsidR="00F03014" w:rsidRPr="001579BE">
        <w:rPr>
          <w:rFonts w:asciiTheme="majorBidi" w:hAnsiTheme="majorBidi" w:cstheme="majorBidi"/>
          <w:sz w:val="24"/>
          <w:szCs w:val="24"/>
        </w:rPr>
        <w:t xml:space="preserve">En el caso de </w:t>
      </w:r>
      <w:r w:rsidR="00D07C87" w:rsidRPr="001579BE">
        <w:rPr>
          <w:rFonts w:asciiTheme="majorBidi" w:hAnsiTheme="majorBidi" w:cstheme="majorBidi"/>
          <w:sz w:val="24"/>
          <w:szCs w:val="24"/>
        </w:rPr>
        <w:t>EE.UU.</w:t>
      </w:r>
      <w:r w:rsidR="00F03014" w:rsidRPr="001579BE">
        <w:rPr>
          <w:rFonts w:asciiTheme="majorBidi" w:hAnsiTheme="majorBidi" w:cstheme="majorBidi"/>
          <w:sz w:val="24"/>
          <w:szCs w:val="24"/>
        </w:rPr>
        <w:t xml:space="preserve">, potencia productora y exportadora, el comercio internacional de grano es una herramienta desde la que ejercer influencia internacional. </w:t>
      </w:r>
    </w:p>
    <w:p w14:paraId="51BC5E88" w14:textId="0A1E2D82" w:rsidR="006E66D8" w:rsidRPr="001579BE" w:rsidRDefault="006E66D8"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lastRenderedPageBreak/>
        <w:t xml:space="preserve">También se ha detallado el impacto </w:t>
      </w:r>
      <w:r w:rsidR="007F11BB" w:rsidRPr="001579BE">
        <w:rPr>
          <w:rFonts w:asciiTheme="majorBidi" w:hAnsiTheme="majorBidi" w:cstheme="majorBidi"/>
          <w:sz w:val="24"/>
          <w:szCs w:val="24"/>
        </w:rPr>
        <w:t>que tuvo el bajo rendimiento real de los planes</w:t>
      </w:r>
      <w:r w:rsidRPr="001579BE">
        <w:rPr>
          <w:rFonts w:asciiTheme="majorBidi" w:hAnsiTheme="majorBidi" w:cstheme="majorBidi"/>
          <w:sz w:val="24"/>
          <w:szCs w:val="24"/>
        </w:rPr>
        <w:t xml:space="preserve"> quinquenales</w:t>
      </w:r>
      <w:r w:rsidR="007F11BB" w:rsidRPr="001579BE">
        <w:rPr>
          <w:rFonts w:asciiTheme="majorBidi" w:hAnsiTheme="majorBidi" w:cstheme="majorBidi"/>
          <w:sz w:val="24"/>
          <w:szCs w:val="24"/>
        </w:rPr>
        <w:t xml:space="preserve"> </w:t>
      </w:r>
      <w:r w:rsidRPr="001579BE">
        <w:rPr>
          <w:rFonts w:asciiTheme="majorBidi" w:hAnsiTheme="majorBidi" w:cstheme="majorBidi"/>
          <w:sz w:val="24"/>
          <w:szCs w:val="24"/>
        </w:rPr>
        <w:t xml:space="preserve">de producción agrícola de la </w:t>
      </w:r>
      <w:r w:rsidR="00BC7CFA" w:rsidRPr="001579BE">
        <w:rPr>
          <w:rFonts w:asciiTheme="majorBidi" w:hAnsiTheme="majorBidi" w:cstheme="majorBidi"/>
          <w:sz w:val="24"/>
          <w:szCs w:val="24"/>
        </w:rPr>
        <w:t>URSS</w:t>
      </w:r>
      <w:r w:rsidR="007F11BB" w:rsidRPr="001579BE">
        <w:rPr>
          <w:rFonts w:asciiTheme="majorBidi" w:hAnsiTheme="majorBidi" w:cstheme="majorBidi"/>
          <w:sz w:val="24"/>
          <w:szCs w:val="24"/>
        </w:rPr>
        <w:t xml:space="preserve">, que creó la necesidad de importar grano para suplementar la baja producción nacional y para alimentar un creciente sector ganadero. En este caso, se aprecia la importancia del grano como elemento de control de tensiones sociales internas. Al incorporarse un comprador de tales dimensiones al mercado internacional, los demás </w:t>
      </w:r>
      <w:r w:rsidR="004B665F" w:rsidRPr="001579BE">
        <w:rPr>
          <w:rFonts w:asciiTheme="majorBidi" w:hAnsiTheme="majorBidi" w:cstheme="majorBidi"/>
          <w:sz w:val="24"/>
          <w:szCs w:val="24"/>
        </w:rPr>
        <w:t xml:space="preserve">países </w:t>
      </w:r>
      <w:r w:rsidR="007F11BB" w:rsidRPr="001579BE">
        <w:rPr>
          <w:rFonts w:asciiTheme="majorBidi" w:hAnsiTheme="majorBidi" w:cstheme="majorBidi"/>
          <w:sz w:val="24"/>
          <w:szCs w:val="24"/>
        </w:rPr>
        <w:t xml:space="preserve">compradores se vieron relegados a una posición marginal que significaba un acceso tardío </w:t>
      </w:r>
      <w:r w:rsidR="0028797D" w:rsidRPr="001579BE">
        <w:rPr>
          <w:rFonts w:asciiTheme="majorBidi" w:hAnsiTheme="majorBidi" w:cstheme="majorBidi"/>
          <w:sz w:val="24"/>
          <w:szCs w:val="24"/>
        </w:rPr>
        <w:t xml:space="preserve">y </w:t>
      </w:r>
      <w:r w:rsidR="007F11BB" w:rsidRPr="001579BE">
        <w:rPr>
          <w:rFonts w:asciiTheme="majorBidi" w:hAnsiTheme="majorBidi" w:cstheme="majorBidi"/>
          <w:sz w:val="24"/>
          <w:szCs w:val="24"/>
        </w:rPr>
        <w:t>a granos de peor calidad</w:t>
      </w:r>
      <w:r w:rsidR="00707675" w:rsidRPr="001579BE">
        <w:rPr>
          <w:rFonts w:asciiTheme="majorBidi" w:hAnsiTheme="majorBidi" w:cstheme="majorBidi"/>
          <w:sz w:val="24"/>
          <w:szCs w:val="24"/>
        </w:rPr>
        <w:t xml:space="preserve"> (</w:t>
      </w:r>
      <w:r w:rsidR="00CC5A82" w:rsidRPr="001579BE">
        <w:rPr>
          <w:rFonts w:asciiTheme="majorBidi" w:hAnsiTheme="majorBidi" w:cstheme="majorBidi"/>
          <w:sz w:val="24"/>
          <w:szCs w:val="24"/>
        </w:rPr>
        <w:t>C</w:t>
      </w:r>
      <w:r w:rsidR="00707675" w:rsidRPr="001579BE">
        <w:rPr>
          <w:rFonts w:asciiTheme="majorBidi" w:hAnsiTheme="majorBidi" w:cstheme="majorBidi"/>
          <w:sz w:val="24"/>
          <w:szCs w:val="24"/>
        </w:rPr>
        <w:t>astillo, 1981)</w:t>
      </w:r>
      <w:r w:rsidR="007F11BB" w:rsidRPr="001579BE">
        <w:rPr>
          <w:rFonts w:asciiTheme="majorBidi" w:hAnsiTheme="majorBidi" w:cstheme="majorBidi"/>
          <w:sz w:val="24"/>
          <w:szCs w:val="24"/>
        </w:rPr>
        <w:t>.</w:t>
      </w:r>
    </w:p>
    <w:p w14:paraId="492FC277" w14:textId="3B8FF0C7" w:rsidR="00595210" w:rsidRPr="001579BE" w:rsidRDefault="005925DE" w:rsidP="00551CD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Si bien en general los precios </w:t>
      </w:r>
      <w:r w:rsidR="00712849" w:rsidRPr="001579BE">
        <w:rPr>
          <w:rFonts w:asciiTheme="majorBidi" w:hAnsiTheme="majorBidi" w:cstheme="majorBidi"/>
          <w:sz w:val="24"/>
          <w:szCs w:val="24"/>
        </w:rPr>
        <w:t xml:space="preserve">globales </w:t>
      </w:r>
      <w:r w:rsidRPr="001579BE">
        <w:rPr>
          <w:rFonts w:asciiTheme="majorBidi" w:hAnsiTheme="majorBidi" w:cstheme="majorBidi"/>
          <w:sz w:val="24"/>
          <w:szCs w:val="24"/>
        </w:rPr>
        <w:t>de los alimentos siguieron una tendencia a la baja durante la mayor parte del siglo XX debido al aumento en producción,</w:t>
      </w:r>
      <w:r w:rsidR="007538F5" w:rsidRPr="001579BE">
        <w:rPr>
          <w:rFonts w:asciiTheme="majorBidi" w:hAnsiTheme="majorBidi" w:cstheme="majorBidi"/>
          <w:sz w:val="24"/>
          <w:szCs w:val="24"/>
        </w:rPr>
        <w:t xml:space="preserve"> entre 2002 y 2012 el precio de los cereales aumentó un 155%. </w:t>
      </w:r>
      <w:r w:rsidR="00542271" w:rsidRPr="001579BE">
        <w:rPr>
          <w:rFonts w:asciiTheme="majorBidi" w:hAnsiTheme="majorBidi" w:cstheme="majorBidi"/>
          <w:sz w:val="24"/>
          <w:szCs w:val="24"/>
        </w:rPr>
        <w:t xml:space="preserve">El precio del trigo creció un 109% y el del maíz un 185% durante el mismo periodo (Souto, 2013). </w:t>
      </w:r>
      <w:r w:rsidR="00595210" w:rsidRPr="001579BE">
        <w:rPr>
          <w:rFonts w:asciiTheme="majorBidi" w:hAnsiTheme="majorBidi" w:cstheme="majorBidi"/>
          <w:sz w:val="24"/>
          <w:szCs w:val="24"/>
        </w:rPr>
        <w:t xml:space="preserve">Gómez y Granados (2016) detallaron las más recientes </w:t>
      </w:r>
      <w:r w:rsidRPr="001579BE">
        <w:rPr>
          <w:rFonts w:asciiTheme="majorBidi" w:hAnsiTheme="majorBidi" w:cstheme="majorBidi"/>
          <w:sz w:val="24"/>
          <w:szCs w:val="24"/>
        </w:rPr>
        <w:t>escaladas</w:t>
      </w:r>
      <w:r w:rsidR="00595210" w:rsidRPr="001579BE">
        <w:rPr>
          <w:rFonts w:asciiTheme="majorBidi" w:hAnsiTheme="majorBidi" w:cstheme="majorBidi"/>
          <w:sz w:val="24"/>
          <w:szCs w:val="24"/>
        </w:rPr>
        <w:t xml:space="preserve"> de precio en el mercado del grano: entre 2006 y 2008, 22 países enfrentaron riesgo de hambruna cuando los precios de los cereales subieron un 128,7% durante el periodo, siendo el arroz el grano que más aumentó de precio en un 168,5% y el trigo el que menos con un 90,0%. </w:t>
      </w:r>
      <w:r w:rsidR="00B464A0" w:rsidRPr="001579BE">
        <w:rPr>
          <w:rFonts w:asciiTheme="majorBidi" w:hAnsiTheme="majorBidi" w:cstheme="majorBidi"/>
          <w:sz w:val="24"/>
          <w:szCs w:val="24"/>
        </w:rPr>
        <w:t xml:space="preserve">Esta crisis alimentaria trascendió en los países en vías de desarrollo en forma de crisis </w:t>
      </w:r>
      <w:r w:rsidR="00551CDF" w:rsidRPr="001579BE">
        <w:rPr>
          <w:rFonts w:asciiTheme="majorBidi" w:hAnsiTheme="majorBidi" w:cstheme="majorBidi"/>
          <w:sz w:val="24"/>
          <w:szCs w:val="24"/>
        </w:rPr>
        <w:t xml:space="preserve">presupuestaria, puesto que un 47,2% de aumento en sus pagos por importación de alimentos supuso una importante presión en su balanza comercial y dio paso a tendencias inflacionarias, y </w:t>
      </w:r>
      <w:r w:rsidR="00B464A0" w:rsidRPr="001579BE">
        <w:rPr>
          <w:rFonts w:asciiTheme="majorBidi" w:hAnsiTheme="majorBidi" w:cstheme="majorBidi"/>
          <w:sz w:val="24"/>
          <w:szCs w:val="24"/>
        </w:rPr>
        <w:t xml:space="preserve">social, traduciéndose en desórdenes públicos. </w:t>
      </w:r>
      <w:r w:rsidRPr="001579BE">
        <w:rPr>
          <w:rFonts w:asciiTheme="majorBidi" w:hAnsiTheme="majorBidi" w:cstheme="majorBidi"/>
          <w:sz w:val="24"/>
          <w:szCs w:val="24"/>
        </w:rPr>
        <w:t>Entre mitad del año 2010 y principios del año 2011, los precios de los alimentos escalaron súbitamente de nuevo, aumentando en un 41% en tan solo ocho meses y desencadenando procesos políticos de revuelta popular en la llamada “primavera árabe”</w:t>
      </w:r>
      <w:r w:rsidR="0085503C">
        <w:rPr>
          <w:rFonts w:asciiTheme="majorBidi" w:hAnsiTheme="majorBidi" w:cstheme="majorBidi"/>
          <w:sz w:val="24"/>
          <w:szCs w:val="24"/>
        </w:rPr>
        <w:t xml:space="preserve"> </w:t>
      </w:r>
      <w:r w:rsidR="007F0C04" w:rsidRPr="001579BE">
        <w:rPr>
          <w:rFonts w:asciiTheme="majorBidi" w:hAnsiTheme="majorBidi" w:cstheme="majorBidi"/>
          <w:sz w:val="24"/>
          <w:szCs w:val="24"/>
        </w:rPr>
        <w:t>(</w:t>
      </w:r>
      <w:r w:rsidR="007F0C04" w:rsidRPr="001579BE">
        <w:rPr>
          <w:rFonts w:asciiTheme="majorBidi" w:hAnsiTheme="majorBidi" w:cstheme="majorBidi"/>
          <w:sz w:val="24"/>
          <w:szCs w:val="24"/>
        </w:rPr>
        <w:t>Gómez y Granados</w:t>
      </w:r>
      <w:r w:rsidR="007F0C04" w:rsidRPr="001579BE">
        <w:rPr>
          <w:rFonts w:asciiTheme="majorBidi" w:hAnsiTheme="majorBidi" w:cstheme="majorBidi"/>
          <w:sz w:val="24"/>
          <w:szCs w:val="24"/>
        </w:rPr>
        <w:t xml:space="preserve">, </w:t>
      </w:r>
      <w:r w:rsidR="007F0C04" w:rsidRPr="001579BE">
        <w:rPr>
          <w:rFonts w:asciiTheme="majorBidi" w:hAnsiTheme="majorBidi" w:cstheme="majorBidi"/>
          <w:sz w:val="24"/>
          <w:szCs w:val="24"/>
        </w:rPr>
        <w:t>2016</w:t>
      </w:r>
      <w:r w:rsidR="007F0C04" w:rsidRPr="001579BE">
        <w:rPr>
          <w:rFonts w:asciiTheme="majorBidi" w:hAnsiTheme="majorBidi" w:cstheme="majorBidi"/>
          <w:sz w:val="24"/>
          <w:szCs w:val="24"/>
        </w:rPr>
        <w:t>)</w:t>
      </w:r>
      <w:r w:rsidRPr="001579BE">
        <w:rPr>
          <w:rFonts w:asciiTheme="majorBidi" w:hAnsiTheme="majorBidi" w:cstheme="majorBidi"/>
          <w:sz w:val="24"/>
          <w:szCs w:val="24"/>
        </w:rPr>
        <w:t xml:space="preserve">. </w:t>
      </w:r>
    </w:p>
    <w:p w14:paraId="1E5883C7" w14:textId="49BC06C5" w:rsidR="005925DE" w:rsidRPr="001579BE" w:rsidRDefault="005925DE"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Se ha estudiado que las dos repentinas subidas de principios de siglo XXI se deben a un aumento en los consumos de productos de origen animal en economías en desarrollo</w:t>
      </w:r>
      <w:r w:rsidR="00B13479" w:rsidRPr="001579BE">
        <w:rPr>
          <w:rFonts w:asciiTheme="majorBidi" w:hAnsiTheme="majorBidi" w:cstheme="majorBidi"/>
          <w:sz w:val="24"/>
          <w:szCs w:val="24"/>
        </w:rPr>
        <w:t xml:space="preserve">, </w:t>
      </w:r>
      <w:r w:rsidRPr="001579BE">
        <w:rPr>
          <w:rFonts w:asciiTheme="majorBidi" w:hAnsiTheme="majorBidi" w:cstheme="majorBidi"/>
          <w:sz w:val="24"/>
          <w:szCs w:val="24"/>
        </w:rPr>
        <w:t xml:space="preserve">para cuya producción se necesita de grandes insumos de </w:t>
      </w:r>
      <w:r w:rsidR="00BB3E48" w:rsidRPr="001579BE">
        <w:rPr>
          <w:rFonts w:asciiTheme="majorBidi" w:hAnsiTheme="majorBidi" w:cstheme="majorBidi"/>
          <w:sz w:val="24"/>
          <w:szCs w:val="24"/>
        </w:rPr>
        <w:t>productos vegetales</w:t>
      </w:r>
      <w:r w:rsidR="00B13479" w:rsidRPr="001579BE">
        <w:rPr>
          <w:rFonts w:asciiTheme="majorBidi" w:hAnsiTheme="majorBidi" w:cstheme="majorBidi"/>
          <w:sz w:val="24"/>
          <w:szCs w:val="24"/>
        </w:rPr>
        <w:t>, a</w:t>
      </w:r>
      <w:r w:rsidR="00BB3E48" w:rsidRPr="001579BE">
        <w:rPr>
          <w:rFonts w:asciiTheme="majorBidi" w:hAnsiTheme="majorBidi" w:cstheme="majorBidi"/>
          <w:sz w:val="24"/>
          <w:szCs w:val="24"/>
        </w:rPr>
        <w:t xml:space="preserve"> una caída en la inversión en agricultura, que ralentizó el crecimiento de la producción, </w:t>
      </w:r>
      <w:r w:rsidR="00B13479" w:rsidRPr="001579BE">
        <w:rPr>
          <w:rFonts w:asciiTheme="majorBidi" w:hAnsiTheme="majorBidi" w:cstheme="majorBidi"/>
          <w:sz w:val="24"/>
          <w:szCs w:val="24"/>
        </w:rPr>
        <w:t xml:space="preserve">a </w:t>
      </w:r>
      <w:r w:rsidR="00BB3E48" w:rsidRPr="001579BE">
        <w:rPr>
          <w:rFonts w:asciiTheme="majorBidi" w:hAnsiTheme="majorBidi" w:cstheme="majorBidi"/>
          <w:sz w:val="24"/>
          <w:szCs w:val="24"/>
        </w:rPr>
        <w:t xml:space="preserve">un descenso de las reservas de alimentos y </w:t>
      </w:r>
      <w:r w:rsidR="00B13479" w:rsidRPr="001579BE">
        <w:rPr>
          <w:rFonts w:asciiTheme="majorBidi" w:hAnsiTheme="majorBidi" w:cstheme="majorBidi"/>
          <w:sz w:val="24"/>
          <w:szCs w:val="24"/>
        </w:rPr>
        <w:t xml:space="preserve">a </w:t>
      </w:r>
      <w:r w:rsidR="00BB3E48" w:rsidRPr="001579BE">
        <w:rPr>
          <w:rFonts w:asciiTheme="majorBidi" w:hAnsiTheme="majorBidi" w:cstheme="majorBidi"/>
          <w:sz w:val="24"/>
          <w:szCs w:val="24"/>
        </w:rPr>
        <w:t>una creciente vulnerabilidad de la producción agrícola ante el cambio climático</w:t>
      </w:r>
      <w:r w:rsidR="00B13479" w:rsidRPr="001579BE">
        <w:rPr>
          <w:rFonts w:asciiTheme="majorBidi" w:hAnsiTheme="majorBidi" w:cstheme="majorBidi"/>
          <w:sz w:val="24"/>
          <w:szCs w:val="24"/>
        </w:rPr>
        <w:t>. Confluyeron factores económicos como el aumento de precio del petróleo, insumo en la producción agrícola transformado en gasolina y fertilizantes</w:t>
      </w:r>
      <w:r w:rsidR="002110EA" w:rsidRPr="001579BE">
        <w:rPr>
          <w:rFonts w:asciiTheme="majorBidi" w:hAnsiTheme="majorBidi" w:cstheme="majorBidi"/>
          <w:sz w:val="24"/>
          <w:szCs w:val="24"/>
        </w:rPr>
        <w:t>; y</w:t>
      </w:r>
      <w:r w:rsidR="00B13479" w:rsidRPr="001579BE">
        <w:rPr>
          <w:rFonts w:asciiTheme="majorBidi" w:hAnsiTheme="majorBidi" w:cstheme="majorBidi"/>
          <w:sz w:val="24"/>
          <w:szCs w:val="24"/>
        </w:rPr>
        <w:t xml:space="preserve"> la crisis bursátil de 2008, que empujó al capital hacia la inversión en materias primas</w:t>
      </w:r>
      <w:r w:rsidR="002110EA" w:rsidRPr="001579BE">
        <w:rPr>
          <w:rFonts w:asciiTheme="majorBidi" w:hAnsiTheme="majorBidi" w:cstheme="majorBidi"/>
          <w:sz w:val="24"/>
          <w:szCs w:val="24"/>
        </w:rPr>
        <w:t>. También se dieron factores</w:t>
      </w:r>
      <w:r w:rsidR="00B13479" w:rsidRPr="001579BE">
        <w:rPr>
          <w:rFonts w:asciiTheme="majorBidi" w:hAnsiTheme="majorBidi" w:cstheme="majorBidi"/>
          <w:sz w:val="24"/>
          <w:szCs w:val="24"/>
        </w:rPr>
        <w:t xml:space="preserve"> políticos como la apuesta por los biocombustibles en Europa y </w:t>
      </w:r>
      <w:r w:rsidR="00D07C87" w:rsidRPr="001579BE">
        <w:rPr>
          <w:rFonts w:asciiTheme="majorBidi" w:hAnsiTheme="majorBidi" w:cstheme="majorBidi"/>
          <w:sz w:val="24"/>
          <w:szCs w:val="24"/>
        </w:rPr>
        <w:t>EE.UU.</w:t>
      </w:r>
      <w:r w:rsidR="00B13479" w:rsidRPr="001579BE">
        <w:rPr>
          <w:rFonts w:asciiTheme="majorBidi" w:hAnsiTheme="majorBidi" w:cstheme="majorBidi"/>
          <w:sz w:val="24"/>
          <w:szCs w:val="24"/>
        </w:rPr>
        <w:t>, que acaparó gran parte de la producción de cereales com</w:t>
      </w:r>
      <w:r w:rsidR="003133CA" w:rsidRPr="001579BE">
        <w:rPr>
          <w:rFonts w:asciiTheme="majorBidi" w:hAnsiTheme="majorBidi" w:cstheme="majorBidi"/>
          <w:sz w:val="24"/>
          <w:szCs w:val="24"/>
        </w:rPr>
        <w:t xml:space="preserve">o </w:t>
      </w:r>
      <w:r w:rsidR="00B13479" w:rsidRPr="001579BE">
        <w:rPr>
          <w:rFonts w:asciiTheme="majorBidi" w:hAnsiTheme="majorBidi" w:cstheme="majorBidi"/>
          <w:sz w:val="24"/>
          <w:szCs w:val="24"/>
        </w:rPr>
        <w:t>el maíz</w:t>
      </w:r>
      <w:r w:rsidR="002110EA" w:rsidRPr="001579BE">
        <w:rPr>
          <w:rFonts w:asciiTheme="majorBidi" w:hAnsiTheme="majorBidi" w:cstheme="majorBidi"/>
          <w:sz w:val="24"/>
          <w:szCs w:val="24"/>
        </w:rPr>
        <w:t>;</w:t>
      </w:r>
      <w:r w:rsidR="00B13479" w:rsidRPr="001579BE">
        <w:rPr>
          <w:rFonts w:asciiTheme="majorBidi" w:hAnsiTheme="majorBidi" w:cstheme="majorBidi"/>
          <w:sz w:val="24"/>
          <w:szCs w:val="24"/>
        </w:rPr>
        <w:t xml:space="preserve"> </w:t>
      </w:r>
      <w:r w:rsidR="003133CA" w:rsidRPr="001579BE">
        <w:rPr>
          <w:rFonts w:asciiTheme="majorBidi" w:hAnsiTheme="majorBidi" w:cstheme="majorBidi"/>
          <w:sz w:val="24"/>
          <w:szCs w:val="24"/>
        </w:rPr>
        <w:t xml:space="preserve">las limitaciones a la exportación de países productores, que buscaban proteger su propio </w:t>
      </w:r>
      <w:r w:rsidR="003133CA" w:rsidRPr="001579BE">
        <w:rPr>
          <w:rFonts w:asciiTheme="majorBidi" w:hAnsiTheme="majorBidi" w:cstheme="majorBidi"/>
          <w:sz w:val="24"/>
          <w:szCs w:val="24"/>
        </w:rPr>
        <w:lastRenderedPageBreak/>
        <w:t>abastecimiento</w:t>
      </w:r>
      <w:r w:rsidR="00B13479" w:rsidRPr="001579BE">
        <w:rPr>
          <w:rFonts w:asciiTheme="majorBidi" w:hAnsiTheme="majorBidi" w:cstheme="majorBidi"/>
          <w:sz w:val="24"/>
          <w:szCs w:val="24"/>
        </w:rPr>
        <w:t xml:space="preserve"> </w:t>
      </w:r>
      <w:r w:rsidR="003133CA" w:rsidRPr="001579BE">
        <w:rPr>
          <w:rFonts w:asciiTheme="majorBidi" w:hAnsiTheme="majorBidi" w:cstheme="majorBidi"/>
          <w:sz w:val="24"/>
          <w:szCs w:val="24"/>
        </w:rPr>
        <w:t>y limitar la inflación interna</w:t>
      </w:r>
      <w:r w:rsidR="002110EA" w:rsidRPr="001579BE">
        <w:rPr>
          <w:rFonts w:asciiTheme="majorBidi" w:hAnsiTheme="majorBidi" w:cstheme="majorBidi"/>
          <w:sz w:val="24"/>
          <w:szCs w:val="24"/>
        </w:rPr>
        <w:t>;</w:t>
      </w:r>
      <w:r w:rsidR="009E2E77" w:rsidRPr="001579BE">
        <w:rPr>
          <w:rFonts w:asciiTheme="majorBidi" w:hAnsiTheme="majorBidi" w:cstheme="majorBidi"/>
          <w:sz w:val="24"/>
          <w:szCs w:val="24"/>
        </w:rPr>
        <w:t xml:space="preserve"> y el avance de impulsos por la desregulación del comercio internacional de grano. </w:t>
      </w:r>
      <w:r w:rsidR="00F6435F" w:rsidRPr="001579BE">
        <w:rPr>
          <w:rFonts w:asciiTheme="majorBidi" w:hAnsiTheme="majorBidi" w:cstheme="majorBidi"/>
          <w:sz w:val="24"/>
          <w:szCs w:val="24"/>
        </w:rPr>
        <w:t>(Gómez y Granados, 2016</w:t>
      </w:r>
      <w:r w:rsidR="009E2E77" w:rsidRPr="001579BE">
        <w:rPr>
          <w:rFonts w:asciiTheme="majorBidi" w:hAnsiTheme="majorBidi" w:cstheme="majorBidi"/>
          <w:sz w:val="24"/>
          <w:szCs w:val="24"/>
        </w:rPr>
        <w:t>; Souto, 2013</w:t>
      </w:r>
      <w:r w:rsidR="00F6435F" w:rsidRPr="001579BE">
        <w:rPr>
          <w:rFonts w:asciiTheme="majorBidi" w:hAnsiTheme="majorBidi" w:cstheme="majorBidi"/>
          <w:sz w:val="24"/>
          <w:szCs w:val="24"/>
        </w:rPr>
        <w:t>)</w:t>
      </w:r>
      <w:r w:rsidR="00BB3E48" w:rsidRPr="001579BE">
        <w:rPr>
          <w:rFonts w:asciiTheme="majorBidi" w:hAnsiTheme="majorBidi" w:cstheme="majorBidi"/>
          <w:sz w:val="24"/>
          <w:szCs w:val="24"/>
        </w:rPr>
        <w:t>.</w:t>
      </w:r>
    </w:p>
    <w:p w14:paraId="12C2BDC7" w14:textId="4D4D5E4F" w:rsidR="00274A99" w:rsidRPr="001579BE" w:rsidRDefault="00274A99"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Este último factor ganó peso en 1994 con su formalización en la creación de la Organización Mundial del Comercio (OMC) y en la firma del Acuerdo sobre la Agricultura negociado en la Ronda de Uruguay</w:t>
      </w:r>
      <w:r w:rsidR="00833618" w:rsidRPr="001579BE">
        <w:rPr>
          <w:rFonts w:asciiTheme="majorBidi" w:hAnsiTheme="majorBidi" w:cstheme="majorBidi"/>
          <w:sz w:val="24"/>
          <w:szCs w:val="24"/>
        </w:rPr>
        <w:t xml:space="preserve">. Desde la firma en 1947 del </w:t>
      </w:r>
      <w:r w:rsidR="000A3F66" w:rsidRPr="001579BE">
        <w:rPr>
          <w:rFonts w:asciiTheme="majorBidi" w:hAnsiTheme="majorBidi" w:cstheme="majorBidi"/>
          <w:sz w:val="24"/>
          <w:szCs w:val="24"/>
        </w:rPr>
        <w:t xml:space="preserve">GATT </w:t>
      </w:r>
      <w:r w:rsidR="004C5B07" w:rsidRPr="001579BE">
        <w:rPr>
          <w:rFonts w:asciiTheme="majorBidi" w:hAnsiTheme="majorBidi" w:cstheme="majorBidi"/>
          <w:sz w:val="24"/>
          <w:szCs w:val="24"/>
        </w:rPr>
        <w:t xml:space="preserve">los Estados firmantes del mismo evitaron aplicarlo a el mercado agrícola, resultando en un mercado con más barreras al comercio de lo habitual e intencionado por el Acuerdo </w:t>
      </w:r>
      <w:r w:rsidRPr="001579BE">
        <w:rPr>
          <w:rFonts w:asciiTheme="majorBidi" w:hAnsiTheme="majorBidi" w:cstheme="majorBidi"/>
          <w:sz w:val="24"/>
          <w:szCs w:val="24"/>
        </w:rPr>
        <w:t>(</w:t>
      </w:r>
      <w:r w:rsidR="00800803" w:rsidRPr="001579BE">
        <w:rPr>
          <w:rFonts w:asciiTheme="majorBidi" w:hAnsiTheme="majorBidi" w:cstheme="majorBidi"/>
          <w:sz w:val="24"/>
          <w:szCs w:val="24"/>
        </w:rPr>
        <w:t xml:space="preserve">Parlamento Europeo, s.f.; </w:t>
      </w:r>
      <w:r w:rsidRPr="001579BE">
        <w:rPr>
          <w:rFonts w:asciiTheme="majorBidi" w:hAnsiTheme="majorBidi" w:cstheme="majorBidi"/>
          <w:sz w:val="24"/>
          <w:szCs w:val="24"/>
        </w:rPr>
        <w:t>Souto, 2013)</w:t>
      </w:r>
      <w:r w:rsidR="00427F53" w:rsidRPr="001579BE">
        <w:rPr>
          <w:rFonts w:asciiTheme="majorBidi" w:hAnsiTheme="majorBidi" w:cstheme="majorBidi"/>
          <w:sz w:val="24"/>
          <w:szCs w:val="24"/>
        </w:rPr>
        <w:t>.</w:t>
      </w:r>
    </w:p>
    <w:p w14:paraId="4AEE525A" w14:textId="5235F868" w:rsidR="00BB6178" w:rsidRPr="001579BE" w:rsidRDefault="00BB6178"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En cuanto a las dimensiones y relevancia de la empresa privada en el comercio internacional de grano, se ha estudiado la importante fuerza en el mercado de las cinco primeras comercializadoras de grano. Esta fuerza la construyeron a partir de inversiones en capacidad de transporte y almacenamiento y mediante subvenciones y conexiones políticas, demostrando habilidad para la venta de productos no afectados por la marca pero sí por la especulación y las fluctuaciones de precios (Castillo, 1981).</w:t>
      </w:r>
    </w:p>
    <w:p w14:paraId="77F67F87" w14:textId="445878BB" w:rsidR="00020A4F" w:rsidRPr="001579BE" w:rsidRDefault="005C3310"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Gómez y Granados (2016) también afirman que el mercado internacional de grano no es uno de libre competencia: situados entre innumerables productores y consumidores se encuentran apenas intermediarios</w:t>
      </w:r>
      <w:r w:rsidR="00CB6C9F" w:rsidRPr="001579BE">
        <w:rPr>
          <w:rFonts w:asciiTheme="majorBidi" w:hAnsiTheme="majorBidi" w:cstheme="majorBidi"/>
          <w:sz w:val="24"/>
          <w:szCs w:val="24"/>
        </w:rPr>
        <w:t xml:space="preserve"> con extensa integración vertical</w:t>
      </w:r>
      <w:r w:rsidRPr="001579BE">
        <w:rPr>
          <w:rFonts w:asciiTheme="majorBidi" w:hAnsiTheme="majorBidi" w:cstheme="majorBidi"/>
          <w:sz w:val="24"/>
          <w:szCs w:val="24"/>
        </w:rPr>
        <w:t xml:space="preserve">, lo que concede a estas empresas importante influencia sobre los precios de estos productos. Apenas cuatro grandes comercializadoras dominan el mercado – </w:t>
      </w:r>
      <w:proofErr w:type="spellStart"/>
      <w:r w:rsidRPr="001579BE">
        <w:rPr>
          <w:rFonts w:asciiTheme="majorBidi" w:hAnsiTheme="majorBidi" w:cstheme="majorBidi"/>
          <w:sz w:val="24"/>
          <w:szCs w:val="24"/>
        </w:rPr>
        <w:t>Archer</w:t>
      </w:r>
      <w:proofErr w:type="spellEnd"/>
      <w:r w:rsidRPr="001579BE">
        <w:rPr>
          <w:rFonts w:asciiTheme="majorBidi" w:hAnsiTheme="majorBidi" w:cstheme="majorBidi"/>
          <w:sz w:val="24"/>
          <w:szCs w:val="24"/>
        </w:rPr>
        <w:t xml:space="preserve"> Daniels Midland</w:t>
      </w:r>
      <w:r w:rsidR="00020A4F" w:rsidRPr="001579BE">
        <w:rPr>
          <w:rFonts w:asciiTheme="majorBidi" w:hAnsiTheme="majorBidi" w:cstheme="majorBidi"/>
          <w:sz w:val="24"/>
          <w:szCs w:val="24"/>
        </w:rPr>
        <w:t xml:space="preserve"> (AMD)</w:t>
      </w:r>
      <w:r w:rsidRPr="001579BE">
        <w:rPr>
          <w:rFonts w:asciiTheme="majorBidi" w:hAnsiTheme="majorBidi" w:cstheme="majorBidi"/>
          <w:sz w:val="24"/>
          <w:szCs w:val="24"/>
        </w:rPr>
        <w:t xml:space="preserve">, Bunge, Cargill y Louis Dreyfus – actuando desde la provisión de insumos hasta el </w:t>
      </w:r>
      <w:r w:rsidR="00CB6C9F" w:rsidRPr="001579BE">
        <w:rPr>
          <w:rFonts w:asciiTheme="majorBidi" w:hAnsiTheme="majorBidi" w:cstheme="majorBidi"/>
          <w:sz w:val="24"/>
          <w:szCs w:val="24"/>
        </w:rPr>
        <w:t xml:space="preserve">almacenamiento y </w:t>
      </w:r>
      <w:r w:rsidRPr="001579BE">
        <w:rPr>
          <w:rFonts w:asciiTheme="majorBidi" w:hAnsiTheme="majorBidi" w:cstheme="majorBidi"/>
          <w:sz w:val="24"/>
          <w:szCs w:val="24"/>
        </w:rPr>
        <w:t xml:space="preserve">transporte del producto </w:t>
      </w:r>
      <w:r w:rsidR="00CB6C9F" w:rsidRPr="001579BE">
        <w:rPr>
          <w:rFonts w:asciiTheme="majorBidi" w:hAnsiTheme="majorBidi" w:cstheme="majorBidi"/>
          <w:sz w:val="24"/>
          <w:szCs w:val="24"/>
        </w:rPr>
        <w:t>mediante</w:t>
      </w:r>
      <w:r w:rsidRPr="001579BE">
        <w:rPr>
          <w:rFonts w:asciiTheme="majorBidi" w:hAnsiTheme="majorBidi" w:cstheme="majorBidi"/>
          <w:sz w:val="24"/>
          <w:szCs w:val="24"/>
        </w:rPr>
        <w:t xml:space="preserve"> sus propias flotas de trenes y cargueros, pasando por la compra a granel a productores, la financiación</w:t>
      </w:r>
      <w:r w:rsidR="00CB6C9F" w:rsidRPr="001579BE">
        <w:rPr>
          <w:rFonts w:asciiTheme="majorBidi" w:hAnsiTheme="majorBidi" w:cstheme="majorBidi"/>
          <w:sz w:val="24"/>
          <w:szCs w:val="24"/>
        </w:rPr>
        <w:t xml:space="preserve">, e incluso la propiedad de tierras de cultivo. </w:t>
      </w:r>
      <w:r w:rsidR="00420B42" w:rsidRPr="001579BE">
        <w:rPr>
          <w:rFonts w:asciiTheme="majorBidi" w:hAnsiTheme="majorBidi" w:cstheme="majorBidi"/>
          <w:sz w:val="24"/>
          <w:szCs w:val="24"/>
        </w:rPr>
        <w:t xml:space="preserve">Debido a su influencia en toda la cadena de valor del grano </w:t>
      </w:r>
      <w:r w:rsidR="00020A4F" w:rsidRPr="001579BE">
        <w:rPr>
          <w:rFonts w:asciiTheme="majorBidi" w:hAnsiTheme="majorBidi" w:cstheme="majorBidi"/>
          <w:sz w:val="24"/>
          <w:szCs w:val="24"/>
        </w:rPr>
        <w:t>tendrían</w:t>
      </w:r>
      <w:r w:rsidR="00420B42" w:rsidRPr="001579BE">
        <w:rPr>
          <w:rFonts w:asciiTheme="majorBidi" w:hAnsiTheme="majorBidi" w:cstheme="majorBidi"/>
          <w:sz w:val="24"/>
          <w:szCs w:val="24"/>
        </w:rPr>
        <w:t xml:space="preserve"> control tanto sobre “qué, cuánto y dónde producir hasta las condiciones de abastecimiento en los diversos los mercados de consumo final” (p. 33)</w:t>
      </w:r>
      <w:r w:rsidR="00020A4F" w:rsidRPr="001579BE">
        <w:rPr>
          <w:rFonts w:asciiTheme="majorBidi" w:hAnsiTheme="majorBidi" w:cstheme="majorBidi"/>
          <w:sz w:val="24"/>
          <w:szCs w:val="24"/>
        </w:rPr>
        <w:t>, De esta manera, dichas empresas lograrían controlar hasta el 75% del comercio internacional de grano</w:t>
      </w:r>
      <w:r w:rsidR="00661AF1" w:rsidRPr="001579BE">
        <w:rPr>
          <w:rFonts w:asciiTheme="majorBidi" w:hAnsiTheme="majorBidi" w:cstheme="majorBidi"/>
          <w:sz w:val="24"/>
          <w:szCs w:val="24"/>
        </w:rPr>
        <w:t xml:space="preserve">, además de intervenir considerablemente en los mercados de soja, de cacao, de palma, de algodón o de biodiesel. </w:t>
      </w:r>
    </w:p>
    <w:p w14:paraId="660C1585" w14:textId="075CBF01" w:rsidR="006F27A2" w:rsidRPr="001579BE" w:rsidRDefault="006F27A2"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Otro aspecto de la formación de precios en el mercado internacional de grano estudiada ha sido la configuración de </w:t>
      </w:r>
      <w:r w:rsidR="00BA2E76" w:rsidRPr="001579BE">
        <w:rPr>
          <w:rFonts w:asciiTheme="majorBidi" w:hAnsiTheme="majorBidi" w:cstheme="majorBidi"/>
          <w:sz w:val="24"/>
          <w:szCs w:val="24"/>
        </w:rPr>
        <w:t>b</w:t>
      </w:r>
      <w:r w:rsidRPr="001579BE">
        <w:rPr>
          <w:rFonts w:asciiTheme="majorBidi" w:hAnsiTheme="majorBidi" w:cstheme="majorBidi"/>
          <w:sz w:val="24"/>
          <w:szCs w:val="24"/>
        </w:rPr>
        <w:t xml:space="preserve">olsas y </w:t>
      </w:r>
      <w:r w:rsidR="00BA2E76" w:rsidRPr="001579BE">
        <w:rPr>
          <w:rFonts w:asciiTheme="majorBidi" w:hAnsiTheme="majorBidi" w:cstheme="majorBidi"/>
          <w:sz w:val="24"/>
          <w:szCs w:val="24"/>
        </w:rPr>
        <w:t>m</w:t>
      </w:r>
      <w:r w:rsidRPr="001579BE">
        <w:rPr>
          <w:rFonts w:asciiTheme="majorBidi" w:hAnsiTheme="majorBidi" w:cstheme="majorBidi"/>
          <w:sz w:val="24"/>
          <w:szCs w:val="24"/>
        </w:rPr>
        <w:t xml:space="preserve">ercados de </w:t>
      </w:r>
      <w:r w:rsidR="00BA2E76" w:rsidRPr="001579BE">
        <w:rPr>
          <w:rFonts w:asciiTheme="majorBidi" w:hAnsiTheme="majorBidi" w:cstheme="majorBidi"/>
          <w:sz w:val="24"/>
          <w:szCs w:val="24"/>
        </w:rPr>
        <w:t>f</w:t>
      </w:r>
      <w:r w:rsidRPr="001579BE">
        <w:rPr>
          <w:rFonts w:asciiTheme="majorBidi" w:hAnsiTheme="majorBidi" w:cstheme="majorBidi"/>
          <w:sz w:val="24"/>
          <w:szCs w:val="24"/>
        </w:rPr>
        <w:t xml:space="preserve">uturos en los que se desarrollaría la compraventa de productos agrícolas, destacando entre ellas la </w:t>
      </w:r>
      <w:bookmarkStart w:id="25" w:name="_Hlk137382329"/>
      <w:r w:rsidRPr="001579BE">
        <w:rPr>
          <w:rFonts w:asciiTheme="majorBidi" w:hAnsiTheme="majorBidi" w:cstheme="majorBidi"/>
          <w:sz w:val="24"/>
          <w:szCs w:val="24"/>
        </w:rPr>
        <w:t xml:space="preserve">Bolsa de Chicago </w:t>
      </w:r>
      <w:r w:rsidR="00035AD9" w:rsidRPr="001579BE">
        <w:rPr>
          <w:rFonts w:asciiTheme="majorBidi" w:hAnsiTheme="majorBidi" w:cstheme="majorBidi"/>
          <w:sz w:val="24"/>
          <w:szCs w:val="24"/>
        </w:rPr>
        <w:t xml:space="preserve">(CME) </w:t>
      </w:r>
      <w:bookmarkEnd w:id="25"/>
      <w:r w:rsidRPr="001579BE">
        <w:rPr>
          <w:rFonts w:asciiTheme="majorBidi" w:hAnsiTheme="majorBidi" w:cstheme="majorBidi"/>
          <w:sz w:val="24"/>
          <w:szCs w:val="24"/>
        </w:rPr>
        <w:t xml:space="preserve">en el ámbito del grano. </w:t>
      </w:r>
      <w:r w:rsidR="00C55614" w:rsidRPr="001579BE">
        <w:rPr>
          <w:rFonts w:asciiTheme="majorBidi" w:hAnsiTheme="majorBidi" w:cstheme="majorBidi"/>
          <w:sz w:val="24"/>
          <w:szCs w:val="24"/>
        </w:rPr>
        <w:t xml:space="preserve">El número de operaciones llevadas a cabo en </w:t>
      </w:r>
      <w:r w:rsidR="00C55614" w:rsidRPr="001579BE">
        <w:rPr>
          <w:rFonts w:asciiTheme="majorBidi" w:hAnsiTheme="majorBidi" w:cstheme="majorBidi"/>
          <w:sz w:val="24"/>
          <w:szCs w:val="24"/>
        </w:rPr>
        <w:lastRenderedPageBreak/>
        <w:t>dicha Bolsa</w:t>
      </w:r>
      <w:r w:rsidR="00994BB5" w:rsidRPr="001579BE">
        <w:rPr>
          <w:rFonts w:asciiTheme="majorBidi" w:hAnsiTheme="majorBidi" w:cstheme="majorBidi"/>
          <w:sz w:val="24"/>
          <w:szCs w:val="24"/>
        </w:rPr>
        <w:t>, entre contratos de opciones y futuros,</w:t>
      </w:r>
      <w:r w:rsidR="00C55614" w:rsidRPr="001579BE">
        <w:rPr>
          <w:rFonts w:asciiTheme="majorBidi" w:hAnsiTheme="majorBidi" w:cstheme="majorBidi"/>
          <w:sz w:val="24"/>
          <w:szCs w:val="24"/>
        </w:rPr>
        <w:t xml:space="preserve"> se cuadruplicó en la primera década del siglo XXI, y en ella se comercia con anualmente alrededor de 31 millones de toneladas de grano, cifra por encima del equivalente a 52 veces la cosecha de </w:t>
      </w:r>
      <w:r w:rsidR="00D07C87" w:rsidRPr="001579BE">
        <w:rPr>
          <w:rFonts w:asciiTheme="majorBidi" w:hAnsiTheme="majorBidi" w:cstheme="majorBidi"/>
          <w:sz w:val="24"/>
          <w:szCs w:val="24"/>
        </w:rPr>
        <w:t>EE.UU.</w:t>
      </w:r>
      <w:r w:rsidR="00C55614" w:rsidRPr="001579BE">
        <w:rPr>
          <w:rFonts w:asciiTheme="majorBidi" w:hAnsiTheme="majorBidi" w:cstheme="majorBidi"/>
          <w:sz w:val="24"/>
          <w:szCs w:val="24"/>
        </w:rPr>
        <w:t xml:space="preserve"> (Souto, 2013).</w:t>
      </w:r>
    </w:p>
    <w:p w14:paraId="0DFD63A7" w14:textId="3C157208" w:rsidR="0075244A" w:rsidRPr="001579BE" w:rsidRDefault="008A03DA" w:rsidP="0009454F">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Se ha investigado el impacto que un shock en la región de Rusia y Ucrania pueda tener en el precio internacional del grano. </w:t>
      </w:r>
      <w:r w:rsidR="00E43021" w:rsidRPr="001579BE">
        <w:rPr>
          <w:rFonts w:asciiTheme="majorBidi" w:hAnsiTheme="majorBidi" w:cstheme="majorBidi"/>
          <w:sz w:val="24"/>
          <w:szCs w:val="24"/>
        </w:rPr>
        <w:t>Debido a la caída en producción que supuso la sequía que atravesaron Kazajistán, Ucrania y Rusia en las temporadas 2007-2008 y 2010-2011, las cosechas de grano de estos países se resintieron. En consecuencia, estos países, buscando asegurar su soberanía y seguridad alimentaria, impusieron</w:t>
      </w:r>
      <w:r w:rsidR="00B90543" w:rsidRPr="001579BE">
        <w:rPr>
          <w:rFonts w:asciiTheme="majorBidi" w:hAnsiTheme="majorBidi" w:cstheme="majorBidi"/>
          <w:sz w:val="24"/>
          <w:szCs w:val="24"/>
        </w:rPr>
        <w:t xml:space="preserve"> severas</w:t>
      </w:r>
      <w:r w:rsidR="00E43021" w:rsidRPr="001579BE">
        <w:rPr>
          <w:rFonts w:asciiTheme="majorBidi" w:hAnsiTheme="majorBidi" w:cstheme="majorBidi"/>
          <w:sz w:val="24"/>
          <w:szCs w:val="24"/>
        </w:rPr>
        <w:t xml:space="preserve"> restricciones a la exportación de sus cosechas en forma de cuotas máximas, tasas o prohibiciones. </w:t>
      </w:r>
      <w:r w:rsidR="00911164" w:rsidRPr="001579BE">
        <w:rPr>
          <w:rFonts w:asciiTheme="majorBidi" w:hAnsiTheme="majorBidi" w:cstheme="majorBidi"/>
          <w:sz w:val="24"/>
          <w:szCs w:val="24"/>
        </w:rPr>
        <w:t>Utilizando un modelo matemático dinámico de oferta y demanda</w:t>
      </w:r>
      <w:r w:rsidRPr="001579BE">
        <w:rPr>
          <w:rFonts w:asciiTheme="majorBidi" w:hAnsiTheme="majorBidi" w:cstheme="majorBidi"/>
          <w:sz w:val="24"/>
          <w:szCs w:val="24"/>
        </w:rPr>
        <w:t xml:space="preserve"> basado en los efectos sobre </w:t>
      </w:r>
      <w:r w:rsidR="0004193D" w:rsidRPr="001579BE">
        <w:rPr>
          <w:rFonts w:asciiTheme="majorBidi" w:hAnsiTheme="majorBidi" w:cstheme="majorBidi"/>
          <w:sz w:val="24"/>
          <w:szCs w:val="24"/>
        </w:rPr>
        <w:t xml:space="preserve">los precios y disponibilidad del grano en el mercado internacional durante este periodo de tiempo </w:t>
      </w:r>
      <w:proofErr w:type="spellStart"/>
      <w:r w:rsidRPr="001579BE">
        <w:rPr>
          <w:rFonts w:asciiTheme="majorBidi" w:hAnsiTheme="majorBidi" w:cstheme="majorBidi"/>
          <w:sz w:val="24"/>
          <w:szCs w:val="24"/>
        </w:rPr>
        <w:t>Fellmann</w:t>
      </w:r>
      <w:proofErr w:type="spellEnd"/>
      <w:r w:rsidRPr="001579BE">
        <w:rPr>
          <w:rFonts w:asciiTheme="majorBidi" w:hAnsiTheme="majorBidi" w:cstheme="majorBidi"/>
          <w:sz w:val="24"/>
          <w:szCs w:val="24"/>
        </w:rPr>
        <w:t xml:space="preserve">, </w:t>
      </w:r>
      <w:proofErr w:type="spellStart"/>
      <w:r w:rsidRPr="001579BE">
        <w:rPr>
          <w:rFonts w:asciiTheme="majorBidi" w:hAnsiTheme="majorBidi" w:cstheme="majorBidi"/>
          <w:sz w:val="24"/>
          <w:szCs w:val="24"/>
        </w:rPr>
        <w:t>Hélaine</w:t>
      </w:r>
      <w:proofErr w:type="spellEnd"/>
      <w:r w:rsidRPr="001579BE">
        <w:rPr>
          <w:rFonts w:asciiTheme="majorBidi" w:hAnsiTheme="majorBidi" w:cstheme="majorBidi"/>
          <w:sz w:val="24"/>
          <w:szCs w:val="24"/>
        </w:rPr>
        <w:t xml:space="preserve">, y </w:t>
      </w:r>
      <w:proofErr w:type="spellStart"/>
      <w:r w:rsidRPr="001579BE">
        <w:rPr>
          <w:rFonts w:asciiTheme="majorBidi" w:hAnsiTheme="majorBidi" w:cstheme="majorBidi"/>
          <w:sz w:val="24"/>
          <w:szCs w:val="24"/>
        </w:rPr>
        <w:t>Nekhay</w:t>
      </w:r>
      <w:proofErr w:type="spellEnd"/>
      <w:r w:rsidR="0004193D" w:rsidRPr="001579BE">
        <w:rPr>
          <w:rFonts w:asciiTheme="majorBidi" w:hAnsiTheme="majorBidi" w:cstheme="majorBidi"/>
          <w:sz w:val="24"/>
          <w:szCs w:val="24"/>
        </w:rPr>
        <w:t xml:space="preserve"> (</w:t>
      </w:r>
      <w:r w:rsidRPr="001579BE">
        <w:rPr>
          <w:rFonts w:asciiTheme="majorBidi" w:hAnsiTheme="majorBidi" w:cstheme="majorBidi"/>
          <w:sz w:val="24"/>
          <w:szCs w:val="24"/>
        </w:rPr>
        <w:t>2014)</w:t>
      </w:r>
      <w:r w:rsidR="00401E06" w:rsidRPr="001579BE">
        <w:rPr>
          <w:rFonts w:asciiTheme="majorBidi" w:hAnsiTheme="majorBidi" w:cstheme="majorBidi"/>
          <w:sz w:val="24"/>
          <w:szCs w:val="24"/>
        </w:rPr>
        <w:t xml:space="preserve"> trataron de cuantificar el impacto que una posible reedición de estas restricciones podría afectar a los mercados internacionales, y por ende a la seguridad alimentaria de otros países. </w:t>
      </w:r>
      <w:r w:rsidR="00293138" w:rsidRPr="001579BE">
        <w:rPr>
          <w:rFonts w:asciiTheme="majorBidi" w:hAnsiTheme="majorBidi" w:cstheme="majorBidi"/>
          <w:sz w:val="24"/>
          <w:szCs w:val="24"/>
        </w:rPr>
        <w:t xml:space="preserve">El modelo arrojó como resultado una subida de hasta un 23% del precio del trigo si dichas malas cosechas se repitieran en la región, </w:t>
      </w:r>
      <w:r w:rsidR="00DD1E05" w:rsidRPr="001579BE">
        <w:rPr>
          <w:rFonts w:asciiTheme="majorBidi" w:hAnsiTheme="majorBidi" w:cstheme="majorBidi"/>
          <w:sz w:val="24"/>
          <w:szCs w:val="24"/>
        </w:rPr>
        <w:t xml:space="preserve">con un suelo – el </w:t>
      </w:r>
      <w:r w:rsidR="00DD1E05" w:rsidRPr="001579BE">
        <w:rPr>
          <w:rFonts w:asciiTheme="majorBidi" w:hAnsiTheme="majorBidi" w:cstheme="majorBidi"/>
          <w:i/>
          <w:iCs/>
          <w:sz w:val="24"/>
          <w:szCs w:val="24"/>
        </w:rPr>
        <w:t xml:space="preserve">chernozem – </w:t>
      </w:r>
      <w:r w:rsidR="00DD1E05" w:rsidRPr="001579BE">
        <w:rPr>
          <w:rFonts w:asciiTheme="majorBidi" w:hAnsiTheme="majorBidi" w:cstheme="majorBidi"/>
          <w:sz w:val="24"/>
          <w:szCs w:val="24"/>
        </w:rPr>
        <w:t>conocido</w:t>
      </w:r>
      <w:r w:rsidR="00DD1E05" w:rsidRPr="001579BE">
        <w:rPr>
          <w:rFonts w:asciiTheme="majorBidi" w:hAnsiTheme="majorBidi" w:cstheme="majorBidi"/>
          <w:i/>
          <w:iCs/>
          <w:sz w:val="24"/>
          <w:szCs w:val="24"/>
        </w:rPr>
        <w:t xml:space="preserve"> </w:t>
      </w:r>
      <w:r w:rsidR="00293138" w:rsidRPr="001579BE">
        <w:rPr>
          <w:rFonts w:asciiTheme="majorBidi" w:hAnsiTheme="majorBidi" w:cstheme="majorBidi"/>
          <w:sz w:val="24"/>
          <w:szCs w:val="24"/>
        </w:rPr>
        <w:t xml:space="preserve">por </w:t>
      </w:r>
      <w:r w:rsidR="00DD1E05" w:rsidRPr="001579BE">
        <w:rPr>
          <w:rFonts w:asciiTheme="majorBidi" w:hAnsiTheme="majorBidi" w:cstheme="majorBidi"/>
          <w:sz w:val="24"/>
          <w:szCs w:val="24"/>
        </w:rPr>
        <w:t>su</w:t>
      </w:r>
      <w:r w:rsidR="00293138" w:rsidRPr="001579BE">
        <w:rPr>
          <w:rFonts w:asciiTheme="majorBidi" w:hAnsiTheme="majorBidi" w:cstheme="majorBidi"/>
          <w:sz w:val="24"/>
          <w:szCs w:val="24"/>
        </w:rPr>
        <w:t xml:space="preserve"> fertilidad.</w:t>
      </w:r>
      <w:r w:rsidR="00CA64BB" w:rsidRPr="001579BE">
        <w:rPr>
          <w:rFonts w:asciiTheme="majorBidi" w:hAnsiTheme="majorBidi" w:cstheme="majorBidi"/>
          <w:sz w:val="24"/>
          <w:szCs w:val="24"/>
        </w:rPr>
        <w:t xml:space="preserve"> Si estos Estados impusieran </w:t>
      </w:r>
      <w:r w:rsidR="004C1E4E" w:rsidRPr="001579BE">
        <w:rPr>
          <w:rFonts w:asciiTheme="majorBidi" w:hAnsiTheme="majorBidi" w:cstheme="majorBidi"/>
          <w:sz w:val="24"/>
          <w:szCs w:val="24"/>
        </w:rPr>
        <w:t>prohibiciones</w:t>
      </w:r>
      <w:r w:rsidR="00CA64BB" w:rsidRPr="001579BE">
        <w:rPr>
          <w:rFonts w:asciiTheme="majorBidi" w:hAnsiTheme="majorBidi" w:cstheme="majorBidi"/>
          <w:sz w:val="24"/>
          <w:szCs w:val="24"/>
        </w:rPr>
        <w:t xml:space="preserve"> a la exportación el precio pagado a los productores mundiales por su grano subiría</w:t>
      </w:r>
      <w:r w:rsidR="00BE0FB9" w:rsidRPr="001579BE">
        <w:rPr>
          <w:rFonts w:asciiTheme="majorBidi" w:hAnsiTheme="majorBidi" w:cstheme="majorBidi"/>
          <w:sz w:val="24"/>
          <w:szCs w:val="24"/>
        </w:rPr>
        <w:t xml:space="preserve"> </w:t>
      </w:r>
      <w:r w:rsidR="00CA64BB" w:rsidRPr="001579BE">
        <w:rPr>
          <w:rFonts w:asciiTheme="majorBidi" w:hAnsiTheme="majorBidi" w:cstheme="majorBidi"/>
          <w:sz w:val="24"/>
          <w:szCs w:val="24"/>
        </w:rPr>
        <w:t>un 11%</w:t>
      </w:r>
      <w:r w:rsidR="00D85D6D" w:rsidRPr="001579BE">
        <w:rPr>
          <w:rFonts w:asciiTheme="majorBidi" w:hAnsiTheme="majorBidi" w:cstheme="majorBidi"/>
          <w:sz w:val="24"/>
          <w:szCs w:val="24"/>
        </w:rPr>
        <w:t>,</w:t>
      </w:r>
      <w:r w:rsidR="004C1E4E" w:rsidRPr="001579BE">
        <w:rPr>
          <w:rFonts w:asciiTheme="majorBidi" w:hAnsiTheme="majorBidi" w:cstheme="majorBidi"/>
          <w:sz w:val="24"/>
          <w:szCs w:val="24"/>
        </w:rPr>
        <w:t xml:space="preserve"> pero si las restricciones se emprendieran en forma de impuestos a la exportación, esta subida se limitaría a un 1%. </w:t>
      </w:r>
    </w:p>
    <w:p w14:paraId="4B310D68" w14:textId="0A45D594" w:rsidR="00696693" w:rsidRPr="001579BE" w:rsidRDefault="00696693" w:rsidP="008440F3">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En cuanto al efecto sobre los precios que se acusaría en la </w:t>
      </w:r>
      <w:r w:rsidR="009A5142" w:rsidRPr="001579BE">
        <w:rPr>
          <w:rFonts w:asciiTheme="majorBidi" w:hAnsiTheme="majorBidi" w:cstheme="majorBidi"/>
          <w:sz w:val="24"/>
          <w:szCs w:val="24"/>
        </w:rPr>
        <w:t>UE</w:t>
      </w:r>
      <w:r w:rsidRPr="001579BE">
        <w:rPr>
          <w:rFonts w:asciiTheme="majorBidi" w:hAnsiTheme="majorBidi" w:cstheme="majorBidi"/>
          <w:sz w:val="24"/>
          <w:szCs w:val="24"/>
        </w:rPr>
        <w:t xml:space="preserve"> fruto de este hipotético escenario, </w:t>
      </w:r>
      <w:proofErr w:type="spellStart"/>
      <w:r w:rsidRPr="001579BE">
        <w:rPr>
          <w:rFonts w:asciiTheme="majorBidi" w:hAnsiTheme="majorBidi" w:cstheme="majorBidi"/>
          <w:sz w:val="24"/>
          <w:szCs w:val="24"/>
        </w:rPr>
        <w:t>Fellmann</w:t>
      </w:r>
      <w:proofErr w:type="spellEnd"/>
      <w:r w:rsidRPr="001579BE">
        <w:rPr>
          <w:rFonts w:asciiTheme="majorBidi" w:hAnsiTheme="majorBidi" w:cstheme="majorBidi"/>
          <w:sz w:val="24"/>
          <w:szCs w:val="24"/>
        </w:rPr>
        <w:t xml:space="preserve"> </w:t>
      </w:r>
      <w:r w:rsidRPr="001579BE">
        <w:rPr>
          <w:rFonts w:asciiTheme="majorBidi" w:hAnsiTheme="majorBidi" w:cstheme="majorBidi"/>
          <w:i/>
          <w:iCs/>
          <w:sz w:val="24"/>
          <w:szCs w:val="24"/>
        </w:rPr>
        <w:t>et al.</w:t>
      </w:r>
      <w:r w:rsidRPr="001579BE">
        <w:rPr>
          <w:rFonts w:asciiTheme="majorBidi" w:hAnsiTheme="majorBidi" w:cstheme="majorBidi"/>
          <w:sz w:val="24"/>
          <w:szCs w:val="24"/>
        </w:rPr>
        <w:t xml:space="preserve"> </w:t>
      </w:r>
      <w:r w:rsidR="00512F1E" w:rsidRPr="001579BE">
        <w:rPr>
          <w:rFonts w:asciiTheme="majorBidi" w:hAnsiTheme="majorBidi" w:cstheme="majorBidi"/>
          <w:sz w:val="24"/>
          <w:szCs w:val="24"/>
        </w:rPr>
        <w:t xml:space="preserve">(2014) </w:t>
      </w:r>
      <w:r w:rsidRPr="001579BE">
        <w:rPr>
          <w:rFonts w:asciiTheme="majorBidi" w:hAnsiTheme="majorBidi" w:cstheme="majorBidi"/>
          <w:sz w:val="24"/>
          <w:szCs w:val="24"/>
        </w:rPr>
        <w:t>calcularon que si bien el consumidor notaría una subida de precios, no se vería afectada la seguridad alimentaria de la Unión.</w:t>
      </w:r>
      <w:r w:rsidR="0028090C" w:rsidRPr="001579BE">
        <w:rPr>
          <w:rFonts w:asciiTheme="majorBidi" w:hAnsiTheme="majorBidi" w:cstheme="majorBidi"/>
          <w:sz w:val="24"/>
          <w:szCs w:val="24"/>
        </w:rPr>
        <w:t xml:space="preserve"> Como añadido, los productores europeos se beneficiarían de un aumento en sus exportaciones, al crearse un vacío de oferta en el mercado, y de los precios de las mismas. Aunque los productores de países netamente importadores de grano, siendo Egipto el primero en esta categoría, también se beneficiarían de unos precios superiores en sus cosechas, la seguridad alimentaria de estos países (y en especial la de los más pobres</w:t>
      </w:r>
      <w:r w:rsidR="0013345E" w:rsidRPr="001579BE">
        <w:rPr>
          <w:rFonts w:asciiTheme="majorBidi" w:hAnsiTheme="majorBidi" w:cstheme="majorBidi"/>
          <w:sz w:val="24"/>
          <w:szCs w:val="24"/>
        </w:rPr>
        <w:t xml:space="preserve"> de</w:t>
      </w:r>
      <w:r w:rsidR="0028090C" w:rsidRPr="001579BE">
        <w:rPr>
          <w:rFonts w:asciiTheme="majorBidi" w:hAnsiTheme="majorBidi" w:cstheme="majorBidi"/>
          <w:sz w:val="24"/>
          <w:szCs w:val="24"/>
        </w:rPr>
        <w:t xml:space="preserve"> entre </w:t>
      </w:r>
      <w:r w:rsidR="0013345E" w:rsidRPr="001579BE">
        <w:rPr>
          <w:rFonts w:asciiTheme="majorBidi" w:hAnsiTheme="majorBidi" w:cstheme="majorBidi"/>
          <w:sz w:val="24"/>
          <w:szCs w:val="24"/>
        </w:rPr>
        <w:t>ellos</w:t>
      </w:r>
      <w:r w:rsidR="0028090C" w:rsidRPr="001579BE">
        <w:rPr>
          <w:rFonts w:asciiTheme="majorBidi" w:hAnsiTheme="majorBidi" w:cstheme="majorBidi"/>
          <w:sz w:val="24"/>
          <w:szCs w:val="24"/>
        </w:rPr>
        <w:t xml:space="preserve">) se vería seriamente amenazada, al disminuir su capacidad de afrontar pagos superiores en sus balanzas comerciales. </w:t>
      </w:r>
    </w:p>
    <w:p w14:paraId="01BD6A94" w14:textId="77777777" w:rsidR="004D0E97" w:rsidRPr="001579BE" w:rsidRDefault="004D0E97" w:rsidP="008440F3">
      <w:pPr>
        <w:spacing w:line="360" w:lineRule="auto"/>
        <w:ind w:firstLine="708"/>
        <w:jc w:val="both"/>
        <w:rPr>
          <w:rFonts w:asciiTheme="majorBidi" w:hAnsiTheme="majorBidi" w:cstheme="majorBidi"/>
          <w:sz w:val="24"/>
          <w:szCs w:val="24"/>
        </w:rPr>
      </w:pPr>
    </w:p>
    <w:p w14:paraId="4D2B4B7A" w14:textId="042FE9E4" w:rsidR="00FC4EE5" w:rsidRPr="001579BE" w:rsidRDefault="00FC4EE5" w:rsidP="008440F3">
      <w:pPr>
        <w:pStyle w:val="Ttulo1"/>
        <w:spacing w:after="240" w:line="360" w:lineRule="auto"/>
        <w:jc w:val="both"/>
        <w:rPr>
          <w:rFonts w:asciiTheme="majorBidi" w:eastAsiaTheme="minorHAnsi" w:hAnsiTheme="majorBidi"/>
          <w:b/>
          <w:bCs/>
          <w:color w:val="auto"/>
          <w:sz w:val="24"/>
          <w:szCs w:val="24"/>
          <w:lang w:eastAsia="en-US"/>
        </w:rPr>
      </w:pPr>
      <w:bookmarkStart w:id="26" w:name="_Toc137456611"/>
      <w:r w:rsidRPr="001579BE">
        <w:rPr>
          <w:rFonts w:asciiTheme="majorBidi" w:eastAsiaTheme="minorHAnsi" w:hAnsiTheme="majorBidi"/>
          <w:b/>
          <w:bCs/>
          <w:color w:val="auto"/>
          <w:sz w:val="24"/>
          <w:szCs w:val="24"/>
          <w:lang w:eastAsia="en-US"/>
        </w:rPr>
        <w:lastRenderedPageBreak/>
        <w:t xml:space="preserve">Capítulo </w:t>
      </w:r>
      <w:r w:rsidR="003B6817" w:rsidRPr="001579BE">
        <w:rPr>
          <w:rFonts w:asciiTheme="majorBidi" w:eastAsiaTheme="minorHAnsi" w:hAnsiTheme="majorBidi"/>
          <w:b/>
          <w:bCs/>
          <w:color w:val="auto"/>
          <w:sz w:val="24"/>
          <w:szCs w:val="24"/>
          <w:lang w:eastAsia="en-US"/>
        </w:rPr>
        <w:t>4</w:t>
      </w:r>
      <w:r w:rsidRPr="001579BE">
        <w:rPr>
          <w:rFonts w:asciiTheme="majorBidi" w:eastAsiaTheme="minorHAnsi" w:hAnsiTheme="majorBidi"/>
          <w:b/>
          <w:bCs/>
          <w:color w:val="auto"/>
          <w:sz w:val="24"/>
          <w:szCs w:val="24"/>
          <w:lang w:eastAsia="en-US"/>
        </w:rPr>
        <w:t xml:space="preserve">. Análisis </w:t>
      </w:r>
      <w:r w:rsidR="000243A3" w:rsidRPr="001579BE">
        <w:rPr>
          <w:rFonts w:asciiTheme="majorBidi" w:eastAsiaTheme="minorHAnsi" w:hAnsiTheme="majorBidi"/>
          <w:b/>
          <w:bCs/>
          <w:color w:val="auto"/>
          <w:sz w:val="24"/>
          <w:szCs w:val="24"/>
          <w:lang w:eastAsia="en-US"/>
        </w:rPr>
        <w:t>de los efectos de la guerra de Ucrania durante su primer año en los volúmenes de grano producidos y exportados por Rusia y Ucrania</w:t>
      </w:r>
      <w:bookmarkEnd w:id="26"/>
    </w:p>
    <w:p w14:paraId="1B5DDF71" w14:textId="77777777" w:rsidR="003B6817" w:rsidRPr="001579BE" w:rsidRDefault="003B6817" w:rsidP="008440F3">
      <w:pPr>
        <w:pStyle w:val="Prrafodelista"/>
        <w:numPr>
          <w:ilvl w:val="0"/>
          <w:numId w:val="3"/>
        </w:numPr>
        <w:spacing w:line="360" w:lineRule="auto"/>
        <w:jc w:val="both"/>
        <w:rPr>
          <w:rFonts w:asciiTheme="majorBidi" w:hAnsiTheme="majorBidi" w:cstheme="majorBidi"/>
          <w:b/>
          <w:bCs/>
          <w:vanish/>
          <w:sz w:val="24"/>
          <w:szCs w:val="24"/>
        </w:rPr>
      </w:pPr>
    </w:p>
    <w:p w14:paraId="0733CA1E" w14:textId="77777777" w:rsidR="003B6817" w:rsidRPr="001579BE" w:rsidRDefault="003B6817" w:rsidP="008440F3">
      <w:pPr>
        <w:pStyle w:val="Prrafodelista"/>
        <w:numPr>
          <w:ilvl w:val="0"/>
          <w:numId w:val="3"/>
        </w:numPr>
        <w:spacing w:line="360" w:lineRule="auto"/>
        <w:jc w:val="both"/>
        <w:rPr>
          <w:rFonts w:asciiTheme="majorBidi" w:hAnsiTheme="majorBidi" w:cstheme="majorBidi"/>
          <w:b/>
          <w:bCs/>
          <w:vanish/>
          <w:sz w:val="24"/>
          <w:szCs w:val="24"/>
        </w:rPr>
      </w:pPr>
    </w:p>
    <w:p w14:paraId="4DBB8CA4" w14:textId="77777777" w:rsidR="00256314" w:rsidRPr="001579BE" w:rsidRDefault="00256314" w:rsidP="00256314">
      <w:pPr>
        <w:pStyle w:val="Prrafodelista"/>
        <w:keepNext/>
        <w:keepLines/>
        <w:numPr>
          <w:ilvl w:val="0"/>
          <w:numId w:val="5"/>
        </w:numPr>
        <w:spacing w:before="40" w:after="240" w:line="360" w:lineRule="auto"/>
        <w:contextualSpacing w:val="0"/>
        <w:jc w:val="both"/>
        <w:outlineLvl w:val="1"/>
        <w:rPr>
          <w:rFonts w:asciiTheme="majorBidi" w:eastAsiaTheme="majorEastAsia" w:hAnsiTheme="majorBidi" w:cstheme="majorBidi"/>
          <w:b/>
          <w:bCs/>
          <w:vanish/>
          <w:sz w:val="24"/>
          <w:szCs w:val="24"/>
        </w:rPr>
      </w:pPr>
      <w:bookmarkStart w:id="27" w:name="_Toc137058163"/>
      <w:bookmarkStart w:id="28" w:name="_Toc137066132"/>
      <w:bookmarkStart w:id="29" w:name="_Toc137228831"/>
      <w:bookmarkStart w:id="30" w:name="_Toc137228852"/>
      <w:bookmarkStart w:id="31" w:name="_Toc137311470"/>
      <w:bookmarkStart w:id="32" w:name="_Toc137311501"/>
      <w:bookmarkStart w:id="33" w:name="_Toc137395045"/>
      <w:bookmarkStart w:id="34" w:name="_Toc137228740"/>
      <w:bookmarkStart w:id="35" w:name="_Toc137456013"/>
      <w:bookmarkStart w:id="36" w:name="_Toc137456612"/>
      <w:bookmarkEnd w:id="27"/>
      <w:bookmarkEnd w:id="28"/>
      <w:bookmarkEnd w:id="29"/>
      <w:bookmarkEnd w:id="30"/>
      <w:bookmarkEnd w:id="31"/>
      <w:bookmarkEnd w:id="32"/>
      <w:bookmarkEnd w:id="33"/>
      <w:bookmarkEnd w:id="35"/>
      <w:bookmarkEnd w:id="36"/>
    </w:p>
    <w:p w14:paraId="79B9B171" w14:textId="77777777" w:rsidR="00256314" w:rsidRPr="001579BE" w:rsidRDefault="00256314" w:rsidP="00256314">
      <w:pPr>
        <w:pStyle w:val="Prrafodelista"/>
        <w:keepNext/>
        <w:keepLines/>
        <w:numPr>
          <w:ilvl w:val="0"/>
          <w:numId w:val="5"/>
        </w:numPr>
        <w:spacing w:before="40" w:after="240" w:line="360" w:lineRule="auto"/>
        <w:contextualSpacing w:val="0"/>
        <w:jc w:val="both"/>
        <w:outlineLvl w:val="1"/>
        <w:rPr>
          <w:rFonts w:asciiTheme="majorBidi" w:eastAsiaTheme="majorEastAsia" w:hAnsiTheme="majorBidi" w:cstheme="majorBidi"/>
          <w:b/>
          <w:bCs/>
          <w:vanish/>
          <w:sz w:val="24"/>
          <w:szCs w:val="24"/>
        </w:rPr>
      </w:pPr>
      <w:bookmarkStart w:id="37" w:name="_Toc137395046"/>
      <w:bookmarkStart w:id="38" w:name="_Toc137456014"/>
      <w:bookmarkStart w:id="39" w:name="_Toc137456613"/>
      <w:bookmarkEnd w:id="37"/>
      <w:bookmarkEnd w:id="38"/>
      <w:bookmarkEnd w:id="39"/>
    </w:p>
    <w:p w14:paraId="17D5BC73" w14:textId="2F0F5196" w:rsidR="00EC6EA9" w:rsidRPr="001579BE" w:rsidRDefault="00EC6EA9" w:rsidP="00256314">
      <w:pPr>
        <w:pStyle w:val="Ttulo2"/>
        <w:numPr>
          <w:ilvl w:val="1"/>
          <w:numId w:val="5"/>
        </w:numPr>
        <w:spacing w:after="240" w:line="360" w:lineRule="auto"/>
        <w:jc w:val="both"/>
        <w:rPr>
          <w:rFonts w:asciiTheme="majorBidi" w:hAnsiTheme="majorBidi"/>
          <w:b/>
          <w:bCs/>
          <w:color w:val="auto"/>
          <w:sz w:val="24"/>
          <w:szCs w:val="24"/>
        </w:rPr>
      </w:pPr>
      <w:bookmarkStart w:id="40" w:name="_Toc137456614"/>
      <w:r w:rsidRPr="001579BE">
        <w:rPr>
          <w:rFonts w:asciiTheme="majorBidi" w:hAnsiTheme="majorBidi"/>
          <w:b/>
          <w:bCs/>
          <w:color w:val="auto"/>
          <w:sz w:val="24"/>
          <w:szCs w:val="24"/>
        </w:rPr>
        <w:t xml:space="preserve">El grano ruso y ucraniano: volúmenes y destinos </w:t>
      </w:r>
      <w:bookmarkEnd w:id="34"/>
      <w:r w:rsidRPr="001579BE">
        <w:rPr>
          <w:rFonts w:asciiTheme="majorBidi" w:hAnsiTheme="majorBidi"/>
          <w:b/>
          <w:bCs/>
          <w:color w:val="auto"/>
          <w:sz w:val="24"/>
          <w:szCs w:val="24"/>
        </w:rPr>
        <w:t>previos a la guerra</w:t>
      </w:r>
      <w:bookmarkEnd w:id="40"/>
    </w:p>
    <w:p w14:paraId="62D5E1E4" w14:textId="27C76326" w:rsidR="006C1F92" w:rsidRPr="001579BE" w:rsidRDefault="00A56216" w:rsidP="00C76260">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Tras la pandemia de la COVID-19, </w:t>
      </w:r>
      <w:r w:rsidR="00C76260" w:rsidRPr="001579BE">
        <w:rPr>
          <w:rFonts w:asciiTheme="majorBidi" w:hAnsiTheme="majorBidi" w:cstheme="majorBidi"/>
          <w:sz w:val="24"/>
          <w:szCs w:val="24"/>
        </w:rPr>
        <w:t xml:space="preserve">mientras </w:t>
      </w:r>
      <w:r w:rsidRPr="001579BE">
        <w:rPr>
          <w:rFonts w:asciiTheme="majorBidi" w:hAnsiTheme="majorBidi" w:cstheme="majorBidi"/>
          <w:sz w:val="24"/>
          <w:szCs w:val="24"/>
        </w:rPr>
        <w:t xml:space="preserve">los Estados del espacio </w:t>
      </w:r>
      <w:r w:rsidR="009871D8" w:rsidRPr="001579BE">
        <w:rPr>
          <w:rFonts w:asciiTheme="majorBidi" w:hAnsiTheme="majorBidi" w:cstheme="majorBidi"/>
          <w:sz w:val="24"/>
          <w:szCs w:val="24"/>
        </w:rPr>
        <w:t>postsoviético</w:t>
      </w:r>
      <w:r w:rsidRPr="001579BE">
        <w:rPr>
          <w:rFonts w:asciiTheme="majorBidi" w:hAnsiTheme="majorBidi" w:cstheme="majorBidi"/>
          <w:sz w:val="24"/>
          <w:szCs w:val="24"/>
        </w:rPr>
        <w:t xml:space="preserve"> habían de recuperarse de importantes caídas en su Producto Interior Bruto (PIB) a nivel general</w:t>
      </w:r>
      <w:r w:rsidR="00C76260" w:rsidRPr="001579BE">
        <w:rPr>
          <w:rFonts w:asciiTheme="majorBidi" w:hAnsiTheme="majorBidi" w:cstheme="majorBidi"/>
          <w:sz w:val="24"/>
          <w:szCs w:val="24"/>
        </w:rPr>
        <w:t>, l</w:t>
      </w:r>
      <w:r w:rsidRPr="001579BE">
        <w:rPr>
          <w:rFonts w:asciiTheme="majorBidi" w:hAnsiTheme="majorBidi" w:cstheme="majorBidi"/>
          <w:sz w:val="24"/>
          <w:szCs w:val="24"/>
        </w:rPr>
        <w:t xml:space="preserve">a producción </w:t>
      </w:r>
      <w:r w:rsidR="00C76260" w:rsidRPr="001579BE">
        <w:rPr>
          <w:rFonts w:asciiTheme="majorBidi" w:hAnsiTheme="majorBidi" w:cstheme="majorBidi"/>
          <w:sz w:val="24"/>
          <w:szCs w:val="24"/>
        </w:rPr>
        <w:t xml:space="preserve">agrícola </w:t>
      </w:r>
      <w:r w:rsidRPr="001579BE">
        <w:rPr>
          <w:rFonts w:asciiTheme="majorBidi" w:hAnsiTheme="majorBidi" w:cstheme="majorBidi"/>
          <w:sz w:val="24"/>
          <w:szCs w:val="24"/>
        </w:rPr>
        <w:t>de algunos países</w:t>
      </w:r>
      <w:r w:rsidR="00C76260" w:rsidRPr="001579BE">
        <w:rPr>
          <w:rFonts w:asciiTheme="majorBidi" w:hAnsiTheme="majorBidi" w:cstheme="majorBidi"/>
          <w:sz w:val="24"/>
          <w:szCs w:val="24"/>
        </w:rPr>
        <w:t xml:space="preserve"> de este bloque</w:t>
      </w:r>
      <w:r w:rsidRPr="001579BE">
        <w:rPr>
          <w:rFonts w:asciiTheme="majorBidi" w:hAnsiTheme="majorBidi" w:cstheme="majorBidi"/>
          <w:sz w:val="24"/>
          <w:szCs w:val="24"/>
        </w:rPr>
        <w:t>, como Ucrania y Moldavia</w:t>
      </w:r>
      <w:r w:rsidR="00C76260" w:rsidRPr="001579BE">
        <w:rPr>
          <w:rFonts w:asciiTheme="majorBidi" w:hAnsiTheme="majorBidi" w:cstheme="majorBidi"/>
          <w:sz w:val="24"/>
          <w:szCs w:val="24"/>
        </w:rPr>
        <w:t>,</w:t>
      </w:r>
      <w:r w:rsidRPr="001579BE">
        <w:rPr>
          <w:rFonts w:asciiTheme="majorBidi" w:hAnsiTheme="majorBidi" w:cstheme="majorBidi"/>
          <w:sz w:val="24"/>
          <w:szCs w:val="24"/>
        </w:rPr>
        <w:t xml:space="preserve"> acusó el impacto de una sequía prolongada, y sus gobiernos implementaron medidas específicas con el fin de mantener sus seguridad alimentaria</w:t>
      </w:r>
      <w:r w:rsidR="00C76260" w:rsidRPr="001579BE">
        <w:rPr>
          <w:rFonts w:asciiTheme="majorBidi" w:hAnsiTheme="majorBidi" w:cstheme="majorBidi"/>
          <w:sz w:val="24"/>
          <w:szCs w:val="24"/>
        </w:rPr>
        <w:t>.</w:t>
      </w:r>
      <w:r w:rsidRPr="001579BE">
        <w:rPr>
          <w:rFonts w:asciiTheme="majorBidi" w:hAnsiTheme="majorBidi" w:cstheme="majorBidi"/>
          <w:sz w:val="24"/>
          <w:szCs w:val="24"/>
        </w:rPr>
        <w:t xml:space="preserve"> </w:t>
      </w:r>
      <w:r w:rsidR="00C76260" w:rsidRPr="001579BE">
        <w:rPr>
          <w:rFonts w:asciiTheme="majorBidi" w:hAnsiTheme="majorBidi" w:cstheme="majorBidi"/>
          <w:sz w:val="24"/>
          <w:szCs w:val="24"/>
        </w:rPr>
        <w:t>E</w:t>
      </w:r>
      <w:r w:rsidRPr="001579BE">
        <w:rPr>
          <w:rFonts w:asciiTheme="majorBidi" w:hAnsiTheme="majorBidi" w:cstheme="majorBidi"/>
          <w:sz w:val="24"/>
          <w:szCs w:val="24"/>
        </w:rPr>
        <w:t xml:space="preserve">ntre </w:t>
      </w:r>
      <w:r w:rsidR="00125579" w:rsidRPr="001579BE">
        <w:rPr>
          <w:rFonts w:asciiTheme="majorBidi" w:hAnsiTheme="majorBidi" w:cstheme="majorBidi"/>
          <w:sz w:val="24"/>
          <w:szCs w:val="24"/>
        </w:rPr>
        <w:t xml:space="preserve">estas intervenciones estatales en </w:t>
      </w:r>
      <w:r w:rsidR="00A371E9" w:rsidRPr="001579BE">
        <w:rPr>
          <w:rFonts w:asciiTheme="majorBidi" w:hAnsiTheme="majorBidi" w:cstheme="majorBidi"/>
          <w:sz w:val="24"/>
          <w:szCs w:val="24"/>
        </w:rPr>
        <w:t>e</w:t>
      </w:r>
      <w:r w:rsidR="00125579" w:rsidRPr="001579BE">
        <w:rPr>
          <w:rFonts w:asciiTheme="majorBidi" w:hAnsiTheme="majorBidi" w:cstheme="majorBidi"/>
          <w:sz w:val="24"/>
          <w:szCs w:val="24"/>
        </w:rPr>
        <w:t>l sector agrícola</w:t>
      </w:r>
      <w:r w:rsidRPr="001579BE">
        <w:rPr>
          <w:rFonts w:asciiTheme="majorBidi" w:hAnsiTheme="majorBidi" w:cstheme="majorBidi"/>
          <w:sz w:val="24"/>
          <w:szCs w:val="24"/>
        </w:rPr>
        <w:t xml:space="preserve"> se encontrarían </w:t>
      </w:r>
      <w:r w:rsidR="00C76260" w:rsidRPr="001579BE">
        <w:rPr>
          <w:rFonts w:asciiTheme="majorBidi" w:hAnsiTheme="majorBidi" w:cstheme="majorBidi"/>
          <w:sz w:val="24"/>
          <w:szCs w:val="24"/>
        </w:rPr>
        <w:t xml:space="preserve">tanto medidas de carácter puramente económico – </w:t>
      </w:r>
      <w:r w:rsidR="005F5DB3" w:rsidRPr="001579BE">
        <w:rPr>
          <w:rFonts w:asciiTheme="majorBidi" w:hAnsiTheme="majorBidi" w:cstheme="majorBidi"/>
          <w:sz w:val="24"/>
          <w:szCs w:val="24"/>
        </w:rPr>
        <w:t>las subvenciones a la importación y los subsidios al consumo y la producción</w:t>
      </w:r>
      <w:r w:rsidR="00C76260" w:rsidRPr="001579BE">
        <w:rPr>
          <w:rFonts w:asciiTheme="majorBidi" w:hAnsiTheme="majorBidi" w:cstheme="majorBidi"/>
          <w:sz w:val="24"/>
          <w:szCs w:val="24"/>
        </w:rPr>
        <w:t xml:space="preserve"> – como medidas de cará</w:t>
      </w:r>
      <w:r w:rsidR="00C7286E" w:rsidRPr="001579BE">
        <w:rPr>
          <w:rFonts w:asciiTheme="majorBidi" w:hAnsiTheme="majorBidi" w:cstheme="majorBidi"/>
          <w:sz w:val="24"/>
          <w:szCs w:val="24"/>
        </w:rPr>
        <w:t>c</w:t>
      </w:r>
      <w:r w:rsidR="00C76260" w:rsidRPr="001579BE">
        <w:rPr>
          <w:rFonts w:asciiTheme="majorBidi" w:hAnsiTheme="majorBidi" w:cstheme="majorBidi"/>
          <w:sz w:val="24"/>
          <w:szCs w:val="24"/>
        </w:rPr>
        <w:t>ter práctico</w:t>
      </w:r>
      <w:r w:rsidR="00C74418" w:rsidRPr="001579BE">
        <w:rPr>
          <w:rFonts w:asciiTheme="majorBidi" w:hAnsiTheme="majorBidi" w:cstheme="majorBidi"/>
          <w:sz w:val="24"/>
          <w:szCs w:val="24"/>
        </w:rPr>
        <w:t>:</w:t>
      </w:r>
      <w:r w:rsidR="00C76260" w:rsidRPr="001579BE">
        <w:rPr>
          <w:rFonts w:asciiTheme="majorBidi" w:hAnsiTheme="majorBidi" w:cstheme="majorBidi"/>
          <w:sz w:val="24"/>
          <w:szCs w:val="24"/>
        </w:rPr>
        <w:t xml:space="preserve"> s</w:t>
      </w:r>
      <w:r w:rsidR="005F5DB3" w:rsidRPr="001579BE">
        <w:rPr>
          <w:rFonts w:asciiTheme="majorBidi" w:hAnsiTheme="majorBidi" w:cstheme="majorBidi"/>
          <w:sz w:val="24"/>
          <w:szCs w:val="24"/>
        </w:rPr>
        <w:t>e desarrollaron plataformas digitales para agilizar las compraventas de productos agrícolas, se simplificó la burocracia y se posibilitó la video-inspección en remoto de los bienes en aduanas</w:t>
      </w:r>
      <w:r w:rsidR="00125579" w:rsidRPr="001579BE">
        <w:rPr>
          <w:rFonts w:asciiTheme="majorBidi" w:hAnsiTheme="majorBidi" w:cstheme="majorBidi"/>
          <w:sz w:val="24"/>
          <w:szCs w:val="24"/>
        </w:rPr>
        <w:t>. En Ucrania se legisló para priorizar las ayudas estatales a explotaciones familiares de hasta 100 hectáreas, y tanto Rusia como Ucrania anunciaron su disposición a restringir la exportación de trigo</w:t>
      </w:r>
      <w:r w:rsidR="00C74418" w:rsidRPr="001579BE">
        <w:rPr>
          <w:rFonts w:asciiTheme="majorBidi" w:hAnsiTheme="majorBidi" w:cstheme="majorBidi"/>
          <w:sz w:val="24"/>
          <w:szCs w:val="24"/>
        </w:rPr>
        <w:t xml:space="preserve"> (FAO, 2021).</w:t>
      </w:r>
    </w:p>
    <w:p w14:paraId="59759A28" w14:textId="41FEA370" w:rsidR="00A36A9D" w:rsidRPr="001579BE" w:rsidRDefault="00A36A9D" w:rsidP="002917AE">
      <w:pPr>
        <w:pStyle w:val="Ttulo3"/>
        <w:numPr>
          <w:ilvl w:val="2"/>
          <w:numId w:val="5"/>
        </w:numPr>
        <w:spacing w:line="360" w:lineRule="auto"/>
        <w:rPr>
          <w:rFonts w:asciiTheme="majorBidi" w:hAnsiTheme="majorBidi"/>
          <w:b/>
          <w:bCs/>
          <w:color w:val="auto"/>
        </w:rPr>
      </w:pPr>
      <w:bookmarkStart w:id="41" w:name="_Toc137456615"/>
      <w:r w:rsidRPr="001579BE">
        <w:rPr>
          <w:rFonts w:asciiTheme="majorBidi" w:hAnsiTheme="majorBidi"/>
          <w:b/>
          <w:bCs/>
          <w:color w:val="auto"/>
        </w:rPr>
        <w:t>Maíz</w:t>
      </w:r>
      <w:bookmarkEnd w:id="41"/>
    </w:p>
    <w:p w14:paraId="62D14FD4" w14:textId="2C31EDBC" w:rsidR="00286793" w:rsidRPr="001579BE" w:rsidRDefault="00B22D09" w:rsidP="00591049">
      <w:pPr>
        <w:spacing w:line="360" w:lineRule="auto"/>
        <w:ind w:firstLine="708"/>
        <w:jc w:val="both"/>
        <w:rPr>
          <w:rFonts w:asciiTheme="majorBidi" w:hAnsiTheme="majorBidi" w:cstheme="majorBidi"/>
          <w:sz w:val="24"/>
          <w:szCs w:val="24"/>
        </w:rPr>
      </w:pPr>
      <w:r w:rsidRPr="001579BE">
        <w:rPr>
          <w:rFonts w:asciiTheme="majorBidi" w:hAnsiTheme="majorBidi" w:cstheme="majorBidi"/>
          <w:sz w:val="24"/>
          <w:szCs w:val="24"/>
        </w:rPr>
        <w:t xml:space="preserve">Inmediatamente antes de la guerra, según datos del Banco Mundial para 2021, </w:t>
      </w:r>
      <w:r w:rsidR="00286793" w:rsidRPr="001579BE">
        <w:rPr>
          <w:rFonts w:asciiTheme="majorBidi" w:hAnsiTheme="majorBidi" w:cstheme="majorBidi"/>
          <w:sz w:val="24"/>
          <w:szCs w:val="24"/>
        </w:rPr>
        <w:t xml:space="preserve">Ucrania </w:t>
      </w:r>
      <w:r w:rsidR="00372129" w:rsidRPr="001579BE">
        <w:rPr>
          <w:rFonts w:asciiTheme="majorBidi" w:hAnsiTheme="majorBidi" w:cstheme="majorBidi"/>
          <w:sz w:val="24"/>
          <w:szCs w:val="24"/>
        </w:rPr>
        <w:t xml:space="preserve">era el séptimo país del mundo en producción de maíz, con 30,3 millones de toneladas métricas, y Rusia el décimo, con 13,9 millones. </w:t>
      </w:r>
      <w:r w:rsidR="00591049" w:rsidRPr="001579BE">
        <w:rPr>
          <w:rFonts w:asciiTheme="majorBidi" w:hAnsiTheme="majorBidi" w:cstheme="majorBidi"/>
          <w:sz w:val="24"/>
          <w:szCs w:val="24"/>
        </w:rPr>
        <w:t>Como se puede observar en el gráfico 1, s</w:t>
      </w:r>
      <w:r w:rsidR="00372129" w:rsidRPr="001579BE">
        <w:rPr>
          <w:rFonts w:asciiTheme="majorBidi" w:hAnsiTheme="majorBidi" w:cstheme="majorBidi"/>
          <w:sz w:val="24"/>
          <w:szCs w:val="24"/>
        </w:rPr>
        <w:t xml:space="preserve">on cifras bastante lejos de la producción de la campaña 2020/2021 de grandes potencias en la materia como </w:t>
      </w:r>
      <w:r w:rsidR="00D07C87" w:rsidRPr="001579BE">
        <w:rPr>
          <w:rFonts w:asciiTheme="majorBidi" w:hAnsiTheme="majorBidi" w:cstheme="majorBidi"/>
          <w:sz w:val="24"/>
          <w:szCs w:val="24"/>
        </w:rPr>
        <w:t>EE.UU.</w:t>
      </w:r>
      <w:r w:rsidR="00372129" w:rsidRPr="001579BE">
        <w:rPr>
          <w:rFonts w:asciiTheme="majorBidi" w:hAnsiTheme="majorBidi" w:cstheme="majorBidi"/>
          <w:sz w:val="24"/>
          <w:szCs w:val="24"/>
        </w:rPr>
        <w:t xml:space="preserve"> (358,4 millones) y China (260,7 millones), aún combinadas no </w:t>
      </w:r>
      <w:r w:rsidR="007B1099" w:rsidRPr="001579BE">
        <w:rPr>
          <w:rFonts w:asciiTheme="majorBidi" w:hAnsiTheme="majorBidi" w:cstheme="majorBidi"/>
          <w:sz w:val="24"/>
          <w:szCs w:val="24"/>
        </w:rPr>
        <w:t>alcanzaron</w:t>
      </w:r>
      <w:r w:rsidR="00372129" w:rsidRPr="001579BE">
        <w:rPr>
          <w:rFonts w:asciiTheme="majorBidi" w:hAnsiTheme="majorBidi" w:cstheme="majorBidi"/>
          <w:sz w:val="24"/>
          <w:szCs w:val="24"/>
        </w:rPr>
        <w:t xml:space="preserve"> la producción de la </w:t>
      </w:r>
      <w:r w:rsidR="009A5142" w:rsidRPr="001579BE">
        <w:rPr>
          <w:rFonts w:asciiTheme="majorBidi" w:hAnsiTheme="majorBidi" w:cstheme="majorBidi"/>
          <w:sz w:val="24"/>
          <w:szCs w:val="24"/>
        </w:rPr>
        <w:t>UE</w:t>
      </w:r>
      <w:r w:rsidR="00372129" w:rsidRPr="001579BE">
        <w:rPr>
          <w:rFonts w:asciiTheme="majorBidi" w:hAnsiTheme="majorBidi" w:cstheme="majorBidi"/>
          <w:sz w:val="24"/>
          <w:szCs w:val="24"/>
        </w:rPr>
        <w:t xml:space="preserve"> para ese mismo año (64,4 millones), </w:t>
      </w:r>
      <w:r w:rsidR="007B1099" w:rsidRPr="001579BE">
        <w:rPr>
          <w:rFonts w:asciiTheme="majorBidi" w:hAnsiTheme="majorBidi" w:cstheme="majorBidi"/>
          <w:sz w:val="24"/>
          <w:szCs w:val="24"/>
        </w:rPr>
        <w:t>y no supusieron una importante proporción de la producción mundial</w:t>
      </w:r>
      <w:r w:rsidR="00E300AE" w:rsidRPr="001579BE">
        <w:rPr>
          <w:rFonts w:asciiTheme="majorBidi" w:hAnsiTheme="majorBidi" w:cstheme="majorBidi"/>
          <w:sz w:val="24"/>
          <w:szCs w:val="24"/>
        </w:rPr>
        <w:t xml:space="preserve"> en 2021</w:t>
      </w:r>
      <w:r w:rsidR="007B1099" w:rsidRPr="001579BE">
        <w:rPr>
          <w:rFonts w:asciiTheme="majorBidi" w:hAnsiTheme="majorBidi" w:cstheme="majorBidi"/>
          <w:sz w:val="24"/>
          <w:szCs w:val="24"/>
        </w:rPr>
        <w:t xml:space="preserve"> (la producción ucraniana y la rusa fueron un 2,7% y un 1,2% de la producción mundial). </w:t>
      </w:r>
    </w:p>
    <w:p w14:paraId="08B2C992" w14:textId="191BB180" w:rsidR="005E602C" w:rsidRPr="00C53814" w:rsidRDefault="005E602C" w:rsidP="009A3F53">
      <w:pPr>
        <w:pStyle w:val="Descripcin"/>
        <w:keepNext/>
        <w:jc w:val="both"/>
        <w:rPr>
          <w:rFonts w:asciiTheme="majorBidi" w:hAnsiTheme="majorBidi" w:cstheme="majorBidi"/>
          <w:sz w:val="20"/>
          <w:szCs w:val="20"/>
        </w:rPr>
      </w:pPr>
      <w:bookmarkStart w:id="42" w:name="_Toc137394942"/>
      <w:r w:rsidRPr="00C53814">
        <w:rPr>
          <w:rFonts w:asciiTheme="majorBidi" w:hAnsiTheme="majorBidi" w:cstheme="majorBidi"/>
          <w:sz w:val="20"/>
          <w:szCs w:val="20"/>
        </w:rPr>
        <w:lastRenderedPageBreak/>
        <w:t xml:space="preserve">Gráfico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Gráfico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1</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 Producción anual de maíz de los principales actores, en millones de toneladas métricas.</w:t>
      </w:r>
      <w:bookmarkEnd w:id="42"/>
      <w:r w:rsidRPr="00C53814">
        <w:rPr>
          <w:rFonts w:asciiTheme="majorBidi" w:hAnsiTheme="majorBidi" w:cstheme="majorBidi"/>
          <w:sz w:val="20"/>
          <w:szCs w:val="20"/>
        </w:rPr>
        <w:t xml:space="preserve"> </w:t>
      </w:r>
    </w:p>
    <w:p w14:paraId="333B6ACD" w14:textId="2A0F2512" w:rsidR="00E76471" w:rsidRDefault="00A00CC1" w:rsidP="00316914">
      <w:pPr>
        <w:spacing w:after="0" w:line="360" w:lineRule="auto"/>
        <w:jc w:val="center"/>
        <w:rPr>
          <w:rFonts w:asciiTheme="majorBidi" w:hAnsiTheme="majorBidi" w:cstheme="majorBidi"/>
          <w:sz w:val="24"/>
          <w:szCs w:val="24"/>
        </w:rPr>
      </w:pPr>
      <w:r>
        <w:rPr>
          <w:noProof/>
          <w14:ligatures w14:val="standardContextual"/>
        </w:rPr>
        <w:drawing>
          <wp:inline distT="0" distB="0" distL="0" distR="0" wp14:anchorId="220E0001" wp14:editId="57841C56">
            <wp:extent cx="5400040" cy="2787650"/>
            <wp:effectExtent l="0" t="0" r="10160" b="12700"/>
            <wp:docPr id="1130085765" name="Gráfico 1">
              <a:extLst xmlns:a="http://schemas.openxmlformats.org/drawingml/2006/main">
                <a:ext uri="{FF2B5EF4-FFF2-40B4-BE49-F238E27FC236}">
                  <a16:creationId xmlns:a16="http://schemas.microsoft.com/office/drawing/2014/main" id="{499CD585-3B6E-FC9F-9E91-FE38BE9157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14FB899" w14:textId="7197F812" w:rsidR="00E2323A" w:rsidRPr="00C53814" w:rsidRDefault="00E2323A"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(Banco Mundial, 2021).</w:t>
      </w:r>
    </w:p>
    <w:p w14:paraId="5AC7E97D" w14:textId="0937CED3" w:rsidR="00591049" w:rsidRDefault="00591049" w:rsidP="00591049">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t xml:space="preserve">Sin embargo, es importante reseñar el increíble crecimiento que ha experimentado la producción anual de maíz de los dos países desde 1991, fecha de disolución de la </w:t>
      </w:r>
      <w:r w:rsidR="00AE7D8E">
        <w:rPr>
          <w:rFonts w:asciiTheme="majorBidi" w:hAnsiTheme="majorBidi" w:cstheme="majorBidi"/>
          <w:sz w:val="24"/>
          <w:szCs w:val="24"/>
        </w:rPr>
        <w:t>URSS</w:t>
      </w:r>
      <w:r>
        <w:rPr>
          <w:rFonts w:asciiTheme="majorBidi" w:hAnsiTheme="majorBidi" w:cstheme="majorBidi"/>
          <w:sz w:val="24"/>
          <w:szCs w:val="24"/>
        </w:rPr>
        <w:t xml:space="preserve"> y momento en el cual comienza la serie de datos consultada: desde 1991, la producción de Ucrania ha crecido en un 545%, pasando de 4,7 a 30,3 millones de toneladas métricas (alcanzando su máximo en 2020, con 35,9 millones), y la de Rusia en un 456%, pasando de 2,5 a 13,9 millones de toneladas métricas</w:t>
      </w:r>
      <w:r w:rsidR="00494494">
        <w:rPr>
          <w:rFonts w:asciiTheme="majorBidi" w:hAnsiTheme="majorBidi" w:cstheme="majorBidi"/>
          <w:sz w:val="24"/>
          <w:szCs w:val="24"/>
        </w:rPr>
        <w:t xml:space="preserve"> (Banco Mundial, 2021)</w:t>
      </w:r>
      <w:r>
        <w:rPr>
          <w:rFonts w:asciiTheme="majorBidi" w:hAnsiTheme="majorBidi" w:cstheme="majorBidi"/>
          <w:sz w:val="24"/>
          <w:szCs w:val="24"/>
        </w:rPr>
        <w:t xml:space="preserve">. </w:t>
      </w:r>
    </w:p>
    <w:p w14:paraId="513FDEC2" w14:textId="6EE7F73A" w:rsidR="00EE0F00" w:rsidRDefault="00C11F60" w:rsidP="00591049">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t xml:space="preserve">Si se cambia de actividad y se centra la atención en la exportación de maíz, se aprecia que ambos países escalan puestos en el ranking mundial, e incluso pueden llegar a acortar sus diferencias con los países en los primeros puestos del mismo: en 2021 y frente a las 69,9 millones de toneladas métricas de maíz que exportó el líder, </w:t>
      </w:r>
      <w:r w:rsidR="00D07C87">
        <w:rPr>
          <w:rFonts w:asciiTheme="majorBidi" w:hAnsiTheme="majorBidi" w:cstheme="majorBidi"/>
          <w:sz w:val="24"/>
          <w:szCs w:val="24"/>
        </w:rPr>
        <w:t>EE.UU.</w:t>
      </w:r>
      <w:r>
        <w:rPr>
          <w:rFonts w:asciiTheme="majorBidi" w:hAnsiTheme="majorBidi" w:cstheme="majorBidi"/>
          <w:sz w:val="24"/>
          <w:szCs w:val="24"/>
        </w:rPr>
        <w:t xml:space="preserve">, Ucrania exportó 23,8 millones y </w:t>
      </w:r>
      <w:r w:rsidR="00CE40CF">
        <w:rPr>
          <w:rFonts w:asciiTheme="majorBidi" w:hAnsiTheme="majorBidi" w:cstheme="majorBidi"/>
          <w:sz w:val="24"/>
          <w:szCs w:val="24"/>
        </w:rPr>
        <w:t xml:space="preserve">Rusia exportó 3,9 millones. Ucrania se sitúa entonces como un actor de peso, </w:t>
      </w:r>
      <w:r w:rsidR="007B1164">
        <w:rPr>
          <w:rFonts w:asciiTheme="majorBidi" w:hAnsiTheme="majorBidi" w:cstheme="majorBidi"/>
          <w:sz w:val="24"/>
          <w:szCs w:val="24"/>
        </w:rPr>
        <w:t>con</w:t>
      </w:r>
      <w:r w:rsidR="00CE40CF">
        <w:rPr>
          <w:rFonts w:asciiTheme="majorBidi" w:hAnsiTheme="majorBidi" w:cstheme="majorBidi"/>
          <w:sz w:val="24"/>
          <w:szCs w:val="24"/>
        </w:rPr>
        <w:t xml:space="preserve"> su actividad supon</w:t>
      </w:r>
      <w:r w:rsidR="007B1164">
        <w:rPr>
          <w:rFonts w:asciiTheme="majorBidi" w:hAnsiTheme="majorBidi" w:cstheme="majorBidi"/>
          <w:sz w:val="24"/>
          <w:szCs w:val="24"/>
        </w:rPr>
        <w:t>iendo</w:t>
      </w:r>
      <w:r w:rsidR="00CE40CF">
        <w:rPr>
          <w:rFonts w:asciiTheme="majorBidi" w:hAnsiTheme="majorBidi" w:cstheme="majorBidi"/>
          <w:sz w:val="24"/>
          <w:szCs w:val="24"/>
        </w:rPr>
        <w:t xml:space="preserve"> un 13</w:t>
      </w:r>
      <w:r w:rsidR="007B1164">
        <w:rPr>
          <w:rFonts w:asciiTheme="majorBidi" w:hAnsiTheme="majorBidi" w:cstheme="majorBidi"/>
          <w:sz w:val="24"/>
          <w:szCs w:val="24"/>
        </w:rPr>
        <w:t>,4</w:t>
      </w:r>
      <w:r w:rsidR="00CE40CF">
        <w:rPr>
          <w:rFonts w:asciiTheme="majorBidi" w:hAnsiTheme="majorBidi" w:cstheme="majorBidi"/>
          <w:sz w:val="24"/>
          <w:szCs w:val="24"/>
        </w:rPr>
        <w:t xml:space="preserve">% de las exportaciones mundiales de </w:t>
      </w:r>
      <w:r w:rsidR="007B1164">
        <w:rPr>
          <w:rFonts w:asciiTheme="majorBidi" w:hAnsiTheme="majorBidi" w:cstheme="majorBidi"/>
          <w:sz w:val="24"/>
          <w:szCs w:val="24"/>
        </w:rPr>
        <w:t>maíz</w:t>
      </w:r>
      <w:r w:rsidR="00FB6A20">
        <w:rPr>
          <w:rFonts w:asciiTheme="majorBidi" w:hAnsiTheme="majorBidi" w:cstheme="majorBidi"/>
          <w:sz w:val="24"/>
          <w:szCs w:val="24"/>
        </w:rPr>
        <w:t xml:space="preserve"> en el año 2021 mientras que, p</w:t>
      </w:r>
      <w:r w:rsidR="007B1164">
        <w:rPr>
          <w:rFonts w:asciiTheme="majorBidi" w:hAnsiTheme="majorBidi" w:cstheme="majorBidi"/>
          <w:sz w:val="24"/>
          <w:szCs w:val="24"/>
        </w:rPr>
        <w:t>or otro lado, Rusia apenas acumula el 2,2%</w:t>
      </w:r>
      <w:r w:rsidR="00EE0F00">
        <w:rPr>
          <w:rFonts w:asciiTheme="majorBidi" w:hAnsiTheme="majorBidi" w:cstheme="majorBidi"/>
          <w:sz w:val="24"/>
          <w:szCs w:val="24"/>
        </w:rPr>
        <w:t xml:space="preserve"> (Banco Mundial, 2021)</w:t>
      </w:r>
      <w:r w:rsidR="004460E2">
        <w:rPr>
          <w:rFonts w:asciiTheme="majorBidi" w:hAnsiTheme="majorBidi" w:cstheme="majorBidi"/>
          <w:sz w:val="24"/>
          <w:szCs w:val="24"/>
        </w:rPr>
        <w:t xml:space="preserve">. </w:t>
      </w:r>
    </w:p>
    <w:p w14:paraId="65C2530B" w14:textId="6F6EA6EC" w:rsidR="00C11F60" w:rsidRDefault="004460E2" w:rsidP="005E5AB6">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t xml:space="preserve">También se puede apreciar la escalada en </w:t>
      </w:r>
      <w:r w:rsidR="00DF7670">
        <w:rPr>
          <w:rFonts w:asciiTheme="majorBidi" w:hAnsiTheme="majorBidi" w:cstheme="majorBidi"/>
          <w:sz w:val="24"/>
          <w:szCs w:val="24"/>
        </w:rPr>
        <w:t xml:space="preserve">volumen de maíz exportado por Ucrania, </w:t>
      </w:r>
      <w:r w:rsidR="00AC0EF4">
        <w:rPr>
          <w:rFonts w:asciiTheme="majorBidi" w:hAnsiTheme="majorBidi" w:cstheme="majorBidi"/>
          <w:sz w:val="24"/>
          <w:szCs w:val="24"/>
        </w:rPr>
        <w:t>que</w:t>
      </w:r>
      <w:r>
        <w:rPr>
          <w:rFonts w:asciiTheme="majorBidi" w:hAnsiTheme="majorBidi" w:cstheme="majorBidi"/>
          <w:sz w:val="24"/>
          <w:szCs w:val="24"/>
        </w:rPr>
        <w:t xml:space="preserve"> </w:t>
      </w:r>
      <w:r w:rsidR="00444F66">
        <w:rPr>
          <w:rFonts w:asciiTheme="majorBidi" w:hAnsiTheme="majorBidi" w:cstheme="majorBidi"/>
          <w:sz w:val="24"/>
          <w:szCs w:val="24"/>
        </w:rPr>
        <w:t>pasó</w:t>
      </w:r>
      <w:r>
        <w:rPr>
          <w:rFonts w:asciiTheme="majorBidi" w:hAnsiTheme="majorBidi" w:cstheme="majorBidi"/>
          <w:sz w:val="24"/>
          <w:szCs w:val="24"/>
        </w:rPr>
        <w:t xml:space="preserve"> de exportar</w:t>
      </w:r>
      <w:r w:rsidR="00DF7670">
        <w:rPr>
          <w:rFonts w:asciiTheme="majorBidi" w:hAnsiTheme="majorBidi" w:cstheme="majorBidi"/>
          <w:sz w:val="24"/>
          <w:szCs w:val="24"/>
        </w:rPr>
        <w:t xml:space="preserve"> 0,4 millones de toneladas métricas</w:t>
      </w:r>
      <w:r>
        <w:rPr>
          <w:rFonts w:asciiTheme="majorBidi" w:hAnsiTheme="majorBidi" w:cstheme="majorBidi"/>
          <w:sz w:val="24"/>
          <w:szCs w:val="24"/>
        </w:rPr>
        <w:t xml:space="preserve"> </w:t>
      </w:r>
      <w:r w:rsidR="00DF7670">
        <w:rPr>
          <w:rFonts w:asciiTheme="majorBidi" w:hAnsiTheme="majorBidi" w:cstheme="majorBidi"/>
          <w:sz w:val="24"/>
          <w:szCs w:val="24"/>
        </w:rPr>
        <w:t xml:space="preserve">en 1991 a exportar 23,8 millones en 2021, en un crecimiento del 5.850%. </w:t>
      </w:r>
      <w:r w:rsidR="00EE0F00">
        <w:rPr>
          <w:rFonts w:asciiTheme="majorBidi" w:hAnsiTheme="majorBidi" w:cstheme="majorBidi"/>
          <w:sz w:val="24"/>
          <w:szCs w:val="24"/>
        </w:rPr>
        <w:t>A</w:t>
      </w:r>
      <w:r w:rsidR="00DF7670">
        <w:rPr>
          <w:rFonts w:asciiTheme="majorBidi" w:hAnsiTheme="majorBidi" w:cstheme="majorBidi"/>
          <w:sz w:val="24"/>
          <w:szCs w:val="24"/>
        </w:rPr>
        <w:t>umentó la importancia que la exportación de maíz suponía para Ucrania, que</w:t>
      </w:r>
      <w:r w:rsidR="006D1B47">
        <w:rPr>
          <w:rFonts w:asciiTheme="majorBidi" w:hAnsiTheme="majorBidi" w:cstheme="majorBidi"/>
          <w:sz w:val="24"/>
          <w:szCs w:val="24"/>
        </w:rPr>
        <w:t xml:space="preserve"> como se puede observar en el gráfico 2</w:t>
      </w:r>
      <w:r w:rsidR="00DF7670">
        <w:rPr>
          <w:rFonts w:asciiTheme="majorBidi" w:hAnsiTheme="majorBidi" w:cstheme="majorBidi"/>
          <w:sz w:val="24"/>
          <w:szCs w:val="24"/>
        </w:rPr>
        <w:t xml:space="preserve"> pasó de exportar un 8,5% de su producción en 1991 a exportar un 78,5% en 202</w:t>
      </w:r>
      <w:r w:rsidR="00AC0EF4">
        <w:rPr>
          <w:rFonts w:asciiTheme="majorBidi" w:hAnsiTheme="majorBidi" w:cstheme="majorBidi"/>
          <w:sz w:val="24"/>
          <w:szCs w:val="24"/>
        </w:rPr>
        <w:t>. Por su parte,</w:t>
      </w:r>
      <w:r>
        <w:rPr>
          <w:rFonts w:asciiTheme="majorBidi" w:hAnsiTheme="majorBidi" w:cstheme="majorBidi"/>
          <w:sz w:val="24"/>
          <w:szCs w:val="24"/>
        </w:rPr>
        <w:t xml:space="preserve"> Rusia </w:t>
      </w:r>
      <w:r w:rsidR="00F26AF5">
        <w:rPr>
          <w:rFonts w:asciiTheme="majorBidi" w:hAnsiTheme="majorBidi" w:cstheme="majorBidi"/>
          <w:sz w:val="24"/>
          <w:szCs w:val="24"/>
        </w:rPr>
        <w:t>subió</w:t>
      </w:r>
      <w:r>
        <w:rPr>
          <w:rFonts w:asciiTheme="majorBidi" w:hAnsiTheme="majorBidi" w:cstheme="majorBidi"/>
          <w:sz w:val="24"/>
          <w:szCs w:val="24"/>
        </w:rPr>
        <w:t xml:space="preserve"> sus exportaciones de </w:t>
      </w:r>
      <w:r w:rsidR="007B585D">
        <w:rPr>
          <w:rFonts w:asciiTheme="majorBidi" w:hAnsiTheme="majorBidi" w:cstheme="majorBidi"/>
          <w:sz w:val="24"/>
          <w:szCs w:val="24"/>
        </w:rPr>
        <w:t>0,4 millones de toneladas métricas (</w:t>
      </w:r>
      <w:r>
        <w:rPr>
          <w:rFonts w:asciiTheme="majorBidi" w:hAnsiTheme="majorBidi" w:cstheme="majorBidi"/>
          <w:sz w:val="24"/>
          <w:szCs w:val="24"/>
        </w:rPr>
        <w:t>un 16%</w:t>
      </w:r>
      <w:r w:rsidR="007B585D">
        <w:rPr>
          <w:rFonts w:asciiTheme="majorBidi" w:hAnsiTheme="majorBidi" w:cstheme="majorBidi"/>
          <w:sz w:val="24"/>
          <w:szCs w:val="24"/>
        </w:rPr>
        <w:t xml:space="preserve"> de su producción) </w:t>
      </w:r>
      <w:r>
        <w:rPr>
          <w:rFonts w:asciiTheme="majorBidi" w:hAnsiTheme="majorBidi" w:cstheme="majorBidi"/>
          <w:sz w:val="24"/>
          <w:szCs w:val="24"/>
        </w:rPr>
        <w:t xml:space="preserve">a </w:t>
      </w:r>
      <w:r w:rsidR="007B585D">
        <w:rPr>
          <w:rFonts w:asciiTheme="majorBidi" w:hAnsiTheme="majorBidi" w:cstheme="majorBidi"/>
          <w:sz w:val="24"/>
          <w:szCs w:val="24"/>
        </w:rPr>
        <w:t xml:space="preserve">3,9 </w:t>
      </w:r>
      <w:r w:rsidR="007B585D">
        <w:rPr>
          <w:rFonts w:asciiTheme="majorBidi" w:hAnsiTheme="majorBidi" w:cstheme="majorBidi"/>
          <w:sz w:val="24"/>
          <w:szCs w:val="24"/>
        </w:rPr>
        <w:lastRenderedPageBreak/>
        <w:t>millones (</w:t>
      </w:r>
      <w:r>
        <w:rPr>
          <w:rFonts w:asciiTheme="majorBidi" w:hAnsiTheme="majorBidi" w:cstheme="majorBidi"/>
          <w:sz w:val="24"/>
          <w:szCs w:val="24"/>
        </w:rPr>
        <w:t>un 28,1%</w:t>
      </w:r>
      <w:r w:rsidR="007B585D">
        <w:rPr>
          <w:rFonts w:asciiTheme="majorBidi" w:hAnsiTheme="majorBidi" w:cstheme="majorBidi"/>
          <w:sz w:val="24"/>
          <w:szCs w:val="24"/>
        </w:rPr>
        <w:t xml:space="preserve">) </w:t>
      </w:r>
      <w:r>
        <w:rPr>
          <w:rFonts w:asciiTheme="majorBidi" w:hAnsiTheme="majorBidi" w:cstheme="majorBidi"/>
          <w:sz w:val="24"/>
          <w:szCs w:val="24"/>
        </w:rPr>
        <w:t>para el mismo periodo</w:t>
      </w:r>
      <w:r w:rsidR="007B585D">
        <w:rPr>
          <w:rFonts w:asciiTheme="majorBidi" w:hAnsiTheme="majorBidi" w:cstheme="majorBidi"/>
          <w:sz w:val="24"/>
          <w:szCs w:val="24"/>
        </w:rPr>
        <w:t>, aumentando sus exportaciones en un 875% en esos treinta años</w:t>
      </w:r>
      <w:r w:rsidR="006D1B47">
        <w:rPr>
          <w:rFonts w:asciiTheme="majorBidi" w:hAnsiTheme="majorBidi" w:cstheme="majorBidi"/>
          <w:sz w:val="24"/>
          <w:szCs w:val="24"/>
        </w:rPr>
        <w:t>, como se puede ver en el gráfico 3.</w:t>
      </w:r>
      <w:r w:rsidR="006B6804">
        <w:rPr>
          <w:rFonts w:asciiTheme="majorBidi" w:hAnsiTheme="majorBidi" w:cstheme="majorBidi"/>
          <w:sz w:val="24"/>
          <w:szCs w:val="24"/>
        </w:rPr>
        <w:t xml:space="preserve"> </w:t>
      </w:r>
    </w:p>
    <w:p w14:paraId="10C08CDD" w14:textId="6DE2719B" w:rsidR="00F82D03" w:rsidRPr="00C53814" w:rsidRDefault="00F82D03" w:rsidP="001F56FA">
      <w:pPr>
        <w:pStyle w:val="Descripcin"/>
        <w:keepNext/>
        <w:jc w:val="both"/>
        <w:rPr>
          <w:rFonts w:asciiTheme="majorBidi" w:hAnsiTheme="majorBidi" w:cstheme="majorBidi"/>
          <w:sz w:val="20"/>
          <w:szCs w:val="20"/>
        </w:rPr>
      </w:pPr>
      <w:bookmarkStart w:id="43" w:name="_Toc137394943"/>
      <w:r w:rsidRPr="00C53814">
        <w:rPr>
          <w:rFonts w:asciiTheme="majorBidi" w:hAnsiTheme="majorBidi" w:cstheme="majorBidi"/>
          <w:sz w:val="20"/>
          <w:szCs w:val="20"/>
        </w:rPr>
        <w:t xml:space="preserve">Gráfico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Gráfico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2</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 Producción y exportación anual de maíz de Ucrania, en millones de toneladas métricas.</w:t>
      </w:r>
      <w:bookmarkEnd w:id="43"/>
      <w:r w:rsidRPr="00C53814">
        <w:rPr>
          <w:rFonts w:asciiTheme="majorBidi" w:hAnsiTheme="majorBidi" w:cstheme="majorBidi"/>
          <w:sz w:val="20"/>
          <w:szCs w:val="20"/>
        </w:rPr>
        <w:t xml:space="preserve"> </w:t>
      </w:r>
    </w:p>
    <w:p w14:paraId="4A8D99D7" w14:textId="11D18AE6" w:rsidR="0075391F" w:rsidRDefault="0075391F" w:rsidP="00C53814">
      <w:pPr>
        <w:spacing w:after="0" w:line="360" w:lineRule="auto"/>
        <w:jc w:val="both"/>
        <w:rPr>
          <w:rFonts w:asciiTheme="majorBidi" w:hAnsiTheme="majorBidi" w:cstheme="majorBidi"/>
          <w:sz w:val="24"/>
          <w:szCs w:val="24"/>
        </w:rPr>
      </w:pPr>
      <w:r>
        <w:rPr>
          <w:noProof/>
          <w14:ligatures w14:val="standardContextual"/>
        </w:rPr>
        <w:drawing>
          <wp:inline distT="0" distB="0" distL="0" distR="0" wp14:anchorId="6E5D719E" wp14:editId="6E052518">
            <wp:extent cx="5400040" cy="2853055"/>
            <wp:effectExtent l="0" t="0" r="10160" b="4445"/>
            <wp:docPr id="1442965933" name="Gráfico 1">
              <a:extLst xmlns:a="http://schemas.openxmlformats.org/drawingml/2006/main">
                <a:ext uri="{FF2B5EF4-FFF2-40B4-BE49-F238E27FC236}">
                  <a16:creationId xmlns:a16="http://schemas.microsoft.com/office/drawing/2014/main" id="{E979B134-FD8C-02CC-D1C5-398424F92A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F8FD99" w14:textId="77777777" w:rsid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(Banco Mundial, 2021).</w:t>
      </w:r>
    </w:p>
    <w:p w14:paraId="3B0DDC1C" w14:textId="56AA54B1" w:rsidR="00F82D03" w:rsidRPr="00C53814" w:rsidRDefault="00F82D03" w:rsidP="00F82D03">
      <w:pPr>
        <w:pStyle w:val="Descripcin"/>
        <w:keepNext/>
        <w:jc w:val="both"/>
        <w:rPr>
          <w:rFonts w:asciiTheme="majorBidi" w:hAnsiTheme="majorBidi" w:cstheme="majorBidi"/>
          <w:sz w:val="20"/>
          <w:szCs w:val="20"/>
        </w:rPr>
      </w:pPr>
      <w:bookmarkStart w:id="44" w:name="_Toc137394944"/>
      <w:r w:rsidRPr="00C53814">
        <w:rPr>
          <w:rFonts w:asciiTheme="majorBidi" w:hAnsiTheme="majorBidi" w:cstheme="majorBidi"/>
          <w:sz w:val="20"/>
          <w:szCs w:val="20"/>
        </w:rPr>
        <w:t xml:space="preserve">Gráfico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Gráfico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3</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 Producción y exportación anual de maíz de Rusia, en millones de toneladas métricas.</w:t>
      </w:r>
      <w:bookmarkEnd w:id="44"/>
      <w:r w:rsidRPr="00C53814">
        <w:rPr>
          <w:rFonts w:asciiTheme="majorBidi" w:hAnsiTheme="majorBidi" w:cstheme="majorBidi"/>
          <w:sz w:val="20"/>
          <w:szCs w:val="20"/>
        </w:rPr>
        <w:t xml:space="preserve"> </w:t>
      </w:r>
    </w:p>
    <w:p w14:paraId="39BD3686" w14:textId="42A6EDD9" w:rsidR="0075391F" w:rsidRDefault="0075391F" w:rsidP="00C53814">
      <w:pPr>
        <w:spacing w:after="0" w:line="360" w:lineRule="auto"/>
        <w:jc w:val="both"/>
        <w:rPr>
          <w:rFonts w:asciiTheme="majorBidi" w:hAnsiTheme="majorBidi" w:cstheme="majorBidi"/>
          <w:sz w:val="24"/>
          <w:szCs w:val="24"/>
        </w:rPr>
      </w:pPr>
      <w:r>
        <w:rPr>
          <w:noProof/>
          <w14:ligatures w14:val="standardContextual"/>
        </w:rPr>
        <w:drawing>
          <wp:inline distT="0" distB="0" distL="0" distR="0" wp14:anchorId="18FF6C49" wp14:editId="2E4CC095">
            <wp:extent cx="5400040" cy="2853055"/>
            <wp:effectExtent l="0" t="0" r="10160" b="4445"/>
            <wp:docPr id="1122817933" name="Gráfico 1">
              <a:extLst xmlns:a="http://schemas.openxmlformats.org/drawingml/2006/main">
                <a:ext uri="{FF2B5EF4-FFF2-40B4-BE49-F238E27FC236}">
                  <a16:creationId xmlns:a16="http://schemas.microsoft.com/office/drawing/2014/main" id="{51E43410-4A96-4829-BF29-722F676FCF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45A3EB" w14:textId="77777777" w:rsidR="00C53814" w:rsidRP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(Banco Mundial, 2021).</w:t>
      </w:r>
    </w:p>
    <w:p w14:paraId="57FDA0FA" w14:textId="6F62F1E8" w:rsidR="00B85AF5" w:rsidRDefault="00B85AF5" w:rsidP="00C74418">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t xml:space="preserve">El destino principal de las exportaciones ucranianas de maíz en los años de 2016 a 2021 fue la </w:t>
      </w:r>
      <w:r w:rsidR="009A5142">
        <w:rPr>
          <w:rFonts w:asciiTheme="majorBidi" w:hAnsiTheme="majorBidi" w:cstheme="majorBidi"/>
          <w:sz w:val="24"/>
          <w:szCs w:val="24"/>
        </w:rPr>
        <w:t>UE</w:t>
      </w:r>
      <w:r>
        <w:rPr>
          <w:rFonts w:asciiTheme="majorBidi" w:hAnsiTheme="majorBidi" w:cstheme="majorBidi"/>
          <w:sz w:val="24"/>
          <w:szCs w:val="24"/>
        </w:rPr>
        <w:t xml:space="preserve"> con 10,3 millones de toneladas métricas (un 42% de las exportaciones de maíz de Ucrania), seguido por China con 4,4 millones (un 18%), Egipto con 2,8 millones (un 12%), Irán con 1,3 millones (un 5%) y Turquía con 1,2 millones (un 5%) (</w:t>
      </w:r>
      <w:r w:rsidR="0017124B">
        <w:rPr>
          <w:rFonts w:asciiTheme="majorBidi" w:hAnsiTheme="majorBidi" w:cstheme="majorBidi"/>
          <w:sz w:val="24"/>
          <w:szCs w:val="24"/>
        </w:rPr>
        <w:t>CIC</w:t>
      </w:r>
      <w:r>
        <w:rPr>
          <w:rFonts w:asciiTheme="majorBidi" w:hAnsiTheme="majorBidi" w:cstheme="majorBidi"/>
          <w:sz w:val="24"/>
          <w:szCs w:val="24"/>
        </w:rPr>
        <w:t>, 2022).</w:t>
      </w:r>
    </w:p>
    <w:p w14:paraId="74E8DA4F" w14:textId="1BF62023" w:rsidR="00FD1F61" w:rsidRDefault="003971B1" w:rsidP="00FD1F61">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lastRenderedPageBreak/>
        <w:t xml:space="preserve">Las exportaciones de maíz </w:t>
      </w:r>
      <w:r w:rsidR="00FD1F61">
        <w:rPr>
          <w:rFonts w:asciiTheme="majorBidi" w:hAnsiTheme="majorBidi" w:cstheme="majorBidi"/>
          <w:sz w:val="24"/>
          <w:szCs w:val="24"/>
        </w:rPr>
        <w:t>desde Rusia</w:t>
      </w:r>
      <w:r>
        <w:rPr>
          <w:rFonts w:asciiTheme="majorBidi" w:hAnsiTheme="majorBidi" w:cstheme="majorBidi"/>
          <w:sz w:val="24"/>
          <w:szCs w:val="24"/>
        </w:rPr>
        <w:t xml:space="preserve"> se dirigieron en 2021 mayoritariamente a Turquía con 1,1 millones de toneladas métricas (un 27% de las exportaciones totales de maíz ruso)</w:t>
      </w:r>
      <w:r w:rsidR="00FD1F61">
        <w:rPr>
          <w:rFonts w:asciiTheme="majorBidi" w:hAnsiTheme="majorBidi" w:cstheme="majorBidi"/>
          <w:sz w:val="24"/>
          <w:szCs w:val="24"/>
        </w:rPr>
        <w:t>, Corea del Sur con 566 miles de toneladas (un 14%), Georgia con 173 miles de toneladas (un 4%), Letonia con 162 miles de toneladas (un 4%) y Grecia con 146 miles de toneladas (un 4%). Se desconoce el destino de hasta 998 miles de toneladas de este maíz exportado (un 25%) (</w:t>
      </w:r>
      <w:proofErr w:type="spellStart"/>
      <w:r w:rsidR="00FD1F61">
        <w:rPr>
          <w:rFonts w:asciiTheme="majorBidi" w:hAnsiTheme="majorBidi" w:cstheme="majorBidi"/>
          <w:sz w:val="24"/>
          <w:szCs w:val="24"/>
        </w:rPr>
        <w:t>Devitt</w:t>
      </w:r>
      <w:proofErr w:type="spellEnd"/>
      <w:r w:rsidR="00FD1F61">
        <w:rPr>
          <w:rFonts w:asciiTheme="majorBidi" w:hAnsiTheme="majorBidi" w:cstheme="majorBidi"/>
          <w:sz w:val="24"/>
          <w:szCs w:val="24"/>
        </w:rPr>
        <w:t>, 2022).</w:t>
      </w:r>
    </w:p>
    <w:p w14:paraId="27F48CEF" w14:textId="0A1DE8D8" w:rsidR="00962114" w:rsidRPr="002917AE" w:rsidRDefault="00962114" w:rsidP="002917AE">
      <w:pPr>
        <w:pStyle w:val="Ttulo3"/>
        <w:numPr>
          <w:ilvl w:val="2"/>
          <w:numId w:val="5"/>
        </w:numPr>
        <w:spacing w:line="360" w:lineRule="auto"/>
        <w:rPr>
          <w:rFonts w:asciiTheme="majorBidi" w:hAnsiTheme="majorBidi"/>
          <w:b/>
          <w:bCs/>
          <w:color w:val="auto"/>
        </w:rPr>
      </w:pPr>
      <w:bookmarkStart w:id="45" w:name="_Toc137456616"/>
      <w:r w:rsidRPr="002917AE">
        <w:rPr>
          <w:rFonts w:asciiTheme="majorBidi" w:hAnsiTheme="majorBidi"/>
          <w:b/>
          <w:bCs/>
          <w:color w:val="auto"/>
        </w:rPr>
        <w:t>Trigo</w:t>
      </w:r>
      <w:bookmarkEnd w:id="45"/>
    </w:p>
    <w:p w14:paraId="3811607B" w14:textId="662C4125" w:rsidR="005E5AB6" w:rsidRDefault="00BD62FF" w:rsidP="005E5AB6">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t>En cuanto al trigo, el mayor productor a nivel mundial en la campaña 2020/2021 fue China, con 134,3 millones de toneladas métricas</w:t>
      </w:r>
      <w:r w:rsidR="007A3156">
        <w:rPr>
          <w:rFonts w:asciiTheme="majorBidi" w:hAnsiTheme="majorBidi" w:cstheme="majorBidi"/>
          <w:sz w:val="24"/>
          <w:szCs w:val="24"/>
        </w:rPr>
        <w:t xml:space="preserve"> y, c</w:t>
      </w:r>
      <w:r>
        <w:rPr>
          <w:rFonts w:asciiTheme="majorBidi" w:hAnsiTheme="majorBidi" w:cstheme="majorBidi"/>
          <w:sz w:val="24"/>
          <w:szCs w:val="24"/>
        </w:rPr>
        <w:t xml:space="preserve">omo se puede observar en el gráfico 4, la </w:t>
      </w:r>
      <w:r w:rsidR="009A5142">
        <w:rPr>
          <w:rFonts w:asciiTheme="majorBidi" w:hAnsiTheme="majorBidi" w:cstheme="majorBidi"/>
          <w:sz w:val="24"/>
          <w:szCs w:val="24"/>
        </w:rPr>
        <w:t>UE</w:t>
      </w:r>
      <w:r w:rsidR="007A3156">
        <w:rPr>
          <w:rFonts w:asciiTheme="majorBidi" w:hAnsiTheme="majorBidi" w:cstheme="majorBidi"/>
          <w:sz w:val="24"/>
          <w:szCs w:val="24"/>
        </w:rPr>
        <w:t>, con 126 millones,</w:t>
      </w:r>
      <w:r w:rsidR="0053079B">
        <w:rPr>
          <w:rFonts w:asciiTheme="majorBidi" w:hAnsiTheme="majorBidi" w:cstheme="majorBidi"/>
          <w:sz w:val="24"/>
          <w:szCs w:val="24"/>
        </w:rPr>
        <w:t xml:space="preserve"> </w:t>
      </w:r>
      <w:r w:rsidR="007A3156">
        <w:rPr>
          <w:rFonts w:asciiTheme="majorBidi" w:hAnsiTheme="majorBidi" w:cstheme="majorBidi"/>
          <w:sz w:val="24"/>
          <w:szCs w:val="24"/>
        </w:rPr>
        <w:t xml:space="preserve">se disputaba </w:t>
      </w:r>
      <w:r w:rsidR="00E34B9B">
        <w:rPr>
          <w:rFonts w:asciiTheme="majorBidi" w:hAnsiTheme="majorBidi" w:cstheme="majorBidi"/>
          <w:sz w:val="24"/>
          <w:szCs w:val="24"/>
        </w:rPr>
        <w:t xml:space="preserve">con dicho país </w:t>
      </w:r>
      <w:r w:rsidR="007A3156">
        <w:rPr>
          <w:rFonts w:asciiTheme="majorBidi" w:hAnsiTheme="majorBidi" w:cstheme="majorBidi"/>
          <w:sz w:val="24"/>
          <w:szCs w:val="24"/>
        </w:rPr>
        <w:t xml:space="preserve">el primer puesto como potencia productora de trigo. En caso contrario a la producción de maíz, Rusia se sitúa por delante de Ucrania en cuanto a la producción de trigo, con 85,4 y 25,4 millones de toneladas métricas producidas, respectivamente. </w:t>
      </w:r>
      <w:r w:rsidR="0015293A">
        <w:rPr>
          <w:rFonts w:asciiTheme="majorBidi" w:hAnsiTheme="majorBidi" w:cstheme="majorBidi"/>
          <w:sz w:val="24"/>
          <w:szCs w:val="24"/>
        </w:rPr>
        <w:t xml:space="preserve">De nuevo en contraste con el caso del maíz, la producción rusa sí supone una importante proporción de la producción total a nivel global, alcanzando un 11%. La producción </w:t>
      </w:r>
      <w:r w:rsidR="00535DCE">
        <w:rPr>
          <w:rFonts w:asciiTheme="majorBidi" w:hAnsiTheme="majorBidi" w:cstheme="majorBidi"/>
          <w:sz w:val="24"/>
          <w:szCs w:val="24"/>
        </w:rPr>
        <w:t>u</w:t>
      </w:r>
      <w:r w:rsidR="0015293A">
        <w:rPr>
          <w:rFonts w:asciiTheme="majorBidi" w:hAnsiTheme="majorBidi" w:cstheme="majorBidi"/>
          <w:sz w:val="24"/>
          <w:szCs w:val="24"/>
        </w:rPr>
        <w:t>craniana de trigo es también más relevante en proporción que la de maíz, suponiendo un 3,3% en la misma métrica</w:t>
      </w:r>
      <w:r w:rsidR="00352DC8">
        <w:rPr>
          <w:rFonts w:asciiTheme="majorBidi" w:hAnsiTheme="majorBidi" w:cstheme="majorBidi"/>
          <w:sz w:val="24"/>
          <w:szCs w:val="24"/>
        </w:rPr>
        <w:t xml:space="preserve"> (Banco Mundial, 2021)</w:t>
      </w:r>
      <w:r w:rsidR="00D021E9">
        <w:rPr>
          <w:rFonts w:asciiTheme="majorBidi" w:hAnsiTheme="majorBidi" w:cstheme="majorBidi"/>
          <w:sz w:val="24"/>
          <w:szCs w:val="24"/>
        </w:rPr>
        <w:t>.</w:t>
      </w:r>
    </w:p>
    <w:p w14:paraId="7F14DF20" w14:textId="2038EFC1" w:rsidR="00F82D03" w:rsidRPr="00C53814" w:rsidRDefault="00F82D03" w:rsidP="00F82D03">
      <w:pPr>
        <w:pStyle w:val="Descripcin"/>
        <w:keepNext/>
        <w:jc w:val="both"/>
        <w:rPr>
          <w:rFonts w:asciiTheme="majorBidi" w:hAnsiTheme="majorBidi" w:cstheme="majorBidi"/>
          <w:sz w:val="20"/>
          <w:szCs w:val="20"/>
        </w:rPr>
      </w:pPr>
      <w:bookmarkStart w:id="46" w:name="_Toc137394945"/>
      <w:r w:rsidRPr="00C53814">
        <w:rPr>
          <w:rFonts w:asciiTheme="majorBidi" w:hAnsiTheme="majorBidi" w:cstheme="majorBidi"/>
          <w:sz w:val="20"/>
          <w:szCs w:val="20"/>
        </w:rPr>
        <w:t xml:space="preserve">Gráfico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Gráfico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4</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 Producción anual de trigo de los principales actores, en millones de toneladas métricas.</w:t>
      </w:r>
      <w:bookmarkEnd w:id="46"/>
      <w:r w:rsidRPr="00C53814">
        <w:rPr>
          <w:rFonts w:asciiTheme="majorBidi" w:hAnsiTheme="majorBidi" w:cstheme="majorBidi"/>
          <w:sz w:val="20"/>
          <w:szCs w:val="20"/>
        </w:rPr>
        <w:t xml:space="preserve"> </w:t>
      </w:r>
    </w:p>
    <w:p w14:paraId="21A95CE4" w14:textId="004BF100" w:rsidR="00A00CC1" w:rsidRDefault="00BD62FF" w:rsidP="00C53814">
      <w:pPr>
        <w:spacing w:after="0" w:line="360" w:lineRule="auto"/>
        <w:jc w:val="both"/>
        <w:rPr>
          <w:rFonts w:asciiTheme="majorBidi" w:hAnsiTheme="majorBidi" w:cstheme="majorBidi"/>
          <w:sz w:val="24"/>
          <w:szCs w:val="24"/>
        </w:rPr>
      </w:pPr>
      <w:r>
        <w:rPr>
          <w:noProof/>
          <w14:ligatures w14:val="standardContextual"/>
        </w:rPr>
        <w:drawing>
          <wp:inline distT="0" distB="0" distL="0" distR="0" wp14:anchorId="6C9D4D74" wp14:editId="54ACB295">
            <wp:extent cx="5400040" cy="2834640"/>
            <wp:effectExtent l="0" t="0" r="10160" b="3810"/>
            <wp:docPr id="333235780" name="Gráfico 1">
              <a:extLst xmlns:a="http://schemas.openxmlformats.org/drawingml/2006/main">
                <a:ext uri="{FF2B5EF4-FFF2-40B4-BE49-F238E27FC236}">
                  <a16:creationId xmlns:a16="http://schemas.microsoft.com/office/drawing/2014/main" id="{CE679610-010A-4D55-B555-614241C22F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926720" w14:textId="77777777" w:rsidR="00C53814" w:rsidRP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(Banco Mundial, 2021).</w:t>
      </w:r>
    </w:p>
    <w:p w14:paraId="12CA8FF0" w14:textId="3CAEC683" w:rsidR="005E5AB6" w:rsidRDefault="006262DF" w:rsidP="005E5AB6">
      <w:pPr>
        <w:spacing w:line="360" w:lineRule="auto"/>
        <w:jc w:val="both"/>
        <w:rPr>
          <w:rFonts w:asciiTheme="majorBidi" w:hAnsiTheme="majorBidi" w:cstheme="majorBidi"/>
          <w:sz w:val="24"/>
          <w:szCs w:val="24"/>
        </w:rPr>
      </w:pPr>
      <w:r>
        <w:rPr>
          <w:rFonts w:asciiTheme="majorBidi" w:hAnsiTheme="majorBidi" w:cstheme="majorBidi"/>
          <w:sz w:val="24"/>
          <w:szCs w:val="24"/>
        </w:rPr>
        <w:tab/>
        <w:t xml:space="preserve">La producción ucraniana de trigo no ha conseguido aún superar sus niveles de 1991. A diferencia del maíz, la producción de trigo de ambos países estudiados partía desde una considerable cifra, aunque se observó una importante caída </w:t>
      </w:r>
      <w:r w:rsidR="00D60308">
        <w:rPr>
          <w:rFonts w:asciiTheme="majorBidi" w:hAnsiTheme="majorBidi" w:cstheme="majorBidi"/>
          <w:sz w:val="24"/>
          <w:szCs w:val="24"/>
        </w:rPr>
        <w:t xml:space="preserve">para el año 2001, </w:t>
      </w:r>
      <w:r w:rsidR="00D60308">
        <w:rPr>
          <w:rFonts w:asciiTheme="majorBidi" w:hAnsiTheme="majorBidi" w:cstheme="majorBidi"/>
          <w:sz w:val="24"/>
          <w:szCs w:val="24"/>
        </w:rPr>
        <w:lastRenderedPageBreak/>
        <w:t>una década después de la inestabilidad que supuso la partición de la URSS: en tan sólo diez años, la producción ucraniana cayó un 66%. Rusia, por su parte, no acusó tanto esta caída, con un descenso en su producción del 30%. Desde ese año, la producción de trigo en Rusia y Ucrania creció ciertamente pareja, un 148% y un 149% respectivamente, hasta 2021</w:t>
      </w:r>
      <w:r w:rsidR="00F22CCD">
        <w:rPr>
          <w:rFonts w:asciiTheme="majorBidi" w:hAnsiTheme="majorBidi" w:cstheme="majorBidi"/>
          <w:sz w:val="24"/>
          <w:szCs w:val="24"/>
        </w:rPr>
        <w:t>.</w:t>
      </w:r>
      <w:r w:rsidR="00D60308">
        <w:rPr>
          <w:rFonts w:asciiTheme="majorBidi" w:hAnsiTheme="majorBidi" w:cstheme="majorBidi"/>
          <w:sz w:val="24"/>
          <w:szCs w:val="24"/>
        </w:rPr>
        <w:t xml:space="preserve"> </w:t>
      </w:r>
      <w:r w:rsidR="00E34B9B">
        <w:rPr>
          <w:rFonts w:asciiTheme="majorBidi" w:hAnsiTheme="majorBidi" w:cstheme="majorBidi"/>
          <w:sz w:val="24"/>
          <w:szCs w:val="24"/>
        </w:rPr>
        <w:t>Ucrania vuelve a situarse como el país de ambos que más producción propia dedica a la exportación, con un 67% (16,9 millones de toneladas métricas), mientras que Rusia exporta un 45% de su producción (38,5 millones)</w:t>
      </w:r>
      <w:r w:rsidR="00C220B0">
        <w:rPr>
          <w:rFonts w:asciiTheme="majorBidi" w:hAnsiTheme="majorBidi" w:cstheme="majorBidi"/>
          <w:sz w:val="24"/>
          <w:szCs w:val="24"/>
        </w:rPr>
        <w:t xml:space="preserve"> como se puede ver en los gráficos 5 y 6</w:t>
      </w:r>
      <w:r w:rsidR="00CC40BF">
        <w:rPr>
          <w:rFonts w:asciiTheme="majorBidi" w:hAnsiTheme="majorBidi" w:cstheme="majorBidi"/>
          <w:sz w:val="24"/>
          <w:szCs w:val="24"/>
        </w:rPr>
        <w:t>.</w:t>
      </w:r>
      <w:r w:rsidR="005E5AB6">
        <w:rPr>
          <w:rFonts w:asciiTheme="majorBidi" w:hAnsiTheme="majorBidi" w:cstheme="majorBidi"/>
          <w:sz w:val="24"/>
          <w:szCs w:val="24"/>
        </w:rPr>
        <w:t xml:space="preserve"> De esta manera, Rusia se posicionó en 2021 como el país líder en exportación del cereal, al ser responsable de un 19% de las exportaciones totales a nivel global.</w:t>
      </w:r>
      <w:r w:rsidR="00CC40BF">
        <w:rPr>
          <w:rFonts w:asciiTheme="majorBidi" w:hAnsiTheme="majorBidi" w:cstheme="majorBidi"/>
          <w:sz w:val="24"/>
          <w:szCs w:val="24"/>
        </w:rPr>
        <w:t xml:space="preserve"> </w:t>
      </w:r>
      <w:r w:rsidR="00463683">
        <w:rPr>
          <w:rFonts w:asciiTheme="majorBidi" w:hAnsiTheme="majorBidi" w:cstheme="majorBidi"/>
          <w:sz w:val="24"/>
          <w:szCs w:val="24"/>
        </w:rPr>
        <w:t xml:space="preserve">Destacando otra vez sobre Ucrania en el caso del trigo, las exportaciones de trigo ruso han aumentado un 3.108% frente al 745% que han aumentado las de trigo ucraniano en las tres décadas desde 1991 a 2021 (Banco Mundial, 2021). </w:t>
      </w:r>
    </w:p>
    <w:p w14:paraId="078D691A" w14:textId="657BE608" w:rsidR="00F82D03" w:rsidRPr="00C53814" w:rsidRDefault="00F82D03" w:rsidP="00F82D03">
      <w:pPr>
        <w:pStyle w:val="Descripcin"/>
        <w:keepNext/>
        <w:jc w:val="both"/>
        <w:rPr>
          <w:rFonts w:asciiTheme="majorBidi" w:hAnsiTheme="majorBidi" w:cstheme="majorBidi"/>
          <w:sz w:val="20"/>
          <w:szCs w:val="20"/>
        </w:rPr>
      </w:pPr>
      <w:bookmarkStart w:id="47" w:name="_Toc137394946"/>
      <w:r w:rsidRPr="00C53814">
        <w:rPr>
          <w:rFonts w:asciiTheme="majorBidi" w:hAnsiTheme="majorBidi" w:cstheme="majorBidi"/>
          <w:sz w:val="20"/>
          <w:szCs w:val="20"/>
        </w:rPr>
        <w:t xml:space="preserve">Gráfico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Gráfico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5</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 Producción y exportación anual de trigo de Ucrania, en millones de toneladas métricas.</w:t>
      </w:r>
      <w:bookmarkEnd w:id="47"/>
      <w:r w:rsidRPr="00C53814">
        <w:rPr>
          <w:rFonts w:asciiTheme="majorBidi" w:hAnsiTheme="majorBidi" w:cstheme="majorBidi"/>
          <w:sz w:val="20"/>
          <w:szCs w:val="20"/>
        </w:rPr>
        <w:t xml:space="preserve"> </w:t>
      </w:r>
    </w:p>
    <w:p w14:paraId="152F5091" w14:textId="41181690" w:rsidR="00A00CC1" w:rsidRDefault="00A00CC1" w:rsidP="00C53814">
      <w:pPr>
        <w:spacing w:after="0" w:line="360" w:lineRule="auto"/>
        <w:jc w:val="both"/>
        <w:rPr>
          <w:rFonts w:asciiTheme="majorBidi" w:hAnsiTheme="majorBidi" w:cstheme="majorBidi"/>
          <w:sz w:val="24"/>
          <w:szCs w:val="24"/>
        </w:rPr>
      </w:pPr>
      <w:r>
        <w:rPr>
          <w:noProof/>
          <w14:ligatures w14:val="standardContextual"/>
        </w:rPr>
        <w:drawing>
          <wp:inline distT="0" distB="0" distL="0" distR="0" wp14:anchorId="5426772A" wp14:editId="03F12C52">
            <wp:extent cx="5400040" cy="2768600"/>
            <wp:effectExtent l="0" t="0" r="10160" b="12700"/>
            <wp:docPr id="1357065213" name="Gráfico 1">
              <a:extLst xmlns:a="http://schemas.openxmlformats.org/drawingml/2006/main">
                <a:ext uri="{FF2B5EF4-FFF2-40B4-BE49-F238E27FC236}">
                  <a16:creationId xmlns:a16="http://schemas.microsoft.com/office/drawing/2014/main" id="{B0E6BCAF-6CA1-444A-B29D-DE6FCC6ADC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C783A25" w14:textId="0DCEEE1E" w:rsid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(Banco Mundial, 2021).</w:t>
      </w:r>
    </w:p>
    <w:p w14:paraId="27ACA1A7" w14:textId="77777777" w:rsidR="00C53814" w:rsidRPr="00C53814" w:rsidRDefault="00C53814" w:rsidP="00C53814"/>
    <w:p w14:paraId="54AFB73C" w14:textId="324866D8" w:rsidR="00796CA8" w:rsidRPr="00C53814" w:rsidRDefault="00796CA8" w:rsidP="00796CA8">
      <w:pPr>
        <w:pStyle w:val="Descripcin"/>
        <w:keepNext/>
        <w:jc w:val="both"/>
        <w:rPr>
          <w:rFonts w:asciiTheme="majorBidi" w:hAnsiTheme="majorBidi" w:cstheme="majorBidi"/>
          <w:sz w:val="20"/>
          <w:szCs w:val="20"/>
        </w:rPr>
      </w:pPr>
      <w:bookmarkStart w:id="48" w:name="_Toc137394947"/>
      <w:r w:rsidRPr="00C53814">
        <w:rPr>
          <w:rFonts w:asciiTheme="majorBidi" w:hAnsiTheme="majorBidi" w:cstheme="majorBidi"/>
          <w:sz w:val="20"/>
          <w:szCs w:val="20"/>
        </w:rPr>
        <w:lastRenderedPageBreak/>
        <w:t xml:space="preserve">Gráfico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Gráfico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6</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 Producción y exportación anual de trigo de Rusia, en millones de toneladas métricas.</w:t>
      </w:r>
      <w:bookmarkEnd w:id="48"/>
      <w:r w:rsidRPr="00C53814">
        <w:rPr>
          <w:rFonts w:asciiTheme="majorBidi" w:hAnsiTheme="majorBidi" w:cstheme="majorBidi"/>
          <w:sz w:val="20"/>
          <w:szCs w:val="20"/>
        </w:rPr>
        <w:t xml:space="preserve"> </w:t>
      </w:r>
    </w:p>
    <w:p w14:paraId="4D260D1B" w14:textId="0DA62BA1" w:rsidR="00A00CC1" w:rsidRDefault="00A00CC1" w:rsidP="00C53814">
      <w:pPr>
        <w:spacing w:after="0" w:line="360" w:lineRule="auto"/>
        <w:jc w:val="both"/>
        <w:rPr>
          <w:rFonts w:asciiTheme="majorBidi" w:hAnsiTheme="majorBidi" w:cstheme="majorBidi"/>
          <w:sz w:val="24"/>
          <w:szCs w:val="24"/>
        </w:rPr>
      </w:pPr>
      <w:r>
        <w:rPr>
          <w:noProof/>
          <w14:ligatures w14:val="standardContextual"/>
        </w:rPr>
        <w:drawing>
          <wp:inline distT="0" distB="0" distL="0" distR="0" wp14:anchorId="3AE48027" wp14:editId="3383D426">
            <wp:extent cx="5400040" cy="2768600"/>
            <wp:effectExtent l="0" t="0" r="10160" b="12700"/>
            <wp:docPr id="2074181077" name="Gráfico 1">
              <a:extLst xmlns:a="http://schemas.openxmlformats.org/drawingml/2006/main">
                <a:ext uri="{FF2B5EF4-FFF2-40B4-BE49-F238E27FC236}">
                  <a16:creationId xmlns:a16="http://schemas.microsoft.com/office/drawing/2014/main" id="{7BEC4B91-9DA9-485D-B2FC-2513BEB1B4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425F8E7" w14:textId="5691A12E" w:rsidR="00C53814" w:rsidRP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(Banco Mundial, 2021).</w:t>
      </w:r>
    </w:p>
    <w:p w14:paraId="667F0FAD" w14:textId="64133860" w:rsidR="00A56216" w:rsidRPr="009F51ED" w:rsidRDefault="003C756A"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Según datos del CIC</w:t>
      </w:r>
      <w:r w:rsidR="00A14B81" w:rsidRPr="009F51ED">
        <w:rPr>
          <w:rFonts w:asciiTheme="majorBidi" w:hAnsiTheme="majorBidi" w:cstheme="majorBidi"/>
          <w:sz w:val="24"/>
          <w:szCs w:val="24"/>
        </w:rPr>
        <w:t xml:space="preserve"> (2022)</w:t>
      </w:r>
      <w:r w:rsidRPr="009F51ED">
        <w:rPr>
          <w:rFonts w:asciiTheme="majorBidi" w:hAnsiTheme="majorBidi" w:cstheme="majorBidi"/>
          <w:sz w:val="24"/>
          <w:szCs w:val="24"/>
        </w:rPr>
        <w:t xml:space="preserve">, los principales destinos de la exportación de trigo desde Ucrania </w:t>
      </w:r>
      <w:r w:rsidR="00A14B81" w:rsidRPr="009F51ED">
        <w:rPr>
          <w:rFonts w:asciiTheme="majorBidi" w:hAnsiTheme="majorBidi" w:cstheme="majorBidi"/>
          <w:sz w:val="24"/>
          <w:szCs w:val="24"/>
        </w:rPr>
        <w:t xml:space="preserve">en los cinco años anteriores a 2021 fueron Egipto con 2,5 millones de toneladas métricas (un 14% de las exportaciones de trigo ucranianas), Indonesia con 2,4 millones (un 13%), Bangladés con 1,6 millones (un 9%), Filipinas con 992 miles de toneladas (un 6%), la </w:t>
      </w:r>
      <w:r w:rsidR="009A5142" w:rsidRPr="009F51ED">
        <w:rPr>
          <w:rFonts w:asciiTheme="majorBidi" w:hAnsiTheme="majorBidi" w:cstheme="majorBidi"/>
          <w:sz w:val="24"/>
          <w:szCs w:val="24"/>
        </w:rPr>
        <w:t>UE</w:t>
      </w:r>
      <w:r w:rsidR="00A14B81" w:rsidRPr="009F51ED">
        <w:rPr>
          <w:rFonts w:asciiTheme="majorBidi" w:hAnsiTheme="majorBidi" w:cstheme="majorBidi"/>
          <w:sz w:val="24"/>
          <w:szCs w:val="24"/>
        </w:rPr>
        <w:t xml:space="preserve"> con 973 miles de toneladas (un 5%). </w:t>
      </w:r>
      <w:r w:rsidR="003F489D" w:rsidRPr="009F51ED">
        <w:rPr>
          <w:rFonts w:asciiTheme="majorBidi" w:hAnsiTheme="majorBidi" w:cstheme="majorBidi"/>
          <w:sz w:val="24"/>
          <w:szCs w:val="24"/>
        </w:rPr>
        <w:t xml:space="preserve">Si bien no se encuentran entre los principales socios comerciales de Ucrania en esta materia, son relevantes también las exportaciones de trigo que este país hace a economías en vías de desarrollo, económicamente inestables o inmersas en conflictos, con una seguridad alimentaria tensionada, como Libia con 519 miles de toneladas, Yemen con 468 miles de toneladas, </w:t>
      </w:r>
      <w:r w:rsidR="00B85AF5" w:rsidRPr="009F51ED">
        <w:rPr>
          <w:rFonts w:asciiTheme="majorBidi" w:hAnsiTheme="majorBidi" w:cstheme="majorBidi"/>
          <w:sz w:val="24"/>
          <w:szCs w:val="24"/>
        </w:rPr>
        <w:t xml:space="preserve">o Etiopía con 213 miles de toneladas. </w:t>
      </w:r>
    </w:p>
    <w:p w14:paraId="3D327976" w14:textId="7A77D784" w:rsidR="002A401D" w:rsidRPr="009F51ED" w:rsidRDefault="008E6EEE"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Las exportaciones de trigo ruso en 2021 se dirigieron principalmente a Turquía, quien importó 6,7 millones de toneladas métricas (un 21% del total de exportaciones de trigo de Rusia), Egipto con 5,7 millones (un 17%), </w:t>
      </w:r>
      <w:r w:rsidR="00781EC8" w:rsidRPr="009F51ED">
        <w:rPr>
          <w:rFonts w:asciiTheme="majorBidi" w:hAnsiTheme="majorBidi" w:cstheme="majorBidi"/>
          <w:sz w:val="24"/>
          <w:szCs w:val="24"/>
        </w:rPr>
        <w:t xml:space="preserve">Azerbaiyán con 1,1 millones (un 3%), Nigeria con 974 miles de toneladas (un 3%) y Kazajistán con 843 miles de toneladas (un 2,6%). </w:t>
      </w:r>
      <w:r w:rsidR="00CA749B" w:rsidRPr="009F51ED">
        <w:rPr>
          <w:rFonts w:asciiTheme="majorBidi" w:hAnsiTheme="majorBidi" w:cstheme="majorBidi"/>
          <w:sz w:val="24"/>
          <w:szCs w:val="24"/>
        </w:rPr>
        <w:t xml:space="preserve">Según informa Reuters, basándose en datos de la consultora especializada </w:t>
      </w:r>
      <w:proofErr w:type="spellStart"/>
      <w:r w:rsidR="00CA749B" w:rsidRPr="009F51ED">
        <w:rPr>
          <w:rFonts w:asciiTheme="majorBidi" w:hAnsiTheme="majorBidi" w:cstheme="majorBidi"/>
          <w:sz w:val="24"/>
          <w:szCs w:val="24"/>
        </w:rPr>
        <w:t>Sovecon</w:t>
      </w:r>
      <w:proofErr w:type="spellEnd"/>
      <w:r w:rsidR="00CA749B" w:rsidRPr="009F51ED">
        <w:rPr>
          <w:rFonts w:asciiTheme="majorBidi" w:hAnsiTheme="majorBidi" w:cstheme="majorBidi"/>
          <w:sz w:val="24"/>
          <w:szCs w:val="24"/>
        </w:rPr>
        <w:t>, hasta 5,5 millones de toneladas métricas de las exportaciones de trigo ruso (un 16,9% del total) tuvieron un destino desconocido. De</w:t>
      </w:r>
      <w:r w:rsidR="00781EC8" w:rsidRPr="009F51ED">
        <w:rPr>
          <w:rFonts w:asciiTheme="majorBidi" w:hAnsiTheme="majorBidi" w:cstheme="majorBidi"/>
          <w:sz w:val="24"/>
          <w:szCs w:val="24"/>
        </w:rPr>
        <w:t xml:space="preserve"> nuevo encontramos importantes partidas a economías tensionadas como Sudán o Yemen</w:t>
      </w:r>
      <w:r w:rsidR="00075167" w:rsidRPr="009F51ED">
        <w:rPr>
          <w:rFonts w:asciiTheme="majorBidi" w:hAnsiTheme="majorBidi" w:cstheme="majorBidi"/>
          <w:sz w:val="24"/>
          <w:szCs w:val="24"/>
        </w:rPr>
        <w:t xml:space="preserve"> (</w:t>
      </w:r>
      <w:proofErr w:type="spellStart"/>
      <w:r w:rsidR="00075167" w:rsidRPr="009F51ED">
        <w:rPr>
          <w:rFonts w:asciiTheme="majorBidi" w:hAnsiTheme="majorBidi" w:cstheme="majorBidi"/>
          <w:sz w:val="24"/>
          <w:szCs w:val="24"/>
        </w:rPr>
        <w:t>Devitt</w:t>
      </w:r>
      <w:proofErr w:type="spellEnd"/>
      <w:r w:rsidR="00075167" w:rsidRPr="009F51ED">
        <w:rPr>
          <w:rFonts w:asciiTheme="majorBidi" w:hAnsiTheme="majorBidi" w:cstheme="majorBidi"/>
          <w:sz w:val="24"/>
          <w:szCs w:val="24"/>
        </w:rPr>
        <w:t>, 2022).</w:t>
      </w:r>
    </w:p>
    <w:p w14:paraId="06F9F46D" w14:textId="77777777" w:rsidR="00496ABD" w:rsidRPr="009F51ED" w:rsidRDefault="00496ABD" w:rsidP="009F51ED">
      <w:pPr>
        <w:spacing w:line="360" w:lineRule="auto"/>
        <w:ind w:firstLine="708"/>
        <w:jc w:val="both"/>
        <w:rPr>
          <w:rFonts w:asciiTheme="majorBidi" w:hAnsiTheme="majorBidi" w:cstheme="majorBidi"/>
          <w:sz w:val="24"/>
          <w:szCs w:val="24"/>
        </w:rPr>
      </w:pPr>
    </w:p>
    <w:p w14:paraId="367EA976" w14:textId="0949545B" w:rsidR="002614F3" w:rsidRPr="009F51ED" w:rsidRDefault="002614F3" w:rsidP="009F51ED">
      <w:pPr>
        <w:pStyle w:val="Ttulo2"/>
        <w:numPr>
          <w:ilvl w:val="1"/>
          <w:numId w:val="5"/>
        </w:numPr>
        <w:spacing w:after="240" w:line="360" w:lineRule="auto"/>
        <w:jc w:val="both"/>
        <w:rPr>
          <w:rFonts w:asciiTheme="majorBidi" w:hAnsiTheme="majorBidi"/>
          <w:b/>
          <w:bCs/>
          <w:color w:val="auto"/>
          <w:sz w:val="24"/>
          <w:szCs w:val="24"/>
        </w:rPr>
      </w:pPr>
      <w:bookmarkStart w:id="49" w:name="_Toc136279208"/>
      <w:bookmarkStart w:id="50" w:name="_Toc137456617"/>
      <w:r w:rsidRPr="009F51ED">
        <w:rPr>
          <w:rFonts w:asciiTheme="majorBidi" w:hAnsiTheme="majorBidi"/>
          <w:b/>
          <w:bCs/>
          <w:color w:val="auto"/>
          <w:sz w:val="24"/>
          <w:szCs w:val="24"/>
        </w:rPr>
        <w:lastRenderedPageBreak/>
        <w:t>La guerra de Ucrania: impacto en el comercio internacional de grano</w:t>
      </w:r>
      <w:bookmarkEnd w:id="50"/>
      <w:r w:rsidRPr="009F51ED">
        <w:rPr>
          <w:rFonts w:asciiTheme="majorBidi" w:hAnsiTheme="majorBidi"/>
          <w:b/>
          <w:bCs/>
          <w:color w:val="auto"/>
          <w:sz w:val="24"/>
          <w:szCs w:val="24"/>
        </w:rPr>
        <w:t xml:space="preserve"> </w:t>
      </w:r>
      <w:bookmarkEnd w:id="49"/>
    </w:p>
    <w:p w14:paraId="41841409" w14:textId="53AD4187" w:rsidR="0033683E" w:rsidRPr="009F51ED" w:rsidRDefault="0033683E" w:rsidP="009F51ED">
      <w:pPr>
        <w:pStyle w:val="Ttulo3"/>
        <w:numPr>
          <w:ilvl w:val="2"/>
          <w:numId w:val="5"/>
        </w:numPr>
        <w:spacing w:line="360" w:lineRule="auto"/>
        <w:jc w:val="both"/>
        <w:rPr>
          <w:rFonts w:asciiTheme="majorBidi" w:hAnsiTheme="majorBidi"/>
          <w:b/>
          <w:bCs/>
          <w:color w:val="auto"/>
        </w:rPr>
      </w:pPr>
      <w:bookmarkStart w:id="51" w:name="_Toc136279209"/>
      <w:bookmarkStart w:id="52" w:name="_Toc137456618"/>
      <w:r w:rsidRPr="009F51ED">
        <w:rPr>
          <w:rFonts w:asciiTheme="majorBidi" w:hAnsiTheme="majorBidi"/>
          <w:b/>
          <w:bCs/>
          <w:color w:val="auto"/>
        </w:rPr>
        <w:t xml:space="preserve">Impacto de la guerra de Ucrania en los volúmenes de </w:t>
      </w:r>
      <w:bookmarkEnd w:id="51"/>
      <w:r w:rsidRPr="009F51ED">
        <w:rPr>
          <w:rFonts w:asciiTheme="majorBidi" w:hAnsiTheme="majorBidi"/>
          <w:b/>
          <w:bCs/>
          <w:color w:val="auto"/>
        </w:rPr>
        <w:t>producción</w:t>
      </w:r>
      <w:bookmarkEnd w:id="52"/>
      <w:r w:rsidRPr="009F51ED">
        <w:rPr>
          <w:rFonts w:asciiTheme="majorBidi" w:hAnsiTheme="majorBidi"/>
          <w:b/>
          <w:bCs/>
          <w:color w:val="auto"/>
        </w:rPr>
        <w:t xml:space="preserve"> </w:t>
      </w:r>
    </w:p>
    <w:p w14:paraId="5E8F63F6" w14:textId="77777777" w:rsidR="00E24D17" w:rsidRPr="009F51ED" w:rsidRDefault="008D3D94"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Según lo estimado por la FAO en su informe </w:t>
      </w:r>
      <w:proofErr w:type="spellStart"/>
      <w:r w:rsidRPr="009F51ED">
        <w:rPr>
          <w:rFonts w:asciiTheme="majorBidi" w:hAnsiTheme="majorBidi" w:cstheme="majorBidi"/>
          <w:i/>
          <w:iCs/>
          <w:sz w:val="24"/>
          <w:szCs w:val="24"/>
        </w:rPr>
        <w:t>Food</w:t>
      </w:r>
      <w:proofErr w:type="spellEnd"/>
      <w:r w:rsidRPr="009F51ED">
        <w:rPr>
          <w:rFonts w:asciiTheme="majorBidi" w:hAnsiTheme="majorBidi" w:cstheme="majorBidi"/>
          <w:i/>
          <w:iCs/>
          <w:sz w:val="24"/>
          <w:szCs w:val="24"/>
        </w:rPr>
        <w:t xml:space="preserve"> Outlook</w:t>
      </w:r>
      <w:r w:rsidRPr="009F51ED">
        <w:rPr>
          <w:rFonts w:asciiTheme="majorBidi" w:hAnsiTheme="majorBidi" w:cstheme="majorBidi"/>
          <w:sz w:val="24"/>
          <w:szCs w:val="24"/>
        </w:rPr>
        <w:t xml:space="preserve"> para junio de 2022, la guerra de Ucrania conllevaría una reducción en la producción de trigo en dicho país del 37,8% frente a las cosechas de 2021. Por el contrario, la producción rusa de este cereal aumentaría un 9,8% gracias a unas buenas condiciones climáticas y a pesar de una reducción en la siembra</w:t>
      </w:r>
      <w:r w:rsidR="00D17682" w:rsidRPr="009F51ED">
        <w:rPr>
          <w:rFonts w:asciiTheme="majorBidi" w:hAnsiTheme="majorBidi" w:cstheme="majorBidi"/>
          <w:sz w:val="24"/>
          <w:szCs w:val="24"/>
        </w:rPr>
        <w:t xml:space="preserve"> (FAO, 2022</w:t>
      </w:r>
      <w:r w:rsidR="00DD6477" w:rsidRPr="009F51ED">
        <w:rPr>
          <w:rFonts w:asciiTheme="majorBidi" w:hAnsiTheme="majorBidi" w:cstheme="majorBidi"/>
          <w:sz w:val="24"/>
          <w:szCs w:val="24"/>
        </w:rPr>
        <w:t>b</w:t>
      </w:r>
      <w:r w:rsidR="00D17682" w:rsidRPr="009F51ED">
        <w:rPr>
          <w:rFonts w:asciiTheme="majorBidi" w:hAnsiTheme="majorBidi" w:cstheme="majorBidi"/>
          <w:sz w:val="24"/>
          <w:szCs w:val="24"/>
        </w:rPr>
        <w:t>)</w:t>
      </w:r>
      <w:r w:rsidR="006F09DF" w:rsidRPr="009F51ED">
        <w:rPr>
          <w:rFonts w:asciiTheme="majorBidi" w:hAnsiTheme="majorBidi" w:cstheme="majorBidi"/>
          <w:sz w:val="24"/>
          <w:szCs w:val="24"/>
        </w:rPr>
        <w:t>.</w:t>
      </w:r>
      <w:r w:rsidR="00D17682" w:rsidRPr="009F51ED">
        <w:rPr>
          <w:rFonts w:asciiTheme="majorBidi" w:hAnsiTheme="majorBidi" w:cstheme="majorBidi"/>
          <w:sz w:val="24"/>
          <w:szCs w:val="24"/>
        </w:rPr>
        <w:t xml:space="preserve"> En diciembre de 2022, este mismo organismo cuantificaba en un 40% la reducción de hectáreas sembradas en Ucrania con cereales de cosecha a mediados de 2023, en comparación con 2021 (FAO, 2022</w:t>
      </w:r>
      <w:r w:rsidR="00DD6477" w:rsidRPr="009F51ED">
        <w:rPr>
          <w:rFonts w:asciiTheme="majorBidi" w:hAnsiTheme="majorBidi" w:cstheme="majorBidi"/>
          <w:sz w:val="24"/>
          <w:szCs w:val="24"/>
        </w:rPr>
        <w:t>a</w:t>
      </w:r>
      <w:r w:rsidR="00D17682" w:rsidRPr="009F51ED">
        <w:rPr>
          <w:rFonts w:asciiTheme="majorBidi" w:hAnsiTheme="majorBidi" w:cstheme="majorBidi"/>
          <w:sz w:val="24"/>
          <w:szCs w:val="24"/>
        </w:rPr>
        <w:t>).</w:t>
      </w:r>
    </w:p>
    <w:p w14:paraId="10ED26A7" w14:textId="21750054" w:rsidR="0033683E" w:rsidRPr="009F51ED" w:rsidRDefault="0033683E"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Esto se debe, por una parte, al impacto más directo que tiene la guerra sobre la producción y el procesado de productos agrícolas como el maíz y el trigo, con los productores abandonando sus campos al unirse a las filas de los ejércitos beligerantes o al huir de las zonas en conflicto, la destrucción de infraestructuras de riego y otro capital físico mueble o inmueble necesario para la siembra o la cosecha (</w:t>
      </w:r>
      <w:proofErr w:type="spellStart"/>
      <w:r w:rsidRPr="009F51ED">
        <w:rPr>
          <w:rFonts w:asciiTheme="majorBidi" w:hAnsiTheme="majorBidi" w:cstheme="majorBidi"/>
          <w:sz w:val="24"/>
          <w:szCs w:val="24"/>
        </w:rPr>
        <w:t>Behnassi</w:t>
      </w:r>
      <w:proofErr w:type="spellEnd"/>
      <w:r w:rsidRPr="009F51ED">
        <w:rPr>
          <w:rFonts w:asciiTheme="majorBidi" w:hAnsiTheme="majorBidi" w:cstheme="majorBidi"/>
          <w:sz w:val="24"/>
          <w:szCs w:val="24"/>
        </w:rPr>
        <w:t xml:space="preserve"> y El </w:t>
      </w:r>
      <w:proofErr w:type="spellStart"/>
      <w:r w:rsidRPr="009F51ED">
        <w:rPr>
          <w:rFonts w:asciiTheme="majorBidi" w:hAnsiTheme="majorBidi" w:cstheme="majorBidi"/>
          <w:sz w:val="24"/>
          <w:szCs w:val="24"/>
        </w:rPr>
        <w:t>Haiba</w:t>
      </w:r>
      <w:proofErr w:type="spellEnd"/>
      <w:r w:rsidRPr="009F51ED">
        <w:rPr>
          <w:rFonts w:asciiTheme="majorBidi" w:hAnsiTheme="majorBidi" w:cstheme="majorBidi"/>
          <w:sz w:val="24"/>
          <w:szCs w:val="24"/>
        </w:rPr>
        <w:t>, 2022), la sensibilidad de los granos a las temporalidades en que han de ser sembrados y cosechados (</w:t>
      </w:r>
      <w:proofErr w:type="spellStart"/>
      <w:r w:rsidRPr="009F51ED">
        <w:rPr>
          <w:rFonts w:asciiTheme="majorBidi" w:hAnsiTheme="majorBidi" w:cstheme="majorBidi"/>
          <w:sz w:val="24"/>
          <w:szCs w:val="24"/>
        </w:rPr>
        <w:t>Hellegers</w:t>
      </w:r>
      <w:proofErr w:type="spellEnd"/>
      <w:r w:rsidRPr="009F51ED">
        <w:rPr>
          <w:rFonts w:asciiTheme="majorBidi" w:hAnsiTheme="majorBidi" w:cstheme="majorBidi"/>
          <w:sz w:val="24"/>
          <w:szCs w:val="24"/>
        </w:rPr>
        <w:t>, 2022), la degradación y contaminación de los campos que son escenario de las batallas (</w:t>
      </w:r>
      <w:proofErr w:type="spellStart"/>
      <w:r w:rsidRPr="009F51ED">
        <w:rPr>
          <w:rFonts w:asciiTheme="majorBidi" w:hAnsiTheme="majorBidi" w:cstheme="majorBidi"/>
          <w:sz w:val="24"/>
          <w:szCs w:val="24"/>
        </w:rPr>
        <w:t>Allam</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et al</w:t>
      </w:r>
      <w:r w:rsidRPr="009F51ED">
        <w:rPr>
          <w:rFonts w:asciiTheme="majorBidi" w:hAnsiTheme="majorBidi" w:cstheme="majorBidi"/>
          <w:sz w:val="24"/>
          <w:szCs w:val="24"/>
        </w:rPr>
        <w:t>., 2022), o la preferencia local por cultivos de consumo doméstico frente a cultivos orientados a la exportación que acabarían siendo relegados (FAO, 2022b).</w:t>
      </w:r>
    </w:p>
    <w:p w14:paraId="120BBF83" w14:textId="150F8287" w:rsidR="002B34E2" w:rsidRPr="009F51ED" w:rsidRDefault="002B34E2"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Se da también la circunstancia de que las tierras más fértiles de Ucrania, el </w:t>
      </w:r>
      <w:r w:rsidRPr="009F51ED">
        <w:rPr>
          <w:rFonts w:asciiTheme="majorBidi" w:hAnsiTheme="majorBidi" w:cstheme="majorBidi"/>
          <w:i/>
          <w:iCs/>
          <w:sz w:val="24"/>
          <w:szCs w:val="24"/>
        </w:rPr>
        <w:t>chernozem</w:t>
      </w:r>
      <w:r w:rsidRPr="009F51ED">
        <w:rPr>
          <w:rFonts w:asciiTheme="majorBidi" w:hAnsiTheme="majorBidi" w:cstheme="majorBidi"/>
          <w:sz w:val="24"/>
          <w:szCs w:val="24"/>
        </w:rPr>
        <w:t xml:space="preserve">, y por tanto las áreas donde más producción se concentraba están al este del país, siendo la primera franja invadida por las tropas rusas y, previsiblemente, la última zona en ser abandonada por las mismas y recuperar su normalidad. En las zonas de </w:t>
      </w:r>
      <w:proofErr w:type="spellStart"/>
      <w:r w:rsidRPr="009F51ED">
        <w:rPr>
          <w:rFonts w:asciiTheme="majorBidi" w:hAnsiTheme="majorBidi" w:cstheme="majorBidi"/>
          <w:sz w:val="24"/>
          <w:szCs w:val="24"/>
        </w:rPr>
        <w:t>Jersón</w:t>
      </w:r>
      <w:proofErr w:type="spellEnd"/>
      <w:r w:rsidRPr="009F51ED">
        <w:rPr>
          <w:rFonts w:asciiTheme="majorBidi" w:hAnsiTheme="majorBidi" w:cstheme="majorBidi"/>
          <w:sz w:val="24"/>
          <w:szCs w:val="24"/>
        </w:rPr>
        <w:t xml:space="preserve">, </w:t>
      </w:r>
      <w:proofErr w:type="spellStart"/>
      <w:r w:rsidRPr="009F51ED">
        <w:rPr>
          <w:rFonts w:asciiTheme="majorBidi" w:hAnsiTheme="majorBidi" w:cstheme="majorBidi"/>
          <w:sz w:val="24"/>
          <w:szCs w:val="24"/>
        </w:rPr>
        <w:t>Zaporiyia</w:t>
      </w:r>
      <w:proofErr w:type="spellEnd"/>
      <w:r w:rsidRPr="009F51ED">
        <w:rPr>
          <w:rFonts w:asciiTheme="majorBidi" w:hAnsiTheme="majorBidi" w:cstheme="majorBidi"/>
          <w:sz w:val="24"/>
          <w:szCs w:val="24"/>
        </w:rPr>
        <w:t xml:space="preserve"> y </w:t>
      </w:r>
      <w:proofErr w:type="spellStart"/>
      <w:r w:rsidRPr="009F51ED">
        <w:rPr>
          <w:rFonts w:asciiTheme="majorBidi" w:hAnsiTheme="majorBidi" w:cstheme="majorBidi"/>
          <w:sz w:val="24"/>
          <w:szCs w:val="24"/>
        </w:rPr>
        <w:t>Lugansk</w:t>
      </w:r>
      <w:proofErr w:type="spellEnd"/>
      <w:r w:rsidRPr="009F51ED">
        <w:rPr>
          <w:rFonts w:asciiTheme="majorBidi" w:hAnsiTheme="majorBidi" w:cstheme="majorBidi"/>
          <w:sz w:val="24"/>
          <w:szCs w:val="24"/>
        </w:rPr>
        <w:t xml:space="preserve"> se detectó un abandono del 13,7%, 10,5% y 7,9% de la superficie cultivable, lo que derivaría en una pérdida del 3</w:t>
      </w:r>
      <w:r w:rsidR="005652B9" w:rsidRPr="009F51ED">
        <w:rPr>
          <w:rFonts w:asciiTheme="majorBidi" w:hAnsiTheme="majorBidi" w:cstheme="majorBidi"/>
          <w:sz w:val="24"/>
          <w:szCs w:val="24"/>
        </w:rPr>
        <w:t>1</w:t>
      </w:r>
      <w:r w:rsidRPr="009F51ED">
        <w:rPr>
          <w:rFonts w:asciiTheme="majorBidi" w:hAnsiTheme="majorBidi" w:cstheme="majorBidi"/>
          <w:sz w:val="24"/>
          <w:szCs w:val="24"/>
        </w:rPr>
        <w:t>,</w:t>
      </w:r>
      <w:r w:rsidR="005652B9" w:rsidRPr="009F51ED">
        <w:rPr>
          <w:rFonts w:asciiTheme="majorBidi" w:hAnsiTheme="majorBidi" w:cstheme="majorBidi"/>
          <w:sz w:val="24"/>
          <w:szCs w:val="24"/>
        </w:rPr>
        <w:t>3</w:t>
      </w:r>
      <w:r w:rsidRPr="009F51ED">
        <w:rPr>
          <w:rFonts w:asciiTheme="majorBidi" w:hAnsiTheme="majorBidi" w:cstheme="majorBidi"/>
          <w:sz w:val="24"/>
          <w:szCs w:val="24"/>
        </w:rPr>
        <w:t>% de la producción</w:t>
      </w:r>
      <w:r w:rsidR="005652B9" w:rsidRPr="009F51ED">
        <w:rPr>
          <w:rFonts w:asciiTheme="majorBidi" w:hAnsiTheme="majorBidi" w:cstheme="majorBidi"/>
          <w:sz w:val="24"/>
          <w:szCs w:val="24"/>
        </w:rPr>
        <w:t xml:space="preserve"> de trigo y del 32,9% de la producción de maíz</w:t>
      </w:r>
      <w:r w:rsidRPr="009F51ED">
        <w:rPr>
          <w:rFonts w:asciiTheme="majorBidi" w:hAnsiTheme="majorBidi" w:cstheme="majorBidi"/>
          <w:sz w:val="24"/>
          <w:szCs w:val="24"/>
        </w:rPr>
        <w:t xml:space="preserve"> </w:t>
      </w:r>
      <w:r w:rsidR="005652B9" w:rsidRPr="009F51ED">
        <w:rPr>
          <w:rFonts w:asciiTheme="majorBidi" w:hAnsiTheme="majorBidi" w:cstheme="majorBidi"/>
          <w:sz w:val="24"/>
          <w:szCs w:val="24"/>
        </w:rPr>
        <w:t>en</w:t>
      </w:r>
      <w:r w:rsidRPr="009F51ED">
        <w:rPr>
          <w:rFonts w:asciiTheme="majorBidi" w:hAnsiTheme="majorBidi" w:cstheme="majorBidi"/>
          <w:sz w:val="24"/>
          <w:szCs w:val="24"/>
        </w:rPr>
        <w:t xml:space="preserve"> las tierras alrededor del río Dniéper. De esta manera, el trigo cultivado en las provincias – </w:t>
      </w:r>
      <w:proofErr w:type="spellStart"/>
      <w:r w:rsidR="000D5729" w:rsidRPr="009F51ED">
        <w:rPr>
          <w:rFonts w:asciiTheme="majorBidi" w:hAnsiTheme="majorBidi" w:cstheme="majorBidi"/>
          <w:i/>
          <w:iCs/>
          <w:sz w:val="24"/>
          <w:szCs w:val="24"/>
        </w:rPr>
        <w:t>ó</w:t>
      </w:r>
      <w:r w:rsidRPr="009F51ED">
        <w:rPr>
          <w:rFonts w:asciiTheme="majorBidi" w:hAnsiTheme="majorBidi" w:cstheme="majorBidi"/>
          <w:i/>
          <w:iCs/>
          <w:sz w:val="24"/>
          <w:szCs w:val="24"/>
        </w:rPr>
        <w:t>blasts</w:t>
      </w:r>
      <w:proofErr w:type="spellEnd"/>
      <w:r w:rsidRPr="009F51ED">
        <w:rPr>
          <w:rFonts w:asciiTheme="majorBidi" w:hAnsiTheme="majorBidi" w:cstheme="majorBidi"/>
          <w:sz w:val="24"/>
          <w:szCs w:val="24"/>
        </w:rPr>
        <w:t xml:space="preserve"> – de </w:t>
      </w:r>
      <w:r w:rsidR="008753E3" w:rsidRPr="009F51ED">
        <w:rPr>
          <w:rFonts w:asciiTheme="majorBidi" w:hAnsiTheme="majorBidi" w:cstheme="majorBidi"/>
          <w:sz w:val="24"/>
          <w:szCs w:val="24"/>
        </w:rPr>
        <w:t xml:space="preserve">Járkov, </w:t>
      </w:r>
      <w:proofErr w:type="spellStart"/>
      <w:r w:rsidR="000D5729" w:rsidRPr="009F51ED">
        <w:rPr>
          <w:rFonts w:asciiTheme="majorBidi" w:hAnsiTheme="majorBidi" w:cstheme="majorBidi"/>
          <w:sz w:val="24"/>
          <w:szCs w:val="24"/>
        </w:rPr>
        <w:t>Dnipropetrovsk</w:t>
      </w:r>
      <w:proofErr w:type="spellEnd"/>
      <w:r w:rsidR="008753E3" w:rsidRPr="009F51ED">
        <w:rPr>
          <w:rFonts w:asciiTheme="majorBidi" w:hAnsiTheme="majorBidi" w:cstheme="majorBidi"/>
          <w:sz w:val="24"/>
          <w:szCs w:val="24"/>
        </w:rPr>
        <w:t>,</w:t>
      </w:r>
      <w:r w:rsidR="000D5729" w:rsidRPr="009F51ED">
        <w:rPr>
          <w:rFonts w:asciiTheme="majorBidi" w:hAnsiTheme="majorBidi" w:cstheme="majorBidi"/>
          <w:sz w:val="24"/>
          <w:szCs w:val="24"/>
        </w:rPr>
        <w:t xml:space="preserve"> </w:t>
      </w:r>
      <w:proofErr w:type="spellStart"/>
      <w:r w:rsidR="000D5729" w:rsidRPr="009F51ED">
        <w:rPr>
          <w:rFonts w:asciiTheme="majorBidi" w:hAnsiTheme="majorBidi" w:cstheme="majorBidi"/>
          <w:sz w:val="24"/>
          <w:szCs w:val="24"/>
        </w:rPr>
        <w:t>Lugansk</w:t>
      </w:r>
      <w:proofErr w:type="spellEnd"/>
      <w:r w:rsidR="008753E3" w:rsidRPr="009F51ED">
        <w:rPr>
          <w:rFonts w:asciiTheme="majorBidi" w:hAnsiTheme="majorBidi" w:cstheme="majorBidi"/>
          <w:sz w:val="24"/>
          <w:szCs w:val="24"/>
        </w:rPr>
        <w:t xml:space="preserve">, Donetsk </w:t>
      </w:r>
      <w:proofErr w:type="spellStart"/>
      <w:r w:rsidR="008753E3" w:rsidRPr="009F51ED">
        <w:rPr>
          <w:rFonts w:asciiTheme="majorBidi" w:hAnsiTheme="majorBidi" w:cstheme="majorBidi"/>
          <w:sz w:val="24"/>
          <w:szCs w:val="24"/>
        </w:rPr>
        <w:t>Zaporiyia</w:t>
      </w:r>
      <w:proofErr w:type="spellEnd"/>
      <w:r w:rsidR="008753E3" w:rsidRPr="009F51ED">
        <w:rPr>
          <w:rFonts w:asciiTheme="majorBidi" w:hAnsiTheme="majorBidi" w:cstheme="majorBidi"/>
          <w:sz w:val="24"/>
          <w:szCs w:val="24"/>
        </w:rPr>
        <w:t xml:space="preserve"> y </w:t>
      </w:r>
      <w:proofErr w:type="spellStart"/>
      <w:r w:rsidR="008753E3" w:rsidRPr="009F51ED">
        <w:rPr>
          <w:rFonts w:asciiTheme="majorBidi" w:hAnsiTheme="majorBidi" w:cstheme="majorBidi"/>
          <w:sz w:val="24"/>
          <w:szCs w:val="24"/>
        </w:rPr>
        <w:t>Jersón</w:t>
      </w:r>
      <w:proofErr w:type="spellEnd"/>
      <w:r w:rsidR="008753E3" w:rsidRPr="009F51ED">
        <w:rPr>
          <w:rFonts w:asciiTheme="majorBidi" w:hAnsiTheme="majorBidi" w:cstheme="majorBidi"/>
          <w:sz w:val="24"/>
          <w:szCs w:val="24"/>
        </w:rPr>
        <w:t xml:space="preserve"> </w:t>
      </w:r>
      <w:r w:rsidRPr="009F51ED">
        <w:rPr>
          <w:rFonts w:asciiTheme="majorBidi" w:hAnsiTheme="majorBidi" w:cstheme="majorBidi"/>
          <w:sz w:val="24"/>
          <w:szCs w:val="24"/>
        </w:rPr>
        <w:t>disminuyó en 770 miles de toneladas</w:t>
      </w:r>
      <w:r w:rsidR="005652B9" w:rsidRPr="009F51ED">
        <w:rPr>
          <w:rFonts w:asciiTheme="majorBidi" w:hAnsiTheme="majorBidi" w:cstheme="majorBidi"/>
          <w:sz w:val="24"/>
          <w:szCs w:val="24"/>
        </w:rPr>
        <w:t xml:space="preserve"> por abandono de las tierras y en 2,5 millones de toneladas por destrucción de los cultivos, y el maíz lo hizo en casi 200 miles de toneladas por abandono y en unos 100 miles de toneladas por destrucción</w:t>
      </w:r>
      <w:r w:rsidR="00D040BF" w:rsidRPr="009F51ED">
        <w:rPr>
          <w:rFonts w:asciiTheme="majorBidi" w:hAnsiTheme="majorBidi" w:cstheme="majorBidi"/>
          <w:sz w:val="24"/>
          <w:szCs w:val="24"/>
        </w:rPr>
        <w:t xml:space="preserve"> (He </w:t>
      </w:r>
      <w:r w:rsidR="00D040BF" w:rsidRPr="009F51ED">
        <w:rPr>
          <w:rFonts w:asciiTheme="majorBidi" w:hAnsiTheme="majorBidi" w:cstheme="majorBidi"/>
          <w:i/>
          <w:iCs/>
          <w:sz w:val="24"/>
          <w:szCs w:val="24"/>
        </w:rPr>
        <w:t>et al</w:t>
      </w:r>
      <w:r w:rsidR="00D040BF" w:rsidRPr="009F51ED">
        <w:rPr>
          <w:rFonts w:asciiTheme="majorBidi" w:hAnsiTheme="majorBidi" w:cstheme="majorBidi"/>
          <w:sz w:val="24"/>
          <w:szCs w:val="24"/>
        </w:rPr>
        <w:t>., 2023).</w:t>
      </w:r>
    </w:p>
    <w:p w14:paraId="7ACB35C9" w14:textId="3FC4C8BC" w:rsidR="0033683E" w:rsidRPr="009F51ED" w:rsidRDefault="0033683E" w:rsidP="009F51ED">
      <w:pPr>
        <w:pStyle w:val="Ttulo3"/>
        <w:numPr>
          <w:ilvl w:val="2"/>
          <w:numId w:val="5"/>
        </w:numPr>
        <w:spacing w:line="360" w:lineRule="auto"/>
        <w:jc w:val="both"/>
        <w:rPr>
          <w:rFonts w:asciiTheme="majorBidi" w:hAnsiTheme="majorBidi"/>
          <w:b/>
          <w:bCs/>
          <w:color w:val="auto"/>
        </w:rPr>
      </w:pPr>
      <w:bookmarkStart w:id="53" w:name="_Toc137456619"/>
      <w:r w:rsidRPr="009F51ED">
        <w:rPr>
          <w:rFonts w:asciiTheme="majorBidi" w:hAnsiTheme="majorBidi"/>
          <w:b/>
          <w:bCs/>
          <w:color w:val="auto"/>
        </w:rPr>
        <w:lastRenderedPageBreak/>
        <w:t xml:space="preserve">Impacto de la guerra de Ucrania en la exportación: </w:t>
      </w:r>
      <w:r w:rsidR="005B2462" w:rsidRPr="009F51ED">
        <w:rPr>
          <w:rFonts w:asciiTheme="majorBidi" w:hAnsiTheme="majorBidi"/>
          <w:b/>
          <w:bCs/>
          <w:color w:val="auto"/>
        </w:rPr>
        <w:t xml:space="preserve">logística, </w:t>
      </w:r>
      <w:r w:rsidRPr="009F51ED">
        <w:rPr>
          <w:rFonts w:asciiTheme="majorBidi" w:hAnsiTheme="majorBidi"/>
          <w:b/>
          <w:bCs/>
          <w:color w:val="auto"/>
        </w:rPr>
        <w:t>cuellos de botella</w:t>
      </w:r>
      <w:r w:rsidR="005B2462" w:rsidRPr="009F51ED">
        <w:rPr>
          <w:rFonts w:asciiTheme="majorBidi" w:hAnsiTheme="majorBidi"/>
          <w:b/>
          <w:bCs/>
          <w:color w:val="auto"/>
        </w:rPr>
        <w:t xml:space="preserve"> y nuevas políticas estatales</w:t>
      </w:r>
      <w:bookmarkEnd w:id="53"/>
    </w:p>
    <w:p w14:paraId="305D2A6A" w14:textId="69EF4601" w:rsidR="004E5027" w:rsidRPr="009F51ED" w:rsidRDefault="0033683E"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Ya antes del estallido de la guerra, el sistema logístico de transporte de mercancías a nivel mundial se encontraba en una crisis que arrastraba desde la pandemia de la COVID-19. Los confinamientos y cierres de fronteras, entre otras medidas, impuestos por todo el mundo provocaron graves disrupciones</w:t>
      </w:r>
      <w:r w:rsidR="000F32BC" w:rsidRPr="009F51ED">
        <w:rPr>
          <w:rFonts w:asciiTheme="majorBidi" w:hAnsiTheme="majorBidi" w:cstheme="majorBidi"/>
          <w:sz w:val="24"/>
          <w:szCs w:val="24"/>
        </w:rPr>
        <w:t xml:space="preserve"> como falta de personal, atascos y congestiones</w:t>
      </w:r>
      <w:r w:rsidRPr="009F51ED">
        <w:rPr>
          <w:rFonts w:asciiTheme="majorBidi" w:hAnsiTheme="majorBidi" w:cstheme="majorBidi"/>
          <w:sz w:val="24"/>
          <w:szCs w:val="24"/>
        </w:rPr>
        <w:t xml:space="preserve"> </w:t>
      </w:r>
      <w:r w:rsidR="004E5027" w:rsidRPr="009F51ED">
        <w:rPr>
          <w:rFonts w:asciiTheme="majorBidi" w:hAnsiTheme="majorBidi" w:cstheme="majorBidi"/>
          <w:sz w:val="24"/>
          <w:szCs w:val="24"/>
        </w:rPr>
        <w:t xml:space="preserve">en </w:t>
      </w:r>
      <w:r w:rsidR="000F32BC" w:rsidRPr="009F51ED">
        <w:rPr>
          <w:rFonts w:asciiTheme="majorBidi" w:hAnsiTheme="majorBidi" w:cstheme="majorBidi"/>
          <w:sz w:val="24"/>
          <w:szCs w:val="24"/>
        </w:rPr>
        <w:t xml:space="preserve">importantes </w:t>
      </w:r>
      <w:r w:rsidRPr="009F51ED">
        <w:rPr>
          <w:rFonts w:asciiTheme="majorBidi" w:hAnsiTheme="majorBidi" w:cstheme="majorBidi"/>
          <w:sz w:val="24"/>
          <w:szCs w:val="24"/>
        </w:rPr>
        <w:t>puertos</w:t>
      </w:r>
      <w:r w:rsidR="007D2BB6" w:rsidRPr="009F51ED">
        <w:rPr>
          <w:rFonts w:asciiTheme="majorBidi" w:hAnsiTheme="majorBidi" w:cstheme="majorBidi"/>
          <w:sz w:val="24"/>
          <w:szCs w:val="24"/>
        </w:rPr>
        <w:t xml:space="preserve"> comerciales</w:t>
      </w:r>
      <w:r w:rsidRPr="009F51ED">
        <w:rPr>
          <w:rFonts w:asciiTheme="majorBidi" w:hAnsiTheme="majorBidi" w:cstheme="majorBidi"/>
          <w:sz w:val="24"/>
          <w:szCs w:val="24"/>
        </w:rPr>
        <w:t>, rompiendo la dinámica de “justo a tiempo” en que se basaban las cadenas de suministro internacionales</w:t>
      </w:r>
      <w:r w:rsidR="004E5027" w:rsidRPr="009F51ED">
        <w:rPr>
          <w:rFonts w:asciiTheme="majorBidi" w:hAnsiTheme="majorBidi" w:cstheme="majorBidi"/>
          <w:sz w:val="24"/>
          <w:szCs w:val="24"/>
        </w:rPr>
        <w:t xml:space="preserve"> y disparando los costes de transporte de mercancías por mar</w:t>
      </w:r>
      <w:r w:rsidR="001F7B72" w:rsidRPr="009F51ED">
        <w:rPr>
          <w:rFonts w:asciiTheme="majorBidi" w:hAnsiTheme="majorBidi" w:cstheme="majorBidi"/>
          <w:sz w:val="24"/>
          <w:szCs w:val="24"/>
        </w:rPr>
        <w:t>, lo que a su vez haría subir los precios de los productos transportados por dicho medio</w:t>
      </w:r>
      <w:r w:rsidR="00D26978" w:rsidRPr="009F51ED">
        <w:rPr>
          <w:rFonts w:asciiTheme="majorBidi" w:hAnsiTheme="majorBidi" w:cstheme="majorBidi"/>
          <w:sz w:val="24"/>
          <w:szCs w:val="24"/>
        </w:rPr>
        <w:t xml:space="preserve"> </w:t>
      </w:r>
      <w:r w:rsidR="000F32BC" w:rsidRPr="009F51ED">
        <w:rPr>
          <w:rFonts w:asciiTheme="majorBidi" w:hAnsiTheme="majorBidi" w:cstheme="majorBidi"/>
          <w:sz w:val="24"/>
          <w:szCs w:val="24"/>
        </w:rPr>
        <w:t>(</w:t>
      </w:r>
      <w:r w:rsidR="00D26978" w:rsidRPr="009F51ED">
        <w:rPr>
          <w:rFonts w:asciiTheme="majorBidi" w:hAnsiTheme="majorBidi" w:cstheme="majorBidi"/>
          <w:sz w:val="24"/>
          <w:szCs w:val="24"/>
        </w:rPr>
        <w:t xml:space="preserve">Giles </w:t>
      </w:r>
      <w:r w:rsidR="00D26978" w:rsidRPr="009F51ED">
        <w:rPr>
          <w:rFonts w:asciiTheme="majorBidi" w:hAnsiTheme="majorBidi" w:cstheme="majorBidi"/>
          <w:i/>
          <w:iCs/>
          <w:sz w:val="24"/>
          <w:szCs w:val="24"/>
        </w:rPr>
        <w:t>et al.</w:t>
      </w:r>
      <w:r w:rsidR="00D26978" w:rsidRPr="009F51ED">
        <w:rPr>
          <w:rFonts w:asciiTheme="majorBidi" w:hAnsiTheme="majorBidi" w:cstheme="majorBidi"/>
          <w:sz w:val="24"/>
          <w:szCs w:val="24"/>
        </w:rPr>
        <w:t xml:space="preserve">, 2021; </w:t>
      </w:r>
      <w:r w:rsidR="000F32BC" w:rsidRPr="009F51ED">
        <w:rPr>
          <w:rFonts w:asciiTheme="majorBidi" w:hAnsiTheme="majorBidi" w:cstheme="majorBidi"/>
          <w:sz w:val="24"/>
          <w:szCs w:val="24"/>
        </w:rPr>
        <w:t xml:space="preserve">Masters y </w:t>
      </w:r>
      <w:proofErr w:type="spellStart"/>
      <w:r w:rsidR="000F32BC" w:rsidRPr="009F51ED">
        <w:rPr>
          <w:rFonts w:asciiTheme="majorBidi" w:hAnsiTheme="majorBidi" w:cstheme="majorBidi"/>
          <w:sz w:val="24"/>
          <w:szCs w:val="24"/>
        </w:rPr>
        <w:t>Edgecliffe</w:t>
      </w:r>
      <w:proofErr w:type="spellEnd"/>
      <w:r w:rsidR="000F32BC" w:rsidRPr="009F51ED">
        <w:rPr>
          <w:rFonts w:asciiTheme="majorBidi" w:hAnsiTheme="majorBidi" w:cstheme="majorBidi"/>
          <w:sz w:val="24"/>
          <w:szCs w:val="24"/>
        </w:rPr>
        <w:t>-Johnson, 2021).</w:t>
      </w:r>
      <w:r w:rsidR="009839CC" w:rsidRPr="009F51ED">
        <w:rPr>
          <w:rFonts w:asciiTheme="majorBidi" w:hAnsiTheme="majorBidi" w:cstheme="majorBidi"/>
          <w:sz w:val="24"/>
          <w:szCs w:val="24"/>
        </w:rPr>
        <w:t xml:space="preserve"> Fue tal la desestabilización del sistema de logística internacional en el que se apoyaban las economías globales que esta alteró las prioridades de diseño de dicho sistema, pasándose a priorizar la resiliencia y la sostenibilidad de las cadenas de suministro</w:t>
      </w:r>
      <w:r w:rsidR="007355B2" w:rsidRPr="009F51ED">
        <w:rPr>
          <w:rFonts w:asciiTheme="majorBidi" w:hAnsiTheme="majorBidi" w:cstheme="majorBidi"/>
          <w:sz w:val="24"/>
          <w:szCs w:val="24"/>
        </w:rPr>
        <w:t xml:space="preserve"> (</w:t>
      </w:r>
      <w:proofErr w:type="spellStart"/>
      <w:r w:rsidR="007355B2" w:rsidRPr="009F51ED">
        <w:rPr>
          <w:rFonts w:asciiTheme="majorBidi" w:hAnsiTheme="majorBidi" w:cstheme="majorBidi"/>
          <w:sz w:val="24"/>
          <w:szCs w:val="24"/>
        </w:rPr>
        <w:t>Moosavi</w:t>
      </w:r>
      <w:proofErr w:type="spellEnd"/>
      <w:r w:rsidR="007355B2" w:rsidRPr="009F51ED">
        <w:rPr>
          <w:rFonts w:asciiTheme="majorBidi" w:hAnsiTheme="majorBidi" w:cstheme="majorBidi"/>
          <w:sz w:val="24"/>
          <w:szCs w:val="24"/>
        </w:rPr>
        <w:t xml:space="preserve"> </w:t>
      </w:r>
      <w:r w:rsidR="007355B2" w:rsidRPr="009F51ED">
        <w:rPr>
          <w:rFonts w:asciiTheme="majorBidi" w:hAnsiTheme="majorBidi" w:cstheme="majorBidi"/>
          <w:i/>
          <w:iCs/>
          <w:sz w:val="24"/>
          <w:szCs w:val="24"/>
        </w:rPr>
        <w:t>et al.</w:t>
      </w:r>
      <w:r w:rsidR="007355B2" w:rsidRPr="009F51ED">
        <w:rPr>
          <w:rFonts w:asciiTheme="majorBidi" w:hAnsiTheme="majorBidi" w:cstheme="majorBidi"/>
          <w:sz w:val="24"/>
          <w:szCs w:val="24"/>
        </w:rPr>
        <w:t>, 2022)</w:t>
      </w:r>
      <w:r w:rsidR="009839CC" w:rsidRPr="009F51ED">
        <w:rPr>
          <w:rFonts w:asciiTheme="majorBidi" w:hAnsiTheme="majorBidi" w:cstheme="majorBidi"/>
          <w:sz w:val="24"/>
          <w:szCs w:val="24"/>
        </w:rPr>
        <w:t xml:space="preserve">.  </w:t>
      </w:r>
    </w:p>
    <w:p w14:paraId="5A75DE02" w14:textId="3F02ECDA" w:rsidR="0033683E" w:rsidRPr="009F51ED" w:rsidRDefault="0013257A"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La guerra de Ucrania no hará sino exacerbar los problemas de dichas cadenas de suministros: durante el primer año del conflicto aumentaron los precios de los combustibles, de los fertilizantes y del grano, lo que repercutió en los precios de productos que necesitan de estos como bienes intermedios, como podrían ser la carne, los huevos o la leche</w:t>
      </w:r>
      <w:r w:rsidR="0033683E" w:rsidRPr="009F51ED">
        <w:rPr>
          <w:rFonts w:asciiTheme="majorBidi" w:hAnsiTheme="majorBidi" w:cstheme="majorBidi"/>
          <w:sz w:val="24"/>
          <w:szCs w:val="24"/>
        </w:rPr>
        <w:t xml:space="preserve"> (</w:t>
      </w:r>
      <w:proofErr w:type="spellStart"/>
      <w:r w:rsidR="0033683E" w:rsidRPr="009F51ED">
        <w:rPr>
          <w:rFonts w:asciiTheme="majorBidi" w:hAnsiTheme="majorBidi" w:cstheme="majorBidi"/>
          <w:sz w:val="24"/>
          <w:szCs w:val="24"/>
        </w:rPr>
        <w:t>Allam</w:t>
      </w:r>
      <w:proofErr w:type="spellEnd"/>
      <w:r w:rsidR="0033683E" w:rsidRPr="009F51ED">
        <w:rPr>
          <w:rFonts w:asciiTheme="majorBidi" w:hAnsiTheme="majorBidi" w:cstheme="majorBidi"/>
          <w:sz w:val="24"/>
          <w:szCs w:val="24"/>
        </w:rPr>
        <w:t xml:space="preserve"> </w:t>
      </w:r>
      <w:r w:rsidR="0033683E" w:rsidRPr="009F51ED">
        <w:rPr>
          <w:rFonts w:asciiTheme="majorBidi" w:hAnsiTheme="majorBidi" w:cstheme="majorBidi"/>
          <w:i/>
          <w:iCs/>
          <w:sz w:val="24"/>
          <w:szCs w:val="24"/>
        </w:rPr>
        <w:t>et al</w:t>
      </w:r>
      <w:r w:rsidR="0033683E" w:rsidRPr="009F51ED">
        <w:rPr>
          <w:rFonts w:asciiTheme="majorBidi" w:hAnsiTheme="majorBidi" w:cstheme="majorBidi"/>
          <w:sz w:val="24"/>
          <w:szCs w:val="24"/>
        </w:rPr>
        <w:t xml:space="preserve">., 2022). </w:t>
      </w:r>
    </w:p>
    <w:p w14:paraId="49AEE975" w14:textId="3ECE7654" w:rsidR="008D3D94" w:rsidRPr="009F51ED" w:rsidRDefault="006F09DF"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En cuanto a la exportación</w:t>
      </w:r>
      <w:r w:rsidR="003C1DE9" w:rsidRPr="009F51ED">
        <w:rPr>
          <w:rFonts w:asciiTheme="majorBidi" w:hAnsiTheme="majorBidi" w:cstheme="majorBidi"/>
          <w:sz w:val="24"/>
          <w:szCs w:val="24"/>
        </w:rPr>
        <w:t xml:space="preserve"> de grano desde la región</w:t>
      </w:r>
      <w:r w:rsidRPr="009F51ED">
        <w:rPr>
          <w:rFonts w:asciiTheme="majorBidi" w:hAnsiTheme="majorBidi" w:cstheme="majorBidi"/>
          <w:sz w:val="24"/>
          <w:szCs w:val="24"/>
        </w:rPr>
        <w:t xml:space="preserve">, </w:t>
      </w:r>
      <w:r w:rsidR="00B02979" w:rsidRPr="009F51ED">
        <w:rPr>
          <w:rFonts w:asciiTheme="majorBidi" w:hAnsiTheme="majorBidi" w:cstheme="majorBidi"/>
          <w:sz w:val="24"/>
          <w:szCs w:val="24"/>
        </w:rPr>
        <w:t>la FAO (2022b) predecía</w:t>
      </w:r>
      <w:r w:rsidRPr="009F51ED">
        <w:rPr>
          <w:rFonts w:asciiTheme="majorBidi" w:hAnsiTheme="majorBidi" w:cstheme="majorBidi"/>
          <w:sz w:val="24"/>
          <w:szCs w:val="24"/>
        </w:rPr>
        <w:t xml:space="preserve"> una caída del 50% en el comercio internacional del trigo ucraniano debido a los daños sufridos por la infraestructura interna de Ucrania y al bloqueo por parte las tropas rusas de los principales puertos del país</w:t>
      </w:r>
      <w:r w:rsidR="00F50900" w:rsidRPr="009F51ED">
        <w:rPr>
          <w:rFonts w:asciiTheme="majorBidi" w:hAnsiTheme="majorBidi" w:cstheme="majorBidi"/>
          <w:sz w:val="24"/>
          <w:szCs w:val="24"/>
        </w:rPr>
        <w:t xml:space="preserve">, con salida al </w:t>
      </w:r>
      <w:r w:rsidR="004257E9" w:rsidRPr="009F51ED">
        <w:rPr>
          <w:rFonts w:asciiTheme="majorBidi" w:hAnsiTheme="majorBidi" w:cstheme="majorBidi"/>
          <w:sz w:val="24"/>
          <w:szCs w:val="24"/>
        </w:rPr>
        <w:t>m</w:t>
      </w:r>
      <w:r w:rsidR="00F50900" w:rsidRPr="009F51ED">
        <w:rPr>
          <w:rFonts w:asciiTheme="majorBidi" w:hAnsiTheme="majorBidi" w:cstheme="majorBidi"/>
          <w:sz w:val="24"/>
          <w:szCs w:val="24"/>
        </w:rPr>
        <w:t xml:space="preserve">ar Negro, </w:t>
      </w:r>
      <w:r w:rsidRPr="009F51ED">
        <w:rPr>
          <w:rFonts w:asciiTheme="majorBidi" w:hAnsiTheme="majorBidi" w:cstheme="majorBidi"/>
          <w:sz w:val="24"/>
          <w:szCs w:val="24"/>
        </w:rPr>
        <w:t>desde febrero de 2022. Pronosticaba que estos obstáculos a la exportación persistirían, y que Ucrania se vería obligada a redirigir</w:t>
      </w:r>
      <w:r w:rsidR="00F50900" w:rsidRPr="009F51ED">
        <w:rPr>
          <w:rFonts w:asciiTheme="majorBidi" w:hAnsiTheme="majorBidi" w:cstheme="majorBidi"/>
          <w:sz w:val="24"/>
          <w:szCs w:val="24"/>
        </w:rPr>
        <w:t xml:space="preserve"> el 90% de sus exportaciones de grano que pasaba por estos puertos</w:t>
      </w:r>
      <w:r w:rsidRPr="009F51ED">
        <w:rPr>
          <w:rFonts w:asciiTheme="majorBidi" w:hAnsiTheme="majorBidi" w:cstheme="majorBidi"/>
          <w:sz w:val="24"/>
          <w:szCs w:val="24"/>
        </w:rPr>
        <w:t xml:space="preserve"> hacia Europa por medio de rutas de ferrocarril</w:t>
      </w:r>
      <w:r w:rsidR="00C76640" w:rsidRPr="009F51ED">
        <w:rPr>
          <w:rFonts w:asciiTheme="majorBidi" w:hAnsiTheme="majorBidi" w:cstheme="majorBidi"/>
          <w:sz w:val="24"/>
          <w:szCs w:val="24"/>
        </w:rPr>
        <w:t xml:space="preserve"> </w:t>
      </w:r>
      <w:r w:rsidR="00F50900" w:rsidRPr="009F51ED">
        <w:rPr>
          <w:rFonts w:asciiTheme="majorBidi" w:hAnsiTheme="majorBidi" w:cstheme="majorBidi"/>
          <w:sz w:val="24"/>
          <w:szCs w:val="24"/>
        </w:rPr>
        <w:t>o carretera</w:t>
      </w:r>
      <w:r w:rsidR="00C76640" w:rsidRPr="009F51ED">
        <w:rPr>
          <w:rFonts w:asciiTheme="majorBidi" w:hAnsiTheme="majorBidi" w:cstheme="majorBidi"/>
          <w:sz w:val="24"/>
          <w:szCs w:val="24"/>
        </w:rPr>
        <w:t>.</w:t>
      </w:r>
      <w:r w:rsidR="009B1BC5" w:rsidRPr="009F51ED">
        <w:rPr>
          <w:rFonts w:asciiTheme="majorBidi" w:hAnsiTheme="majorBidi" w:cstheme="majorBidi"/>
          <w:sz w:val="24"/>
          <w:szCs w:val="24"/>
        </w:rPr>
        <w:t xml:space="preserve"> </w:t>
      </w:r>
    </w:p>
    <w:p w14:paraId="0961F20A" w14:textId="0E40D5AB" w:rsidR="000938E6" w:rsidRPr="009F51ED" w:rsidRDefault="009B40E0"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Seguidamente, las sanciones impuestas al comercio de productos rusos y bielorrusos – al ser la Bielorrusia de </w:t>
      </w:r>
      <w:proofErr w:type="spellStart"/>
      <w:r w:rsidR="00F20C52" w:rsidRPr="009F51ED">
        <w:rPr>
          <w:rFonts w:asciiTheme="majorBidi" w:hAnsiTheme="majorBidi" w:cstheme="majorBidi"/>
          <w:sz w:val="24"/>
          <w:szCs w:val="24"/>
        </w:rPr>
        <w:t>Lukashenko</w:t>
      </w:r>
      <w:proofErr w:type="spellEnd"/>
      <w:r w:rsidR="00F20C52" w:rsidRPr="009F51ED">
        <w:rPr>
          <w:rFonts w:asciiTheme="majorBidi" w:hAnsiTheme="majorBidi" w:cstheme="majorBidi"/>
          <w:sz w:val="24"/>
          <w:szCs w:val="24"/>
        </w:rPr>
        <w:t xml:space="preserve"> </w:t>
      </w:r>
      <w:r w:rsidRPr="009F51ED">
        <w:rPr>
          <w:rFonts w:asciiTheme="majorBidi" w:hAnsiTheme="majorBidi" w:cstheme="majorBidi"/>
          <w:sz w:val="24"/>
          <w:szCs w:val="24"/>
        </w:rPr>
        <w:t xml:space="preserve">el principal aliado de Rusia en el conflicto – por actores de peso en la economía internacional como </w:t>
      </w:r>
      <w:r w:rsidR="00D07C87" w:rsidRPr="009F51ED">
        <w:rPr>
          <w:rFonts w:asciiTheme="majorBidi" w:hAnsiTheme="majorBidi" w:cstheme="majorBidi"/>
          <w:sz w:val="24"/>
          <w:szCs w:val="24"/>
        </w:rPr>
        <w:t>EE.UU.</w:t>
      </w:r>
      <w:r w:rsidRPr="009F51ED">
        <w:rPr>
          <w:rFonts w:asciiTheme="majorBidi" w:hAnsiTheme="majorBidi" w:cstheme="majorBidi"/>
          <w:sz w:val="24"/>
          <w:szCs w:val="24"/>
        </w:rPr>
        <w:t xml:space="preserve">, la </w:t>
      </w:r>
      <w:r w:rsidR="009A5142" w:rsidRPr="009F51ED">
        <w:rPr>
          <w:rFonts w:asciiTheme="majorBidi" w:hAnsiTheme="majorBidi" w:cstheme="majorBidi"/>
          <w:sz w:val="24"/>
          <w:szCs w:val="24"/>
        </w:rPr>
        <w:t>UE</w:t>
      </w:r>
      <w:r w:rsidRPr="009F51ED">
        <w:rPr>
          <w:rFonts w:asciiTheme="majorBidi" w:hAnsiTheme="majorBidi" w:cstheme="majorBidi"/>
          <w:sz w:val="24"/>
          <w:szCs w:val="24"/>
        </w:rPr>
        <w:t xml:space="preserve"> y sus aliados tuvieron un impacto considerable en otros eslabones de las cadenas de suministro alimentarias a nivel mundial. Por una parte, Rusia produce el 15% de los abonos nitrogenados y el 17% de los abonos potásicos</w:t>
      </w:r>
      <w:r w:rsidR="00DF57CC" w:rsidRPr="009F51ED">
        <w:rPr>
          <w:rFonts w:asciiTheme="majorBidi" w:hAnsiTheme="majorBidi" w:cstheme="majorBidi"/>
          <w:sz w:val="24"/>
          <w:szCs w:val="24"/>
        </w:rPr>
        <w:t xml:space="preserve"> comercializados en el mundo</w:t>
      </w:r>
      <w:r w:rsidRPr="009F51ED">
        <w:rPr>
          <w:rFonts w:asciiTheme="majorBidi" w:hAnsiTheme="majorBidi" w:cstheme="majorBidi"/>
          <w:sz w:val="24"/>
          <w:szCs w:val="24"/>
        </w:rPr>
        <w:t xml:space="preserve">, a lo que habría que añadir el 16% que suponen los abonos de potasio bielorrusos. </w:t>
      </w:r>
      <w:r w:rsidR="00FA731E" w:rsidRPr="009F51ED">
        <w:rPr>
          <w:rFonts w:asciiTheme="majorBidi" w:hAnsiTheme="majorBidi" w:cstheme="majorBidi"/>
          <w:sz w:val="24"/>
          <w:szCs w:val="24"/>
        </w:rPr>
        <w:t xml:space="preserve">Por otra parte, </w:t>
      </w:r>
      <w:r w:rsidR="00FA731E" w:rsidRPr="009F51ED">
        <w:rPr>
          <w:rFonts w:asciiTheme="majorBidi" w:hAnsiTheme="majorBidi" w:cstheme="majorBidi"/>
          <w:sz w:val="24"/>
          <w:szCs w:val="24"/>
        </w:rPr>
        <w:lastRenderedPageBreak/>
        <w:t>las sanciones al petróleo ruso encarecieron la energía a nivel global durante el primer año del conflicto, lo que a su vez encareció el transporte del grano ruso y ucraniano</w:t>
      </w:r>
      <w:r w:rsidR="00950191" w:rsidRPr="009F51ED">
        <w:rPr>
          <w:rFonts w:asciiTheme="majorBidi" w:hAnsiTheme="majorBidi" w:cstheme="majorBidi"/>
          <w:sz w:val="24"/>
          <w:szCs w:val="24"/>
        </w:rPr>
        <w:t xml:space="preserve"> (</w:t>
      </w:r>
      <w:proofErr w:type="spellStart"/>
      <w:r w:rsidR="00950191" w:rsidRPr="009F51ED">
        <w:rPr>
          <w:rFonts w:asciiTheme="majorBidi" w:hAnsiTheme="majorBidi" w:cstheme="majorBidi"/>
          <w:sz w:val="24"/>
          <w:szCs w:val="24"/>
        </w:rPr>
        <w:t>Hellegers</w:t>
      </w:r>
      <w:proofErr w:type="spellEnd"/>
      <w:r w:rsidR="00950191" w:rsidRPr="009F51ED">
        <w:rPr>
          <w:rFonts w:asciiTheme="majorBidi" w:hAnsiTheme="majorBidi" w:cstheme="majorBidi"/>
          <w:sz w:val="24"/>
          <w:szCs w:val="24"/>
        </w:rPr>
        <w:t>, 2022).</w:t>
      </w:r>
      <w:r w:rsidR="00895C76" w:rsidRPr="009F51ED">
        <w:rPr>
          <w:rFonts w:asciiTheme="majorBidi" w:hAnsiTheme="majorBidi" w:cstheme="majorBidi"/>
          <w:sz w:val="24"/>
          <w:szCs w:val="24"/>
        </w:rPr>
        <w:t xml:space="preserve"> </w:t>
      </w:r>
    </w:p>
    <w:p w14:paraId="01C05E46" w14:textId="2F3B6F73" w:rsidR="009B40E0" w:rsidRPr="009F51ED" w:rsidRDefault="00895C76"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Esta subida de los precios de la energía se combinó con </w:t>
      </w:r>
      <w:r w:rsidR="00FE2135" w:rsidRPr="009F51ED">
        <w:rPr>
          <w:rFonts w:asciiTheme="majorBidi" w:hAnsiTheme="majorBidi" w:cstheme="majorBidi"/>
          <w:sz w:val="24"/>
          <w:szCs w:val="24"/>
        </w:rPr>
        <w:t xml:space="preserve">una importante disrupción del flujo y ritmo que seguía el transporte marítimo global cuando comenzó </w:t>
      </w:r>
      <w:r w:rsidRPr="009F51ED">
        <w:rPr>
          <w:rFonts w:asciiTheme="majorBidi" w:hAnsiTheme="majorBidi" w:cstheme="majorBidi"/>
          <w:sz w:val="24"/>
          <w:szCs w:val="24"/>
        </w:rPr>
        <w:t>la prohibición de acceso de cargueros con pabellón ruso a ciertos puertos</w:t>
      </w:r>
      <w:r w:rsidR="00A15895" w:rsidRPr="009F51ED">
        <w:rPr>
          <w:rFonts w:asciiTheme="majorBidi" w:hAnsiTheme="majorBidi" w:cstheme="majorBidi"/>
          <w:sz w:val="24"/>
          <w:szCs w:val="24"/>
        </w:rPr>
        <w:t>,</w:t>
      </w:r>
      <w:r w:rsidRPr="009F51ED">
        <w:rPr>
          <w:rFonts w:asciiTheme="majorBidi" w:hAnsiTheme="majorBidi" w:cstheme="majorBidi"/>
          <w:sz w:val="24"/>
          <w:szCs w:val="24"/>
        </w:rPr>
        <w:t xml:space="preserve"> incluida en las sanciones occidentales a Rusia</w:t>
      </w:r>
      <w:r w:rsidR="00295430" w:rsidRPr="009F51ED">
        <w:rPr>
          <w:rFonts w:asciiTheme="majorBidi" w:hAnsiTheme="majorBidi" w:cstheme="majorBidi"/>
          <w:sz w:val="24"/>
          <w:szCs w:val="24"/>
        </w:rPr>
        <w:t xml:space="preserve">, </w:t>
      </w:r>
      <w:r w:rsidRPr="009F51ED">
        <w:rPr>
          <w:rFonts w:asciiTheme="majorBidi" w:hAnsiTheme="majorBidi" w:cstheme="majorBidi"/>
          <w:sz w:val="24"/>
          <w:szCs w:val="24"/>
        </w:rPr>
        <w:t xml:space="preserve">y con la necesidad de trazado de nuevas rutas comerciales para evitar los puertos ucranianos en </w:t>
      </w:r>
      <w:r w:rsidR="002C3850" w:rsidRPr="009F51ED">
        <w:rPr>
          <w:rFonts w:asciiTheme="majorBidi" w:hAnsiTheme="majorBidi" w:cstheme="majorBidi"/>
          <w:sz w:val="24"/>
          <w:szCs w:val="24"/>
        </w:rPr>
        <w:t>conflicto</w:t>
      </w:r>
      <w:r w:rsidR="000938E6" w:rsidRPr="009F51ED">
        <w:rPr>
          <w:rFonts w:asciiTheme="majorBidi" w:hAnsiTheme="majorBidi" w:cstheme="majorBidi"/>
          <w:sz w:val="24"/>
          <w:szCs w:val="24"/>
        </w:rPr>
        <w:t>.</w:t>
      </w:r>
      <w:r w:rsidR="00BD5E75" w:rsidRPr="009F51ED">
        <w:rPr>
          <w:rFonts w:asciiTheme="majorBidi" w:hAnsiTheme="majorBidi" w:cstheme="majorBidi"/>
          <w:sz w:val="24"/>
          <w:szCs w:val="24"/>
        </w:rPr>
        <w:t xml:space="preserve"> Desde los puertos de Ucrania del mar Negro salía el 90% de las exportaciones de grano del país, </w:t>
      </w:r>
      <w:r w:rsidR="0015762F" w:rsidRPr="009F51ED">
        <w:rPr>
          <w:rFonts w:asciiTheme="majorBidi" w:hAnsiTheme="majorBidi" w:cstheme="majorBidi"/>
          <w:sz w:val="24"/>
          <w:szCs w:val="24"/>
        </w:rPr>
        <w:t>en los que</w:t>
      </w:r>
      <w:r w:rsidR="00BD5E75" w:rsidRPr="009F51ED">
        <w:rPr>
          <w:rFonts w:asciiTheme="majorBidi" w:hAnsiTheme="majorBidi" w:cstheme="majorBidi"/>
          <w:sz w:val="24"/>
          <w:szCs w:val="24"/>
        </w:rPr>
        <w:t xml:space="preserve"> a fecha de 28 de junio </w:t>
      </w:r>
      <w:r w:rsidR="00D6784E" w:rsidRPr="009F51ED">
        <w:rPr>
          <w:rFonts w:asciiTheme="majorBidi" w:hAnsiTheme="majorBidi" w:cstheme="majorBidi"/>
          <w:sz w:val="24"/>
          <w:szCs w:val="24"/>
        </w:rPr>
        <w:t xml:space="preserve">de 2022 </w:t>
      </w:r>
      <w:r w:rsidR="00BD5E75" w:rsidRPr="009F51ED">
        <w:rPr>
          <w:rFonts w:asciiTheme="majorBidi" w:hAnsiTheme="majorBidi" w:cstheme="majorBidi"/>
          <w:sz w:val="24"/>
          <w:szCs w:val="24"/>
        </w:rPr>
        <w:t>no se reportaba a</w:t>
      </w:r>
      <w:r w:rsidR="0015762F" w:rsidRPr="009F51ED">
        <w:rPr>
          <w:rFonts w:asciiTheme="majorBidi" w:hAnsiTheme="majorBidi" w:cstheme="majorBidi"/>
          <w:sz w:val="24"/>
          <w:szCs w:val="24"/>
        </w:rPr>
        <w:t>penas a</w:t>
      </w:r>
      <w:r w:rsidR="00BD5E75" w:rsidRPr="009F51ED">
        <w:rPr>
          <w:rFonts w:asciiTheme="majorBidi" w:hAnsiTheme="majorBidi" w:cstheme="majorBidi"/>
          <w:sz w:val="24"/>
          <w:szCs w:val="24"/>
        </w:rPr>
        <w:t>ctividad</w:t>
      </w:r>
      <w:r w:rsidR="0015762F" w:rsidRPr="009F51ED">
        <w:rPr>
          <w:rFonts w:asciiTheme="majorBidi" w:hAnsiTheme="majorBidi" w:cstheme="majorBidi"/>
          <w:sz w:val="24"/>
          <w:szCs w:val="24"/>
        </w:rPr>
        <w:t xml:space="preserve"> y desde los cuales el ejército ruso impediría la salida a cargueros ucranianos</w:t>
      </w:r>
      <w:r w:rsidR="00BD5E75" w:rsidRPr="009F51ED">
        <w:rPr>
          <w:rFonts w:asciiTheme="majorBidi" w:hAnsiTheme="majorBidi" w:cstheme="majorBidi"/>
          <w:sz w:val="24"/>
          <w:szCs w:val="24"/>
        </w:rPr>
        <w:t>.</w:t>
      </w:r>
      <w:r w:rsidR="000938E6" w:rsidRPr="009F51ED">
        <w:rPr>
          <w:rFonts w:asciiTheme="majorBidi" w:hAnsiTheme="majorBidi" w:cstheme="majorBidi"/>
          <w:sz w:val="24"/>
          <w:szCs w:val="24"/>
        </w:rPr>
        <w:t xml:space="preserve"> </w:t>
      </w:r>
      <w:r w:rsidR="0006016D" w:rsidRPr="009F51ED">
        <w:rPr>
          <w:rFonts w:asciiTheme="majorBidi" w:hAnsiTheme="majorBidi" w:cstheme="majorBidi"/>
          <w:sz w:val="24"/>
          <w:szCs w:val="24"/>
        </w:rPr>
        <w:t xml:space="preserve">Entre </w:t>
      </w:r>
      <w:r w:rsidR="00E75218" w:rsidRPr="009F51ED">
        <w:rPr>
          <w:rFonts w:asciiTheme="majorBidi" w:hAnsiTheme="majorBidi" w:cstheme="majorBidi"/>
          <w:sz w:val="24"/>
          <w:szCs w:val="24"/>
        </w:rPr>
        <w:t>f</w:t>
      </w:r>
      <w:r w:rsidR="0006016D" w:rsidRPr="009F51ED">
        <w:rPr>
          <w:rFonts w:asciiTheme="majorBidi" w:hAnsiTheme="majorBidi" w:cstheme="majorBidi"/>
          <w:sz w:val="24"/>
          <w:szCs w:val="24"/>
        </w:rPr>
        <w:t xml:space="preserve">ebrero y mayo de 2022, el coste de transporte de bienes como el grano subió </w:t>
      </w:r>
      <w:r w:rsidR="00E75218" w:rsidRPr="009F51ED">
        <w:rPr>
          <w:rFonts w:asciiTheme="majorBidi" w:hAnsiTheme="majorBidi" w:cstheme="majorBidi"/>
          <w:sz w:val="24"/>
          <w:szCs w:val="24"/>
        </w:rPr>
        <w:t>casi un</w:t>
      </w:r>
      <w:r w:rsidR="0006016D" w:rsidRPr="009F51ED">
        <w:rPr>
          <w:rFonts w:asciiTheme="majorBidi" w:hAnsiTheme="majorBidi" w:cstheme="majorBidi"/>
          <w:sz w:val="24"/>
          <w:szCs w:val="24"/>
        </w:rPr>
        <w:t xml:space="preserve"> 60%. </w:t>
      </w:r>
      <w:r w:rsidR="000938E6" w:rsidRPr="009F51ED">
        <w:rPr>
          <w:rFonts w:asciiTheme="majorBidi" w:hAnsiTheme="majorBidi" w:cstheme="majorBidi"/>
          <w:sz w:val="24"/>
          <w:szCs w:val="24"/>
        </w:rPr>
        <w:t xml:space="preserve">Prácticamente la mitad del aumento del índice de precios al consumo de los alimentos a nivel global se podría achacar a las disrupciones en el transporte marítimo que tuvo la guerra de Ucrania en su primer año </w:t>
      </w:r>
      <w:r w:rsidR="002C3850" w:rsidRPr="009F51ED">
        <w:rPr>
          <w:rFonts w:asciiTheme="majorBidi" w:hAnsiTheme="majorBidi" w:cstheme="majorBidi"/>
          <w:sz w:val="24"/>
          <w:szCs w:val="24"/>
        </w:rPr>
        <w:t xml:space="preserve">(UNCTAD, </w:t>
      </w:r>
      <w:r w:rsidR="00D13D68" w:rsidRPr="009F51ED">
        <w:rPr>
          <w:rFonts w:asciiTheme="majorBidi" w:hAnsiTheme="majorBidi" w:cstheme="majorBidi"/>
          <w:sz w:val="24"/>
          <w:szCs w:val="24"/>
        </w:rPr>
        <w:t xml:space="preserve">2022 y </w:t>
      </w:r>
      <w:r w:rsidR="002C3850" w:rsidRPr="009F51ED">
        <w:rPr>
          <w:rFonts w:asciiTheme="majorBidi" w:hAnsiTheme="majorBidi" w:cstheme="majorBidi"/>
          <w:sz w:val="24"/>
          <w:szCs w:val="24"/>
        </w:rPr>
        <w:t>202</w:t>
      </w:r>
      <w:r w:rsidR="00D13D68" w:rsidRPr="009F51ED">
        <w:rPr>
          <w:rFonts w:asciiTheme="majorBidi" w:hAnsiTheme="majorBidi" w:cstheme="majorBidi"/>
          <w:sz w:val="24"/>
          <w:szCs w:val="24"/>
        </w:rPr>
        <w:t>3</w:t>
      </w:r>
      <w:r w:rsidR="002C3850" w:rsidRPr="009F51ED">
        <w:rPr>
          <w:rFonts w:asciiTheme="majorBidi" w:hAnsiTheme="majorBidi" w:cstheme="majorBidi"/>
          <w:sz w:val="24"/>
          <w:szCs w:val="24"/>
        </w:rPr>
        <w:t>).</w:t>
      </w:r>
    </w:p>
    <w:p w14:paraId="4D219443" w14:textId="11A313CB" w:rsidR="00F31860" w:rsidRPr="009F51ED" w:rsidRDefault="00F31860"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En añadidura, tanto Rusia como Ucrania desplegaron medidas a la vista de las sanciones occidentales en el caso de los primeros y de las caídas en producción agrícola interna en el caso de los segundos. Rusia, por su parte, liberalizó las exportaciones de grano a países de su órbita y el espacio </w:t>
      </w:r>
      <w:r w:rsidR="009871D8" w:rsidRPr="009F51ED">
        <w:rPr>
          <w:rFonts w:asciiTheme="majorBidi" w:hAnsiTheme="majorBidi" w:cstheme="majorBidi"/>
          <w:sz w:val="24"/>
          <w:szCs w:val="24"/>
        </w:rPr>
        <w:t>postsoviético</w:t>
      </w:r>
      <w:r w:rsidRPr="009F51ED">
        <w:rPr>
          <w:rFonts w:asciiTheme="majorBidi" w:hAnsiTheme="majorBidi" w:cstheme="majorBidi"/>
          <w:sz w:val="24"/>
          <w:szCs w:val="24"/>
        </w:rPr>
        <w:t xml:space="preserve"> al eliminar la prohibición de exportación a la Unión Económica Euroasiática</w:t>
      </w:r>
      <w:r w:rsidR="0017124B" w:rsidRPr="009F51ED">
        <w:rPr>
          <w:rFonts w:asciiTheme="majorBidi" w:hAnsiTheme="majorBidi" w:cstheme="majorBidi"/>
          <w:sz w:val="24"/>
          <w:szCs w:val="24"/>
        </w:rPr>
        <w:t xml:space="preserve"> (UEE)</w:t>
      </w:r>
      <w:r w:rsidRPr="009F51ED">
        <w:rPr>
          <w:rFonts w:asciiTheme="majorBidi" w:hAnsiTheme="majorBidi" w:cstheme="majorBidi"/>
          <w:sz w:val="24"/>
          <w:szCs w:val="24"/>
        </w:rPr>
        <w:t xml:space="preserve"> mientras que entró en una dinámica proteccionista través de sucesivos aumentos de tasas a la exportación. Ucrania decidió prohibir por completo la exportación de centeno, avena, mijo</w:t>
      </w:r>
      <w:r w:rsidR="005308EE" w:rsidRPr="009F51ED">
        <w:rPr>
          <w:rFonts w:asciiTheme="majorBidi" w:hAnsiTheme="majorBidi" w:cstheme="majorBidi"/>
          <w:sz w:val="24"/>
          <w:szCs w:val="24"/>
        </w:rPr>
        <w:t>,</w:t>
      </w:r>
      <w:r w:rsidRPr="009F51ED">
        <w:rPr>
          <w:rFonts w:asciiTheme="majorBidi" w:hAnsiTheme="majorBidi" w:cstheme="majorBidi"/>
          <w:sz w:val="24"/>
          <w:szCs w:val="24"/>
        </w:rPr>
        <w:t xml:space="preserve"> trigo sarraceno</w:t>
      </w:r>
      <w:r w:rsidR="005308EE" w:rsidRPr="009F51ED">
        <w:rPr>
          <w:rFonts w:asciiTheme="majorBidi" w:hAnsiTheme="majorBidi" w:cstheme="majorBidi"/>
          <w:sz w:val="24"/>
          <w:szCs w:val="24"/>
        </w:rPr>
        <w:t>, cebada y colza</w:t>
      </w:r>
      <w:r w:rsidRPr="009F51ED">
        <w:rPr>
          <w:rFonts w:asciiTheme="majorBidi" w:hAnsiTheme="majorBidi" w:cstheme="majorBidi"/>
          <w:sz w:val="24"/>
          <w:szCs w:val="24"/>
        </w:rPr>
        <w:t>, y requerir la autorización expresa de su Ministerio de Economía para la exportación de trigo</w:t>
      </w:r>
      <w:r w:rsidR="00E61F6B" w:rsidRPr="009F51ED">
        <w:rPr>
          <w:rFonts w:asciiTheme="majorBidi" w:hAnsiTheme="majorBidi" w:cstheme="majorBidi"/>
          <w:sz w:val="24"/>
          <w:szCs w:val="24"/>
        </w:rPr>
        <w:t xml:space="preserve"> entre marzo y julio de 2022</w:t>
      </w:r>
      <w:r w:rsidR="00B026FB" w:rsidRPr="009F51ED">
        <w:rPr>
          <w:rFonts w:asciiTheme="majorBidi" w:hAnsiTheme="majorBidi" w:cstheme="majorBidi"/>
          <w:sz w:val="24"/>
          <w:szCs w:val="24"/>
        </w:rPr>
        <w:t xml:space="preserve"> (FAO, 2022</w:t>
      </w:r>
      <w:r w:rsidR="00E24D17" w:rsidRPr="009F51ED">
        <w:rPr>
          <w:rFonts w:asciiTheme="majorBidi" w:hAnsiTheme="majorBidi" w:cstheme="majorBidi"/>
          <w:sz w:val="24"/>
          <w:szCs w:val="24"/>
        </w:rPr>
        <w:t>b</w:t>
      </w:r>
      <w:r w:rsidR="00E61F6B" w:rsidRPr="009F51ED">
        <w:rPr>
          <w:rFonts w:asciiTheme="majorBidi" w:hAnsiTheme="majorBidi" w:cstheme="majorBidi"/>
          <w:sz w:val="24"/>
          <w:szCs w:val="24"/>
        </w:rPr>
        <w:t>; FAO, 2022c</w:t>
      </w:r>
      <w:r w:rsidR="00B026FB" w:rsidRPr="009F51ED">
        <w:rPr>
          <w:rFonts w:asciiTheme="majorBidi" w:hAnsiTheme="majorBidi" w:cstheme="majorBidi"/>
          <w:sz w:val="24"/>
          <w:szCs w:val="24"/>
        </w:rPr>
        <w:t>)</w:t>
      </w:r>
      <w:r w:rsidR="00E24D17" w:rsidRPr="009F51ED">
        <w:rPr>
          <w:rFonts w:asciiTheme="majorBidi" w:hAnsiTheme="majorBidi" w:cstheme="majorBidi"/>
          <w:sz w:val="24"/>
          <w:szCs w:val="24"/>
        </w:rPr>
        <w:t>.</w:t>
      </w:r>
    </w:p>
    <w:p w14:paraId="66BE03AC" w14:textId="66101CD9" w:rsidR="009A15E9" w:rsidRPr="009F51ED" w:rsidRDefault="009A15E9" w:rsidP="009F51ED">
      <w:pPr>
        <w:pStyle w:val="Ttulo3"/>
        <w:numPr>
          <w:ilvl w:val="2"/>
          <w:numId w:val="5"/>
        </w:numPr>
        <w:spacing w:line="360" w:lineRule="auto"/>
        <w:jc w:val="both"/>
        <w:rPr>
          <w:rFonts w:asciiTheme="majorBidi" w:hAnsiTheme="majorBidi"/>
          <w:b/>
          <w:bCs/>
          <w:color w:val="auto"/>
        </w:rPr>
      </w:pPr>
      <w:bookmarkStart w:id="54" w:name="_Toc137456620"/>
      <w:r w:rsidRPr="009F51ED">
        <w:rPr>
          <w:rFonts w:asciiTheme="majorBidi" w:hAnsiTheme="majorBidi"/>
          <w:b/>
          <w:bCs/>
          <w:color w:val="auto"/>
        </w:rPr>
        <w:t>Impacto de la guerra de Ucrania en las importaciones de grano pro</w:t>
      </w:r>
      <w:r w:rsidR="00430124" w:rsidRPr="009F51ED">
        <w:rPr>
          <w:rFonts w:asciiTheme="majorBidi" w:hAnsiTheme="majorBidi"/>
          <w:b/>
          <w:bCs/>
          <w:color w:val="auto"/>
        </w:rPr>
        <w:t>c</w:t>
      </w:r>
      <w:r w:rsidRPr="009F51ED">
        <w:rPr>
          <w:rFonts w:asciiTheme="majorBidi" w:hAnsiTheme="majorBidi"/>
          <w:b/>
          <w:bCs/>
          <w:color w:val="auto"/>
        </w:rPr>
        <w:t>e</w:t>
      </w:r>
      <w:r w:rsidR="00430124" w:rsidRPr="009F51ED">
        <w:rPr>
          <w:rFonts w:asciiTheme="majorBidi" w:hAnsiTheme="majorBidi"/>
          <w:b/>
          <w:bCs/>
          <w:color w:val="auto"/>
        </w:rPr>
        <w:t>de</w:t>
      </w:r>
      <w:r w:rsidRPr="009F51ED">
        <w:rPr>
          <w:rFonts w:asciiTheme="majorBidi" w:hAnsiTheme="majorBidi"/>
          <w:b/>
          <w:bCs/>
          <w:color w:val="auto"/>
        </w:rPr>
        <w:t>nte de la región</w:t>
      </w:r>
      <w:bookmarkEnd w:id="54"/>
    </w:p>
    <w:p w14:paraId="3E3CB3AA" w14:textId="66AD3D2A" w:rsidR="00FC18F1" w:rsidRPr="009F51ED" w:rsidRDefault="00166C52"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La globalización trasladaría entonces los problemas en una región del mundo a otras a través de </w:t>
      </w:r>
      <w:r w:rsidR="00571C7E" w:rsidRPr="009F51ED">
        <w:rPr>
          <w:rFonts w:asciiTheme="majorBidi" w:hAnsiTheme="majorBidi" w:cstheme="majorBidi"/>
          <w:sz w:val="24"/>
          <w:szCs w:val="24"/>
        </w:rPr>
        <w:t xml:space="preserve">las </w:t>
      </w:r>
      <w:r w:rsidRPr="009F51ED">
        <w:rPr>
          <w:rFonts w:asciiTheme="majorBidi" w:hAnsiTheme="majorBidi" w:cstheme="majorBidi"/>
          <w:sz w:val="24"/>
          <w:szCs w:val="24"/>
        </w:rPr>
        <w:t>relaciones de dependencia</w:t>
      </w:r>
      <w:r w:rsidR="00571C7E" w:rsidRPr="009F51ED">
        <w:rPr>
          <w:rFonts w:asciiTheme="majorBidi" w:hAnsiTheme="majorBidi" w:cstheme="majorBidi"/>
          <w:sz w:val="24"/>
          <w:szCs w:val="24"/>
        </w:rPr>
        <w:t xml:space="preserve"> que puedan tener los países. </w:t>
      </w:r>
      <w:r w:rsidRPr="009F51ED">
        <w:rPr>
          <w:rFonts w:asciiTheme="majorBidi" w:hAnsiTheme="majorBidi" w:cstheme="majorBidi"/>
          <w:sz w:val="24"/>
          <w:szCs w:val="24"/>
        </w:rPr>
        <w:t>La dificultad de acceso al grano</w:t>
      </w:r>
      <w:r w:rsidR="00571C7E" w:rsidRPr="009F51ED">
        <w:rPr>
          <w:rFonts w:asciiTheme="majorBidi" w:hAnsiTheme="majorBidi" w:cstheme="majorBidi"/>
          <w:sz w:val="24"/>
          <w:szCs w:val="24"/>
        </w:rPr>
        <w:t xml:space="preserve"> y fertilizante</w:t>
      </w:r>
      <w:r w:rsidRPr="009F51ED">
        <w:rPr>
          <w:rFonts w:asciiTheme="majorBidi" w:hAnsiTheme="majorBidi" w:cstheme="majorBidi"/>
          <w:sz w:val="24"/>
          <w:szCs w:val="24"/>
        </w:rPr>
        <w:t xml:space="preserve"> procedente de Rusia y Ucrania es un asunto de seguridad nacional para una considerable lista de </w:t>
      </w:r>
      <w:r w:rsidR="00571C7E" w:rsidRPr="009F51ED">
        <w:rPr>
          <w:rFonts w:asciiTheme="majorBidi" w:hAnsiTheme="majorBidi" w:cstheme="majorBidi"/>
          <w:sz w:val="24"/>
          <w:szCs w:val="24"/>
        </w:rPr>
        <w:t>estados</w:t>
      </w:r>
      <w:r w:rsidR="009F432D" w:rsidRPr="009F51ED">
        <w:rPr>
          <w:rFonts w:asciiTheme="majorBidi" w:hAnsiTheme="majorBidi" w:cstheme="majorBidi"/>
          <w:sz w:val="24"/>
          <w:szCs w:val="24"/>
        </w:rPr>
        <w:t xml:space="preserve">: </w:t>
      </w:r>
      <w:r w:rsidR="00E81FB9" w:rsidRPr="009F51ED">
        <w:rPr>
          <w:rFonts w:asciiTheme="majorBidi" w:hAnsiTheme="majorBidi" w:cstheme="majorBidi"/>
          <w:sz w:val="24"/>
          <w:szCs w:val="24"/>
        </w:rPr>
        <w:t>ocho</w:t>
      </w:r>
      <w:r w:rsidR="009F432D" w:rsidRPr="009F51ED">
        <w:rPr>
          <w:rFonts w:asciiTheme="majorBidi" w:hAnsiTheme="majorBidi" w:cstheme="majorBidi"/>
          <w:sz w:val="24"/>
          <w:szCs w:val="24"/>
        </w:rPr>
        <w:t xml:space="preserve"> países </w:t>
      </w:r>
      <w:r w:rsidR="00204560" w:rsidRPr="009F51ED">
        <w:rPr>
          <w:rFonts w:asciiTheme="majorBidi" w:hAnsiTheme="majorBidi" w:cstheme="majorBidi"/>
          <w:sz w:val="24"/>
          <w:szCs w:val="24"/>
        </w:rPr>
        <w:t>dependen en</w:t>
      </w:r>
      <w:r w:rsidR="009F432D" w:rsidRPr="009F51ED">
        <w:rPr>
          <w:rFonts w:asciiTheme="majorBidi" w:hAnsiTheme="majorBidi" w:cstheme="majorBidi"/>
          <w:sz w:val="24"/>
          <w:szCs w:val="24"/>
        </w:rPr>
        <w:t xml:space="preserve"> más del 75% de sus importaciones de</w:t>
      </w:r>
      <w:r w:rsidR="00E81FB9" w:rsidRPr="009F51ED">
        <w:rPr>
          <w:rFonts w:asciiTheme="majorBidi" w:hAnsiTheme="majorBidi" w:cstheme="majorBidi"/>
          <w:sz w:val="24"/>
          <w:szCs w:val="24"/>
        </w:rPr>
        <w:t>l</w:t>
      </w:r>
      <w:r w:rsidR="009F432D" w:rsidRPr="009F51ED">
        <w:rPr>
          <w:rFonts w:asciiTheme="majorBidi" w:hAnsiTheme="majorBidi" w:cstheme="majorBidi"/>
          <w:sz w:val="24"/>
          <w:szCs w:val="24"/>
        </w:rPr>
        <w:t xml:space="preserve"> </w:t>
      </w:r>
      <w:r w:rsidR="00204560" w:rsidRPr="009F51ED">
        <w:rPr>
          <w:rFonts w:asciiTheme="majorBidi" w:hAnsiTheme="majorBidi" w:cstheme="majorBidi"/>
          <w:sz w:val="24"/>
          <w:szCs w:val="24"/>
        </w:rPr>
        <w:t>maíz</w:t>
      </w:r>
      <w:r w:rsidR="00571C7E" w:rsidRPr="009F51ED">
        <w:rPr>
          <w:rFonts w:asciiTheme="majorBidi" w:hAnsiTheme="majorBidi" w:cstheme="majorBidi"/>
          <w:sz w:val="24"/>
          <w:szCs w:val="24"/>
        </w:rPr>
        <w:t xml:space="preserve"> </w:t>
      </w:r>
      <w:r w:rsidR="00E81FB9" w:rsidRPr="009F51ED">
        <w:rPr>
          <w:rFonts w:asciiTheme="majorBidi" w:hAnsiTheme="majorBidi" w:cstheme="majorBidi"/>
          <w:sz w:val="24"/>
          <w:szCs w:val="24"/>
        </w:rPr>
        <w:t>exportado por</w:t>
      </w:r>
      <w:r w:rsidR="00204560" w:rsidRPr="009F51ED">
        <w:rPr>
          <w:rFonts w:asciiTheme="majorBidi" w:hAnsiTheme="majorBidi" w:cstheme="majorBidi"/>
          <w:sz w:val="24"/>
          <w:szCs w:val="24"/>
        </w:rPr>
        <w:t xml:space="preserve"> Rusia y Ucrania, </w:t>
      </w:r>
      <w:r w:rsidR="00E81FB9" w:rsidRPr="009F51ED">
        <w:rPr>
          <w:rFonts w:asciiTheme="majorBidi" w:hAnsiTheme="majorBidi" w:cstheme="majorBidi"/>
          <w:sz w:val="24"/>
          <w:szCs w:val="24"/>
        </w:rPr>
        <w:t xml:space="preserve">y once países dependen en más del 75% de sus importaciones del trigo de dichos dos productores </w:t>
      </w:r>
      <w:r w:rsidR="00FC18F1" w:rsidRPr="009F51ED">
        <w:rPr>
          <w:rFonts w:asciiTheme="majorBidi" w:hAnsiTheme="majorBidi" w:cstheme="majorBidi"/>
          <w:sz w:val="24"/>
          <w:szCs w:val="24"/>
        </w:rPr>
        <w:t>(FAO, 2022b;</w:t>
      </w:r>
      <w:r w:rsidR="00FA03DD" w:rsidRPr="009F51ED">
        <w:rPr>
          <w:rFonts w:asciiTheme="majorBidi" w:hAnsiTheme="majorBidi" w:cstheme="majorBidi"/>
          <w:sz w:val="24"/>
          <w:szCs w:val="24"/>
        </w:rPr>
        <w:t xml:space="preserve"> FAOSTAT, 2022</w:t>
      </w:r>
      <w:r w:rsidR="00FC18F1" w:rsidRPr="009F51ED">
        <w:rPr>
          <w:rFonts w:asciiTheme="majorBidi" w:hAnsiTheme="majorBidi" w:cstheme="majorBidi"/>
          <w:sz w:val="24"/>
          <w:szCs w:val="24"/>
        </w:rPr>
        <w:t>).</w:t>
      </w:r>
    </w:p>
    <w:p w14:paraId="2971CC6A" w14:textId="300091B1" w:rsidR="00D41345" w:rsidRPr="009F51ED" w:rsidRDefault="00D41345"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lastRenderedPageBreak/>
        <w:t>Como se puede ver en la tabla 1, de los quince países</w:t>
      </w:r>
      <w:r w:rsidR="00124B15" w:rsidRPr="009F51ED">
        <w:rPr>
          <w:rFonts w:asciiTheme="majorBidi" w:hAnsiTheme="majorBidi" w:cstheme="majorBidi"/>
          <w:sz w:val="24"/>
          <w:szCs w:val="24"/>
        </w:rPr>
        <w:t xml:space="preserve"> en cuyas importaciones de maíz hay mayor presencia de grano ruso o ucraniano, </w:t>
      </w:r>
      <w:r w:rsidRPr="009F51ED">
        <w:rPr>
          <w:rFonts w:asciiTheme="majorBidi" w:hAnsiTheme="majorBidi" w:cstheme="majorBidi"/>
          <w:sz w:val="24"/>
          <w:szCs w:val="24"/>
        </w:rPr>
        <w:t xml:space="preserve"> </w:t>
      </w:r>
      <w:r w:rsidR="00124B15" w:rsidRPr="009F51ED">
        <w:rPr>
          <w:rFonts w:asciiTheme="majorBidi" w:hAnsiTheme="majorBidi" w:cstheme="majorBidi"/>
          <w:sz w:val="24"/>
          <w:szCs w:val="24"/>
        </w:rPr>
        <w:t>los cuatro primeros no encontrarían</w:t>
      </w:r>
      <w:r w:rsidRPr="009F51ED">
        <w:rPr>
          <w:rFonts w:asciiTheme="majorBidi" w:hAnsiTheme="majorBidi" w:cstheme="majorBidi"/>
          <w:sz w:val="24"/>
          <w:szCs w:val="24"/>
        </w:rPr>
        <w:t xml:space="preserve"> </w:t>
      </w:r>
      <w:r w:rsidR="00124B15" w:rsidRPr="009F51ED">
        <w:rPr>
          <w:rFonts w:asciiTheme="majorBidi" w:hAnsiTheme="majorBidi" w:cstheme="majorBidi"/>
          <w:sz w:val="24"/>
          <w:szCs w:val="24"/>
        </w:rPr>
        <w:t xml:space="preserve">sus suministros afectados por la guerra de Ucrania, al ser Rusia su proveedor principal </w:t>
      </w:r>
      <w:r w:rsidR="00C67BAF" w:rsidRPr="009F51ED">
        <w:rPr>
          <w:rFonts w:asciiTheme="majorBidi" w:hAnsiTheme="majorBidi" w:cstheme="majorBidi"/>
          <w:sz w:val="24"/>
          <w:szCs w:val="24"/>
        </w:rPr>
        <w:t>y no depender del transporte marítimo para recibir sus importaciones.</w:t>
      </w:r>
      <w:r w:rsidRPr="009F51ED">
        <w:rPr>
          <w:rFonts w:asciiTheme="majorBidi" w:hAnsiTheme="majorBidi" w:cstheme="majorBidi"/>
          <w:sz w:val="24"/>
          <w:szCs w:val="24"/>
        </w:rPr>
        <w:t xml:space="preserve"> Sin embargo, países </w:t>
      </w:r>
      <w:r w:rsidR="004C54B0" w:rsidRPr="009F51ED">
        <w:rPr>
          <w:rFonts w:asciiTheme="majorBidi" w:hAnsiTheme="majorBidi" w:cstheme="majorBidi"/>
          <w:sz w:val="24"/>
          <w:szCs w:val="24"/>
        </w:rPr>
        <w:t>como Lituania, Países Bajos, Turquía, Túnez o C</w:t>
      </w:r>
      <w:r w:rsidR="009871D8" w:rsidRPr="009F51ED">
        <w:rPr>
          <w:rFonts w:asciiTheme="majorBidi" w:hAnsiTheme="majorBidi" w:cstheme="majorBidi"/>
          <w:sz w:val="24"/>
          <w:szCs w:val="24"/>
        </w:rPr>
        <w:t>osta de Marfil</w:t>
      </w:r>
      <w:r w:rsidR="004C54B0" w:rsidRPr="009F51ED">
        <w:rPr>
          <w:rFonts w:asciiTheme="majorBidi" w:hAnsiTheme="majorBidi" w:cstheme="majorBidi"/>
          <w:sz w:val="24"/>
          <w:szCs w:val="24"/>
        </w:rPr>
        <w:t xml:space="preserve">, </w:t>
      </w:r>
      <w:r w:rsidR="00C05CBA" w:rsidRPr="009F51ED">
        <w:rPr>
          <w:rFonts w:asciiTheme="majorBidi" w:hAnsiTheme="majorBidi" w:cstheme="majorBidi"/>
          <w:sz w:val="24"/>
          <w:szCs w:val="24"/>
        </w:rPr>
        <w:t>al</w:t>
      </w:r>
      <w:r w:rsidR="006153BF" w:rsidRPr="009F51ED">
        <w:rPr>
          <w:rFonts w:asciiTheme="majorBidi" w:hAnsiTheme="majorBidi" w:cstheme="majorBidi"/>
          <w:sz w:val="24"/>
          <w:szCs w:val="24"/>
        </w:rPr>
        <w:t xml:space="preserve"> no poder trazar rutas de transporte del cereal por tierra </w:t>
      </w:r>
      <w:r w:rsidR="00C05CBA" w:rsidRPr="009F51ED">
        <w:rPr>
          <w:rFonts w:asciiTheme="majorBidi" w:hAnsiTheme="majorBidi" w:cstheme="majorBidi"/>
          <w:sz w:val="24"/>
          <w:szCs w:val="24"/>
        </w:rPr>
        <w:t xml:space="preserve">dependerían de rutas de transporte marítimo que parten del mar Negro y del mar de Azov, áreas escenario de la guerra y cuyos puertos se encontraron bloqueados </w:t>
      </w:r>
      <w:r w:rsidR="006B0944" w:rsidRPr="009F51ED">
        <w:rPr>
          <w:rFonts w:asciiTheme="majorBidi" w:hAnsiTheme="majorBidi" w:cstheme="majorBidi"/>
          <w:sz w:val="24"/>
          <w:szCs w:val="24"/>
        </w:rPr>
        <w:t xml:space="preserve">desde marzo hasta mediados de agosto de </w:t>
      </w:r>
      <w:r w:rsidR="00C05CBA" w:rsidRPr="009F51ED">
        <w:rPr>
          <w:rFonts w:asciiTheme="majorBidi" w:hAnsiTheme="majorBidi" w:cstheme="majorBidi"/>
          <w:sz w:val="24"/>
          <w:szCs w:val="24"/>
        </w:rPr>
        <w:t>2022. T</w:t>
      </w:r>
      <w:r w:rsidR="006153BF" w:rsidRPr="009F51ED">
        <w:rPr>
          <w:rFonts w:asciiTheme="majorBidi" w:hAnsiTheme="majorBidi" w:cstheme="majorBidi"/>
          <w:sz w:val="24"/>
          <w:szCs w:val="24"/>
        </w:rPr>
        <w:t xml:space="preserve">ambién dependerían en una importante proporción de la capacidad productiva ucraniana, seriamente perjudicada por la guerra. </w:t>
      </w:r>
    </w:p>
    <w:p w14:paraId="0DBBD6ED" w14:textId="7A6CB380" w:rsidR="00D41345" w:rsidRPr="00C53814" w:rsidRDefault="00D41345" w:rsidP="00D41345">
      <w:pPr>
        <w:pStyle w:val="Descripcin"/>
        <w:keepNext/>
        <w:jc w:val="both"/>
        <w:rPr>
          <w:sz w:val="20"/>
          <w:szCs w:val="20"/>
        </w:rPr>
      </w:pPr>
      <w:bookmarkStart w:id="55" w:name="_Toc137394948"/>
      <w:r w:rsidRPr="00C53814">
        <w:rPr>
          <w:rFonts w:asciiTheme="majorBidi" w:hAnsiTheme="majorBidi" w:cstheme="majorBidi"/>
          <w:sz w:val="20"/>
          <w:szCs w:val="20"/>
        </w:rPr>
        <w:t xml:space="preserve">Tabla </w:t>
      </w:r>
      <w:r w:rsidRPr="00C53814">
        <w:rPr>
          <w:rFonts w:asciiTheme="majorBidi" w:hAnsiTheme="majorBidi" w:cstheme="majorBidi"/>
          <w:sz w:val="20"/>
          <w:szCs w:val="20"/>
        </w:rPr>
        <w:fldChar w:fldCharType="begin"/>
      </w:r>
      <w:r w:rsidRPr="00C53814">
        <w:rPr>
          <w:rFonts w:asciiTheme="majorBidi" w:hAnsiTheme="majorBidi" w:cstheme="majorBidi"/>
          <w:sz w:val="20"/>
          <w:szCs w:val="20"/>
        </w:rPr>
        <w:instrText xml:space="preserve"> SEQ Tabla \* ARABIC </w:instrText>
      </w:r>
      <w:r w:rsidRPr="00C53814">
        <w:rPr>
          <w:rFonts w:asciiTheme="majorBidi" w:hAnsiTheme="majorBidi" w:cstheme="majorBidi"/>
          <w:sz w:val="20"/>
          <w:szCs w:val="20"/>
        </w:rPr>
        <w:fldChar w:fldCharType="separate"/>
      </w:r>
      <w:r w:rsidR="00790F14">
        <w:rPr>
          <w:rFonts w:asciiTheme="majorBidi" w:hAnsiTheme="majorBidi" w:cstheme="majorBidi"/>
          <w:noProof/>
          <w:sz w:val="20"/>
          <w:szCs w:val="20"/>
        </w:rPr>
        <w:t>1</w:t>
      </w:r>
      <w:r w:rsidRPr="00C53814">
        <w:rPr>
          <w:rFonts w:asciiTheme="majorBidi" w:hAnsiTheme="majorBidi" w:cstheme="majorBidi"/>
          <w:sz w:val="20"/>
          <w:szCs w:val="20"/>
        </w:rPr>
        <w:fldChar w:fldCharType="end"/>
      </w:r>
      <w:r w:rsidRPr="00C53814">
        <w:rPr>
          <w:rFonts w:asciiTheme="majorBidi" w:hAnsiTheme="majorBidi" w:cstheme="majorBidi"/>
          <w:sz w:val="20"/>
          <w:szCs w:val="20"/>
        </w:rPr>
        <w:t>.</w:t>
      </w:r>
      <w:r w:rsidRPr="00C53814">
        <w:rPr>
          <w:sz w:val="20"/>
          <w:szCs w:val="20"/>
        </w:rPr>
        <w:t xml:space="preserve"> </w:t>
      </w:r>
      <w:r w:rsidRPr="00C53814">
        <w:rPr>
          <w:rFonts w:asciiTheme="majorBidi" w:hAnsiTheme="majorBidi" w:cstheme="majorBidi"/>
          <w:sz w:val="20"/>
          <w:szCs w:val="20"/>
        </w:rPr>
        <w:t>Dependencia de las exportaciones de maíz rusas y ucranianas, por países importadores, para el año 2021.</w:t>
      </w:r>
      <w:bookmarkEnd w:id="55"/>
      <w:r w:rsidRPr="00C53814">
        <w:rPr>
          <w:rFonts w:asciiTheme="majorBidi" w:hAnsiTheme="majorBidi" w:cstheme="majorBidi"/>
          <w:sz w:val="20"/>
          <w:szCs w:val="20"/>
        </w:rPr>
        <w:t xml:space="preserve"> </w:t>
      </w:r>
    </w:p>
    <w:tbl>
      <w:tblPr>
        <w:tblStyle w:val="Tablaconcuadrcula"/>
        <w:tblW w:w="5000" w:type="pct"/>
        <w:tblCellMar>
          <w:top w:w="57" w:type="dxa"/>
        </w:tblCellMar>
        <w:tblLook w:val="04A0" w:firstRow="1" w:lastRow="0" w:firstColumn="1" w:lastColumn="0" w:noHBand="0" w:noVBand="1"/>
      </w:tblPr>
      <w:tblGrid>
        <w:gridCol w:w="1430"/>
        <w:gridCol w:w="1417"/>
        <w:gridCol w:w="3245"/>
        <w:gridCol w:w="2402"/>
      </w:tblGrid>
      <w:tr w:rsidR="00D41345" w:rsidRPr="007C3485" w14:paraId="299877F6" w14:textId="77777777" w:rsidTr="002E7C72">
        <w:trPr>
          <w:trHeight w:val="397"/>
        </w:trPr>
        <w:tc>
          <w:tcPr>
            <w:tcW w:w="842" w:type="pct"/>
            <w:shd w:val="clear" w:color="auto" w:fill="8EAADB" w:themeFill="accent1" w:themeFillTint="99"/>
            <w:vAlign w:val="center"/>
          </w:tcPr>
          <w:p w14:paraId="7A310275" w14:textId="77777777" w:rsidR="00D41345" w:rsidRPr="007C3485" w:rsidRDefault="00D41345" w:rsidP="002E7C72">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Importador</w:t>
            </w:r>
          </w:p>
        </w:tc>
        <w:tc>
          <w:tcPr>
            <w:tcW w:w="834" w:type="pct"/>
            <w:shd w:val="clear" w:color="auto" w:fill="8EAADB" w:themeFill="accent1" w:themeFillTint="99"/>
            <w:vAlign w:val="center"/>
          </w:tcPr>
          <w:p w14:paraId="453843D5" w14:textId="77777777" w:rsidR="00D41345" w:rsidRPr="007C3485" w:rsidRDefault="00D41345" w:rsidP="002E7C72">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Exportador</w:t>
            </w:r>
          </w:p>
        </w:tc>
        <w:tc>
          <w:tcPr>
            <w:tcW w:w="1910" w:type="pct"/>
            <w:shd w:val="clear" w:color="auto" w:fill="8EAADB" w:themeFill="accent1" w:themeFillTint="99"/>
            <w:vAlign w:val="center"/>
          </w:tcPr>
          <w:p w14:paraId="1A8F09A3" w14:textId="77777777" w:rsidR="00D41345" w:rsidRPr="007C3485" w:rsidRDefault="00D41345" w:rsidP="002E7C72">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Dependencia del exportador</w:t>
            </w:r>
          </w:p>
        </w:tc>
        <w:tc>
          <w:tcPr>
            <w:tcW w:w="1414" w:type="pct"/>
            <w:shd w:val="clear" w:color="auto" w:fill="8EAADB" w:themeFill="accent1" w:themeFillTint="99"/>
            <w:vAlign w:val="center"/>
          </w:tcPr>
          <w:p w14:paraId="7C718216" w14:textId="77777777" w:rsidR="00D41345" w:rsidRPr="007C3485" w:rsidRDefault="00D41345" w:rsidP="002E7C72">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Dependencia total</w:t>
            </w:r>
          </w:p>
        </w:tc>
      </w:tr>
      <w:tr w:rsidR="00D41345" w:rsidRPr="007C3485" w14:paraId="14D41871" w14:textId="77777777" w:rsidTr="002E7C72">
        <w:trPr>
          <w:trHeight w:val="397"/>
        </w:trPr>
        <w:tc>
          <w:tcPr>
            <w:tcW w:w="842" w:type="pct"/>
            <w:shd w:val="clear" w:color="auto" w:fill="FFFFFF" w:themeFill="background1"/>
            <w:vAlign w:val="center"/>
          </w:tcPr>
          <w:p w14:paraId="593ED67B" w14:textId="77777777" w:rsidR="00D41345" w:rsidRPr="00B84B4D" w:rsidRDefault="00D41345" w:rsidP="002E7C72">
            <w:pPr>
              <w:spacing w:line="360" w:lineRule="auto"/>
              <w:jc w:val="center"/>
              <w:rPr>
                <w:rFonts w:asciiTheme="majorBidi" w:hAnsiTheme="majorBidi" w:cstheme="majorBidi"/>
                <w:b/>
                <w:bCs/>
              </w:rPr>
            </w:pPr>
            <w:r w:rsidRPr="00B84B4D">
              <w:rPr>
                <w:rFonts w:asciiTheme="majorBidi" w:hAnsiTheme="majorBidi" w:cstheme="majorBidi"/>
                <w:b/>
                <w:bCs/>
              </w:rPr>
              <w:t>Mongolia</w:t>
            </w:r>
          </w:p>
        </w:tc>
        <w:tc>
          <w:tcPr>
            <w:tcW w:w="834" w:type="pct"/>
            <w:shd w:val="clear" w:color="auto" w:fill="FFFFFF" w:themeFill="background1"/>
            <w:vAlign w:val="center"/>
          </w:tcPr>
          <w:p w14:paraId="5AB71CC6" w14:textId="77777777" w:rsidR="00D41345" w:rsidRPr="00523945" w:rsidRDefault="00D41345" w:rsidP="002E7C72">
            <w:pPr>
              <w:spacing w:line="360" w:lineRule="auto"/>
              <w:jc w:val="center"/>
              <w:rPr>
                <w:rFonts w:asciiTheme="majorBidi" w:hAnsiTheme="majorBidi" w:cstheme="majorBidi"/>
              </w:rPr>
            </w:pPr>
            <w:r w:rsidRPr="00523945">
              <w:rPr>
                <w:rFonts w:asciiTheme="majorBidi" w:hAnsiTheme="majorBidi" w:cstheme="majorBidi"/>
              </w:rPr>
              <w:t>Rusia</w:t>
            </w:r>
          </w:p>
        </w:tc>
        <w:tc>
          <w:tcPr>
            <w:tcW w:w="1910" w:type="pct"/>
            <w:shd w:val="clear" w:color="auto" w:fill="FFFFFF" w:themeFill="background1"/>
            <w:vAlign w:val="center"/>
          </w:tcPr>
          <w:p w14:paraId="3DD7CDF1" w14:textId="77777777" w:rsidR="00D41345" w:rsidRPr="00523945" w:rsidRDefault="00D41345" w:rsidP="002E7C72">
            <w:pPr>
              <w:spacing w:line="360" w:lineRule="auto"/>
              <w:jc w:val="center"/>
              <w:rPr>
                <w:rFonts w:asciiTheme="majorBidi" w:hAnsiTheme="majorBidi" w:cstheme="majorBidi"/>
              </w:rPr>
            </w:pPr>
            <w:r w:rsidRPr="00523945">
              <w:rPr>
                <w:rFonts w:asciiTheme="majorBidi" w:hAnsiTheme="majorBidi" w:cstheme="majorBidi"/>
              </w:rPr>
              <w:t>99,3%</w:t>
            </w:r>
          </w:p>
        </w:tc>
        <w:tc>
          <w:tcPr>
            <w:tcW w:w="1414" w:type="pct"/>
            <w:shd w:val="clear" w:color="auto" w:fill="FFFFFF" w:themeFill="background1"/>
            <w:vAlign w:val="center"/>
          </w:tcPr>
          <w:p w14:paraId="1B04739D" w14:textId="77777777" w:rsidR="00D41345" w:rsidRPr="00523945" w:rsidRDefault="00D41345" w:rsidP="002E7C72">
            <w:pPr>
              <w:spacing w:line="360" w:lineRule="auto"/>
              <w:jc w:val="center"/>
              <w:rPr>
                <w:rFonts w:asciiTheme="majorBidi" w:hAnsiTheme="majorBidi" w:cstheme="majorBidi"/>
              </w:rPr>
            </w:pPr>
            <w:r w:rsidRPr="00523945">
              <w:rPr>
                <w:rFonts w:asciiTheme="majorBidi" w:hAnsiTheme="majorBidi" w:cstheme="majorBidi"/>
              </w:rPr>
              <w:t>99,3%</w:t>
            </w:r>
          </w:p>
        </w:tc>
      </w:tr>
      <w:tr w:rsidR="00D41345" w:rsidRPr="007C3485" w14:paraId="2B0388A8" w14:textId="77777777" w:rsidTr="002E7C72">
        <w:trPr>
          <w:trHeight w:val="397"/>
        </w:trPr>
        <w:tc>
          <w:tcPr>
            <w:tcW w:w="842" w:type="pct"/>
            <w:shd w:val="clear" w:color="auto" w:fill="E2E9F6"/>
            <w:vAlign w:val="center"/>
          </w:tcPr>
          <w:p w14:paraId="27BA68B1" w14:textId="77777777" w:rsidR="00D41345" w:rsidRPr="007C3485" w:rsidRDefault="00D41345" w:rsidP="002E7C72">
            <w:pPr>
              <w:spacing w:line="360" w:lineRule="auto"/>
              <w:jc w:val="center"/>
              <w:rPr>
                <w:rFonts w:asciiTheme="majorBidi" w:hAnsiTheme="majorBidi" w:cstheme="majorBidi"/>
                <w:b/>
                <w:bCs/>
              </w:rPr>
            </w:pPr>
            <w:r w:rsidRPr="007C3485">
              <w:rPr>
                <w:rFonts w:asciiTheme="majorBidi" w:hAnsiTheme="majorBidi" w:cstheme="majorBidi"/>
                <w:b/>
                <w:bCs/>
              </w:rPr>
              <w:t>Armenia</w:t>
            </w:r>
          </w:p>
        </w:tc>
        <w:tc>
          <w:tcPr>
            <w:tcW w:w="834" w:type="pct"/>
            <w:shd w:val="clear" w:color="auto" w:fill="E2E9F6"/>
            <w:vAlign w:val="center"/>
          </w:tcPr>
          <w:p w14:paraId="354F0646"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33B07935"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99,2%</w:t>
            </w:r>
          </w:p>
        </w:tc>
        <w:tc>
          <w:tcPr>
            <w:tcW w:w="1414" w:type="pct"/>
            <w:shd w:val="clear" w:color="auto" w:fill="E2E9F6"/>
            <w:vAlign w:val="center"/>
          </w:tcPr>
          <w:p w14:paraId="1426AE90"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99,2%</w:t>
            </w:r>
          </w:p>
        </w:tc>
      </w:tr>
      <w:tr w:rsidR="00D41345" w:rsidRPr="007C3485" w14:paraId="0B328665" w14:textId="77777777" w:rsidTr="002E7C72">
        <w:trPr>
          <w:trHeight w:val="397"/>
        </w:trPr>
        <w:tc>
          <w:tcPr>
            <w:tcW w:w="842" w:type="pct"/>
            <w:vAlign w:val="center"/>
          </w:tcPr>
          <w:p w14:paraId="419E4D4D" w14:textId="77777777" w:rsidR="00D41345" w:rsidRPr="007C3485" w:rsidRDefault="00D41345" w:rsidP="002E7C72">
            <w:pPr>
              <w:spacing w:line="360" w:lineRule="auto"/>
              <w:jc w:val="center"/>
              <w:rPr>
                <w:rFonts w:asciiTheme="majorBidi" w:hAnsiTheme="majorBidi" w:cstheme="majorBidi"/>
                <w:b/>
                <w:bCs/>
              </w:rPr>
            </w:pPr>
            <w:r w:rsidRPr="007C3485">
              <w:rPr>
                <w:rFonts w:asciiTheme="majorBidi" w:hAnsiTheme="majorBidi" w:cstheme="majorBidi"/>
                <w:b/>
                <w:bCs/>
              </w:rPr>
              <w:t>Georgia</w:t>
            </w:r>
          </w:p>
        </w:tc>
        <w:tc>
          <w:tcPr>
            <w:tcW w:w="834" w:type="pct"/>
            <w:vAlign w:val="center"/>
          </w:tcPr>
          <w:p w14:paraId="71086C9E"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6B3BEDF2"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9</w:t>
            </w:r>
            <w:r>
              <w:rPr>
                <w:rFonts w:asciiTheme="majorBidi" w:hAnsiTheme="majorBidi" w:cstheme="majorBidi"/>
              </w:rPr>
              <w:t>7</w:t>
            </w:r>
            <w:r w:rsidRPr="007C3485">
              <w:rPr>
                <w:rFonts w:asciiTheme="majorBidi" w:hAnsiTheme="majorBidi" w:cstheme="majorBidi"/>
              </w:rPr>
              <w:t>,</w:t>
            </w:r>
            <w:r>
              <w:rPr>
                <w:rFonts w:asciiTheme="majorBidi" w:hAnsiTheme="majorBidi" w:cstheme="majorBidi"/>
              </w:rPr>
              <w:t>7</w:t>
            </w:r>
            <w:r w:rsidRPr="007C3485">
              <w:rPr>
                <w:rFonts w:asciiTheme="majorBidi" w:hAnsiTheme="majorBidi" w:cstheme="majorBidi"/>
              </w:rPr>
              <w:t>%</w:t>
            </w:r>
          </w:p>
        </w:tc>
        <w:tc>
          <w:tcPr>
            <w:tcW w:w="1414" w:type="pct"/>
            <w:vAlign w:val="center"/>
          </w:tcPr>
          <w:p w14:paraId="75244330"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9</w:t>
            </w:r>
            <w:r>
              <w:rPr>
                <w:rFonts w:asciiTheme="majorBidi" w:hAnsiTheme="majorBidi" w:cstheme="majorBidi"/>
              </w:rPr>
              <w:t>7</w:t>
            </w:r>
            <w:r w:rsidRPr="007C3485">
              <w:rPr>
                <w:rFonts w:asciiTheme="majorBidi" w:hAnsiTheme="majorBidi" w:cstheme="majorBidi"/>
              </w:rPr>
              <w:t>,</w:t>
            </w:r>
            <w:r>
              <w:rPr>
                <w:rFonts w:asciiTheme="majorBidi" w:hAnsiTheme="majorBidi" w:cstheme="majorBidi"/>
              </w:rPr>
              <w:t>7</w:t>
            </w:r>
            <w:r w:rsidRPr="007C3485">
              <w:rPr>
                <w:rFonts w:asciiTheme="majorBidi" w:hAnsiTheme="majorBidi" w:cstheme="majorBidi"/>
              </w:rPr>
              <w:t>%</w:t>
            </w:r>
          </w:p>
        </w:tc>
      </w:tr>
      <w:tr w:rsidR="00D41345" w:rsidRPr="007C3485" w14:paraId="6599E502" w14:textId="77777777" w:rsidTr="002E7C72">
        <w:trPr>
          <w:trHeight w:val="397"/>
        </w:trPr>
        <w:tc>
          <w:tcPr>
            <w:tcW w:w="842" w:type="pct"/>
            <w:shd w:val="clear" w:color="auto" w:fill="E2E9F6"/>
            <w:vAlign w:val="center"/>
          </w:tcPr>
          <w:p w14:paraId="2C5A9135" w14:textId="77777777" w:rsidR="00D41345" w:rsidRPr="007C3485" w:rsidRDefault="00D41345" w:rsidP="002E7C72">
            <w:pPr>
              <w:spacing w:line="360" w:lineRule="auto"/>
              <w:jc w:val="center"/>
              <w:rPr>
                <w:rFonts w:asciiTheme="majorBidi" w:hAnsiTheme="majorBidi" w:cstheme="majorBidi"/>
                <w:b/>
                <w:bCs/>
              </w:rPr>
            </w:pPr>
            <w:r w:rsidRPr="007C3485">
              <w:rPr>
                <w:rFonts w:asciiTheme="majorBidi" w:hAnsiTheme="majorBidi" w:cstheme="majorBidi"/>
                <w:b/>
                <w:bCs/>
              </w:rPr>
              <w:t>Azerbaiyán</w:t>
            </w:r>
          </w:p>
        </w:tc>
        <w:tc>
          <w:tcPr>
            <w:tcW w:w="834" w:type="pct"/>
            <w:shd w:val="clear" w:color="auto" w:fill="E2E9F6"/>
            <w:vAlign w:val="center"/>
          </w:tcPr>
          <w:p w14:paraId="298160CB"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636B0A9C"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9</w:t>
            </w:r>
            <w:r>
              <w:rPr>
                <w:rFonts w:asciiTheme="majorBidi" w:hAnsiTheme="majorBidi" w:cstheme="majorBidi"/>
              </w:rPr>
              <w:t>3</w:t>
            </w:r>
            <w:r w:rsidRPr="007C3485">
              <w:rPr>
                <w:rFonts w:asciiTheme="majorBidi" w:hAnsiTheme="majorBidi" w:cstheme="majorBidi"/>
              </w:rPr>
              <w:t>,</w:t>
            </w:r>
            <w:r>
              <w:rPr>
                <w:rFonts w:asciiTheme="majorBidi" w:hAnsiTheme="majorBidi" w:cstheme="majorBidi"/>
              </w:rPr>
              <w:t>8</w:t>
            </w:r>
            <w:r w:rsidRPr="007C3485">
              <w:rPr>
                <w:rFonts w:asciiTheme="majorBidi" w:hAnsiTheme="majorBidi" w:cstheme="majorBidi"/>
              </w:rPr>
              <w:t>%</w:t>
            </w:r>
          </w:p>
        </w:tc>
        <w:tc>
          <w:tcPr>
            <w:tcW w:w="1414" w:type="pct"/>
            <w:shd w:val="clear" w:color="auto" w:fill="E2E9F6"/>
            <w:vAlign w:val="center"/>
          </w:tcPr>
          <w:p w14:paraId="1C82EBB9"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9</w:t>
            </w:r>
            <w:r>
              <w:rPr>
                <w:rFonts w:asciiTheme="majorBidi" w:hAnsiTheme="majorBidi" w:cstheme="majorBidi"/>
              </w:rPr>
              <w:t>3</w:t>
            </w:r>
            <w:r w:rsidRPr="007C3485">
              <w:rPr>
                <w:rFonts w:asciiTheme="majorBidi" w:hAnsiTheme="majorBidi" w:cstheme="majorBidi"/>
              </w:rPr>
              <w:t>,</w:t>
            </w:r>
            <w:r>
              <w:rPr>
                <w:rFonts w:asciiTheme="majorBidi" w:hAnsiTheme="majorBidi" w:cstheme="majorBidi"/>
              </w:rPr>
              <w:t>8</w:t>
            </w:r>
            <w:r w:rsidRPr="007C3485">
              <w:rPr>
                <w:rFonts w:asciiTheme="majorBidi" w:hAnsiTheme="majorBidi" w:cstheme="majorBidi"/>
              </w:rPr>
              <w:t>%</w:t>
            </w:r>
          </w:p>
        </w:tc>
      </w:tr>
      <w:tr w:rsidR="00D41345" w:rsidRPr="007C3485" w14:paraId="55486064" w14:textId="77777777" w:rsidTr="002E7C72">
        <w:trPr>
          <w:trHeight w:val="397"/>
        </w:trPr>
        <w:tc>
          <w:tcPr>
            <w:tcW w:w="842" w:type="pct"/>
            <w:vMerge w:val="restart"/>
            <w:shd w:val="clear" w:color="auto" w:fill="FFFFFF" w:themeFill="background1"/>
            <w:vAlign w:val="center"/>
          </w:tcPr>
          <w:p w14:paraId="5BF35E88" w14:textId="77777777" w:rsidR="00D41345" w:rsidRPr="007C3485" w:rsidRDefault="00D41345" w:rsidP="002E7C72">
            <w:pPr>
              <w:spacing w:line="360" w:lineRule="auto"/>
              <w:jc w:val="center"/>
              <w:rPr>
                <w:rFonts w:asciiTheme="majorBidi" w:hAnsiTheme="majorBidi" w:cstheme="majorBidi"/>
                <w:b/>
                <w:bCs/>
              </w:rPr>
            </w:pPr>
            <w:r w:rsidRPr="007C3485">
              <w:rPr>
                <w:rFonts w:asciiTheme="majorBidi" w:hAnsiTheme="majorBidi" w:cstheme="majorBidi"/>
                <w:b/>
                <w:bCs/>
              </w:rPr>
              <w:t>Libia</w:t>
            </w:r>
          </w:p>
        </w:tc>
        <w:tc>
          <w:tcPr>
            <w:tcW w:w="834" w:type="pct"/>
            <w:shd w:val="clear" w:color="auto" w:fill="FFFFFF" w:themeFill="background1"/>
            <w:vAlign w:val="center"/>
          </w:tcPr>
          <w:p w14:paraId="227E7B53"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FFFFFF" w:themeFill="background1"/>
            <w:vAlign w:val="center"/>
          </w:tcPr>
          <w:p w14:paraId="694DD28D"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79,6</w:t>
            </w:r>
            <w:r w:rsidRPr="007C3485">
              <w:rPr>
                <w:rFonts w:asciiTheme="majorBidi" w:hAnsiTheme="majorBidi" w:cstheme="majorBidi"/>
              </w:rPr>
              <w:t>%</w:t>
            </w:r>
          </w:p>
        </w:tc>
        <w:tc>
          <w:tcPr>
            <w:tcW w:w="1414" w:type="pct"/>
            <w:vMerge w:val="restart"/>
            <w:shd w:val="clear" w:color="auto" w:fill="FFFFFF" w:themeFill="background1"/>
            <w:vAlign w:val="center"/>
          </w:tcPr>
          <w:p w14:paraId="69935C4A"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91,5</w:t>
            </w:r>
            <w:r w:rsidRPr="007C3485">
              <w:rPr>
                <w:rFonts w:asciiTheme="majorBidi" w:hAnsiTheme="majorBidi" w:cstheme="majorBidi"/>
              </w:rPr>
              <w:t>%</w:t>
            </w:r>
          </w:p>
        </w:tc>
      </w:tr>
      <w:tr w:rsidR="00D41345" w:rsidRPr="007C3485" w14:paraId="4FC276B0" w14:textId="77777777" w:rsidTr="002E7C72">
        <w:trPr>
          <w:trHeight w:val="397"/>
        </w:trPr>
        <w:tc>
          <w:tcPr>
            <w:tcW w:w="842" w:type="pct"/>
            <w:vMerge/>
            <w:shd w:val="clear" w:color="auto" w:fill="E2E9F6"/>
            <w:vAlign w:val="center"/>
          </w:tcPr>
          <w:p w14:paraId="54A6D08A" w14:textId="77777777" w:rsidR="00D41345" w:rsidRPr="007C3485" w:rsidRDefault="00D41345" w:rsidP="002E7C72">
            <w:pPr>
              <w:spacing w:line="360" w:lineRule="auto"/>
              <w:jc w:val="center"/>
              <w:rPr>
                <w:rFonts w:asciiTheme="majorBidi" w:hAnsiTheme="majorBidi" w:cstheme="majorBidi"/>
                <w:b/>
                <w:bCs/>
              </w:rPr>
            </w:pPr>
          </w:p>
        </w:tc>
        <w:tc>
          <w:tcPr>
            <w:tcW w:w="834" w:type="pct"/>
            <w:shd w:val="clear" w:color="auto" w:fill="FFFFFF" w:themeFill="background1"/>
            <w:vAlign w:val="center"/>
          </w:tcPr>
          <w:p w14:paraId="1E9B33C6"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FFFFFF" w:themeFill="background1"/>
            <w:vAlign w:val="center"/>
          </w:tcPr>
          <w:p w14:paraId="431DED26"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11,9</w:t>
            </w:r>
            <w:r w:rsidRPr="007C3485">
              <w:rPr>
                <w:rFonts w:asciiTheme="majorBidi" w:hAnsiTheme="majorBidi" w:cstheme="majorBidi"/>
              </w:rPr>
              <w:t>%</w:t>
            </w:r>
          </w:p>
        </w:tc>
        <w:tc>
          <w:tcPr>
            <w:tcW w:w="1414" w:type="pct"/>
            <w:vMerge/>
            <w:shd w:val="clear" w:color="auto" w:fill="E2E9F6"/>
            <w:vAlign w:val="center"/>
          </w:tcPr>
          <w:p w14:paraId="6E1FA9D0" w14:textId="77777777" w:rsidR="00D41345" w:rsidRPr="007C3485" w:rsidRDefault="00D41345" w:rsidP="002E7C72">
            <w:pPr>
              <w:spacing w:line="360" w:lineRule="auto"/>
              <w:jc w:val="center"/>
              <w:rPr>
                <w:rFonts w:asciiTheme="majorBidi" w:hAnsiTheme="majorBidi" w:cstheme="majorBidi"/>
              </w:rPr>
            </w:pPr>
          </w:p>
        </w:tc>
      </w:tr>
      <w:tr w:rsidR="00D41345" w:rsidRPr="007C3485" w14:paraId="382EA22B" w14:textId="77777777" w:rsidTr="002E7C72">
        <w:trPr>
          <w:trHeight w:val="397"/>
        </w:trPr>
        <w:tc>
          <w:tcPr>
            <w:tcW w:w="842" w:type="pct"/>
            <w:vMerge w:val="restart"/>
            <w:shd w:val="clear" w:color="auto" w:fill="E2E9F6"/>
            <w:vAlign w:val="center"/>
          </w:tcPr>
          <w:p w14:paraId="72502DF4" w14:textId="77777777" w:rsidR="00D41345" w:rsidRPr="007C3485" w:rsidRDefault="00D41345" w:rsidP="002E7C72">
            <w:pPr>
              <w:spacing w:line="360" w:lineRule="auto"/>
              <w:jc w:val="center"/>
              <w:rPr>
                <w:rFonts w:asciiTheme="majorBidi" w:hAnsiTheme="majorBidi" w:cstheme="majorBidi"/>
                <w:b/>
                <w:bCs/>
              </w:rPr>
            </w:pPr>
            <w:r w:rsidRPr="007C3485">
              <w:rPr>
                <w:rFonts w:asciiTheme="majorBidi" w:hAnsiTheme="majorBidi" w:cstheme="majorBidi"/>
                <w:b/>
                <w:bCs/>
              </w:rPr>
              <w:t>Bielorrusia</w:t>
            </w:r>
          </w:p>
        </w:tc>
        <w:tc>
          <w:tcPr>
            <w:tcW w:w="834" w:type="pct"/>
            <w:shd w:val="clear" w:color="auto" w:fill="E2E9F6"/>
            <w:vAlign w:val="center"/>
          </w:tcPr>
          <w:p w14:paraId="08FFD8B0"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5A2892E8"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69,9</w:t>
            </w:r>
            <w:r w:rsidRPr="007C3485">
              <w:rPr>
                <w:rFonts w:asciiTheme="majorBidi" w:hAnsiTheme="majorBidi" w:cstheme="majorBidi"/>
              </w:rPr>
              <w:t>%</w:t>
            </w:r>
          </w:p>
        </w:tc>
        <w:tc>
          <w:tcPr>
            <w:tcW w:w="1414" w:type="pct"/>
            <w:vMerge w:val="restart"/>
            <w:shd w:val="clear" w:color="auto" w:fill="E2E9F6"/>
            <w:vAlign w:val="center"/>
          </w:tcPr>
          <w:p w14:paraId="6198A63F"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85,5</w:t>
            </w:r>
            <w:r w:rsidRPr="007C3485">
              <w:rPr>
                <w:rFonts w:asciiTheme="majorBidi" w:hAnsiTheme="majorBidi" w:cstheme="majorBidi"/>
              </w:rPr>
              <w:t>%</w:t>
            </w:r>
          </w:p>
        </w:tc>
      </w:tr>
      <w:tr w:rsidR="00D41345" w:rsidRPr="007C3485" w14:paraId="31AF494E" w14:textId="77777777" w:rsidTr="002E7C72">
        <w:trPr>
          <w:trHeight w:val="397"/>
        </w:trPr>
        <w:tc>
          <w:tcPr>
            <w:tcW w:w="842" w:type="pct"/>
            <w:vMerge/>
            <w:vAlign w:val="center"/>
          </w:tcPr>
          <w:p w14:paraId="701018F2" w14:textId="77777777" w:rsidR="00D41345" w:rsidRPr="007C3485" w:rsidRDefault="00D41345" w:rsidP="002E7C72">
            <w:pPr>
              <w:spacing w:line="360" w:lineRule="auto"/>
              <w:jc w:val="center"/>
              <w:rPr>
                <w:rFonts w:asciiTheme="majorBidi" w:hAnsiTheme="majorBidi" w:cstheme="majorBidi"/>
                <w:b/>
                <w:bCs/>
              </w:rPr>
            </w:pPr>
          </w:p>
        </w:tc>
        <w:tc>
          <w:tcPr>
            <w:tcW w:w="834" w:type="pct"/>
            <w:shd w:val="clear" w:color="auto" w:fill="E2E9F6"/>
            <w:vAlign w:val="center"/>
          </w:tcPr>
          <w:p w14:paraId="3499E723"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0F4500DC"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16,6</w:t>
            </w:r>
            <w:r w:rsidRPr="007C3485">
              <w:rPr>
                <w:rFonts w:asciiTheme="majorBidi" w:hAnsiTheme="majorBidi" w:cstheme="majorBidi"/>
              </w:rPr>
              <w:t>%</w:t>
            </w:r>
          </w:p>
        </w:tc>
        <w:tc>
          <w:tcPr>
            <w:tcW w:w="1414" w:type="pct"/>
            <w:vMerge/>
            <w:vAlign w:val="center"/>
          </w:tcPr>
          <w:p w14:paraId="653EB4E9" w14:textId="77777777" w:rsidR="00D41345" w:rsidRPr="007C3485" w:rsidRDefault="00D41345" w:rsidP="002E7C72">
            <w:pPr>
              <w:spacing w:line="360" w:lineRule="auto"/>
              <w:jc w:val="center"/>
              <w:rPr>
                <w:rFonts w:asciiTheme="majorBidi" w:hAnsiTheme="majorBidi" w:cstheme="majorBidi"/>
              </w:rPr>
            </w:pPr>
          </w:p>
        </w:tc>
      </w:tr>
      <w:tr w:rsidR="00D41345" w:rsidRPr="007C3485" w14:paraId="5D83B8A3" w14:textId="77777777" w:rsidTr="002E7C72">
        <w:trPr>
          <w:trHeight w:val="397"/>
        </w:trPr>
        <w:tc>
          <w:tcPr>
            <w:tcW w:w="842" w:type="pct"/>
            <w:vMerge w:val="restart"/>
            <w:vAlign w:val="center"/>
          </w:tcPr>
          <w:p w14:paraId="2C9BF613" w14:textId="77777777" w:rsidR="00D41345" w:rsidRDefault="00D41345" w:rsidP="002E7C72">
            <w:pPr>
              <w:spacing w:line="360" w:lineRule="auto"/>
              <w:jc w:val="center"/>
              <w:rPr>
                <w:rFonts w:asciiTheme="majorBidi" w:hAnsiTheme="majorBidi" w:cstheme="majorBidi"/>
                <w:b/>
                <w:bCs/>
              </w:rPr>
            </w:pPr>
            <w:r w:rsidRPr="007C3485">
              <w:rPr>
                <w:rFonts w:asciiTheme="majorBidi" w:hAnsiTheme="majorBidi" w:cstheme="majorBidi"/>
                <w:b/>
                <w:bCs/>
              </w:rPr>
              <w:t>Turquía</w:t>
            </w:r>
          </w:p>
        </w:tc>
        <w:tc>
          <w:tcPr>
            <w:tcW w:w="834" w:type="pct"/>
            <w:vAlign w:val="center"/>
          </w:tcPr>
          <w:p w14:paraId="763C0E57"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78FF1ED5" w14:textId="77777777" w:rsidR="00D41345" w:rsidRDefault="00D41345" w:rsidP="002E7C72">
            <w:pPr>
              <w:spacing w:line="360" w:lineRule="auto"/>
              <w:jc w:val="center"/>
              <w:rPr>
                <w:rFonts w:asciiTheme="majorBidi" w:hAnsiTheme="majorBidi" w:cstheme="majorBidi"/>
              </w:rPr>
            </w:pPr>
            <w:r>
              <w:rPr>
                <w:rFonts w:asciiTheme="majorBidi" w:hAnsiTheme="majorBidi" w:cstheme="majorBidi"/>
              </w:rPr>
              <w:t>43,6%</w:t>
            </w:r>
          </w:p>
        </w:tc>
        <w:tc>
          <w:tcPr>
            <w:tcW w:w="1414" w:type="pct"/>
            <w:vMerge w:val="restart"/>
            <w:vAlign w:val="center"/>
          </w:tcPr>
          <w:p w14:paraId="6E4EBBB3" w14:textId="77777777" w:rsidR="00D41345" w:rsidRDefault="00D41345" w:rsidP="002E7C72">
            <w:pPr>
              <w:spacing w:line="360" w:lineRule="auto"/>
              <w:jc w:val="center"/>
              <w:rPr>
                <w:rFonts w:asciiTheme="majorBidi" w:hAnsiTheme="majorBidi" w:cstheme="majorBidi"/>
              </w:rPr>
            </w:pPr>
            <w:r>
              <w:rPr>
                <w:rFonts w:asciiTheme="majorBidi" w:hAnsiTheme="majorBidi" w:cstheme="majorBidi"/>
              </w:rPr>
              <w:t>77,7%</w:t>
            </w:r>
          </w:p>
        </w:tc>
      </w:tr>
      <w:tr w:rsidR="00D41345" w:rsidRPr="007C3485" w14:paraId="05965CD8" w14:textId="77777777" w:rsidTr="002E7C72">
        <w:trPr>
          <w:trHeight w:val="397"/>
        </w:trPr>
        <w:tc>
          <w:tcPr>
            <w:tcW w:w="842" w:type="pct"/>
            <w:vMerge/>
            <w:vAlign w:val="center"/>
          </w:tcPr>
          <w:p w14:paraId="214F33BC" w14:textId="77777777" w:rsidR="00D41345" w:rsidRDefault="00D41345" w:rsidP="002E7C72">
            <w:pPr>
              <w:spacing w:line="360" w:lineRule="auto"/>
              <w:jc w:val="center"/>
              <w:rPr>
                <w:rFonts w:asciiTheme="majorBidi" w:hAnsiTheme="majorBidi" w:cstheme="majorBidi"/>
                <w:b/>
                <w:bCs/>
              </w:rPr>
            </w:pPr>
          </w:p>
        </w:tc>
        <w:tc>
          <w:tcPr>
            <w:tcW w:w="834" w:type="pct"/>
            <w:vAlign w:val="center"/>
          </w:tcPr>
          <w:p w14:paraId="76808A10"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vAlign w:val="center"/>
          </w:tcPr>
          <w:p w14:paraId="3C3D6EB1" w14:textId="77777777" w:rsidR="00D41345" w:rsidRDefault="00D41345" w:rsidP="002E7C72">
            <w:pPr>
              <w:spacing w:line="360" w:lineRule="auto"/>
              <w:jc w:val="center"/>
              <w:rPr>
                <w:rFonts w:asciiTheme="majorBidi" w:hAnsiTheme="majorBidi" w:cstheme="majorBidi"/>
              </w:rPr>
            </w:pPr>
            <w:r>
              <w:rPr>
                <w:rFonts w:asciiTheme="majorBidi" w:hAnsiTheme="majorBidi" w:cstheme="majorBidi"/>
              </w:rPr>
              <w:t>34,1%</w:t>
            </w:r>
          </w:p>
        </w:tc>
        <w:tc>
          <w:tcPr>
            <w:tcW w:w="1414" w:type="pct"/>
            <w:vMerge/>
            <w:vAlign w:val="center"/>
          </w:tcPr>
          <w:p w14:paraId="1BCC3EEA" w14:textId="77777777" w:rsidR="00D41345" w:rsidRDefault="00D41345" w:rsidP="002E7C72">
            <w:pPr>
              <w:spacing w:line="360" w:lineRule="auto"/>
              <w:jc w:val="center"/>
              <w:rPr>
                <w:rFonts w:asciiTheme="majorBidi" w:hAnsiTheme="majorBidi" w:cstheme="majorBidi"/>
              </w:rPr>
            </w:pPr>
          </w:p>
        </w:tc>
      </w:tr>
      <w:tr w:rsidR="00D41345" w:rsidRPr="007C3485" w14:paraId="2AE4D5AA" w14:textId="77777777" w:rsidTr="002E7C72">
        <w:trPr>
          <w:trHeight w:val="397"/>
        </w:trPr>
        <w:tc>
          <w:tcPr>
            <w:tcW w:w="842" w:type="pct"/>
            <w:vMerge w:val="restart"/>
            <w:shd w:val="clear" w:color="auto" w:fill="E2E9F6"/>
            <w:vAlign w:val="center"/>
          </w:tcPr>
          <w:p w14:paraId="74748908" w14:textId="77777777" w:rsidR="00D41345" w:rsidRPr="007C3485" w:rsidRDefault="00D41345" w:rsidP="002E7C72">
            <w:pPr>
              <w:spacing w:line="360" w:lineRule="auto"/>
              <w:jc w:val="center"/>
              <w:rPr>
                <w:rFonts w:asciiTheme="majorBidi" w:hAnsiTheme="majorBidi" w:cstheme="majorBidi"/>
                <w:b/>
                <w:bCs/>
              </w:rPr>
            </w:pPr>
            <w:r>
              <w:rPr>
                <w:rFonts w:asciiTheme="majorBidi" w:hAnsiTheme="majorBidi" w:cstheme="majorBidi"/>
                <w:b/>
                <w:bCs/>
              </w:rPr>
              <w:t>Letonia</w:t>
            </w:r>
          </w:p>
        </w:tc>
        <w:tc>
          <w:tcPr>
            <w:tcW w:w="834" w:type="pct"/>
            <w:shd w:val="clear" w:color="auto" w:fill="E2E9F6"/>
            <w:vAlign w:val="center"/>
          </w:tcPr>
          <w:p w14:paraId="35B9EB72"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388A51DA"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70,5%</w:t>
            </w:r>
          </w:p>
        </w:tc>
        <w:tc>
          <w:tcPr>
            <w:tcW w:w="1414" w:type="pct"/>
            <w:vMerge w:val="restart"/>
            <w:shd w:val="clear" w:color="auto" w:fill="E2E9F6"/>
            <w:vAlign w:val="center"/>
          </w:tcPr>
          <w:p w14:paraId="2D72DF14"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76,57%</w:t>
            </w:r>
          </w:p>
        </w:tc>
      </w:tr>
      <w:tr w:rsidR="00D41345" w:rsidRPr="007C3485" w14:paraId="47DF140C" w14:textId="77777777" w:rsidTr="002E7C72">
        <w:trPr>
          <w:trHeight w:val="397"/>
        </w:trPr>
        <w:tc>
          <w:tcPr>
            <w:tcW w:w="842" w:type="pct"/>
            <w:vMerge/>
            <w:shd w:val="clear" w:color="auto" w:fill="E2E9F6"/>
            <w:vAlign w:val="center"/>
          </w:tcPr>
          <w:p w14:paraId="27E5949B" w14:textId="77777777" w:rsidR="00D41345" w:rsidRPr="007C3485" w:rsidRDefault="00D41345" w:rsidP="002E7C72">
            <w:pPr>
              <w:spacing w:line="360" w:lineRule="auto"/>
              <w:jc w:val="center"/>
              <w:rPr>
                <w:rFonts w:asciiTheme="majorBidi" w:hAnsiTheme="majorBidi" w:cstheme="majorBidi"/>
                <w:b/>
                <w:bCs/>
              </w:rPr>
            </w:pPr>
          </w:p>
        </w:tc>
        <w:tc>
          <w:tcPr>
            <w:tcW w:w="834" w:type="pct"/>
            <w:shd w:val="clear" w:color="auto" w:fill="E2E9F6"/>
            <w:vAlign w:val="center"/>
          </w:tcPr>
          <w:p w14:paraId="2D82BA7A"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0B38AEB1"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6,1%</w:t>
            </w:r>
          </w:p>
        </w:tc>
        <w:tc>
          <w:tcPr>
            <w:tcW w:w="1414" w:type="pct"/>
            <w:vMerge/>
            <w:shd w:val="clear" w:color="auto" w:fill="E2E9F6"/>
            <w:vAlign w:val="center"/>
          </w:tcPr>
          <w:p w14:paraId="18928403" w14:textId="77777777" w:rsidR="00D41345" w:rsidRPr="007C3485" w:rsidRDefault="00D41345" w:rsidP="002E7C72">
            <w:pPr>
              <w:spacing w:line="360" w:lineRule="auto"/>
              <w:jc w:val="center"/>
              <w:rPr>
                <w:rFonts w:asciiTheme="majorBidi" w:hAnsiTheme="majorBidi" w:cstheme="majorBidi"/>
              </w:rPr>
            </w:pPr>
          </w:p>
        </w:tc>
      </w:tr>
      <w:tr w:rsidR="00D41345" w:rsidRPr="007C3485" w14:paraId="03374C63" w14:textId="77777777" w:rsidTr="002E7C72">
        <w:trPr>
          <w:trHeight w:val="397"/>
        </w:trPr>
        <w:tc>
          <w:tcPr>
            <w:tcW w:w="842" w:type="pct"/>
            <w:vMerge w:val="restart"/>
            <w:shd w:val="clear" w:color="auto" w:fill="FFFFFF" w:themeFill="background1"/>
            <w:vAlign w:val="center"/>
          </w:tcPr>
          <w:p w14:paraId="5410E999" w14:textId="77777777" w:rsidR="00D41345" w:rsidRPr="007C3485" w:rsidRDefault="00D41345" w:rsidP="002E7C72">
            <w:pPr>
              <w:spacing w:line="360" w:lineRule="auto"/>
              <w:jc w:val="center"/>
              <w:rPr>
                <w:rFonts w:asciiTheme="majorBidi" w:hAnsiTheme="majorBidi" w:cstheme="majorBidi"/>
                <w:b/>
                <w:bCs/>
              </w:rPr>
            </w:pPr>
            <w:r>
              <w:rPr>
                <w:rFonts w:asciiTheme="majorBidi" w:hAnsiTheme="majorBidi" w:cstheme="majorBidi"/>
                <w:b/>
                <w:bCs/>
              </w:rPr>
              <w:t>Kazajstán</w:t>
            </w:r>
          </w:p>
        </w:tc>
        <w:tc>
          <w:tcPr>
            <w:tcW w:w="834" w:type="pct"/>
            <w:shd w:val="clear" w:color="auto" w:fill="FFFFFF" w:themeFill="background1"/>
            <w:vAlign w:val="center"/>
          </w:tcPr>
          <w:p w14:paraId="27DE793C"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FFFFFF" w:themeFill="background1"/>
            <w:vAlign w:val="center"/>
          </w:tcPr>
          <w:p w14:paraId="1CDDC6CB"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67,7%</w:t>
            </w:r>
          </w:p>
        </w:tc>
        <w:tc>
          <w:tcPr>
            <w:tcW w:w="1414" w:type="pct"/>
            <w:vMerge w:val="restart"/>
            <w:shd w:val="clear" w:color="auto" w:fill="FFFFFF" w:themeFill="background1"/>
            <w:vAlign w:val="center"/>
          </w:tcPr>
          <w:p w14:paraId="032024FA"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74,9</w:t>
            </w:r>
            <w:r w:rsidRPr="007C3485">
              <w:rPr>
                <w:rFonts w:asciiTheme="majorBidi" w:hAnsiTheme="majorBidi" w:cstheme="majorBidi"/>
              </w:rPr>
              <w:t>%</w:t>
            </w:r>
          </w:p>
        </w:tc>
      </w:tr>
      <w:tr w:rsidR="00D41345" w:rsidRPr="007C3485" w14:paraId="0C309CF1" w14:textId="77777777" w:rsidTr="002E7C72">
        <w:trPr>
          <w:trHeight w:val="397"/>
        </w:trPr>
        <w:tc>
          <w:tcPr>
            <w:tcW w:w="842" w:type="pct"/>
            <w:vMerge/>
            <w:shd w:val="clear" w:color="auto" w:fill="FFFFFF" w:themeFill="background1"/>
            <w:vAlign w:val="center"/>
          </w:tcPr>
          <w:p w14:paraId="7B7A22F8" w14:textId="77777777" w:rsidR="00D41345" w:rsidRPr="007C3485" w:rsidRDefault="00D41345" w:rsidP="002E7C72">
            <w:pPr>
              <w:spacing w:line="360" w:lineRule="auto"/>
              <w:jc w:val="center"/>
              <w:rPr>
                <w:rFonts w:asciiTheme="majorBidi" w:hAnsiTheme="majorBidi" w:cstheme="majorBidi"/>
                <w:b/>
                <w:bCs/>
              </w:rPr>
            </w:pPr>
          </w:p>
        </w:tc>
        <w:tc>
          <w:tcPr>
            <w:tcW w:w="834" w:type="pct"/>
            <w:shd w:val="clear" w:color="auto" w:fill="FFFFFF" w:themeFill="background1"/>
            <w:vAlign w:val="center"/>
          </w:tcPr>
          <w:p w14:paraId="179C6CFE"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FFFFFF" w:themeFill="background1"/>
            <w:vAlign w:val="center"/>
          </w:tcPr>
          <w:p w14:paraId="670E03A5"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7,3</w:t>
            </w:r>
            <w:r w:rsidRPr="007C3485">
              <w:rPr>
                <w:rFonts w:asciiTheme="majorBidi" w:hAnsiTheme="majorBidi" w:cstheme="majorBidi"/>
              </w:rPr>
              <w:t>%</w:t>
            </w:r>
          </w:p>
        </w:tc>
        <w:tc>
          <w:tcPr>
            <w:tcW w:w="1414" w:type="pct"/>
            <w:vMerge/>
            <w:shd w:val="clear" w:color="auto" w:fill="FFFFFF" w:themeFill="background1"/>
            <w:vAlign w:val="center"/>
          </w:tcPr>
          <w:p w14:paraId="1FAEB3B3" w14:textId="77777777" w:rsidR="00D41345" w:rsidRPr="007C3485" w:rsidRDefault="00D41345" w:rsidP="002E7C72">
            <w:pPr>
              <w:spacing w:line="360" w:lineRule="auto"/>
              <w:jc w:val="center"/>
              <w:rPr>
                <w:rFonts w:asciiTheme="majorBidi" w:hAnsiTheme="majorBidi" w:cstheme="majorBidi"/>
              </w:rPr>
            </w:pPr>
          </w:p>
        </w:tc>
      </w:tr>
      <w:tr w:rsidR="00D41345" w:rsidRPr="007C3485" w14:paraId="7F318827" w14:textId="77777777" w:rsidTr="002E7C72">
        <w:trPr>
          <w:trHeight w:val="397"/>
        </w:trPr>
        <w:tc>
          <w:tcPr>
            <w:tcW w:w="842" w:type="pct"/>
            <w:shd w:val="clear" w:color="auto" w:fill="E2E9F6"/>
            <w:vAlign w:val="center"/>
          </w:tcPr>
          <w:p w14:paraId="400184E5" w14:textId="68934914" w:rsidR="00D41345" w:rsidRPr="007C3485" w:rsidRDefault="00293133" w:rsidP="002E7C72">
            <w:pPr>
              <w:spacing w:line="360" w:lineRule="auto"/>
              <w:jc w:val="center"/>
              <w:rPr>
                <w:rFonts w:asciiTheme="majorBidi" w:hAnsiTheme="majorBidi" w:cstheme="majorBidi"/>
                <w:b/>
                <w:bCs/>
              </w:rPr>
            </w:pPr>
            <w:r>
              <w:rPr>
                <w:rFonts w:asciiTheme="majorBidi" w:hAnsiTheme="majorBidi" w:cstheme="majorBidi"/>
                <w:b/>
                <w:bCs/>
              </w:rPr>
              <w:t>Costa de Marfil</w:t>
            </w:r>
          </w:p>
        </w:tc>
        <w:tc>
          <w:tcPr>
            <w:tcW w:w="834" w:type="pct"/>
            <w:shd w:val="clear" w:color="auto" w:fill="E2E9F6"/>
            <w:vAlign w:val="center"/>
          </w:tcPr>
          <w:p w14:paraId="155419A3"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Ucrania</w:t>
            </w:r>
          </w:p>
        </w:tc>
        <w:tc>
          <w:tcPr>
            <w:tcW w:w="1910" w:type="pct"/>
            <w:shd w:val="clear" w:color="auto" w:fill="E2E9F6"/>
            <w:vAlign w:val="center"/>
          </w:tcPr>
          <w:p w14:paraId="566850E3"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50</w:t>
            </w:r>
            <w:r w:rsidRPr="007C3485">
              <w:rPr>
                <w:rFonts w:asciiTheme="majorBidi" w:hAnsiTheme="majorBidi" w:cstheme="majorBidi"/>
              </w:rPr>
              <w:t>,</w:t>
            </w:r>
            <w:r>
              <w:rPr>
                <w:rFonts w:asciiTheme="majorBidi" w:hAnsiTheme="majorBidi" w:cstheme="majorBidi"/>
              </w:rPr>
              <w:t>8</w:t>
            </w:r>
            <w:r w:rsidRPr="007C3485">
              <w:rPr>
                <w:rFonts w:asciiTheme="majorBidi" w:hAnsiTheme="majorBidi" w:cstheme="majorBidi"/>
              </w:rPr>
              <w:t>%</w:t>
            </w:r>
          </w:p>
        </w:tc>
        <w:tc>
          <w:tcPr>
            <w:tcW w:w="1414" w:type="pct"/>
            <w:shd w:val="clear" w:color="auto" w:fill="E2E9F6"/>
            <w:vAlign w:val="center"/>
          </w:tcPr>
          <w:p w14:paraId="7AF40A06"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50</w:t>
            </w:r>
            <w:r w:rsidRPr="007C3485">
              <w:rPr>
                <w:rFonts w:asciiTheme="majorBidi" w:hAnsiTheme="majorBidi" w:cstheme="majorBidi"/>
              </w:rPr>
              <w:t>,</w:t>
            </w:r>
            <w:r>
              <w:rPr>
                <w:rFonts w:asciiTheme="majorBidi" w:hAnsiTheme="majorBidi" w:cstheme="majorBidi"/>
              </w:rPr>
              <w:t>8</w:t>
            </w:r>
            <w:r w:rsidRPr="007C3485">
              <w:rPr>
                <w:rFonts w:asciiTheme="majorBidi" w:hAnsiTheme="majorBidi" w:cstheme="majorBidi"/>
              </w:rPr>
              <w:t>%</w:t>
            </w:r>
          </w:p>
        </w:tc>
      </w:tr>
      <w:tr w:rsidR="00D41345" w:rsidRPr="007C3485" w14:paraId="3D14B74A" w14:textId="77777777" w:rsidTr="002E7C72">
        <w:trPr>
          <w:trHeight w:val="397"/>
        </w:trPr>
        <w:tc>
          <w:tcPr>
            <w:tcW w:w="842" w:type="pct"/>
            <w:shd w:val="clear" w:color="auto" w:fill="FFFFFF" w:themeFill="background1"/>
            <w:vAlign w:val="center"/>
          </w:tcPr>
          <w:p w14:paraId="2A4149AA" w14:textId="77777777" w:rsidR="00D41345" w:rsidRPr="007C3485" w:rsidRDefault="00D41345" w:rsidP="002E7C72">
            <w:pPr>
              <w:spacing w:line="360" w:lineRule="auto"/>
              <w:jc w:val="center"/>
              <w:rPr>
                <w:rFonts w:asciiTheme="majorBidi" w:hAnsiTheme="majorBidi" w:cstheme="majorBidi"/>
                <w:b/>
                <w:bCs/>
              </w:rPr>
            </w:pPr>
            <w:r>
              <w:rPr>
                <w:rFonts w:asciiTheme="majorBidi" w:hAnsiTheme="majorBidi" w:cstheme="majorBidi"/>
                <w:b/>
                <w:bCs/>
              </w:rPr>
              <w:t>Túnez</w:t>
            </w:r>
          </w:p>
        </w:tc>
        <w:tc>
          <w:tcPr>
            <w:tcW w:w="834" w:type="pct"/>
            <w:shd w:val="clear" w:color="auto" w:fill="FFFFFF" w:themeFill="background1"/>
            <w:vAlign w:val="center"/>
          </w:tcPr>
          <w:p w14:paraId="25B3BE39"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Ucrania</w:t>
            </w:r>
          </w:p>
        </w:tc>
        <w:tc>
          <w:tcPr>
            <w:tcW w:w="1910" w:type="pct"/>
            <w:shd w:val="clear" w:color="auto" w:fill="FFFFFF" w:themeFill="background1"/>
            <w:vAlign w:val="center"/>
          </w:tcPr>
          <w:p w14:paraId="7B9564C6" w14:textId="77777777" w:rsidR="00D41345" w:rsidRPr="00920EB4" w:rsidRDefault="00D41345" w:rsidP="002E7C72">
            <w:pPr>
              <w:jc w:val="center"/>
              <w:rPr>
                <w:rFonts w:asciiTheme="majorBidi" w:hAnsiTheme="majorBidi" w:cstheme="majorBidi"/>
                <w:color w:val="000000"/>
              </w:rPr>
            </w:pPr>
            <w:r w:rsidRPr="00920EB4">
              <w:rPr>
                <w:rFonts w:asciiTheme="majorBidi" w:hAnsiTheme="majorBidi" w:cstheme="majorBidi"/>
                <w:color w:val="000000"/>
              </w:rPr>
              <w:t>45,</w:t>
            </w:r>
            <w:r>
              <w:rPr>
                <w:rFonts w:asciiTheme="majorBidi" w:hAnsiTheme="majorBidi" w:cstheme="majorBidi"/>
                <w:color w:val="000000"/>
              </w:rPr>
              <w:t>6</w:t>
            </w:r>
            <w:r w:rsidRPr="00920EB4">
              <w:rPr>
                <w:rFonts w:asciiTheme="majorBidi" w:hAnsiTheme="majorBidi" w:cstheme="majorBidi"/>
                <w:color w:val="000000"/>
              </w:rPr>
              <w:t>%</w:t>
            </w:r>
          </w:p>
        </w:tc>
        <w:tc>
          <w:tcPr>
            <w:tcW w:w="1414" w:type="pct"/>
            <w:shd w:val="clear" w:color="auto" w:fill="FFFFFF" w:themeFill="background1"/>
            <w:vAlign w:val="center"/>
          </w:tcPr>
          <w:p w14:paraId="2D47F87E" w14:textId="77777777" w:rsidR="00D41345" w:rsidRPr="007C3485" w:rsidRDefault="00D41345" w:rsidP="002E7C72">
            <w:pPr>
              <w:spacing w:line="360" w:lineRule="auto"/>
              <w:jc w:val="center"/>
              <w:rPr>
                <w:rFonts w:asciiTheme="majorBidi" w:hAnsiTheme="majorBidi" w:cstheme="majorBidi"/>
              </w:rPr>
            </w:pPr>
            <w:r w:rsidRPr="00920EB4">
              <w:rPr>
                <w:rFonts w:asciiTheme="majorBidi" w:hAnsiTheme="majorBidi" w:cstheme="majorBidi"/>
                <w:color w:val="000000"/>
              </w:rPr>
              <w:t>45,</w:t>
            </w:r>
            <w:r>
              <w:rPr>
                <w:rFonts w:asciiTheme="majorBidi" w:hAnsiTheme="majorBidi" w:cstheme="majorBidi"/>
                <w:color w:val="000000"/>
              </w:rPr>
              <w:t>6</w:t>
            </w:r>
            <w:r w:rsidRPr="00920EB4">
              <w:rPr>
                <w:rFonts w:asciiTheme="majorBidi" w:hAnsiTheme="majorBidi" w:cstheme="majorBidi"/>
                <w:color w:val="000000"/>
              </w:rPr>
              <w:t>%</w:t>
            </w:r>
          </w:p>
        </w:tc>
      </w:tr>
      <w:tr w:rsidR="00D41345" w:rsidRPr="007C3485" w14:paraId="7FC25EB7" w14:textId="77777777" w:rsidTr="002E7C72">
        <w:trPr>
          <w:trHeight w:val="397"/>
        </w:trPr>
        <w:tc>
          <w:tcPr>
            <w:tcW w:w="842" w:type="pct"/>
            <w:shd w:val="clear" w:color="auto" w:fill="E2E9F6"/>
            <w:vAlign w:val="center"/>
          </w:tcPr>
          <w:p w14:paraId="5EC87097" w14:textId="77777777" w:rsidR="00D41345" w:rsidRPr="007C3485" w:rsidRDefault="00D41345" w:rsidP="002E7C72">
            <w:pPr>
              <w:spacing w:line="360" w:lineRule="auto"/>
              <w:jc w:val="center"/>
              <w:rPr>
                <w:rFonts w:asciiTheme="majorBidi" w:hAnsiTheme="majorBidi" w:cstheme="majorBidi"/>
                <w:b/>
                <w:bCs/>
              </w:rPr>
            </w:pPr>
            <w:r>
              <w:rPr>
                <w:rFonts w:asciiTheme="majorBidi" w:hAnsiTheme="majorBidi" w:cstheme="majorBidi"/>
                <w:b/>
                <w:bCs/>
              </w:rPr>
              <w:t>Países Bajos</w:t>
            </w:r>
          </w:p>
        </w:tc>
        <w:tc>
          <w:tcPr>
            <w:tcW w:w="834" w:type="pct"/>
            <w:shd w:val="clear" w:color="auto" w:fill="E2E9F6"/>
            <w:vAlign w:val="center"/>
          </w:tcPr>
          <w:p w14:paraId="4A944179"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34A09906"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44,3%</w:t>
            </w:r>
          </w:p>
        </w:tc>
        <w:tc>
          <w:tcPr>
            <w:tcW w:w="1414" w:type="pct"/>
            <w:shd w:val="clear" w:color="auto" w:fill="E2E9F6"/>
            <w:vAlign w:val="center"/>
          </w:tcPr>
          <w:p w14:paraId="101B3B66"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44,3%</w:t>
            </w:r>
          </w:p>
        </w:tc>
      </w:tr>
      <w:tr w:rsidR="00D41345" w:rsidRPr="007C3485" w14:paraId="30BF011D" w14:textId="77777777" w:rsidTr="002E7C72">
        <w:trPr>
          <w:trHeight w:val="397"/>
        </w:trPr>
        <w:tc>
          <w:tcPr>
            <w:tcW w:w="842" w:type="pct"/>
            <w:vMerge w:val="restart"/>
            <w:shd w:val="clear" w:color="auto" w:fill="FFFFFF" w:themeFill="background1"/>
            <w:vAlign w:val="center"/>
          </w:tcPr>
          <w:p w14:paraId="5EB88831" w14:textId="77777777" w:rsidR="00D41345" w:rsidRPr="007C3485" w:rsidRDefault="00D41345" w:rsidP="002E7C72">
            <w:pPr>
              <w:spacing w:line="360" w:lineRule="auto"/>
              <w:jc w:val="center"/>
              <w:rPr>
                <w:rFonts w:asciiTheme="majorBidi" w:hAnsiTheme="majorBidi" w:cstheme="majorBidi"/>
                <w:b/>
                <w:bCs/>
              </w:rPr>
            </w:pPr>
            <w:r>
              <w:rPr>
                <w:rFonts w:asciiTheme="majorBidi" w:hAnsiTheme="majorBidi" w:cstheme="majorBidi"/>
                <w:b/>
                <w:bCs/>
              </w:rPr>
              <w:lastRenderedPageBreak/>
              <w:t>Lituania</w:t>
            </w:r>
          </w:p>
        </w:tc>
        <w:tc>
          <w:tcPr>
            <w:tcW w:w="834" w:type="pct"/>
            <w:shd w:val="clear" w:color="auto" w:fill="FFFFFF" w:themeFill="background1"/>
            <w:vAlign w:val="center"/>
          </w:tcPr>
          <w:p w14:paraId="684DA76D"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FFFFFF" w:themeFill="background1"/>
            <w:vAlign w:val="center"/>
          </w:tcPr>
          <w:p w14:paraId="061CE275"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19,9%</w:t>
            </w:r>
          </w:p>
        </w:tc>
        <w:tc>
          <w:tcPr>
            <w:tcW w:w="1414" w:type="pct"/>
            <w:vMerge w:val="restart"/>
            <w:shd w:val="clear" w:color="auto" w:fill="FFFFFF" w:themeFill="background1"/>
            <w:vAlign w:val="center"/>
          </w:tcPr>
          <w:p w14:paraId="1D285E86"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39,7%</w:t>
            </w:r>
          </w:p>
        </w:tc>
      </w:tr>
      <w:tr w:rsidR="00D41345" w:rsidRPr="007C3485" w14:paraId="4943EF5D" w14:textId="77777777" w:rsidTr="002E7C72">
        <w:trPr>
          <w:trHeight w:val="397"/>
        </w:trPr>
        <w:tc>
          <w:tcPr>
            <w:tcW w:w="842" w:type="pct"/>
            <w:vMerge/>
            <w:shd w:val="clear" w:color="auto" w:fill="FFFFFF" w:themeFill="background1"/>
            <w:vAlign w:val="center"/>
          </w:tcPr>
          <w:p w14:paraId="2A9A857C" w14:textId="77777777" w:rsidR="00D41345" w:rsidRPr="007C3485" w:rsidRDefault="00D41345" w:rsidP="002E7C72">
            <w:pPr>
              <w:spacing w:line="360" w:lineRule="auto"/>
              <w:jc w:val="center"/>
              <w:rPr>
                <w:rFonts w:asciiTheme="majorBidi" w:hAnsiTheme="majorBidi" w:cstheme="majorBidi"/>
                <w:b/>
                <w:bCs/>
              </w:rPr>
            </w:pPr>
          </w:p>
        </w:tc>
        <w:tc>
          <w:tcPr>
            <w:tcW w:w="834" w:type="pct"/>
            <w:shd w:val="clear" w:color="auto" w:fill="FFFFFF" w:themeFill="background1"/>
            <w:vAlign w:val="center"/>
          </w:tcPr>
          <w:p w14:paraId="04FFB89F"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FFFFFF" w:themeFill="background1"/>
            <w:vAlign w:val="center"/>
          </w:tcPr>
          <w:p w14:paraId="615A65AE"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19,8%</w:t>
            </w:r>
          </w:p>
        </w:tc>
        <w:tc>
          <w:tcPr>
            <w:tcW w:w="1414" w:type="pct"/>
            <w:vMerge/>
            <w:shd w:val="clear" w:color="auto" w:fill="FFFFFF" w:themeFill="background1"/>
            <w:vAlign w:val="center"/>
          </w:tcPr>
          <w:p w14:paraId="63FBADB5" w14:textId="77777777" w:rsidR="00D41345" w:rsidRPr="007C3485" w:rsidRDefault="00D41345" w:rsidP="002E7C72">
            <w:pPr>
              <w:spacing w:line="360" w:lineRule="auto"/>
              <w:jc w:val="center"/>
              <w:rPr>
                <w:rFonts w:asciiTheme="majorBidi" w:hAnsiTheme="majorBidi" w:cstheme="majorBidi"/>
              </w:rPr>
            </w:pPr>
          </w:p>
        </w:tc>
      </w:tr>
      <w:tr w:rsidR="00D41345" w:rsidRPr="007C3485" w14:paraId="5481E7CC" w14:textId="77777777" w:rsidTr="002E7C72">
        <w:trPr>
          <w:trHeight w:val="397"/>
        </w:trPr>
        <w:tc>
          <w:tcPr>
            <w:tcW w:w="842" w:type="pct"/>
            <w:shd w:val="clear" w:color="auto" w:fill="E2E9F6"/>
            <w:vAlign w:val="center"/>
          </w:tcPr>
          <w:p w14:paraId="4E42B13B" w14:textId="77777777" w:rsidR="00D41345" w:rsidRDefault="00D41345" w:rsidP="002E7C72">
            <w:pPr>
              <w:spacing w:line="360" w:lineRule="auto"/>
              <w:jc w:val="center"/>
              <w:rPr>
                <w:rFonts w:asciiTheme="majorBidi" w:hAnsiTheme="majorBidi" w:cstheme="majorBidi"/>
                <w:b/>
                <w:bCs/>
              </w:rPr>
            </w:pPr>
            <w:r>
              <w:rPr>
                <w:rFonts w:asciiTheme="majorBidi" w:hAnsiTheme="majorBidi" w:cstheme="majorBidi"/>
                <w:b/>
                <w:bCs/>
              </w:rPr>
              <w:t>Portugal</w:t>
            </w:r>
          </w:p>
        </w:tc>
        <w:tc>
          <w:tcPr>
            <w:tcW w:w="834" w:type="pct"/>
            <w:shd w:val="clear" w:color="auto" w:fill="E2E9F6"/>
            <w:vAlign w:val="center"/>
          </w:tcPr>
          <w:p w14:paraId="6F95F43B"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66C7666E" w14:textId="77777777" w:rsidR="00D41345" w:rsidRDefault="00D41345" w:rsidP="002E7C72">
            <w:pPr>
              <w:spacing w:line="360" w:lineRule="auto"/>
              <w:jc w:val="center"/>
              <w:rPr>
                <w:rFonts w:asciiTheme="majorBidi" w:hAnsiTheme="majorBidi" w:cstheme="majorBidi"/>
              </w:rPr>
            </w:pPr>
            <w:r w:rsidRPr="005E2B2F">
              <w:rPr>
                <w:rFonts w:asciiTheme="majorBidi" w:hAnsiTheme="majorBidi" w:cstheme="majorBidi"/>
              </w:rPr>
              <w:t>37,68%</w:t>
            </w:r>
          </w:p>
        </w:tc>
        <w:tc>
          <w:tcPr>
            <w:tcW w:w="1414" w:type="pct"/>
            <w:shd w:val="clear" w:color="auto" w:fill="E2E9F6"/>
            <w:vAlign w:val="center"/>
          </w:tcPr>
          <w:p w14:paraId="0AB1727D" w14:textId="77777777" w:rsidR="00D41345" w:rsidRDefault="00D41345" w:rsidP="002E7C72">
            <w:pPr>
              <w:spacing w:line="360" w:lineRule="auto"/>
              <w:jc w:val="center"/>
              <w:rPr>
                <w:rFonts w:asciiTheme="majorBidi" w:hAnsiTheme="majorBidi" w:cstheme="majorBidi"/>
              </w:rPr>
            </w:pPr>
            <w:r w:rsidRPr="005E2B2F">
              <w:rPr>
                <w:rFonts w:asciiTheme="majorBidi" w:hAnsiTheme="majorBidi" w:cstheme="majorBidi"/>
              </w:rPr>
              <w:t>37,68%</w:t>
            </w:r>
          </w:p>
        </w:tc>
      </w:tr>
      <w:tr w:rsidR="00D41345" w:rsidRPr="007C3485" w14:paraId="49A0758A" w14:textId="77777777" w:rsidTr="002E7C72">
        <w:trPr>
          <w:trHeight w:val="397"/>
        </w:trPr>
        <w:tc>
          <w:tcPr>
            <w:tcW w:w="842" w:type="pct"/>
            <w:vMerge w:val="restart"/>
            <w:shd w:val="clear" w:color="auto" w:fill="FFFFFF" w:themeFill="background1"/>
            <w:vAlign w:val="center"/>
          </w:tcPr>
          <w:p w14:paraId="16A65467" w14:textId="77777777" w:rsidR="00D41345" w:rsidRPr="007C3485" w:rsidRDefault="00D41345" w:rsidP="002E7C72">
            <w:pPr>
              <w:spacing w:line="360" w:lineRule="auto"/>
              <w:jc w:val="center"/>
              <w:rPr>
                <w:rFonts w:asciiTheme="majorBidi" w:hAnsiTheme="majorBidi" w:cstheme="majorBidi"/>
                <w:b/>
                <w:bCs/>
              </w:rPr>
            </w:pPr>
            <w:r>
              <w:rPr>
                <w:rFonts w:asciiTheme="majorBidi" w:hAnsiTheme="majorBidi" w:cstheme="majorBidi"/>
                <w:b/>
                <w:bCs/>
              </w:rPr>
              <w:t>Israel</w:t>
            </w:r>
          </w:p>
        </w:tc>
        <w:tc>
          <w:tcPr>
            <w:tcW w:w="834" w:type="pct"/>
            <w:shd w:val="clear" w:color="auto" w:fill="FFFFFF" w:themeFill="background1"/>
            <w:vAlign w:val="center"/>
          </w:tcPr>
          <w:p w14:paraId="0600BE5A"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FFFFFF" w:themeFill="background1"/>
            <w:vAlign w:val="center"/>
          </w:tcPr>
          <w:p w14:paraId="65932862"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32,1%</w:t>
            </w:r>
          </w:p>
        </w:tc>
        <w:tc>
          <w:tcPr>
            <w:tcW w:w="1414" w:type="pct"/>
            <w:vMerge w:val="restart"/>
            <w:shd w:val="clear" w:color="auto" w:fill="FFFFFF" w:themeFill="background1"/>
            <w:vAlign w:val="center"/>
          </w:tcPr>
          <w:p w14:paraId="59811F73"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34</w:t>
            </w:r>
            <w:r w:rsidRPr="007C3485">
              <w:rPr>
                <w:rFonts w:asciiTheme="majorBidi" w:hAnsiTheme="majorBidi" w:cstheme="majorBidi"/>
              </w:rPr>
              <w:t>,4%</w:t>
            </w:r>
          </w:p>
        </w:tc>
      </w:tr>
      <w:tr w:rsidR="00D41345" w:rsidRPr="007C3485" w14:paraId="4B76F7A0" w14:textId="77777777" w:rsidTr="002E7C72">
        <w:trPr>
          <w:trHeight w:val="397"/>
        </w:trPr>
        <w:tc>
          <w:tcPr>
            <w:tcW w:w="842" w:type="pct"/>
            <w:vMerge/>
            <w:shd w:val="clear" w:color="auto" w:fill="FFFFFF" w:themeFill="background1"/>
            <w:vAlign w:val="center"/>
          </w:tcPr>
          <w:p w14:paraId="2BCA0527" w14:textId="77777777" w:rsidR="00D41345" w:rsidRPr="007C3485" w:rsidRDefault="00D41345" w:rsidP="002E7C72">
            <w:pPr>
              <w:spacing w:line="360" w:lineRule="auto"/>
              <w:jc w:val="center"/>
              <w:rPr>
                <w:rFonts w:asciiTheme="majorBidi" w:hAnsiTheme="majorBidi" w:cstheme="majorBidi"/>
                <w:b/>
                <w:bCs/>
              </w:rPr>
            </w:pPr>
          </w:p>
        </w:tc>
        <w:tc>
          <w:tcPr>
            <w:tcW w:w="834" w:type="pct"/>
            <w:shd w:val="clear" w:color="auto" w:fill="FFFFFF" w:themeFill="background1"/>
            <w:vAlign w:val="center"/>
          </w:tcPr>
          <w:p w14:paraId="003470BB" w14:textId="77777777" w:rsidR="00D41345" w:rsidRPr="007C3485" w:rsidRDefault="00D41345" w:rsidP="002E7C72">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FFFFFF" w:themeFill="background1"/>
            <w:vAlign w:val="center"/>
          </w:tcPr>
          <w:p w14:paraId="76D554F3" w14:textId="77777777" w:rsidR="00D41345" w:rsidRPr="007C3485" w:rsidRDefault="00D41345" w:rsidP="002E7C72">
            <w:pPr>
              <w:spacing w:line="360" w:lineRule="auto"/>
              <w:jc w:val="center"/>
              <w:rPr>
                <w:rFonts w:asciiTheme="majorBidi" w:hAnsiTheme="majorBidi" w:cstheme="majorBidi"/>
              </w:rPr>
            </w:pPr>
            <w:r>
              <w:rPr>
                <w:rFonts w:asciiTheme="majorBidi" w:hAnsiTheme="majorBidi" w:cstheme="majorBidi"/>
              </w:rPr>
              <w:t>2,3</w:t>
            </w:r>
            <w:r w:rsidRPr="007C3485">
              <w:rPr>
                <w:rFonts w:asciiTheme="majorBidi" w:hAnsiTheme="majorBidi" w:cstheme="majorBidi"/>
              </w:rPr>
              <w:t>%</w:t>
            </w:r>
          </w:p>
        </w:tc>
        <w:tc>
          <w:tcPr>
            <w:tcW w:w="1414" w:type="pct"/>
            <w:vMerge/>
            <w:shd w:val="clear" w:color="auto" w:fill="FFFFFF" w:themeFill="background1"/>
            <w:vAlign w:val="center"/>
          </w:tcPr>
          <w:p w14:paraId="7128F61F" w14:textId="77777777" w:rsidR="00D41345" w:rsidRPr="007C3485" w:rsidRDefault="00D41345" w:rsidP="002E7C72">
            <w:pPr>
              <w:spacing w:line="360" w:lineRule="auto"/>
              <w:jc w:val="center"/>
              <w:rPr>
                <w:rFonts w:asciiTheme="majorBidi" w:hAnsiTheme="majorBidi" w:cstheme="majorBidi"/>
              </w:rPr>
            </w:pPr>
          </w:p>
        </w:tc>
      </w:tr>
    </w:tbl>
    <w:p w14:paraId="24C23EDD" w14:textId="414A9763" w:rsidR="00C53814" w:rsidRP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w:t>
      </w:r>
      <w:r>
        <w:rPr>
          <w:rFonts w:asciiTheme="majorBidi" w:hAnsiTheme="majorBidi" w:cstheme="majorBidi"/>
          <w:sz w:val="20"/>
          <w:szCs w:val="20"/>
        </w:rPr>
        <w:t>FAOSTAT</w:t>
      </w:r>
      <w:r w:rsidRPr="00C53814">
        <w:rPr>
          <w:rFonts w:asciiTheme="majorBidi" w:hAnsiTheme="majorBidi" w:cstheme="majorBidi"/>
          <w:sz w:val="20"/>
          <w:szCs w:val="20"/>
        </w:rPr>
        <w:t>, 202</w:t>
      </w:r>
      <w:r>
        <w:rPr>
          <w:rFonts w:asciiTheme="majorBidi" w:hAnsiTheme="majorBidi" w:cstheme="majorBidi"/>
          <w:sz w:val="20"/>
          <w:szCs w:val="20"/>
        </w:rPr>
        <w:t>2</w:t>
      </w:r>
      <w:r w:rsidRPr="00C53814">
        <w:rPr>
          <w:rFonts w:asciiTheme="majorBidi" w:hAnsiTheme="majorBidi" w:cstheme="majorBidi"/>
          <w:sz w:val="20"/>
          <w:szCs w:val="20"/>
        </w:rPr>
        <w:t>).</w:t>
      </w:r>
    </w:p>
    <w:p w14:paraId="6CB56438" w14:textId="30160D79" w:rsidR="006D09E2" w:rsidRDefault="0097191B" w:rsidP="00FA03DD">
      <w:pPr>
        <w:spacing w:line="360" w:lineRule="auto"/>
        <w:ind w:firstLine="708"/>
        <w:jc w:val="both"/>
        <w:rPr>
          <w:rFonts w:asciiTheme="majorBidi" w:hAnsiTheme="majorBidi" w:cstheme="majorBidi"/>
          <w:sz w:val="24"/>
          <w:szCs w:val="24"/>
        </w:rPr>
      </w:pPr>
      <w:r>
        <w:rPr>
          <w:rFonts w:asciiTheme="majorBidi" w:hAnsiTheme="majorBidi" w:cstheme="majorBidi"/>
          <w:sz w:val="24"/>
          <w:szCs w:val="24"/>
        </w:rPr>
        <w:t>Así mismo y según lo recogido</w:t>
      </w:r>
      <w:r w:rsidR="006D09E2">
        <w:rPr>
          <w:rFonts w:asciiTheme="majorBidi" w:hAnsiTheme="majorBidi" w:cstheme="majorBidi"/>
          <w:sz w:val="24"/>
          <w:szCs w:val="24"/>
        </w:rPr>
        <w:t xml:space="preserve"> en la tabla </w:t>
      </w:r>
      <w:r w:rsidR="00D41345">
        <w:rPr>
          <w:rFonts w:asciiTheme="majorBidi" w:hAnsiTheme="majorBidi" w:cstheme="majorBidi"/>
          <w:sz w:val="24"/>
          <w:szCs w:val="24"/>
        </w:rPr>
        <w:t>2</w:t>
      </w:r>
      <w:r w:rsidR="006D09E2">
        <w:rPr>
          <w:rFonts w:asciiTheme="majorBidi" w:hAnsiTheme="majorBidi" w:cstheme="majorBidi"/>
          <w:sz w:val="24"/>
          <w:szCs w:val="24"/>
        </w:rPr>
        <w:t xml:space="preserve">, de los quince países más dependientes </w:t>
      </w:r>
      <w:r w:rsidR="00124B15">
        <w:rPr>
          <w:rFonts w:asciiTheme="majorBidi" w:hAnsiTheme="majorBidi" w:cstheme="majorBidi"/>
          <w:sz w:val="24"/>
          <w:szCs w:val="24"/>
        </w:rPr>
        <w:t>d</w:t>
      </w:r>
      <w:r w:rsidR="006D09E2">
        <w:rPr>
          <w:rFonts w:asciiTheme="majorBidi" w:hAnsiTheme="majorBidi" w:cstheme="majorBidi"/>
          <w:sz w:val="24"/>
          <w:szCs w:val="24"/>
        </w:rPr>
        <w:t xml:space="preserve">el trigo exportado desde Rusia y Ucrania </w:t>
      </w:r>
      <w:r w:rsidR="00523945">
        <w:rPr>
          <w:rFonts w:asciiTheme="majorBidi" w:hAnsiTheme="majorBidi" w:cstheme="majorBidi"/>
          <w:sz w:val="24"/>
          <w:szCs w:val="24"/>
        </w:rPr>
        <w:t xml:space="preserve">los </w:t>
      </w:r>
      <w:r w:rsidR="006D09E2">
        <w:rPr>
          <w:rFonts w:asciiTheme="majorBidi" w:hAnsiTheme="majorBidi" w:cstheme="majorBidi"/>
          <w:sz w:val="24"/>
          <w:szCs w:val="24"/>
        </w:rPr>
        <w:t xml:space="preserve">seis </w:t>
      </w:r>
      <w:r w:rsidR="00523945">
        <w:rPr>
          <w:rFonts w:asciiTheme="majorBidi" w:hAnsiTheme="majorBidi" w:cstheme="majorBidi"/>
          <w:sz w:val="24"/>
          <w:szCs w:val="24"/>
        </w:rPr>
        <w:t xml:space="preserve">primeros </w:t>
      </w:r>
      <w:r w:rsidR="006D09E2">
        <w:rPr>
          <w:rFonts w:asciiTheme="majorBidi" w:hAnsiTheme="majorBidi" w:cstheme="majorBidi"/>
          <w:sz w:val="24"/>
          <w:szCs w:val="24"/>
        </w:rPr>
        <w:t xml:space="preserve">se encontrarían en la esfera de influencia rusa o serían antiguos miembros de la </w:t>
      </w:r>
      <w:r w:rsidR="00AE7D8E">
        <w:rPr>
          <w:rFonts w:asciiTheme="majorBidi" w:hAnsiTheme="majorBidi" w:cstheme="majorBidi"/>
          <w:sz w:val="24"/>
          <w:szCs w:val="24"/>
        </w:rPr>
        <w:t>URSS</w:t>
      </w:r>
      <w:r w:rsidR="006D09E2">
        <w:rPr>
          <w:rFonts w:asciiTheme="majorBidi" w:hAnsiTheme="majorBidi" w:cstheme="majorBidi"/>
          <w:sz w:val="24"/>
          <w:szCs w:val="24"/>
        </w:rPr>
        <w:t xml:space="preserve">. </w:t>
      </w:r>
      <w:r w:rsidR="007C7667">
        <w:rPr>
          <w:rFonts w:asciiTheme="majorBidi" w:hAnsiTheme="majorBidi" w:cstheme="majorBidi"/>
          <w:sz w:val="24"/>
          <w:szCs w:val="24"/>
        </w:rPr>
        <w:t>Como en el caso del maíz, s</w:t>
      </w:r>
      <w:r w:rsidR="006D09E2">
        <w:rPr>
          <w:rFonts w:asciiTheme="majorBidi" w:hAnsiTheme="majorBidi" w:cstheme="majorBidi"/>
          <w:sz w:val="24"/>
          <w:szCs w:val="24"/>
        </w:rPr>
        <w:t>u</w:t>
      </w:r>
      <w:r w:rsidR="007E1FEB">
        <w:rPr>
          <w:rFonts w:asciiTheme="majorBidi" w:hAnsiTheme="majorBidi" w:cstheme="majorBidi"/>
          <w:sz w:val="24"/>
          <w:szCs w:val="24"/>
        </w:rPr>
        <w:t>s exportaciones del grano son de</w:t>
      </w:r>
      <w:r w:rsidR="006D09E2">
        <w:rPr>
          <w:rFonts w:asciiTheme="majorBidi" w:hAnsiTheme="majorBidi" w:cstheme="majorBidi"/>
          <w:sz w:val="24"/>
          <w:szCs w:val="24"/>
        </w:rPr>
        <w:t xml:space="preserve"> </w:t>
      </w:r>
      <w:r w:rsidR="00951875">
        <w:rPr>
          <w:rFonts w:asciiTheme="majorBidi" w:hAnsiTheme="majorBidi" w:cstheme="majorBidi"/>
          <w:sz w:val="24"/>
          <w:szCs w:val="24"/>
        </w:rPr>
        <w:t>absoluta</w:t>
      </w:r>
      <w:r w:rsidR="006D09E2">
        <w:rPr>
          <w:rFonts w:asciiTheme="majorBidi" w:hAnsiTheme="majorBidi" w:cstheme="majorBidi"/>
          <w:sz w:val="24"/>
          <w:szCs w:val="24"/>
        </w:rPr>
        <w:t xml:space="preserve"> dependencia </w:t>
      </w:r>
      <w:r w:rsidR="007E1FEB">
        <w:rPr>
          <w:rFonts w:asciiTheme="majorBidi" w:hAnsiTheme="majorBidi" w:cstheme="majorBidi"/>
          <w:sz w:val="24"/>
          <w:szCs w:val="24"/>
        </w:rPr>
        <w:t>de</w:t>
      </w:r>
      <w:r w:rsidR="006D09E2">
        <w:rPr>
          <w:rFonts w:asciiTheme="majorBidi" w:hAnsiTheme="majorBidi" w:cstheme="majorBidi"/>
          <w:sz w:val="24"/>
          <w:szCs w:val="24"/>
        </w:rPr>
        <w:t xml:space="preserve"> Rusia, país con el que o hacen frontera o cuentan con una infraestructura de conexión por tierra que no peligraría en la guerra. Además, se trata de países ajenos a las sanciones occidentales, por lo que si bien su soberanía alimentaria estaría considerablemente comprometida, no lo estaría tanto su seguridad alimentaria. </w:t>
      </w:r>
      <w:r w:rsidR="007C3485">
        <w:rPr>
          <w:rFonts w:asciiTheme="majorBidi" w:hAnsiTheme="majorBidi" w:cstheme="majorBidi"/>
          <w:sz w:val="24"/>
          <w:szCs w:val="24"/>
        </w:rPr>
        <w:t xml:space="preserve">Sin embargo, los nueve países restantes de dicha lista sí dependerían del transporte marítimo de las exportaciones rusas y ucranianas. </w:t>
      </w:r>
      <w:r w:rsidR="00C67BAF">
        <w:rPr>
          <w:rFonts w:asciiTheme="majorBidi" w:hAnsiTheme="majorBidi" w:cstheme="majorBidi"/>
          <w:sz w:val="24"/>
          <w:szCs w:val="24"/>
        </w:rPr>
        <w:t xml:space="preserve">También se encontrarían países que, a pesar de Rusia producir más trigo que Ucrania, </w:t>
      </w:r>
      <w:r w:rsidR="005D6B7E">
        <w:rPr>
          <w:rFonts w:asciiTheme="majorBidi" w:hAnsiTheme="majorBidi" w:cstheme="majorBidi"/>
          <w:sz w:val="24"/>
          <w:szCs w:val="24"/>
        </w:rPr>
        <w:t>dependieron en 2021 en gran proporción de las exportaciones ucranianas, como Turquía, Libia, Egipto, Madagascar o el Líbano. Estos países podrían ver sus importaciones comprometidas no sólo desde un punto de vista logístico, sino también de disponibilidad al caer la producción ucraniana.</w:t>
      </w:r>
    </w:p>
    <w:p w14:paraId="742161EB" w14:textId="3F00F8CD" w:rsidR="00C56C21" w:rsidRPr="006D09E2" w:rsidRDefault="00C56C21" w:rsidP="006D09E2">
      <w:pPr>
        <w:pStyle w:val="Descripcin"/>
        <w:keepNext/>
        <w:jc w:val="both"/>
        <w:rPr>
          <w:rFonts w:asciiTheme="majorBidi" w:hAnsiTheme="majorBidi" w:cstheme="majorBidi"/>
          <w:sz w:val="22"/>
          <w:szCs w:val="22"/>
        </w:rPr>
      </w:pPr>
      <w:bookmarkStart w:id="56" w:name="_Toc137394949"/>
      <w:r w:rsidRPr="006D09E2">
        <w:rPr>
          <w:rFonts w:asciiTheme="majorBidi" w:hAnsiTheme="majorBidi" w:cstheme="majorBidi"/>
          <w:sz w:val="22"/>
          <w:szCs w:val="22"/>
        </w:rPr>
        <w:t xml:space="preserve">Tabla </w:t>
      </w:r>
      <w:r w:rsidRPr="006D09E2">
        <w:rPr>
          <w:rFonts w:asciiTheme="majorBidi" w:hAnsiTheme="majorBidi" w:cstheme="majorBidi"/>
          <w:sz w:val="22"/>
          <w:szCs w:val="22"/>
        </w:rPr>
        <w:fldChar w:fldCharType="begin"/>
      </w:r>
      <w:r w:rsidRPr="006D09E2">
        <w:rPr>
          <w:rFonts w:asciiTheme="majorBidi" w:hAnsiTheme="majorBidi" w:cstheme="majorBidi"/>
          <w:sz w:val="22"/>
          <w:szCs w:val="22"/>
        </w:rPr>
        <w:instrText xml:space="preserve"> SEQ Tabla \* ARABIC </w:instrText>
      </w:r>
      <w:r w:rsidRPr="006D09E2">
        <w:rPr>
          <w:rFonts w:asciiTheme="majorBidi" w:hAnsiTheme="majorBidi" w:cstheme="majorBidi"/>
          <w:sz w:val="22"/>
          <w:szCs w:val="22"/>
        </w:rPr>
        <w:fldChar w:fldCharType="separate"/>
      </w:r>
      <w:r w:rsidR="00790F14">
        <w:rPr>
          <w:rFonts w:asciiTheme="majorBidi" w:hAnsiTheme="majorBidi" w:cstheme="majorBidi"/>
          <w:noProof/>
          <w:sz w:val="22"/>
          <w:szCs w:val="22"/>
        </w:rPr>
        <w:t>2</w:t>
      </w:r>
      <w:r w:rsidRPr="006D09E2">
        <w:rPr>
          <w:rFonts w:asciiTheme="majorBidi" w:hAnsiTheme="majorBidi" w:cstheme="majorBidi"/>
          <w:sz w:val="22"/>
          <w:szCs w:val="22"/>
        </w:rPr>
        <w:fldChar w:fldCharType="end"/>
      </w:r>
      <w:r w:rsidR="00BE3027" w:rsidRPr="006D09E2">
        <w:rPr>
          <w:rFonts w:asciiTheme="majorBidi" w:hAnsiTheme="majorBidi" w:cstheme="majorBidi"/>
          <w:sz w:val="22"/>
          <w:szCs w:val="22"/>
        </w:rPr>
        <w:t>.</w:t>
      </w:r>
      <w:r w:rsidRPr="006D09E2">
        <w:rPr>
          <w:rFonts w:asciiTheme="majorBidi" w:hAnsiTheme="majorBidi" w:cstheme="majorBidi"/>
          <w:sz w:val="22"/>
          <w:szCs w:val="22"/>
        </w:rPr>
        <w:t xml:space="preserve"> </w:t>
      </w:r>
      <w:bookmarkStart w:id="57" w:name="_Hlk137206868"/>
      <w:r w:rsidRPr="006D09E2">
        <w:rPr>
          <w:rFonts w:asciiTheme="majorBidi" w:hAnsiTheme="majorBidi" w:cstheme="majorBidi"/>
          <w:sz w:val="22"/>
          <w:szCs w:val="22"/>
        </w:rPr>
        <w:t>Dependencia de las exportaciones de trigo rusas y ucranianas, por países importadores, para el año 2021</w:t>
      </w:r>
      <w:r w:rsidR="00BE3027" w:rsidRPr="006D09E2">
        <w:rPr>
          <w:rFonts w:asciiTheme="majorBidi" w:hAnsiTheme="majorBidi" w:cstheme="majorBidi"/>
          <w:sz w:val="22"/>
          <w:szCs w:val="22"/>
        </w:rPr>
        <w:t>.</w:t>
      </w:r>
      <w:bookmarkStart w:id="58" w:name="_Hlk137228616"/>
      <w:bookmarkEnd w:id="56"/>
      <w:bookmarkEnd w:id="57"/>
    </w:p>
    <w:tbl>
      <w:tblPr>
        <w:tblStyle w:val="Tablaconcuadrcula"/>
        <w:tblW w:w="5000" w:type="pct"/>
        <w:tblCellMar>
          <w:top w:w="57" w:type="dxa"/>
        </w:tblCellMar>
        <w:tblLook w:val="04A0" w:firstRow="1" w:lastRow="0" w:firstColumn="1" w:lastColumn="0" w:noHBand="0" w:noVBand="1"/>
      </w:tblPr>
      <w:tblGrid>
        <w:gridCol w:w="1430"/>
        <w:gridCol w:w="1417"/>
        <w:gridCol w:w="3245"/>
        <w:gridCol w:w="2402"/>
      </w:tblGrid>
      <w:tr w:rsidR="00315372" w:rsidRPr="007C3485" w14:paraId="750A2781" w14:textId="30644939" w:rsidTr="00412A32">
        <w:trPr>
          <w:trHeight w:val="397"/>
        </w:trPr>
        <w:tc>
          <w:tcPr>
            <w:tcW w:w="842" w:type="pct"/>
            <w:shd w:val="clear" w:color="auto" w:fill="8EAADB" w:themeFill="accent1" w:themeFillTint="99"/>
            <w:vAlign w:val="center"/>
          </w:tcPr>
          <w:p w14:paraId="3D53DF05" w14:textId="12A6EE3B" w:rsidR="00315372" w:rsidRPr="007C3485" w:rsidRDefault="00315372" w:rsidP="007C3485">
            <w:pPr>
              <w:jc w:val="center"/>
              <w:rPr>
                <w:rFonts w:asciiTheme="majorBidi" w:eastAsia="Times New Roman" w:hAnsiTheme="majorBidi" w:cstheme="majorBidi"/>
                <w:b/>
                <w:bCs/>
                <w:lang w:eastAsia="es-ES"/>
              </w:rPr>
            </w:pPr>
            <w:bookmarkStart w:id="59" w:name="_Hlk137206605"/>
            <w:r w:rsidRPr="007C3485">
              <w:rPr>
                <w:rFonts w:asciiTheme="majorBidi" w:eastAsia="Times New Roman" w:hAnsiTheme="majorBidi" w:cstheme="majorBidi"/>
                <w:b/>
                <w:bCs/>
                <w:lang w:eastAsia="es-ES"/>
              </w:rPr>
              <w:t>Importador</w:t>
            </w:r>
          </w:p>
        </w:tc>
        <w:tc>
          <w:tcPr>
            <w:tcW w:w="834" w:type="pct"/>
            <w:shd w:val="clear" w:color="auto" w:fill="8EAADB" w:themeFill="accent1" w:themeFillTint="99"/>
            <w:vAlign w:val="center"/>
          </w:tcPr>
          <w:p w14:paraId="559F9C34" w14:textId="67F034B4" w:rsidR="00315372" w:rsidRPr="007C3485" w:rsidRDefault="00315372" w:rsidP="007C3485">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Exportador</w:t>
            </w:r>
          </w:p>
        </w:tc>
        <w:tc>
          <w:tcPr>
            <w:tcW w:w="1910" w:type="pct"/>
            <w:shd w:val="clear" w:color="auto" w:fill="8EAADB" w:themeFill="accent1" w:themeFillTint="99"/>
            <w:vAlign w:val="center"/>
          </w:tcPr>
          <w:p w14:paraId="67386B7A" w14:textId="3E6609CD" w:rsidR="00315372" w:rsidRPr="007C3485" w:rsidRDefault="00315372" w:rsidP="007C3485">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Dependencia del exportador</w:t>
            </w:r>
          </w:p>
        </w:tc>
        <w:tc>
          <w:tcPr>
            <w:tcW w:w="1414" w:type="pct"/>
            <w:shd w:val="clear" w:color="auto" w:fill="8EAADB" w:themeFill="accent1" w:themeFillTint="99"/>
            <w:vAlign w:val="center"/>
          </w:tcPr>
          <w:p w14:paraId="1259E504" w14:textId="2C6BAC76" w:rsidR="00315372" w:rsidRPr="007C3485" w:rsidRDefault="00315372" w:rsidP="007C3485">
            <w:pPr>
              <w:jc w:val="center"/>
              <w:rPr>
                <w:rFonts w:asciiTheme="majorBidi" w:eastAsia="Times New Roman" w:hAnsiTheme="majorBidi" w:cstheme="majorBidi"/>
                <w:b/>
                <w:bCs/>
                <w:lang w:eastAsia="es-ES"/>
              </w:rPr>
            </w:pPr>
            <w:r w:rsidRPr="007C3485">
              <w:rPr>
                <w:rFonts w:asciiTheme="majorBidi" w:eastAsia="Times New Roman" w:hAnsiTheme="majorBidi" w:cstheme="majorBidi"/>
                <w:b/>
                <w:bCs/>
                <w:lang w:eastAsia="es-ES"/>
              </w:rPr>
              <w:t>Dependencia total</w:t>
            </w:r>
          </w:p>
        </w:tc>
      </w:tr>
      <w:tr w:rsidR="00C65946" w:rsidRPr="007C3485" w14:paraId="362E9D2E" w14:textId="1DB3895C" w:rsidTr="00412A32">
        <w:trPr>
          <w:trHeight w:val="397"/>
        </w:trPr>
        <w:tc>
          <w:tcPr>
            <w:tcW w:w="842" w:type="pct"/>
            <w:vAlign w:val="center"/>
          </w:tcPr>
          <w:p w14:paraId="219A720E" w14:textId="1606FDEB" w:rsidR="00C65946" w:rsidRPr="007C3485" w:rsidRDefault="00C65946" w:rsidP="007C3485">
            <w:pPr>
              <w:spacing w:line="360" w:lineRule="auto"/>
              <w:jc w:val="center"/>
              <w:rPr>
                <w:rFonts w:asciiTheme="majorBidi" w:hAnsiTheme="majorBidi" w:cstheme="majorBidi"/>
                <w:b/>
                <w:bCs/>
              </w:rPr>
            </w:pPr>
            <w:r w:rsidRPr="007C3485">
              <w:rPr>
                <w:rFonts w:asciiTheme="majorBidi" w:hAnsiTheme="majorBidi" w:cstheme="majorBidi"/>
                <w:b/>
                <w:bCs/>
              </w:rPr>
              <w:t>Kazajstán</w:t>
            </w:r>
          </w:p>
        </w:tc>
        <w:tc>
          <w:tcPr>
            <w:tcW w:w="834" w:type="pct"/>
            <w:vAlign w:val="center"/>
          </w:tcPr>
          <w:p w14:paraId="3D165608" w14:textId="2547D559" w:rsidR="00C65946" w:rsidRPr="007C3485" w:rsidRDefault="00C65946"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1CEF4DAC" w14:textId="4FD07AEB" w:rsidR="00C65946" w:rsidRPr="007C3485" w:rsidRDefault="00C65946" w:rsidP="007C3485">
            <w:pPr>
              <w:spacing w:line="360" w:lineRule="auto"/>
              <w:jc w:val="center"/>
              <w:rPr>
                <w:rFonts w:asciiTheme="majorBidi" w:hAnsiTheme="majorBidi" w:cstheme="majorBidi"/>
              </w:rPr>
            </w:pPr>
            <w:r w:rsidRPr="007C3485">
              <w:rPr>
                <w:rFonts w:asciiTheme="majorBidi" w:hAnsiTheme="majorBidi" w:cstheme="majorBidi"/>
              </w:rPr>
              <w:t>99,9%</w:t>
            </w:r>
          </w:p>
        </w:tc>
        <w:tc>
          <w:tcPr>
            <w:tcW w:w="1414" w:type="pct"/>
            <w:vAlign w:val="center"/>
          </w:tcPr>
          <w:p w14:paraId="0BA9416A" w14:textId="0C085D12" w:rsidR="00C65946" w:rsidRPr="007C3485" w:rsidRDefault="00C65946" w:rsidP="007C3485">
            <w:pPr>
              <w:spacing w:line="360" w:lineRule="auto"/>
              <w:jc w:val="center"/>
              <w:rPr>
                <w:rFonts w:asciiTheme="majorBidi" w:hAnsiTheme="majorBidi" w:cstheme="majorBidi"/>
              </w:rPr>
            </w:pPr>
            <w:r w:rsidRPr="007C3485">
              <w:rPr>
                <w:rFonts w:asciiTheme="majorBidi" w:hAnsiTheme="majorBidi" w:cstheme="majorBidi"/>
              </w:rPr>
              <w:t>99,9%</w:t>
            </w:r>
          </w:p>
        </w:tc>
      </w:tr>
      <w:tr w:rsidR="009B1170" w:rsidRPr="007C3485" w14:paraId="30C97F2E" w14:textId="77777777" w:rsidTr="00412A32">
        <w:trPr>
          <w:trHeight w:val="397"/>
        </w:trPr>
        <w:tc>
          <w:tcPr>
            <w:tcW w:w="842" w:type="pct"/>
            <w:shd w:val="clear" w:color="auto" w:fill="E2E9F6"/>
            <w:vAlign w:val="center"/>
          </w:tcPr>
          <w:p w14:paraId="35881B9D" w14:textId="41EEA548"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Mongolia</w:t>
            </w:r>
          </w:p>
        </w:tc>
        <w:tc>
          <w:tcPr>
            <w:tcW w:w="834" w:type="pct"/>
            <w:shd w:val="clear" w:color="auto" w:fill="E2E9F6"/>
            <w:vAlign w:val="center"/>
          </w:tcPr>
          <w:p w14:paraId="41981FB1" w14:textId="7B4796A4"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040491FC" w14:textId="046B0978"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99,6%</w:t>
            </w:r>
          </w:p>
        </w:tc>
        <w:tc>
          <w:tcPr>
            <w:tcW w:w="1414" w:type="pct"/>
            <w:shd w:val="clear" w:color="auto" w:fill="E2E9F6"/>
            <w:vAlign w:val="center"/>
          </w:tcPr>
          <w:p w14:paraId="3E612B5E" w14:textId="1956E5B0"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99,6%</w:t>
            </w:r>
          </w:p>
        </w:tc>
      </w:tr>
      <w:tr w:rsidR="009B1170" w:rsidRPr="007C3485" w14:paraId="00ED806A" w14:textId="773F3710" w:rsidTr="00412A32">
        <w:trPr>
          <w:trHeight w:val="397"/>
        </w:trPr>
        <w:tc>
          <w:tcPr>
            <w:tcW w:w="842" w:type="pct"/>
            <w:vAlign w:val="center"/>
          </w:tcPr>
          <w:p w14:paraId="2EF1EB58" w14:textId="3ACA2242"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Armenia</w:t>
            </w:r>
          </w:p>
        </w:tc>
        <w:tc>
          <w:tcPr>
            <w:tcW w:w="834" w:type="pct"/>
            <w:vAlign w:val="center"/>
          </w:tcPr>
          <w:p w14:paraId="11DE4F8F" w14:textId="7791090D"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189EEA75" w14:textId="12153814"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99,2%</w:t>
            </w:r>
          </w:p>
        </w:tc>
        <w:tc>
          <w:tcPr>
            <w:tcW w:w="1414" w:type="pct"/>
            <w:vAlign w:val="center"/>
          </w:tcPr>
          <w:p w14:paraId="4F30682B" w14:textId="53151096"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99,2%</w:t>
            </w:r>
          </w:p>
        </w:tc>
      </w:tr>
      <w:tr w:rsidR="009B1170" w:rsidRPr="007C3485" w14:paraId="573B6142" w14:textId="0F192BE4" w:rsidTr="00412A32">
        <w:trPr>
          <w:trHeight w:val="397"/>
        </w:trPr>
        <w:tc>
          <w:tcPr>
            <w:tcW w:w="842" w:type="pct"/>
            <w:shd w:val="clear" w:color="auto" w:fill="E2E9F6"/>
            <w:vAlign w:val="center"/>
          </w:tcPr>
          <w:p w14:paraId="731CDF0C" w14:textId="08FAF13F"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Bielorrusia</w:t>
            </w:r>
          </w:p>
        </w:tc>
        <w:tc>
          <w:tcPr>
            <w:tcW w:w="834" w:type="pct"/>
            <w:shd w:val="clear" w:color="auto" w:fill="E2E9F6"/>
            <w:vAlign w:val="center"/>
          </w:tcPr>
          <w:p w14:paraId="35A5B8C9" w14:textId="07B69695"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31AEC060" w14:textId="30CED8A9"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98,3%</w:t>
            </w:r>
          </w:p>
        </w:tc>
        <w:tc>
          <w:tcPr>
            <w:tcW w:w="1414" w:type="pct"/>
            <w:shd w:val="clear" w:color="auto" w:fill="E2E9F6"/>
            <w:vAlign w:val="center"/>
          </w:tcPr>
          <w:p w14:paraId="53B57D61" w14:textId="776E5059"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98,4%</w:t>
            </w:r>
          </w:p>
        </w:tc>
      </w:tr>
      <w:tr w:rsidR="009B1170" w:rsidRPr="007C3485" w14:paraId="5F8CBE0C" w14:textId="3533EE7A" w:rsidTr="00412A32">
        <w:trPr>
          <w:trHeight w:val="397"/>
        </w:trPr>
        <w:tc>
          <w:tcPr>
            <w:tcW w:w="842" w:type="pct"/>
            <w:vAlign w:val="center"/>
          </w:tcPr>
          <w:p w14:paraId="4FE0B502" w14:textId="45E7489B"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Azerbaiyán</w:t>
            </w:r>
          </w:p>
        </w:tc>
        <w:tc>
          <w:tcPr>
            <w:tcW w:w="834" w:type="pct"/>
            <w:vAlign w:val="center"/>
          </w:tcPr>
          <w:p w14:paraId="7A8CFF77" w14:textId="54D93E78"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0E316E19" w14:textId="2D3E6B78"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95,3%</w:t>
            </w:r>
          </w:p>
        </w:tc>
        <w:tc>
          <w:tcPr>
            <w:tcW w:w="1414" w:type="pct"/>
            <w:vAlign w:val="center"/>
          </w:tcPr>
          <w:p w14:paraId="24509491" w14:textId="4EADA752"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95,3%</w:t>
            </w:r>
          </w:p>
        </w:tc>
      </w:tr>
      <w:tr w:rsidR="009B1170" w:rsidRPr="007C3485" w14:paraId="3E89570F" w14:textId="77777777" w:rsidTr="00412A32">
        <w:trPr>
          <w:trHeight w:val="397"/>
        </w:trPr>
        <w:tc>
          <w:tcPr>
            <w:tcW w:w="842" w:type="pct"/>
            <w:vAlign w:val="center"/>
          </w:tcPr>
          <w:p w14:paraId="1DEE07AC" w14:textId="71EA8A91"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Georgia</w:t>
            </w:r>
          </w:p>
        </w:tc>
        <w:tc>
          <w:tcPr>
            <w:tcW w:w="834" w:type="pct"/>
            <w:vAlign w:val="center"/>
          </w:tcPr>
          <w:p w14:paraId="4FA90BDA" w14:textId="4DD2C666"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23389725" w14:textId="2A121C49"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92,1%</w:t>
            </w:r>
          </w:p>
        </w:tc>
        <w:tc>
          <w:tcPr>
            <w:tcW w:w="1414" w:type="pct"/>
            <w:vAlign w:val="center"/>
          </w:tcPr>
          <w:p w14:paraId="4D0B1DF6" w14:textId="13D3DF35"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92,1%</w:t>
            </w:r>
          </w:p>
        </w:tc>
      </w:tr>
      <w:tr w:rsidR="009B1170" w:rsidRPr="007C3485" w14:paraId="4D708E29" w14:textId="426034C6" w:rsidTr="00412A32">
        <w:trPr>
          <w:trHeight w:val="397"/>
        </w:trPr>
        <w:tc>
          <w:tcPr>
            <w:tcW w:w="842" w:type="pct"/>
            <w:vMerge w:val="restart"/>
            <w:shd w:val="clear" w:color="auto" w:fill="E2E9F6"/>
            <w:vAlign w:val="center"/>
          </w:tcPr>
          <w:p w14:paraId="79E056B4" w14:textId="7D1888EC"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R.D. Congo</w:t>
            </w:r>
          </w:p>
        </w:tc>
        <w:tc>
          <w:tcPr>
            <w:tcW w:w="834" w:type="pct"/>
            <w:shd w:val="clear" w:color="auto" w:fill="E2E9F6"/>
            <w:vAlign w:val="center"/>
          </w:tcPr>
          <w:p w14:paraId="2E6B2430" w14:textId="414E69AF"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5F581562" w14:textId="1CE676A1"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87,1%</w:t>
            </w:r>
          </w:p>
        </w:tc>
        <w:tc>
          <w:tcPr>
            <w:tcW w:w="1414" w:type="pct"/>
            <w:vMerge w:val="restart"/>
            <w:shd w:val="clear" w:color="auto" w:fill="E2E9F6"/>
            <w:vAlign w:val="center"/>
          </w:tcPr>
          <w:p w14:paraId="7FD56F4F" w14:textId="57223D97"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88,6%</w:t>
            </w:r>
          </w:p>
        </w:tc>
      </w:tr>
      <w:tr w:rsidR="009B1170" w:rsidRPr="007C3485" w14:paraId="6846DABC" w14:textId="3A1C32AB" w:rsidTr="00412A32">
        <w:trPr>
          <w:trHeight w:val="397"/>
        </w:trPr>
        <w:tc>
          <w:tcPr>
            <w:tcW w:w="842" w:type="pct"/>
            <w:vMerge/>
            <w:vAlign w:val="center"/>
          </w:tcPr>
          <w:p w14:paraId="359DB5B4" w14:textId="77777777" w:rsidR="009B1170" w:rsidRPr="007C3485" w:rsidRDefault="009B1170" w:rsidP="007C3485">
            <w:pPr>
              <w:spacing w:line="360" w:lineRule="auto"/>
              <w:jc w:val="center"/>
              <w:rPr>
                <w:rFonts w:asciiTheme="majorBidi" w:hAnsiTheme="majorBidi" w:cstheme="majorBidi"/>
                <w:b/>
                <w:bCs/>
              </w:rPr>
            </w:pPr>
          </w:p>
        </w:tc>
        <w:tc>
          <w:tcPr>
            <w:tcW w:w="834" w:type="pct"/>
            <w:shd w:val="clear" w:color="auto" w:fill="E2E9F6"/>
            <w:vAlign w:val="center"/>
          </w:tcPr>
          <w:p w14:paraId="7E5094C0" w14:textId="1CE3D6F8"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74678C33" w14:textId="7E28ACAA"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1,5%</w:t>
            </w:r>
          </w:p>
        </w:tc>
        <w:tc>
          <w:tcPr>
            <w:tcW w:w="1414" w:type="pct"/>
            <w:vMerge/>
            <w:vAlign w:val="center"/>
          </w:tcPr>
          <w:p w14:paraId="66D0A575" w14:textId="77777777" w:rsidR="009B1170" w:rsidRPr="007C3485" w:rsidRDefault="009B1170" w:rsidP="007C3485">
            <w:pPr>
              <w:spacing w:line="360" w:lineRule="auto"/>
              <w:jc w:val="center"/>
              <w:rPr>
                <w:rFonts w:asciiTheme="majorBidi" w:hAnsiTheme="majorBidi" w:cstheme="majorBidi"/>
              </w:rPr>
            </w:pPr>
          </w:p>
        </w:tc>
      </w:tr>
      <w:tr w:rsidR="009B1170" w:rsidRPr="007C3485" w14:paraId="66824112" w14:textId="6D686373" w:rsidTr="00412A32">
        <w:trPr>
          <w:trHeight w:val="397"/>
        </w:trPr>
        <w:tc>
          <w:tcPr>
            <w:tcW w:w="842" w:type="pct"/>
            <w:vAlign w:val="center"/>
          </w:tcPr>
          <w:p w14:paraId="39A0DFD0" w14:textId="5C0B68A6" w:rsidR="009B1170" w:rsidRPr="007C3485" w:rsidRDefault="003C39BF" w:rsidP="007C3485">
            <w:pPr>
              <w:spacing w:line="360" w:lineRule="auto"/>
              <w:jc w:val="center"/>
              <w:rPr>
                <w:rFonts w:asciiTheme="majorBidi" w:hAnsiTheme="majorBidi" w:cstheme="majorBidi"/>
                <w:b/>
                <w:bCs/>
              </w:rPr>
            </w:pPr>
            <w:r w:rsidRPr="007C3485">
              <w:rPr>
                <w:rFonts w:asciiTheme="majorBidi" w:hAnsiTheme="majorBidi" w:cstheme="majorBidi"/>
                <w:b/>
                <w:bCs/>
              </w:rPr>
              <w:lastRenderedPageBreak/>
              <w:t>Benín</w:t>
            </w:r>
          </w:p>
        </w:tc>
        <w:tc>
          <w:tcPr>
            <w:tcW w:w="834" w:type="pct"/>
            <w:vAlign w:val="center"/>
          </w:tcPr>
          <w:p w14:paraId="6BB70C4C" w14:textId="2AE54325"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685FA25D" w14:textId="384D9BB0"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88,2%</w:t>
            </w:r>
          </w:p>
        </w:tc>
        <w:tc>
          <w:tcPr>
            <w:tcW w:w="1414" w:type="pct"/>
            <w:vAlign w:val="center"/>
          </w:tcPr>
          <w:p w14:paraId="58BC2CD6" w14:textId="145A8016"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88,2%</w:t>
            </w:r>
          </w:p>
        </w:tc>
      </w:tr>
      <w:tr w:rsidR="009B1170" w:rsidRPr="007C3485" w14:paraId="1F0417C0" w14:textId="77777777" w:rsidTr="00412A32">
        <w:trPr>
          <w:trHeight w:val="397"/>
        </w:trPr>
        <w:tc>
          <w:tcPr>
            <w:tcW w:w="842" w:type="pct"/>
            <w:vMerge w:val="restart"/>
            <w:shd w:val="clear" w:color="auto" w:fill="E2E9F6"/>
            <w:vAlign w:val="center"/>
          </w:tcPr>
          <w:p w14:paraId="6D68952B" w14:textId="0F6ED70E"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Turquía</w:t>
            </w:r>
          </w:p>
        </w:tc>
        <w:tc>
          <w:tcPr>
            <w:tcW w:w="834" w:type="pct"/>
            <w:shd w:val="clear" w:color="auto" w:fill="E2E9F6"/>
            <w:vAlign w:val="center"/>
          </w:tcPr>
          <w:p w14:paraId="602F8350" w14:textId="2A3CFDF8"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19CD7519" w14:textId="00E7CA52"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70,3%</w:t>
            </w:r>
          </w:p>
        </w:tc>
        <w:tc>
          <w:tcPr>
            <w:tcW w:w="1414" w:type="pct"/>
            <w:vMerge w:val="restart"/>
            <w:shd w:val="clear" w:color="auto" w:fill="E2E9F6"/>
            <w:vAlign w:val="center"/>
          </w:tcPr>
          <w:p w14:paraId="7A11FC2C" w14:textId="57495A3E"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88,1%</w:t>
            </w:r>
          </w:p>
        </w:tc>
      </w:tr>
      <w:tr w:rsidR="009B1170" w:rsidRPr="007C3485" w14:paraId="5FD25ED9" w14:textId="77777777" w:rsidTr="00412A32">
        <w:trPr>
          <w:trHeight w:val="397"/>
        </w:trPr>
        <w:tc>
          <w:tcPr>
            <w:tcW w:w="842" w:type="pct"/>
            <w:vMerge/>
            <w:vAlign w:val="center"/>
          </w:tcPr>
          <w:p w14:paraId="4FD0D1FA" w14:textId="77777777" w:rsidR="009B1170" w:rsidRPr="007C3485" w:rsidRDefault="009B1170" w:rsidP="007C3485">
            <w:pPr>
              <w:spacing w:line="360" w:lineRule="auto"/>
              <w:jc w:val="center"/>
              <w:rPr>
                <w:rFonts w:asciiTheme="majorBidi" w:hAnsiTheme="majorBidi" w:cstheme="majorBidi"/>
                <w:b/>
                <w:bCs/>
              </w:rPr>
            </w:pPr>
          </w:p>
        </w:tc>
        <w:tc>
          <w:tcPr>
            <w:tcW w:w="834" w:type="pct"/>
            <w:shd w:val="clear" w:color="auto" w:fill="E2E9F6"/>
            <w:vAlign w:val="center"/>
          </w:tcPr>
          <w:p w14:paraId="191451F8" w14:textId="06460E44"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3B994B05" w14:textId="489DF562"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17,8%</w:t>
            </w:r>
          </w:p>
        </w:tc>
        <w:tc>
          <w:tcPr>
            <w:tcW w:w="1414" w:type="pct"/>
            <w:vMerge/>
            <w:vAlign w:val="center"/>
          </w:tcPr>
          <w:p w14:paraId="02DFD3F0" w14:textId="77777777" w:rsidR="009B1170" w:rsidRPr="007C3485" w:rsidRDefault="009B1170" w:rsidP="007C3485">
            <w:pPr>
              <w:spacing w:line="360" w:lineRule="auto"/>
              <w:jc w:val="center"/>
              <w:rPr>
                <w:rFonts w:asciiTheme="majorBidi" w:hAnsiTheme="majorBidi" w:cstheme="majorBidi"/>
              </w:rPr>
            </w:pPr>
          </w:p>
        </w:tc>
      </w:tr>
      <w:tr w:rsidR="009B1170" w:rsidRPr="007C3485" w14:paraId="1B4A3BC2" w14:textId="42640BC4" w:rsidTr="00412A32">
        <w:trPr>
          <w:trHeight w:val="397"/>
        </w:trPr>
        <w:tc>
          <w:tcPr>
            <w:tcW w:w="842" w:type="pct"/>
            <w:vMerge w:val="restart"/>
            <w:vAlign w:val="center"/>
          </w:tcPr>
          <w:p w14:paraId="77D347C8" w14:textId="0767DFCD"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Líbano</w:t>
            </w:r>
          </w:p>
        </w:tc>
        <w:tc>
          <w:tcPr>
            <w:tcW w:w="834" w:type="pct"/>
            <w:vAlign w:val="center"/>
          </w:tcPr>
          <w:p w14:paraId="7F75BA6A" w14:textId="21F11603"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627D70F6" w14:textId="09C5AABF"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11,6%</w:t>
            </w:r>
          </w:p>
        </w:tc>
        <w:tc>
          <w:tcPr>
            <w:tcW w:w="1414" w:type="pct"/>
            <w:vMerge w:val="restart"/>
            <w:vAlign w:val="center"/>
          </w:tcPr>
          <w:p w14:paraId="13243E90" w14:textId="2914D34F"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85,7%</w:t>
            </w:r>
          </w:p>
        </w:tc>
      </w:tr>
      <w:tr w:rsidR="009B1170" w:rsidRPr="007C3485" w14:paraId="4543FA32" w14:textId="7080E46A" w:rsidTr="00412A32">
        <w:trPr>
          <w:trHeight w:val="397"/>
        </w:trPr>
        <w:tc>
          <w:tcPr>
            <w:tcW w:w="842" w:type="pct"/>
            <w:vMerge/>
            <w:vAlign w:val="center"/>
          </w:tcPr>
          <w:p w14:paraId="61ABCC7E" w14:textId="77777777" w:rsidR="009B1170" w:rsidRPr="007C3485" w:rsidRDefault="009B1170" w:rsidP="007C3485">
            <w:pPr>
              <w:spacing w:line="360" w:lineRule="auto"/>
              <w:jc w:val="center"/>
              <w:rPr>
                <w:rFonts w:asciiTheme="majorBidi" w:hAnsiTheme="majorBidi" w:cstheme="majorBidi"/>
                <w:b/>
                <w:bCs/>
              </w:rPr>
            </w:pPr>
          </w:p>
        </w:tc>
        <w:tc>
          <w:tcPr>
            <w:tcW w:w="834" w:type="pct"/>
            <w:vAlign w:val="center"/>
          </w:tcPr>
          <w:p w14:paraId="16D0E122" w14:textId="519998EB"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vAlign w:val="center"/>
          </w:tcPr>
          <w:p w14:paraId="66598348" w14:textId="60635E4B"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74,1%</w:t>
            </w:r>
          </w:p>
        </w:tc>
        <w:tc>
          <w:tcPr>
            <w:tcW w:w="1414" w:type="pct"/>
            <w:vMerge/>
            <w:vAlign w:val="center"/>
          </w:tcPr>
          <w:p w14:paraId="1BC7A900" w14:textId="77777777" w:rsidR="009B1170" w:rsidRPr="007C3485" w:rsidRDefault="009B1170" w:rsidP="007C3485">
            <w:pPr>
              <w:spacing w:line="360" w:lineRule="auto"/>
              <w:jc w:val="center"/>
              <w:rPr>
                <w:rFonts w:asciiTheme="majorBidi" w:hAnsiTheme="majorBidi" w:cstheme="majorBidi"/>
              </w:rPr>
            </w:pPr>
          </w:p>
        </w:tc>
      </w:tr>
      <w:tr w:rsidR="009B1170" w:rsidRPr="007C3485" w14:paraId="00757528" w14:textId="77777777" w:rsidTr="00412A32">
        <w:trPr>
          <w:trHeight w:val="397"/>
        </w:trPr>
        <w:tc>
          <w:tcPr>
            <w:tcW w:w="842" w:type="pct"/>
            <w:vMerge w:val="restart"/>
            <w:shd w:val="clear" w:color="auto" w:fill="E2E9F6"/>
            <w:vAlign w:val="center"/>
          </w:tcPr>
          <w:p w14:paraId="420CCCF2" w14:textId="46EB5239"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Pakistán</w:t>
            </w:r>
          </w:p>
        </w:tc>
        <w:tc>
          <w:tcPr>
            <w:tcW w:w="834" w:type="pct"/>
            <w:shd w:val="clear" w:color="auto" w:fill="E2E9F6"/>
            <w:vAlign w:val="center"/>
          </w:tcPr>
          <w:p w14:paraId="001F2ED1" w14:textId="24F6D7D7"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4753C5AB" w14:textId="5AED2D69"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21,3%</w:t>
            </w:r>
          </w:p>
        </w:tc>
        <w:tc>
          <w:tcPr>
            <w:tcW w:w="1414" w:type="pct"/>
            <w:vMerge w:val="restart"/>
            <w:shd w:val="clear" w:color="auto" w:fill="E2E9F6"/>
            <w:vAlign w:val="center"/>
          </w:tcPr>
          <w:p w14:paraId="73D2FE5F" w14:textId="58F89DA0"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75,4%</w:t>
            </w:r>
          </w:p>
        </w:tc>
      </w:tr>
      <w:tr w:rsidR="009B1170" w:rsidRPr="007C3485" w14:paraId="3D18FD2D" w14:textId="77777777" w:rsidTr="00412A32">
        <w:trPr>
          <w:trHeight w:val="397"/>
        </w:trPr>
        <w:tc>
          <w:tcPr>
            <w:tcW w:w="842" w:type="pct"/>
            <w:vMerge/>
            <w:vAlign w:val="center"/>
          </w:tcPr>
          <w:p w14:paraId="61B33B59" w14:textId="77777777" w:rsidR="009B1170" w:rsidRPr="007C3485" w:rsidRDefault="009B1170" w:rsidP="007C3485">
            <w:pPr>
              <w:spacing w:line="360" w:lineRule="auto"/>
              <w:jc w:val="center"/>
              <w:rPr>
                <w:rFonts w:asciiTheme="majorBidi" w:hAnsiTheme="majorBidi" w:cstheme="majorBidi"/>
                <w:b/>
                <w:bCs/>
              </w:rPr>
            </w:pPr>
          </w:p>
        </w:tc>
        <w:tc>
          <w:tcPr>
            <w:tcW w:w="834" w:type="pct"/>
            <w:shd w:val="clear" w:color="auto" w:fill="E2E9F6"/>
            <w:vAlign w:val="center"/>
          </w:tcPr>
          <w:p w14:paraId="33F8AD1C" w14:textId="5B86A713"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6615D499" w14:textId="1565CB82"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54,1%</w:t>
            </w:r>
          </w:p>
        </w:tc>
        <w:tc>
          <w:tcPr>
            <w:tcW w:w="1414" w:type="pct"/>
            <w:vMerge/>
            <w:vAlign w:val="center"/>
          </w:tcPr>
          <w:p w14:paraId="6E89F215" w14:textId="2681B48F" w:rsidR="009B1170" w:rsidRPr="007C3485" w:rsidRDefault="009B1170" w:rsidP="007C3485">
            <w:pPr>
              <w:spacing w:line="360" w:lineRule="auto"/>
              <w:jc w:val="center"/>
              <w:rPr>
                <w:rFonts w:asciiTheme="majorBidi" w:hAnsiTheme="majorBidi" w:cstheme="majorBidi"/>
              </w:rPr>
            </w:pPr>
          </w:p>
        </w:tc>
      </w:tr>
      <w:tr w:rsidR="009B1170" w:rsidRPr="007C3485" w14:paraId="7FAA06E4" w14:textId="77777777" w:rsidTr="00412A32">
        <w:trPr>
          <w:trHeight w:val="397"/>
        </w:trPr>
        <w:tc>
          <w:tcPr>
            <w:tcW w:w="842" w:type="pct"/>
            <w:vMerge w:val="restart"/>
            <w:vAlign w:val="center"/>
          </w:tcPr>
          <w:p w14:paraId="0BEA2CF4" w14:textId="5168DEBB"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Libia</w:t>
            </w:r>
          </w:p>
        </w:tc>
        <w:tc>
          <w:tcPr>
            <w:tcW w:w="834" w:type="pct"/>
            <w:vAlign w:val="center"/>
          </w:tcPr>
          <w:p w14:paraId="31CB3840" w14:textId="2A45940B"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5C39BE26" w14:textId="4A4D3CF1"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29,5%</w:t>
            </w:r>
          </w:p>
        </w:tc>
        <w:tc>
          <w:tcPr>
            <w:tcW w:w="1414" w:type="pct"/>
            <w:vMerge w:val="restart"/>
            <w:vAlign w:val="center"/>
          </w:tcPr>
          <w:p w14:paraId="2E409BE9" w14:textId="6A6CA8D6"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67,2%</w:t>
            </w:r>
          </w:p>
        </w:tc>
      </w:tr>
      <w:tr w:rsidR="009B1170" w:rsidRPr="007C3485" w14:paraId="0D2B01A2" w14:textId="77777777" w:rsidTr="00412A32">
        <w:trPr>
          <w:trHeight w:val="397"/>
        </w:trPr>
        <w:tc>
          <w:tcPr>
            <w:tcW w:w="842" w:type="pct"/>
            <w:vMerge/>
            <w:vAlign w:val="center"/>
          </w:tcPr>
          <w:p w14:paraId="17C858C6" w14:textId="77777777" w:rsidR="009B1170" w:rsidRPr="007C3485" w:rsidRDefault="009B1170" w:rsidP="007C3485">
            <w:pPr>
              <w:spacing w:line="360" w:lineRule="auto"/>
              <w:jc w:val="center"/>
              <w:rPr>
                <w:rFonts w:asciiTheme="majorBidi" w:hAnsiTheme="majorBidi" w:cstheme="majorBidi"/>
                <w:b/>
                <w:bCs/>
              </w:rPr>
            </w:pPr>
          </w:p>
        </w:tc>
        <w:tc>
          <w:tcPr>
            <w:tcW w:w="834" w:type="pct"/>
            <w:vAlign w:val="center"/>
          </w:tcPr>
          <w:p w14:paraId="7C0251DB" w14:textId="1027C651"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vAlign w:val="center"/>
          </w:tcPr>
          <w:p w14:paraId="000B4C07" w14:textId="60EFBFF4"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37,7%</w:t>
            </w:r>
          </w:p>
        </w:tc>
        <w:tc>
          <w:tcPr>
            <w:tcW w:w="1414" w:type="pct"/>
            <w:vMerge/>
            <w:vAlign w:val="center"/>
          </w:tcPr>
          <w:p w14:paraId="4C70599F" w14:textId="77777777" w:rsidR="009B1170" w:rsidRPr="007C3485" w:rsidRDefault="009B1170" w:rsidP="007C3485">
            <w:pPr>
              <w:spacing w:line="360" w:lineRule="auto"/>
              <w:jc w:val="center"/>
              <w:rPr>
                <w:rFonts w:asciiTheme="majorBidi" w:hAnsiTheme="majorBidi" w:cstheme="majorBidi"/>
              </w:rPr>
            </w:pPr>
          </w:p>
        </w:tc>
      </w:tr>
      <w:tr w:rsidR="009B1170" w:rsidRPr="007C3485" w14:paraId="39339F29" w14:textId="77777777" w:rsidTr="00412A32">
        <w:trPr>
          <w:trHeight w:val="397"/>
        </w:trPr>
        <w:tc>
          <w:tcPr>
            <w:tcW w:w="842" w:type="pct"/>
            <w:vMerge w:val="restart"/>
            <w:shd w:val="clear" w:color="auto" w:fill="E2E9F6"/>
            <w:vAlign w:val="center"/>
          </w:tcPr>
          <w:p w14:paraId="00CF7673" w14:textId="17CC36C9"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Egipto</w:t>
            </w:r>
          </w:p>
        </w:tc>
        <w:tc>
          <w:tcPr>
            <w:tcW w:w="834" w:type="pct"/>
            <w:shd w:val="clear" w:color="auto" w:fill="E2E9F6"/>
            <w:vAlign w:val="center"/>
          </w:tcPr>
          <w:p w14:paraId="31FFD220" w14:textId="3CE60FC2"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shd w:val="clear" w:color="auto" w:fill="E2E9F6"/>
            <w:vAlign w:val="center"/>
          </w:tcPr>
          <w:p w14:paraId="3E2CDFE1" w14:textId="5D7860B5"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41,6%</w:t>
            </w:r>
          </w:p>
        </w:tc>
        <w:tc>
          <w:tcPr>
            <w:tcW w:w="1414" w:type="pct"/>
            <w:vMerge w:val="restart"/>
            <w:shd w:val="clear" w:color="auto" w:fill="E2E9F6"/>
            <w:vAlign w:val="center"/>
          </w:tcPr>
          <w:p w14:paraId="5A95A04D" w14:textId="0E6BA2AF"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66,9%</w:t>
            </w:r>
          </w:p>
        </w:tc>
      </w:tr>
      <w:tr w:rsidR="009B1170" w:rsidRPr="007C3485" w14:paraId="28DBBAC4" w14:textId="77777777" w:rsidTr="00412A32">
        <w:trPr>
          <w:trHeight w:val="397"/>
        </w:trPr>
        <w:tc>
          <w:tcPr>
            <w:tcW w:w="842" w:type="pct"/>
            <w:vMerge/>
            <w:vAlign w:val="center"/>
          </w:tcPr>
          <w:p w14:paraId="4807216B" w14:textId="77777777" w:rsidR="009B1170" w:rsidRPr="007C3485" w:rsidRDefault="009B1170" w:rsidP="007C3485">
            <w:pPr>
              <w:spacing w:line="360" w:lineRule="auto"/>
              <w:jc w:val="center"/>
              <w:rPr>
                <w:rFonts w:asciiTheme="majorBidi" w:hAnsiTheme="majorBidi" w:cstheme="majorBidi"/>
                <w:b/>
                <w:bCs/>
              </w:rPr>
            </w:pPr>
          </w:p>
        </w:tc>
        <w:tc>
          <w:tcPr>
            <w:tcW w:w="834" w:type="pct"/>
            <w:shd w:val="clear" w:color="auto" w:fill="E2E9F6"/>
            <w:vAlign w:val="center"/>
          </w:tcPr>
          <w:p w14:paraId="5499DFEF" w14:textId="5A9CC208"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2E30BA67" w14:textId="6096BB76"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25,3%</w:t>
            </w:r>
          </w:p>
        </w:tc>
        <w:tc>
          <w:tcPr>
            <w:tcW w:w="1414" w:type="pct"/>
            <w:vMerge/>
            <w:vAlign w:val="center"/>
          </w:tcPr>
          <w:p w14:paraId="1E6BCE72" w14:textId="33423803" w:rsidR="009B1170" w:rsidRPr="007C3485" w:rsidRDefault="009B1170" w:rsidP="007C3485">
            <w:pPr>
              <w:spacing w:line="360" w:lineRule="auto"/>
              <w:jc w:val="center"/>
              <w:rPr>
                <w:rFonts w:asciiTheme="majorBidi" w:hAnsiTheme="majorBidi" w:cstheme="majorBidi"/>
              </w:rPr>
            </w:pPr>
          </w:p>
        </w:tc>
      </w:tr>
      <w:tr w:rsidR="009B1170" w:rsidRPr="007C3485" w14:paraId="7B5C0F3E" w14:textId="77777777" w:rsidTr="00412A32">
        <w:trPr>
          <w:trHeight w:val="397"/>
        </w:trPr>
        <w:tc>
          <w:tcPr>
            <w:tcW w:w="842" w:type="pct"/>
            <w:vMerge w:val="restart"/>
            <w:vAlign w:val="center"/>
          </w:tcPr>
          <w:p w14:paraId="25EC53F7" w14:textId="1595589A" w:rsidR="009B1170" w:rsidRPr="007C3485" w:rsidRDefault="009B1170" w:rsidP="007C3485">
            <w:pPr>
              <w:spacing w:line="360" w:lineRule="auto"/>
              <w:jc w:val="center"/>
              <w:rPr>
                <w:rFonts w:asciiTheme="majorBidi" w:hAnsiTheme="majorBidi" w:cstheme="majorBidi"/>
                <w:b/>
                <w:bCs/>
              </w:rPr>
            </w:pPr>
            <w:r w:rsidRPr="007C3485">
              <w:rPr>
                <w:rFonts w:asciiTheme="majorBidi" w:hAnsiTheme="majorBidi" w:cstheme="majorBidi"/>
                <w:b/>
                <w:bCs/>
              </w:rPr>
              <w:t>Madagascar</w:t>
            </w:r>
          </w:p>
        </w:tc>
        <w:tc>
          <w:tcPr>
            <w:tcW w:w="834" w:type="pct"/>
            <w:vAlign w:val="center"/>
          </w:tcPr>
          <w:p w14:paraId="765DF79B" w14:textId="0FBFA8E7"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Rusia</w:t>
            </w:r>
          </w:p>
        </w:tc>
        <w:tc>
          <w:tcPr>
            <w:tcW w:w="1910" w:type="pct"/>
            <w:vAlign w:val="center"/>
          </w:tcPr>
          <w:p w14:paraId="0DF0DD16" w14:textId="0EE62DFB"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42,3%</w:t>
            </w:r>
          </w:p>
        </w:tc>
        <w:tc>
          <w:tcPr>
            <w:tcW w:w="1414" w:type="pct"/>
            <w:vMerge w:val="restart"/>
            <w:vAlign w:val="center"/>
          </w:tcPr>
          <w:p w14:paraId="6C5E5E7F" w14:textId="41AEF070"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63,2%</w:t>
            </w:r>
          </w:p>
        </w:tc>
      </w:tr>
      <w:tr w:rsidR="009B1170" w:rsidRPr="007C3485" w14:paraId="5BA73AAC" w14:textId="77777777" w:rsidTr="00412A32">
        <w:trPr>
          <w:trHeight w:val="397"/>
        </w:trPr>
        <w:tc>
          <w:tcPr>
            <w:tcW w:w="842" w:type="pct"/>
            <w:vMerge/>
            <w:vAlign w:val="center"/>
          </w:tcPr>
          <w:p w14:paraId="7F629993" w14:textId="77777777" w:rsidR="009B1170" w:rsidRPr="007C3485" w:rsidRDefault="009B1170" w:rsidP="007C3485">
            <w:pPr>
              <w:spacing w:line="360" w:lineRule="auto"/>
              <w:jc w:val="center"/>
              <w:rPr>
                <w:rFonts w:asciiTheme="majorBidi" w:hAnsiTheme="majorBidi" w:cstheme="majorBidi"/>
                <w:b/>
                <w:bCs/>
              </w:rPr>
            </w:pPr>
          </w:p>
        </w:tc>
        <w:tc>
          <w:tcPr>
            <w:tcW w:w="834" w:type="pct"/>
            <w:vAlign w:val="center"/>
          </w:tcPr>
          <w:p w14:paraId="04AA9604" w14:textId="66B9E2C5"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vAlign w:val="center"/>
          </w:tcPr>
          <w:p w14:paraId="1F49C370" w14:textId="0D6C4751"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20,9%</w:t>
            </w:r>
          </w:p>
        </w:tc>
        <w:tc>
          <w:tcPr>
            <w:tcW w:w="1414" w:type="pct"/>
            <w:vMerge/>
            <w:vAlign w:val="center"/>
          </w:tcPr>
          <w:p w14:paraId="6BDB6B10" w14:textId="10D11F6A" w:rsidR="009B1170" w:rsidRPr="007C3485" w:rsidRDefault="009B1170" w:rsidP="007C3485">
            <w:pPr>
              <w:spacing w:line="360" w:lineRule="auto"/>
              <w:jc w:val="center"/>
              <w:rPr>
                <w:rFonts w:asciiTheme="majorBidi" w:hAnsiTheme="majorBidi" w:cstheme="majorBidi"/>
              </w:rPr>
            </w:pPr>
          </w:p>
        </w:tc>
      </w:tr>
      <w:tr w:rsidR="009B1170" w:rsidRPr="007C3485" w14:paraId="21D21F53" w14:textId="77777777" w:rsidTr="00412A32">
        <w:trPr>
          <w:trHeight w:val="397"/>
        </w:trPr>
        <w:tc>
          <w:tcPr>
            <w:tcW w:w="842" w:type="pct"/>
            <w:shd w:val="clear" w:color="auto" w:fill="E2E9F6"/>
            <w:vAlign w:val="center"/>
          </w:tcPr>
          <w:p w14:paraId="7A1E8FFC" w14:textId="75DE146A" w:rsidR="009B1170" w:rsidRPr="007C3485" w:rsidRDefault="009871D8" w:rsidP="007C3485">
            <w:pPr>
              <w:spacing w:line="360" w:lineRule="auto"/>
              <w:jc w:val="center"/>
              <w:rPr>
                <w:rFonts w:asciiTheme="majorBidi" w:hAnsiTheme="majorBidi" w:cstheme="majorBidi"/>
                <w:b/>
                <w:bCs/>
              </w:rPr>
            </w:pPr>
            <w:r>
              <w:rPr>
                <w:rFonts w:asciiTheme="majorBidi" w:hAnsiTheme="majorBidi" w:cstheme="majorBidi"/>
                <w:b/>
                <w:bCs/>
              </w:rPr>
              <w:t>Yi</w:t>
            </w:r>
            <w:r w:rsidR="009B1170" w:rsidRPr="007C3485">
              <w:rPr>
                <w:rFonts w:asciiTheme="majorBidi" w:hAnsiTheme="majorBidi" w:cstheme="majorBidi"/>
                <w:b/>
                <w:bCs/>
              </w:rPr>
              <w:t>buti</w:t>
            </w:r>
          </w:p>
        </w:tc>
        <w:tc>
          <w:tcPr>
            <w:tcW w:w="834" w:type="pct"/>
            <w:shd w:val="clear" w:color="auto" w:fill="E2E9F6"/>
            <w:vAlign w:val="center"/>
          </w:tcPr>
          <w:p w14:paraId="0186B33B" w14:textId="10F5FCAA"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Ucrania</w:t>
            </w:r>
          </w:p>
        </w:tc>
        <w:tc>
          <w:tcPr>
            <w:tcW w:w="1910" w:type="pct"/>
            <w:shd w:val="clear" w:color="auto" w:fill="E2E9F6"/>
            <w:vAlign w:val="center"/>
          </w:tcPr>
          <w:p w14:paraId="27969B81" w14:textId="21CB0203"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59,4%</w:t>
            </w:r>
          </w:p>
        </w:tc>
        <w:tc>
          <w:tcPr>
            <w:tcW w:w="1414" w:type="pct"/>
            <w:shd w:val="clear" w:color="auto" w:fill="E2E9F6"/>
            <w:vAlign w:val="center"/>
          </w:tcPr>
          <w:p w14:paraId="57D858C3" w14:textId="3FA8E3E5" w:rsidR="009B1170" w:rsidRPr="007C3485" w:rsidRDefault="009B1170" w:rsidP="007C3485">
            <w:pPr>
              <w:spacing w:line="360" w:lineRule="auto"/>
              <w:jc w:val="center"/>
              <w:rPr>
                <w:rFonts w:asciiTheme="majorBidi" w:hAnsiTheme="majorBidi" w:cstheme="majorBidi"/>
              </w:rPr>
            </w:pPr>
            <w:r w:rsidRPr="007C3485">
              <w:rPr>
                <w:rFonts w:asciiTheme="majorBidi" w:hAnsiTheme="majorBidi" w:cstheme="majorBidi"/>
              </w:rPr>
              <w:t>59,4%</w:t>
            </w:r>
          </w:p>
        </w:tc>
      </w:tr>
    </w:tbl>
    <w:bookmarkEnd w:id="59"/>
    <w:p w14:paraId="0C6DF966" w14:textId="77777777" w:rsidR="00C53814" w:rsidRPr="00C53814" w:rsidRDefault="00C53814" w:rsidP="00C53814">
      <w:pPr>
        <w:pStyle w:val="Descripcin"/>
        <w:keepNext/>
        <w:jc w:val="right"/>
        <w:rPr>
          <w:rFonts w:asciiTheme="majorBidi" w:hAnsiTheme="majorBidi" w:cstheme="majorBidi"/>
          <w:sz w:val="20"/>
          <w:szCs w:val="20"/>
        </w:rPr>
      </w:pPr>
      <w:r w:rsidRPr="00C53814">
        <w:rPr>
          <w:rFonts w:asciiTheme="majorBidi" w:hAnsiTheme="majorBidi" w:cstheme="majorBidi"/>
          <w:sz w:val="20"/>
          <w:szCs w:val="20"/>
        </w:rPr>
        <w:t>Elaboración propia con datos de (</w:t>
      </w:r>
      <w:r>
        <w:rPr>
          <w:rFonts w:asciiTheme="majorBidi" w:hAnsiTheme="majorBidi" w:cstheme="majorBidi"/>
          <w:sz w:val="20"/>
          <w:szCs w:val="20"/>
        </w:rPr>
        <w:t>FAOSTAT</w:t>
      </w:r>
      <w:r w:rsidRPr="00C53814">
        <w:rPr>
          <w:rFonts w:asciiTheme="majorBidi" w:hAnsiTheme="majorBidi" w:cstheme="majorBidi"/>
          <w:sz w:val="20"/>
          <w:szCs w:val="20"/>
        </w:rPr>
        <w:t>, 202</w:t>
      </w:r>
      <w:r>
        <w:rPr>
          <w:rFonts w:asciiTheme="majorBidi" w:hAnsiTheme="majorBidi" w:cstheme="majorBidi"/>
          <w:sz w:val="20"/>
          <w:szCs w:val="20"/>
        </w:rPr>
        <w:t>2</w:t>
      </w:r>
      <w:r w:rsidRPr="00C53814">
        <w:rPr>
          <w:rFonts w:asciiTheme="majorBidi" w:hAnsiTheme="majorBidi" w:cstheme="majorBidi"/>
          <w:sz w:val="20"/>
          <w:szCs w:val="20"/>
        </w:rPr>
        <w:t>).</w:t>
      </w:r>
    </w:p>
    <w:p w14:paraId="35659F0D" w14:textId="062AC074" w:rsidR="00D3767D" w:rsidRPr="009F51ED" w:rsidRDefault="00D3767D"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En general, las importaciones de maíz y trigo rusas y ucranianas sufrieron un</w:t>
      </w:r>
      <w:r w:rsidR="0001518E" w:rsidRPr="009F51ED">
        <w:rPr>
          <w:rFonts w:asciiTheme="majorBidi" w:hAnsiTheme="majorBidi" w:cstheme="majorBidi"/>
          <w:sz w:val="24"/>
          <w:szCs w:val="24"/>
        </w:rPr>
        <w:t xml:space="preserve">a subida </w:t>
      </w:r>
      <w:r w:rsidRPr="009F51ED">
        <w:rPr>
          <w:rFonts w:asciiTheme="majorBidi" w:hAnsiTheme="majorBidi" w:cstheme="majorBidi"/>
          <w:sz w:val="24"/>
          <w:szCs w:val="24"/>
        </w:rPr>
        <w:t>de precios derivad</w:t>
      </w:r>
      <w:r w:rsidR="0001518E" w:rsidRPr="009F51ED">
        <w:rPr>
          <w:rFonts w:asciiTheme="majorBidi" w:hAnsiTheme="majorBidi" w:cstheme="majorBidi"/>
          <w:sz w:val="24"/>
          <w:szCs w:val="24"/>
        </w:rPr>
        <w:t xml:space="preserve">a </w:t>
      </w:r>
      <w:r w:rsidRPr="009F51ED">
        <w:rPr>
          <w:rFonts w:asciiTheme="majorBidi" w:hAnsiTheme="majorBidi" w:cstheme="majorBidi"/>
          <w:sz w:val="24"/>
          <w:szCs w:val="24"/>
        </w:rPr>
        <w:t xml:space="preserve">de las mayores dificultades para la exportación, del </w:t>
      </w:r>
      <w:r w:rsidR="0001518E" w:rsidRPr="009F51ED">
        <w:rPr>
          <w:rFonts w:asciiTheme="majorBidi" w:hAnsiTheme="majorBidi" w:cstheme="majorBidi"/>
          <w:sz w:val="24"/>
          <w:szCs w:val="24"/>
        </w:rPr>
        <w:t>incremento</w:t>
      </w:r>
      <w:r w:rsidRPr="009F51ED">
        <w:rPr>
          <w:rFonts w:asciiTheme="majorBidi" w:hAnsiTheme="majorBidi" w:cstheme="majorBidi"/>
          <w:sz w:val="24"/>
          <w:szCs w:val="24"/>
        </w:rPr>
        <w:t xml:space="preserve"> de precios de la energía necesaria para producir, transformar y transportar el grano, y del encarecimiento de los seguros contratados por productores y transportistas debido al aumento en la incertidumbre que rodea sus actividades. Una reducción en los volúmenes exportados por otros productores, al tratar ellos de asegurar unas reservas y suministro propios, reduciría las capacidades de los países más dependientes en Rusia y Ucrania para suplir sus posibles dependencias tanto en volumen, al bajar las toneladas disponibles para la venta, como en precio, al encarecerse el producto cuando baja su disponibilidad</w:t>
      </w:r>
      <w:r w:rsidR="00453997" w:rsidRPr="009F51ED">
        <w:rPr>
          <w:rFonts w:asciiTheme="majorBidi" w:hAnsiTheme="majorBidi" w:cstheme="majorBidi"/>
          <w:sz w:val="24"/>
          <w:szCs w:val="24"/>
        </w:rPr>
        <w:t xml:space="preserve"> (FAO, 2022</w:t>
      </w:r>
      <w:r w:rsidR="00E426A8" w:rsidRPr="009F51ED">
        <w:rPr>
          <w:rFonts w:asciiTheme="majorBidi" w:hAnsiTheme="majorBidi" w:cstheme="majorBidi"/>
          <w:sz w:val="24"/>
          <w:szCs w:val="24"/>
        </w:rPr>
        <w:t>d</w:t>
      </w:r>
      <w:r w:rsidR="00453997" w:rsidRPr="009F51ED">
        <w:rPr>
          <w:rFonts w:asciiTheme="majorBidi" w:hAnsiTheme="majorBidi" w:cstheme="majorBidi"/>
          <w:sz w:val="24"/>
          <w:szCs w:val="24"/>
        </w:rPr>
        <w:t>)</w:t>
      </w:r>
      <w:r w:rsidRPr="009F51ED">
        <w:rPr>
          <w:rFonts w:asciiTheme="majorBidi" w:hAnsiTheme="majorBidi" w:cstheme="majorBidi"/>
          <w:sz w:val="24"/>
          <w:szCs w:val="24"/>
        </w:rPr>
        <w:t xml:space="preserve">. </w:t>
      </w:r>
    </w:p>
    <w:p w14:paraId="35AC3BE1" w14:textId="0E3709E7" w:rsidR="00D3767D" w:rsidRPr="009F51ED" w:rsidRDefault="00EB4EC5"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Unos cincuenta países, como se puede observar en las tablas de los anexos III y IV, compran más del 30% de sus volúmenes de importación de trigo a Rusia o Ucrania. En la mayoría de estos casos se trata de países de escaso desarrollo económico y netamente importadores de alimentos, localizados en África, Asia y Oriente Próximo, en el Sur Global. </w:t>
      </w:r>
      <w:r w:rsidR="00D3767D" w:rsidRPr="009F51ED">
        <w:rPr>
          <w:rFonts w:asciiTheme="majorBidi" w:hAnsiTheme="majorBidi" w:cstheme="majorBidi"/>
          <w:sz w:val="24"/>
          <w:szCs w:val="24"/>
        </w:rPr>
        <w:t>Estos países verían seriamente amenazada su seguridad alimentaria de no restablecerse el tráfico normal de grano ruso y ucraniano</w:t>
      </w:r>
      <w:r w:rsidR="00453997" w:rsidRPr="009F51ED">
        <w:rPr>
          <w:rFonts w:asciiTheme="majorBidi" w:hAnsiTheme="majorBidi" w:cstheme="majorBidi"/>
          <w:sz w:val="24"/>
          <w:szCs w:val="24"/>
        </w:rPr>
        <w:t xml:space="preserve"> (FAO, 2022</w:t>
      </w:r>
      <w:r w:rsidR="00E426A8" w:rsidRPr="009F51ED">
        <w:rPr>
          <w:rFonts w:asciiTheme="majorBidi" w:hAnsiTheme="majorBidi" w:cstheme="majorBidi"/>
          <w:sz w:val="24"/>
          <w:szCs w:val="24"/>
        </w:rPr>
        <w:t>d</w:t>
      </w:r>
      <w:r w:rsidR="00453997" w:rsidRPr="009F51ED">
        <w:rPr>
          <w:rFonts w:asciiTheme="majorBidi" w:hAnsiTheme="majorBidi" w:cstheme="majorBidi"/>
          <w:sz w:val="24"/>
          <w:szCs w:val="24"/>
        </w:rPr>
        <w:t>)</w:t>
      </w:r>
      <w:r w:rsidR="00D3767D" w:rsidRPr="009F51ED">
        <w:rPr>
          <w:rFonts w:asciiTheme="majorBidi" w:hAnsiTheme="majorBidi" w:cstheme="majorBidi"/>
          <w:sz w:val="24"/>
          <w:szCs w:val="24"/>
        </w:rPr>
        <w:t>.</w:t>
      </w:r>
    </w:p>
    <w:p w14:paraId="07043426" w14:textId="1C6743F9" w:rsidR="002614F3" w:rsidRPr="009F51ED" w:rsidRDefault="009E7216"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lastRenderedPageBreak/>
        <w:t>Entre los países cuyo acceso a ambos cereales se encuentra amenazado, y por lo que su seguridad alimentaria peligraría doblemente, encontraríamos a Turquía con un 77,7% y un 88,1% de sus importaciones de maíz y trigo respectivamente procedentes de Rusia o Ucrania</w:t>
      </w:r>
      <w:r w:rsidR="00E426A8" w:rsidRPr="009F51ED">
        <w:rPr>
          <w:rFonts w:asciiTheme="majorBidi" w:hAnsiTheme="majorBidi" w:cstheme="majorBidi"/>
          <w:sz w:val="24"/>
          <w:szCs w:val="24"/>
        </w:rPr>
        <w:t xml:space="preserve"> (FAOSTAT, 2022)</w:t>
      </w:r>
      <w:r w:rsidRPr="009F51ED">
        <w:rPr>
          <w:rFonts w:asciiTheme="majorBidi" w:hAnsiTheme="majorBidi" w:cstheme="majorBidi"/>
          <w:sz w:val="24"/>
          <w:szCs w:val="24"/>
        </w:rPr>
        <w:t xml:space="preserve">. </w:t>
      </w:r>
      <w:r w:rsidR="00993177" w:rsidRPr="009F51ED">
        <w:rPr>
          <w:rFonts w:asciiTheme="majorBidi" w:hAnsiTheme="majorBidi" w:cstheme="majorBidi"/>
          <w:sz w:val="24"/>
          <w:szCs w:val="24"/>
        </w:rPr>
        <w:t>Por otra parte, l</w:t>
      </w:r>
      <w:r w:rsidR="0038618C" w:rsidRPr="009F51ED">
        <w:rPr>
          <w:rFonts w:asciiTheme="majorBidi" w:hAnsiTheme="majorBidi" w:cstheme="majorBidi"/>
          <w:sz w:val="24"/>
          <w:szCs w:val="24"/>
        </w:rPr>
        <w:t xml:space="preserve">a guerra de Ucrania no sólo afecta a la capacidad de terceros países de adquirir el grano cultivado en Rusia y Ucrania, sino también a la capacidad de organizaciones de ayuda humanitaria: el Programa Mundial de Alimentos de las Naciones Unidas </w:t>
      </w:r>
      <w:r w:rsidR="00993177" w:rsidRPr="009F51ED">
        <w:rPr>
          <w:rFonts w:asciiTheme="majorBidi" w:hAnsiTheme="majorBidi" w:cstheme="majorBidi"/>
          <w:sz w:val="24"/>
          <w:szCs w:val="24"/>
        </w:rPr>
        <w:t>compraría</w:t>
      </w:r>
      <w:r w:rsidR="0038618C" w:rsidRPr="009F51ED">
        <w:rPr>
          <w:rFonts w:asciiTheme="majorBidi" w:hAnsiTheme="majorBidi" w:cstheme="majorBidi"/>
          <w:sz w:val="24"/>
          <w:szCs w:val="24"/>
        </w:rPr>
        <w:t xml:space="preserve"> el 50% de su grano a Ucrania</w:t>
      </w:r>
      <w:r w:rsidR="00B603D7" w:rsidRPr="009F51ED">
        <w:rPr>
          <w:rFonts w:asciiTheme="majorBidi" w:hAnsiTheme="majorBidi" w:cstheme="majorBidi"/>
          <w:sz w:val="24"/>
          <w:szCs w:val="24"/>
        </w:rPr>
        <w:t xml:space="preserve">, viéndose obligado a reducir el número de raciones que puede ofrecer </w:t>
      </w:r>
      <w:r w:rsidR="0038618C" w:rsidRPr="009F51ED">
        <w:rPr>
          <w:rFonts w:asciiTheme="majorBidi" w:hAnsiTheme="majorBidi" w:cstheme="majorBidi"/>
          <w:sz w:val="24"/>
          <w:szCs w:val="24"/>
        </w:rPr>
        <w:t>(</w:t>
      </w:r>
      <w:proofErr w:type="spellStart"/>
      <w:r w:rsidR="0038618C" w:rsidRPr="009F51ED">
        <w:rPr>
          <w:rFonts w:asciiTheme="majorBidi" w:hAnsiTheme="majorBidi" w:cstheme="majorBidi"/>
          <w:sz w:val="24"/>
          <w:szCs w:val="24"/>
        </w:rPr>
        <w:t>Behnassi</w:t>
      </w:r>
      <w:proofErr w:type="spellEnd"/>
      <w:r w:rsidR="0038618C" w:rsidRPr="009F51ED">
        <w:rPr>
          <w:rFonts w:asciiTheme="majorBidi" w:hAnsiTheme="majorBidi" w:cstheme="majorBidi"/>
          <w:sz w:val="24"/>
          <w:szCs w:val="24"/>
        </w:rPr>
        <w:t xml:space="preserve"> y El </w:t>
      </w:r>
      <w:proofErr w:type="spellStart"/>
      <w:r w:rsidR="0038618C" w:rsidRPr="009F51ED">
        <w:rPr>
          <w:rFonts w:asciiTheme="majorBidi" w:hAnsiTheme="majorBidi" w:cstheme="majorBidi"/>
          <w:sz w:val="24"/>
          <w:szCs w:val="24"/>
        </w:rPr>
        <w:t>Haiba</w:t>
      </w:r>
      <w:proofErr w:type="spellEnd"/>
      <w:r w:rsidR="0038618C" w:rsidRPr="009F51ED">
        <w:rPr>
          <w:rFonts w:asciiTheme="majorBidi" w:hAnsiTheme="majorBidi" w:cstheme="majorBidi"/>
          <w:sz w:val="24"/>
          <w:szCs w:val="24"/>
        </w:rPr>
        <w:t>, 2022).</w:t>
      </w:r>
      <w:r w:rsidR="0038618C" w:rsidRPr="009F51ED">
        <w:rPr>
          <w:rFonts w:asciiTheme="majorBidi" w:hAnsiTheme="majorBidi" w:cstheme="majorBidi"/>
          <w:i/>
          <w:iCs/>
          <w:sz w:val="24"/>
          <w:szCs w:val="24"/>
        </w:rPr>
        <w:t xml:space="preserve"> </w:t>
      </w:r>
    </w:p>
    <w:p w14:paraId="71B9B914" w14:textId="77777777" w:rsidR="00496ABD" w:rsidRPr="009F51ED" w:rsidRDefault="00496ABD" w:rsidP="009F51ED">
      <w:pPr>
        <w:spacing w:line="360" w:lineRule="auto"/>
        <w:ind w:firstLine="708"/>
        <w:jc w:val="both"/>
        <w:rPr>
          <w:rFonts w:asciiTheme="majorBidi" w:hAnsiTheme="majorBidi" w:cstheme="majorBidi"/>
          <w:sz w:val="24"/>
          <w:szCs w:val="24"/>
        </w:rPr>
      </w:pPr>
    </w:p>
    <w:p w14:paraId="5A1B4408" w14:textId="77777777" w:rsidR="00DE4C42" w:rsidRPr="009F51ED" w:rsidRDefault="00DE4C42" w:rsidP="009F51ED">
      <w:pPr>
        <w:pStyle w:val="Ttulo2"/>
        <w:numPr>
          <w:ilvl w:val="1"/>
          <w:numId w:val="5"/>
        </w:numPr>
        <w:spacing w:after="240" w:line="360" w:lineRule="auto"/>
        <w:jc w:val="both"/>
        <w:rPr>
          <w:rFonts w:asciiTheme="majorBidi" w:hAnsiTheme="majorBidi"/>
          <w:b/>
          <w:bCs/>
          <w:color w:val="auto"/>
          <w:sz w:val="24"/>
          <w:szCs w:val="24"/>
        </w:rPr>
      </w:pPr>
      <w:bookmarkStart w:id="60" w:name="_Toc136279211"/>
      <w:bookmarkStart w:id="61" w:name="_Toc137228792"/>
      <w:bookmarkStart w:id="62" w:name="_Toc137456621"/>
      <w:r w:rsidRPr="009F51ED">
        <w:rPr>
          <w:rFonts w:asciiTheme="majorBidi" w:hAnsiTheme="majorBidi"/>
          <w:b/>
          <w:bCs/>
          <w:color w:val="auto"/>
          <w:sz w:val="24"/>
          <w:szCs w:val="24"/>
        </w:rPr>
        <w:t xml:space="preserve">La Iniciativa de Granos del Mar Negro: análisis de su impacto en los </w:t>
      </w:r>
      <w:bookmarkEnd w:id="60"/>
      <w:r w:rsidRPr="009F51ED">
        <w:rPr>
          <w:rFonts w:asciiTheme="majorBidi" w:hAnsiTheme="majorBidi"/>
          <w:b/>
          <w:bCs/>
          <w:color w:val="auto"/>
          <w:sz w:val="24"/>
          <w:szCs w:val="24"/>
        </w:rPr>
        <w:t>volúmenes exportados y los precios del maíz y el trigo</w:t>
      </w:r>
      <w:bookmarkEnd w:id="61"/>
      <w:bookmarkEnd w:id="62"/>
    </w:p>
    <w:p w14:paraId="68888955" w14:textId="7E054CF6" w:rsidR="00183176" w:rsidRPr="009F51ED" w:rsidRDefault="00183176"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A la vista de los efectos que la guerra de Ucrania estaba teniendo en la disponibilidad y accesibilidad del comercio internacional al grano de Rusia y Ucrania, y de la especialmente complicada situación de países con sociedades y economías frágiles y vulnerables, y aludiendo a una voluntad humanitaria, la ONU, Rusia, Turquía y Ucrania lanzaron la Iniciativa de Granos del Mar Negro. Se trata de una serie de acuerdos independientes que Ucrania y Rusia firmaron e</w:t>
      </w:r>
      <w:r w:rsidR="00380B88" w:rsidRPr="009F51ED">
        <w:rPr>
          <w:rFonts w:asciiTheme="majorBidi" w:hAnsiTheme="majorBidi" w:cstheme="majorBidi"/>
          <w:sz w:val="24"/>
          <w:szCs w:val="24"/>
        </w:rPr>
        <w:t xml:space="preserve">l 22 de </w:t>
      </w:r>
      <w:r w:rsidRPr="009F51ED">
        <w:rPr>
          <w:rFonts w:asciiTheme="majorBidi" w:hAnsiTheme="majorBidi" w:cstheme="majorBidi"/>
          <w:sz w:val="24"/>
          <w:szCs w:val="24"/>
        </w:rPr>
        <w:t xml:space="preserve">julio de 2022 con la ONU y gracias a la mediación de Turquía para el restablecimiento del pasaje seguro de los cargueros que salían de los puertos ucranianos de Odesa, </w:t>
      </w:r>
      <w:proofErr w:type="spellStart"/>
      <w:r w:rsidRPr="009F51ED">
        <w:rPr>
          <w:rFonts w:asciiTheme="majorBidi" w:hAnsiTheme="majorBidi" w:cstheme="majorBidi"/>
          <w:sz w:val="24"/>
          <w:szCs w:val="24"/>
        </w:rPr>
        <w:t>Chornomorsk</w:t>
      </w:r>
      <w:proofErr w:type="spellEnd"/>
      <w:r w:rsidRPr="009F51ED">
        <w:rPr>
          <w:rFonts w:asciiTheme="majorBidi" w:hAnsiTheme="majorBidi" w:cstheme="majorBidi"/>
          <w:sz w:val="24"/>
          <w:szCs w:val="24"/>
        </w:rPr>
        <w:t xml:space="preserve"> y </w:t>
      </w:r>
      <w:proofErr w:type="spellStart"/>
      <w:r w:rsidRPr="009F51ED">
        <w:rPr>
          <w:rFonts w:asciiTheme="majorBidi" w:hAnsiTheme="majorBidi" w:cstheme="majorBidi"/>
          <w:sz w:val="24"/>
          <w:szCs w:val="24"/>
        </w:rPr>
        <w:t>Pivdennyi</w:t>
      </w:r>
      <w:proofErr w:type="spellEnd"/>
      <w:r w:rsidRPr="009F51ED">
        <w:rPr>
          <w:rFonts w:asciiTheme="majorBidi" w:hAnsiTheme="majorBidi" w:cstheme="majorBidi"/>
          <w:sz w:val="24"/>
          <w:szCs w:val="24"/>
        </w:rPr>
        <w:t>. El acuerdo sería válido por 120 días desde su firma, y podría renovarse por el mismo periodo de tiempo</w:t>
      </w:r>
      <w:r w:rsidR="001C6ED4" w:rsidRPr="009F51ED">
        <w:rPr>
          <w:rFonts w:asciiTheme="majorBidi" w:hAnsiTheme="majorBidi" w:cstheme="majorBidi"/>
          <w:sz w:val="24"/>
          <w:szCs w:val="24"/>
        </w:rPr>
        <w:t xml:space="preserve"> (FAO, 2022c; </w:t>
      </w:r>
      <w:proofErr w:type="spellStart"/>
      <w:r w:rsidR="001C6ED4" w:rsidRPr="009F51ED">
        <w:rPr>
          <w:rFonts w:asciiTheme="majorBidi" w:hAnsiTheme="majorBidi" w:cstheme="majorBidi"/>
          <w:sz w:val="24"/>
          <w:szCs w:val="24"/>
        </w:rPr>
        <w:t>Jorgenden</w:t>
      </w:r>
      <w:proofErr w:type="spellEnd"/>
      <w:r w:rsidR="001C6ED4" w:rsidRPr="009F51ED">
        <w:rPr>
          <w:rFonts w:asciiTheme="majorBidi" w:hAnsiTheme="majorBidi" w:cstheme="majorBidi"/>
          <w:sz w:val="24"/>
          <w:szCs w:val="24"/>
        </w:rPr>
        <w:t xml:space="preserve"> y </w:t>
      </w:r>
      <w:proofErr w:type="spellStart"/>
      <w:r w:rsidR="001C6ED4" w:rsidRPr="009F51ED">
        <w:rPr>
          <w:rFonts w:asciiTheme="majorBidi" w:hAnsiTheme="majorBidi" w:cstheme="majorBidi"/>
          <w:sz w:val="24"/>
          <w:szCs w:val="24"/>
        </w:rPr>
        <w:t>Vicol</w:t>
      </w:r>
      <w:proofErr w:type="spellEnd"/>
      <w:r w:rsidR="001C6ED4" w:rsidRPr="009F51ED">
        <w:rPr>
          <w:rFonts w:asciiTheme="majorBidi" w:hAnsiTheme="majorBidi" w:cstheme="majorBidi"/>
          <w:sz w:val="24"/>
          <w:szCs w:val="24"/>
        </w:rPr>
        <w:t>, 2022</w:t>
      </w:r>
      <w:r w:rsidR="00380B88" w:rsidRPr="009F51ED">
        <w:rPr>
          <w:rFonts w:asciiTheme="majorBidi" w:hAnsiTheme="majorBidi" w:cstheme="majorBidi"/>
          <w:sz w:val="24"/>
          <w:szCs w:val="24"/>
        </w:rPr>
        <w:t>; Naya, 2022</w:t>
      </w:r>
      <w:r w:rsidR="001C6ED4" w:rsidRPr="009F51ED">
        <w:rPr>
          <w:rFonts w:asciiTheme="majorBidi" w:hAnsiTheme="majorBidi" w:cstheme="majorBidi"/>
          <w:sz w:val="24"/>
          <w:szCs w:val="24"/>
        </w:rPr>
        <w:t>)</w:t>
      </w:r>
      <w:r w:rsidRPr="009F51ED">
        <w:rPr>
          <w:rFonts w:asciiTheme="majorBidi" w:hAnsiTheme="majorBidi" w:cstheme="majorBidi"/>
          <w:sz w:val="24"/>
          <w:szCs w:val="24"/>
        </w:rPr>
        <w:t xml:space="preserve">. </w:t>
      </w:r>
    </w:p>
    <w:p w14:paraId="5E7D0A36" w14:textId="0870A183" w:rsidR="00444BE8" w:rsidRPr="009F51ED" w:rsidRDefault="00EF3AE2"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La Iniciativa establecía la creación de un Centro de Coordinación Conjunta</w:t>
      </w:r>
      <w:r w:rsidR="005A1A9D" w:rsidRPr="009F51ED">
        <w:rPr>
          <w:rFonts w:asciiTheme="majorBidi" w:hAnsiTheme="majorBidi" w:cstheme="majorBidi"/>
          <w:sz w:val="24"/>
          <w:szCs w:val="24"/>
        </w:rPr>
        <w:t>, establecido en Turquía pero con representación de las cuatro partes firmantes,</w:t>
      </w:r>
      <w:r w:rsidRPr="009F51ED">
        <w:rPr>
          <w:rFonts w:asciiTheme="majorBidi" w:hAnsiTheme="majorBidi" w:cstheme="majorBidi"/>
          <w:sz w:val="24"/>
          <w:szCs w:val="24"/>
        </w:rPr>
        <w:t xml:space="preserve"> para la protección de una ruta a seguir por los barcos ucranianos cargados de grano</w:t>
      </w:r>
      <w:r w:rsidR="00590074" w:rsidRPr="009F51ED">
        <w:rPr>
          <w:rFonts w:asciiTheme="majorBidi" w:hAnsiTheme="majorBidi" w:cstheme="majorBidi"/>
          <w:sz w:val="24"/>
          <w:szCs w:val="24"/>
        </w:rPr>
        <w:t>, otros productos alimenticios e insumos agrícolas como fertilizantes</w:t>
      </w:r>
      <w:r w:rsidRPr="009F51ED">
        <w:rPr>
          <w:rFonts w:asciiTheme="majorBidi" w:hAnsiTheme="majorBidi" w:cstheme="majorBidi"/>
          <w:sz w:val="24"/>
          <w:szCs w:val="24"/>
        </w:rPr>
        <w:t xml:space="preserve"> entre los puertos mencionados y Turquía, a través de aguas internacionales y del estrecho del Bósforo</w:t>
      </w:r>
      <w:r w:rsidR="00590074" w:rsidRPr="009F51ED">
        <w:rPr>
          <w:rFonts w:asciiTheme="majorBidi" w:hAnsiTheme="majorBidi" w:cstheme="majorBidi"/>
          <w:sz w:val="24"/>
          <w:szCs w:val="24"/>
        </w:rPr>
        <w:t xml:space="preserve"> mientras evitan zonas minadas</w:t>
      </w:r>
      <w:r w:rsidRPr="009F51ED">
        <w:rPr>
          <w:rFonts w:asciiTheme="majorBidi" w:hAnsiTheme="majorBidi" w:cstheme="majorBidi"/>
          <w:sz w:val="24"/>
          <w:szCs w:val="24"/>
        </w:rPr>
        <w:t>. El primer carguero en partir tras la firma de estos acuerdos lo hizo el día 1 de agosto de 2022 desde el puerto de Odesa, y cargado con 26,5 toneladas de maíz</w:t>
      </w:r>
      <w:r w:rsidR="00590074" w:rsidRPr="009F51ED">
        <w:rPr>
          <w:rFonts w:asciiTheme="majorBidi" w:hAnsiTheme="majorBidi" w:cstheme="majorBidi"/>
          <w:sz w:val="24"/>
          <w:szCs w:val="24"/>
        </w:rPr>
        <w:t xml:space="preserve">. Desde la firma del acuerdo hasta el día 17 de noviembre de 2022 más de 11 millones de toneladas de cereales y alimentos, cargados en un 470 trayectos entrantes a Ucrania y 471 salientes, han podido ser exportados </w:t>
      </w:r>
      <w:r w:rsidR="00444BE8" w:rsidRPr="009F51ED">
        <w:rPr>
          <w:rFonts w:asciiTheme="majorBidi" w:hAnsiTheme="majorBidi" w:cstheme="majorBidi"/>
          <w:sz w:val="24"/>
          <w:szCs w:val="24"/>
        </w:rPr>
        <w:t xml:space="preserve"> (</w:t>
      </w:r>
      <w:proofErr w:type="spellStart"/>
      <w:r w:rsidR="00444BE8" w:rsidRPr="009F51ED">
        <w:rPr>
          <w:rFonts w:asciiTheme="majorBidi" w:hAnsiTheme="majorBidi" w:cstheme="majorBidi"/>
          <w:sz w:val="24"/>
          <w:szCs w:val="24"/>
        </w:rPr>
        <w:t>Caprile</w:t>
      </w:r>
      <w:proofErr w:type="spellEnd"/>
      <w:r w:rsidR="00444BE8" w:rsidRPr="009F51ED">
        <w:rPr>
          <w:rFonts w:asciiTheme="majorBidi" w:hAnsiTheme="majorBidi" w:cstheme="majorBidi"/>
          <w:sz w:val="24"/>
          <w:szCs w:val="24"/>
        </w:rPr>
        <w:t xml:space="preserve"> </w:t>
      </w:r>
      <w:r w:rsidR="00444BE8" w:rsidRPr="009F51ED">
        <w:rPr>
          <w:rFonts w:asciiTheme="majorBidi" w:hAnsiTheme="majorBidi" w:cstheme="majorBidi"/>
          <w:i/>
          <w:iCs/>
          <w:sz w:val="24"/>
          <w:szCs w:val="24"/>
        </w:rPr>
        <w:t>et al.</w:t>
      </w:r>
      <w:r w:rsidR="00444BE8" w:rsidRPr="009F51ED">
        <w:rPr>
          <w:rFonts w:asciiTheme="majorBidi" w:hAnsiTheme="majorBidi" w:cstheme="majorBidi"/>
          <w:sz w:val="24"/>
          <w:szCs w:val="24"/>
        </w:rPr>
        <w:t xml:space="preserve">, 2022; </w:t>
      </w:r>
      <w:proofErr w:type="spellStart"/>
      <w:r w:rsidR="00444BE8" w:rsidRPr="009F51ED">
        <w:rPr>
          <w:rFonts w:asciiTheme="majorBidi" w:hAnsiTheme="majorBidi" w:cstheme="majorBidi"/>
          <w:sz w:val="24"/>
          <w:szCs w:val="24"/>
        </w:rPr>
        <w:t>Jorgenden</w:t>
      </w:r>
      <w:proofErr w:type="spellEnd"/>
      <w:r w:rsidR="00444BE8" w:rsidRPr="009F51ED">
        <w:rPr>
          <w:rFonts w:asciiTheme="majorBidi" w:hAnsiTheme="majorBidi" w:cstheme="majorBidi"/>
          <w:sz w:val="24"/>
          <w:szCs w:val="24"/>
        </w:rPr>
        <w:t xml:space="preserve"> y </w:t>
      </w:r>
      <w:proofErr w:type="spellStart"/>
      <w:r w:rsidR="00444BE8" w:rsidRPr="009F51ED">
        <w:rPr>
          <w:rFonts w:asciiTheme="majorBidi" w:hAnsiTheme="majorBidi" w:cstheme="majorBidi"/>
          <w:sz w:val="24"/>
          <w:szCs w:val="24"/>
        </w:rPr>
        <w:t>Vicol</w:t>
      </w:r>
      <w:proofErr w:type="spellEnd"/>
      <w:r w:rsidR="00444BE8" w:rsidRPr="009F51ED">
        <w:rPr>
          <w:rFonts w:asciiTheme="majorBidi" w:hAnsiTheme="majorBidi" w:cstheme="majorBidi"/>
          <w:sz w:val="24"/>
          <w:szCs w:val="24"/>
        </w:rPr>
        <w:t>, 2022).</w:t>
      </w:r>
    </w:p>
    <w:p w14:paraId="3D349638" w14:textId="0EBFCA34" w:rsidR="00EF3AE2" w:rsidRPr="009F51ED" w:rsidRDefault="00EF3AE2"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lastRenderedPageBreak/>
        <w:t xml:space="preserve">A pesar de ser pregonada como un hito </w:t>
      </w:r>
      <w:r w:rsidR="00D57849" w:rsidRPr="009F51ED">
        <w:rPr>
          <w:rFonts w:asciiTheme="majorBidi" w:hAnsiTheme="majorBidi" w:cstheme="majorBidi"/>
          <w:sz w:val="24"/>
          <w:szCs w:val="24"/>
        </w:rPr>
        <w:t>de la cooperación internacional y publicitada como una medida de vital importancia para la lucha contra el hambre en regiones como por ejemplo el Cuerno de África, el 61% del grano exportado en 2022 bajo la Iniciativa tuvo como destino Europa, el 26% llegó a Asia y apenas el 13% fue transportado a África. España y Turquía fueron los países que más toneladas de grano, maíz y trigo respectivamente, recibieron como resultado del éxito de la Iniciativa</w:t>
      </w:r>
      <w:r w:rsidR="00380B88" w:rsidRPr="009F51ED">
        <w:rPr>
          <w:rFonts w:asciiTheme="majorBidi" w:hAnsiTheme="majorBidi" w:cstheme="majorBidi"/>
          <w:sz w:val="24"/>
          <w:szCs w:val="24"/>
        </w:rPr>
        <w:t>, junto con Italia, China y Países Bajos</w:t>
      </w:r>
      <w:r w:rsidR="00CA2012" w:rsidRPr="009F51ED">
        <w:rPr>
          <w:rFonts w:asciiTheme="majorBidi" w:hAnsiTheme="majorBidi" w:cstheme="majorBidi"/>
          <w:sz w:val="24"/>
          <w:szCs w:val="24"/>
        </w:rPr>
        <w:t xml:space="preserve"> (</w:t>
      </w:r>
      <w:proofErr w:type="spellStart"/>
      <w:r w:rsidR="00CA2012" w:rsidRPr="009F51ED">
        <w:rPr>
          <w:rFonts w:asciiTheme="majorBidi" w:hAnsiTheme="majorBidi" w:cstheme="majorBidi"/>
          <w:sz w:val="24"/>
          <w:szCs w:val="24"/>
        </w:rPr>
        <w:t>Jorgenden</w:t>
      </w:r>
      <w:proofErr w:type="spellEnd"/>
      <w:r w:rsidR="00CA2012" w:rsidRPr="009F51ED">
        <w:rPr>
          <w:rFonts w:asciiTheme="majorBidi" w:hAnsiTheme="majorBidi" w:cstheme="majorBidi"/>
          <w:sz w:val="24"/>
          <w:szCs w:val="24"/>
        </w:rPr>
        <w:t xml:space="preserve"> y </w:t>
      </w:r>
      <w:proofErr w:type="spellStart"/>
      <w:r w:rsidR="00CA2012" w:rsidRPr="009F51ED">
        <w:rPr>
          <w:rFonts w:asciiTheme="majorBidi" w:hAnsiTheme="majorBidi" w:cstheme="majorBidi"/>
          <w:sz w:val="24"/>
          <w:szCs w:val="24"/>
        </w:rPr>
        <w:t>Vicol</w:t>
      </w:r>
      <w:proofErr w:type="spellEnd"/>
      <w:r w:rsidR="00CA2012" w:rsidRPr="009F51ED">
        <w:rPr>
          <w:rFonts w:asciiTheme="majorBidi" w:hAnsiTheme="majorBidi" w:cstheme="majorBidi"/>
          <w:sz w:val="24"/>
          <w:szCs w:val="24"/>
        </w:rPr>
        <w:t>, 2022).</w:t>
      </w:r>
    </w:p>
    <w:p w14:paraId="65EE01D9" w14:textId="02B31562" w:rsidR="00436471" w:rsidRPr="009F51ED" w:rsidRDefault="0098440D" w:rsidP="009F51ED">
      <w:pPr>
        <w:spacing w:line="360" w:lineRule="auto"/>
        <w:jc w:val="both"/>
        <w:rPr>
          <w:rFonts w:asciiTheme="majorBidi" w:hAnsiTheme="majorBidi" w:cstheme="majorBidi"/>
          <w:sz w:val="24"/>
          <w:szCs w:val="24"/>
        </w:rPr>
      </w:pPr>
      <w:r w:rsidRPr="009F51ED">
        <w:rPr>
          <w:rFonts w:asciiTheme="majorBidi" w:hAnsiTheme="majorBidi" w:cstheme="majorBidi"/>
          <w:sz w:val="24"/>
          <w:szCs w:val="24"/>
        </w:rPr>
        <w:tab/>
        <w:t>Aunque fueron países desarrollados los principales beneficiados por la recuperación del tráfico marítimo en términos de toneladas de grano recibidas, se podría afirmar que los principales beneficiados en términos económicos fueron países del norte de África y de Oriente Medio.</w:t>
      </w:r>
      <w:r w:rsidR="00A61722" w:rsidRPr="009F51ED">
        <w:rPr>
          <w:rFonts w:asciiTheme="majorBidi" w:hAnsiTheme="majorBidi" w:cstheme="majorBidi"/>
          <w:sz w:val="24"/>
          <w:szCs w:val="24"/>
        </w:rPr>
        <w:t xml:space="preserve"> </w:t>
      </w:r>
      <w:proofErr w:type="spellStart"/>
      <w:r w:rsidR="00A61722" w:rsidRPr="009F51ED">
        <w:rPr>
          <w:rFonts w:asciiTheme="majorBidi" w:hAnsiTheme="majorBidi" w:cstheme="majorBidi"/>
          <w:sz w:val="24"/>
          <w:szCs w:val="24"/>
        </w:rPr>
        <w:t>Poursina</w:t>
      </w:r>
      <w:proofErr w:type="spellEnd"/>
      <w:r w:rsidR="00A61722" w:rsidRPr="009F51ED">
        <w:rPr>
          <w:rFonts w:asciiTheme="majorBidi" w:hAnsiTheme="majorBidi" w:cstheme="majorBidi"/>
          <w:sz w:val="24"/>
          <w:szCs w:val="24"/>
        </w:rPr>
        <w:t xml:space="preserve"> </w:t>
      </w:r>
      <w:r w:rsidR="00A61722" w:rsidRPr="009F51ED">
        <w:rPr>
          <w:rFonts w:asciiTheme="majorBidi" w:hAnsiTheme="majorBidi" w:cstheme="majorBidi"/>
          <w:i/>
          <w:iCs/>
          <w:sz w:val="24"/>
          <w:szCs w:val="24"/>
        </w:rPr>
        <w:t>et al.</w:t>
      </w:r>
      <w:r w:rsidR="00A61722" w:rsidRPr="009F51ED">
        <w:rPr>
          <w:rFonts w:asciiTheme="majorBidi" w:hAnsiTheme="majorBidi" w:cstheme="majorBidi"/>
          <w:sz w:val="24"/>
          <w:szCs w:val="24"/>
        </w:rPr>
        <w:t xml:space="preserve"> (2023) calcularon que el coste económico de la invasión rusa se cifraba en </w:t>
      </w:r>
      <w:r w:rsidR="00642B51" w:rsidRPr="009F51ED">
        <w:rPr>
          <w:rFonts w:asciiTheme="majorBidi" w:hAnsiTheme="majorBidi" w:cstheme="majorBidi"/>
          <w:sz w:val="24"/>
          <w:szCs w:val="24"/>
        </w:rPr>
        <w:t xml:space="preserve">unos 78 mil millones de </w:t>
      </w:r>
      <w:r w:rsidR="00291CCB" w:rsidRPr="009F51ED">
        <w:rPr>
          <w:rFonts w:asciiTheme="majorBidi" w:hAnsiTheme="majorBidi" w:cstheme="majorBidi"/>
          <w:sz w:val="24"/>
          <w:szCs w:val="24"/>
        </w:rPr>
        <w:t>dólares estadounidenses (</w:t>
      </w:r>
      <w:r w:rsidR="00642B51" w:rsidRPr="009F51ED">
        <w:rPr>
          <w:rFonts w:asciiTheme="majorBidi" w:hAnsiTheme="majorBidi" w:cstheme="majorBidi"/>
          <w:sz w:val="24"/>
          <w:szCs w:val="24"/>
        </w:rPr>
        <w:t>USD</w:t>
      </w:r>
      <w:r w:rsidR="00291CCB" w:rsidRPr="009F51ED">
        <w:rPr>
          <w:rFonts w:asciiTheme="majorBidi" w:hAnsiTheme="majorBidi" w:cstheme="majorBidi"/>
          <w:sz w:val="24"/>
          <w:szCs w:val="24"/>
        </w:rPr>
        <w:t xml:space="preserve">) </w:t>
      </w:r>
      <w:r w:rsidR="00642B51" w:rsidRPr="009F51ED">
        <w:rPr>
          <w:rFonts w:asciiTheme="majorBidi" w:hAnsiTheme="majorBidi" w:cstheme="majorBidi"/>
          <w:sz w:val="24"/>
          <w:szCs w:val="24"/>
        </w:rPr>
        <w:t xml:space="preserve">en el mercado </w:t>
      </w:r>
      <w:r w:rsidR="00347D32" w:rsidRPr="009F51ED">
        <w:rPr>
          <w:rFonts w:asciiTheme="majorBidi" w:hAnsiTheme="majorBidi" w:cstheme="majorBidi"/>
          <w:sz w:val="24"/>
          <w:szCs w:val="24"/>
        </w:rPr>
        <w:t xml:space="preserve">internacional </w:t>
      </w:r>
      <w:r w:rsidR="00642B51" w:rsidRPr="009F51ED">
        <w:rPr>
          <w:rFonts w:asciiTheme="majorBidi" w:hAnsiTheme="majorBidi" w:cstheme="majorBidi"/>
          <w:sz w:val="24"/>
          <w:szCs w:val="24"/>
        </w:rPr>
        <w:t>del trigo y en unos 37 mil millones de USD en el del maíz. De este</w:t>
      </w:r>
      <w:r w:rsidR="00347D32" w:rsidRPr="009F51ED">
        <w:rPr>
          <w:rFonts w:asciiTheme="majorBidi" w:hAnsiTheme="majorBidi" w:cstheme="majorBidi"/>
          <w:sz w:val="24"/>
          <w:szCs w:val="24"/>
        </w:rPr>
        <w:t xml:space="preserve"> primer impacto en el precio del grano</w:t>
      </w:r>
      <w:r w:rsidR="00642B51" w:rsidRPr="009F51ED">
        <w:rPr>
          <w:rFonts w:asciiTheme="majorBidi" w:hAnsiTheme="majorBidi" w:cstheme="majorBidi"/>
          <w:sz w:val="24"/>
          <w:szCs w:val="24"/>
        </w:rPr>
        <w:t>, argumentan los autores, la Iniciativa de Granos del Mar Negro dedujo unos 21 mil millones de USD</w:t>
      </w:r>
      <w:r w:rsidR="007B7693" w:rsidRPr="009F51ED">
        <w:rPr>
          <w:rFonts w:asciiTheme="majorBidi" w:hAnsiTheme="majorBidi" w:cstheme="majorBidi"/>
          <w:sz w:val="24"/>
          <w:szCs w:val="24"/>
        </w:rPr>
        <w:t xml:space="preserve"> (una reducción del 7,9%)</w:t>
      </w:r>
      <w:r w:rsidR="00642B51" w:rsidRPr="009F51ED">
        <w:rPr>
          <w:rFonts w:asciiTheme="majorBidi" w:hAnsiTheme="majorBidi" w:cstheme="majorBidi"/>
          <w:sz w:val="24"/>
          <w:szCs w:val="24"/>
        </w:rPr>
        <w:t xml:space="preserve">, mientras que no apreciaron impactos significativos en </w:t>
      </w:r>
      <w:r w:rsidR="00347D32" w:rsidRPr="009F51ED">
        <w:rPr>
          <w:rFonts w:asciiTheme="majorBidi" w:hAnsiTheme="majorBidi" w:cstheme="majorBidi"/>
          <w:sz w:val="24"/>
          <w:szCs w:val="24"/>
        </w:rPr>
        <w:t>el mercado del maíz.</w:t>
      </w:r>
    </w:p>
    <w:p w14:paraId="0C341BA6" w14:textId="02F6F64D" w:rsidR="00E90971" w:rsidRPr="009F51ED" w:rsidRDefault="00E90971" w:rsidP="009F51ED">
      <w:pPr>
        <w:spacing w:line="360" w:lineRule="auto"/>
        <w:jc w:val="both"/>
        <w:rPr>
          <w:rFonts w:asciiTheme="majorBidi" w:hAnsiTheme="majorBidi" w:cstheme="majorBidi"/>
          <w:sz w:val="24"/>
          <w:szCs w:val="24"/>
        </w:rPr>
      </w:pPr>
      <w:r w:rsidRPr="009F51ED">
        <w:rPr>
          <w:rFonts w:asciiTheme="majorBidi" w:hAnsiTheme="majorBidi" w:cstheme="majorBidi"/>
          <w:sz w:val="24"/>
          <w:szCs w:val="24"/>
        </w:rPr>
        <w:tab/>
        <w:t>De no haberse formalizado el acuerdo, y aun habiendo sido aplicado para apenas los dos últimos meses de la campaña agrícola de 2021</w:t>
      </w:r>
      <w:r w:rsidR="0012438E" w:rsidRPr="009F51ED">
        <w:rPr>
          <w:rFonts w:asciiTheme="majorBidi" w:hAnsiTheme="majorBidi" w:cstheme="majorBidi"/>
          <w:sz w:val="24"/>
          <w:szCs w:val="24"/>
        </w:rPr>
        <w:t>/</w:t>
      </w:r>
      <w:r w:rsidRPr="009F51ED">
        <w:rPr>
          <w:rFonts w:asciiTheme="majorBidi" w:hAnsiTheme="majorBidi" w:cstheme="majorBidi"/>
          <w:sz w:val="24"/>
          <w:szCs w:val="24"/>
        </w:rPr>
        <w:t>2022, se estima que el aumento de precios</w:t>
      </w:r>
      <w:r w:rsidR="00F07BC6" w:rsidRPr="009F51ED">
        <w:rPr>
          <w:rFonts w:asciiTheme="majorBidi" w:hAnsiTheme="majorBidi" w:cstheme="majorBidi"/>
          <w:sz w:val="24"/>
          <w:szCs w:val="24"/>
        </w:rPr>
        <w:t xml:space="preserve"> en el mercado internacional</w:t>
      </w:r>
      <w:r w:rsidRPr="009F51ED">
        <w:rPr>
          <w:rFonts w:asciiTheme="majorBidi" w:hAnsiTheme="majorBidi" w:cstheme="majorBidi"/>
          <w:sz w:val="24"/>
          <w:szCs w:val="24"/>
        </w:rPr>
        <w:t xml:space="preserve"> hubiera sido de un </w:t>
      </w:r>
      <w:r w:rsidR="00F07BC6" w:rsidRPr="009F51ED">
        <w:rPr>
          <w:rFonts w:asciiTheme="majorBidi" w:hAnsiTheme="majorBidi" w:cstheme="majorBidi"/>
          <w:sz w:val="24"/>
          <w:szCs w:val="24"/>
        </w:rPr>
        <w:t xml:space="preserve">1 a 1,5% para el maíz </w:t>
      </w:r>
      <w:r w:rsidRPr="009F51ED">
        <w:rPr>
          <w:rFonts w:asciiTheme="majorBidi" w:hAnsiTheme="majorBidi" w:cstheme="majorBidi"/>
          <w:sz w:val="24"/>
          <w:szCs w:val="24"/>
        </w:rPr>
        <w:t>y de un</w:t>
      </w:r>
      <w:r w:rsidR="00F07BC6" w:rsidRPr="009F51ED">
        <w:rPr>
          <w:rFonts w:asciiTheme="majorBidi" w:hAnsiTheme="majorBidi" w:cstheme="majorBidi"/>
          <w:sz w:val="24"/>
          <w:szCs w:val="24"/>
        </w:rPr>
        <w:t xml:space="preserve"> 0,5 a 1% para el trigo</w:t>
      </w:r>
      <w:r w:rsidRPr="009F51ED">
        <w:rPr>
          <w:rFonts w:asciiTheme="majorBidi" w:hAnsiTheme="majorBidi" w:cstheme="majorBidi"/>
          <w:sz w:val="24"/>
          <w:szCs w:val="24"/>
        </w:rPr>
        <w:t>.</w:t>
      </w:r>
      <w:r w:rsidR="00F07BC6" w:rsidRPr="009F51ED">
        <w:rPr>
          <w:rFonts w:asciiTheme="majorBidi" w:hAnsiTheme="majorBidi" w:cstheme="majorBidi"/>
          <w:sz w:val="24"/>
          <w:szCs w:val="24"/>
        </w:rPr>
        <w:t xml:space="preserve"> En caso de no haberse adoptado la Iniciativa, este impacto alcanzaría entre el 10 al 14% en el del maíz y el 3 y 5% en el caso del trigo, asumiendo que el acuerdo estuviera operativo toda la campaña del 2022</w:t>
      </w:r>
      <w:r w:rsidR="0012438E" w:rsidRPr="009F51ED">
        <w:rPr>
          <w:rFonts w:asciiTheme="majorBidi" w:hAnsiTheme="majorBidi" w:cstheme="majorBidi"/>
          <w:sz w:val="24"/>
          <w:szCs w:val="24"/>
        </w:rPr>
        <w:t>/</w:t>
      </w:r>
      <w:r w:rsidR="00F07BC6" w:rsidRPr="009F51ED">
        <w:rPr>
          <w:rFonts w:asciiTheme="majorBidi" w:hAnsiTheme="majorBidi" w:cstheme="majorBidi"/>
          <w:sz w:val="24"/>
          <w:szCs w:val="24"/>
        </w:rPr>
        <w:t xml:space="preserve">2023. La apreciable diferencia en el impacto que la Iniciativa tendría sobre los precios de ambos granos se debería a que, por una parte, los volúmenes de maíz exportados a través del </w:t>
      </w:r>
      <w:r w:rsidR="004257E9" w:rsidRPr="009F51ED">
        <w:rPr>
          <w:rFonts w:asciiTheme="majorBidi" w:hAnsiTheme="majorBidi" w:cstheme="majorBidi"/>
          <w:sz w:val="24"/>
          <w:szCs w:val="24"/>
        </w:rPr>
        <w:t>m</w:t>
      </w:r>
      <w:r w:rsidR="00F07BC6" w:rsidRPr="009F51ED">
        <w:rPr>
          <w:rFonts w:asciiTheme="majorBidi" w:hAnsiTheme="majorBidi" w:cstheme="majorBidi"/>
          <w:sz w:val="24"/>
          <w:szCs w:val="24"/>
        </w:rPr>
        <w:t>ar Negro son el doble que los de trigo, y por otra parte, que estas exportaciones serían más relevantes en la oferta global del cereal debido a unas relativamente escasas cosechas en América del Norte y el resto de Europa</w:t>
      </w:r>
      <w:r w:rsidR="004B65F9" w:rsidRPr="009F51ED">
        <w:rPr>
          <w:rFonts w:asciiTheme="majorBidi" w:hAnsiTheme="majorBidi" w:cstheme="majorBidi"/>
          <w:sz w:val="24"/>
          <w:szCs w:val="24"/>
        </w:rPr>
        <w:t xml:space="preserve"> (Gilbert, 2023)</w:t>
      </w:r>
      <w:r w:rsidR="00F07BC6" w:rsidRPr="009F51ED">
        <w:rPr>
          <w:rFonts w:asciiTheme="majorBidi" w:hAnsiTheme="majorBidi" w:cstheme="majorBidi"/>
          <w:sz w:val="24"/>
          <w:szCs w:val="24"/>
        </w:rPr>
        <w:t xml:space="preserve">. </w:t>
      </w:r>
    </w:p>
    <w:p w14:paraId="15422E6A" w14:textId="40C2848A" w:rsidR="006B0944" w:rsidRPr="009F51ED" w:rsidRDefault="00E90971" w:rsidP="009F51ED">
      <w:pPr>
        <w:spacing w:line="360" w:lineRule="auto"/>
        <w:jc w:val="both"/>
        <w:rPr>
          <w:rFonts w:asciiTheme="majorBidi" w:hAnsiTheme="majorBidi" w:cstheme="majorBidi"/>
          <w:sz w:val="24"/>
          <w:szCs w:val="24"/>
        </w:rPr>
      </w:pPr>
      <w:r w:rsidRPr="009F51ED">
        <w:rPr>
          <w:rFonts w:asciiTheme="majorBidi" w:hAnsiTheme="majorBidi" w:cstheme="majorBidi"/>
          <w:sz w:val="24"/>
          <w:szCs w:val="24"/>
        </w:rPr>
        <w:tab/>
      </w:r>
      <w:r w:rsidR="00F07BC6" w:rsidRPr="009F51ED">
        <w:rPr>
          <w:rFonts w:asciiTheme="majorBidi" w:hAnsiTheme="majorBidi" w:cstheme="majorBidi"/>
          <w:sz w:val="24"/>
          <w:szCs w:val="24"/>
        </w:rPr>
        <w:t>La Iniciativa de Granos del Mar Negro efectivamente contrarrestó las subidas en el precio del maíz y trigo en el mercado internacional causadas por la guerra de Ucrania, lo que subraya la relevancia</w:t>
      </w:r>
      <w:r w:rsidR="000B5A87" w:rsidRPr="009F51ED">
        <w:rPr>
          <w:rFonts w:asciiTheme="majorBidi" w:hAnsiTheme="majorBidi" w:cstheme="majorBidi"/>
          <w:sz w:val="24"/>
          <w:szCs w:val="24"/>
        </w:rPr>
        <w:t xml:space="preserve"> global</w:t>
      </w:r>
      <w:r w:rsidR="00F07BC6" w:rsidRPr="009F51ED">
        <w:rPr>
          <w:rFonts w:asciiTheme="majorBidi" w:hAnsiTheme="majorBidi" w:cstheme="majorBidi"/>
          <w:sz w:val="24"/>
          <w:szCs w:val="24"/>
        </w:rPr>
        <w:t xml:space="preserve"> de</w:t>
      </w:r>
      <w:r w:rsidR="000B5A87" w:rsidRPr="009F51ED">
        <w:rPr>
          <w:rFonts w:asciiTheme="majorBidi" w:hAnsiTheme="majorBidi" w:cstheme="majorBidi"/>
          <w:sz w:val="24"/>
          <w:szCs w:val="24"/>
        </w:rPr>
        <w:t xml:space="preserve"> un</w:t>
      </w:r>
      <w:r w:rsidR="00F07BC6" w:rsidRPr="009F51ED">
        <w:rPr>
          <w:rFonts w:asciiTheme="majorBidi" w:hAnsiTheme="majorBidi" w:cstheme="majorBidi"/>
          <w:sz w:val="24"/>
          <w:szCs w:val="24"/>
        </w:rPr>
        <w:t xml:space="preserve"> acuerdo </w:t>
      </w:r>
      <w:r w:rsidR="000B5A87" w:rsidRPr="009F51ED">
        <w:rPr>
          <w:rFonts w:asciiTheme="majorBidi" w:hAnsiTheme="majorBidi" w:cstheme="majorBidi"/>
          <w:sz w:val="24"/>
          <w:szCs w:val="24"/>
        </w:rPr>
        <w:t xml:space="preserve">firmado </w:t>
      </w:r>
      <w:r w:rsidR="00F07BC6" w:rsidRPr="009F51ED">
        <w:rPr>
          <w:rFonts w:asciiTheme="majorBidi" w:hAnsiTheme="majorBidi" w:cstheme="majorBidi"/>
          <w:sz w:val="24"/>
          <w:szCs w:val="24"/>
        </w:rPr>
        <w:t xml:space="preserve">a nivel </w:t>
      </w:r>
      <w:r w:rsidR="000B5A87" w:rsidRPr="009F51ED">
        <w:rPr>
          <w:rFonts w:asciiTheme="majorBidi" w:hAnsiTheme="majorBidi" w:cstheme="majorBidi"/>
          <w:sz w:val="24"/>
          <w:szCs w:val="24"/>
        </w:rPr>
        <w:t>regional</w:t>
      </w:r>
      <w:r w:rsidR="003D4DD8" w:rsidRPr="009F51ED">
        <w:rPr>
          <w:rFonts w:asciiTheme="majorBidi" w:hAnsiTheme="majorBidi" w:cstheme="majorBidi"/>
          <w:sz w:val="24"/>
          <w:szCs w:val="24"/>
        </w:rPr>
        <w:t xml:space="preserve"> (Gilbert, 2023)</w:t>
      </w:r>
      <w:r w:rsidR="00F07BC6" w:rsidRPr="009F51ED">
        <w:rPr>
          <w:rFonts w:asciiTheme="majorBidi" w:hAnsiTheme="majorBidi" w:cstheme="majorBidi"/>
          <w:sz w:val="24"/>
          <w:szCs w:val="24"/>
        </w:rPr>
        <w:t xml:space="preserve">. </w:t>
      </w:r>
      <w:r w:rsidRPr="009F51ED">
        <w:rPr>
          <w:rFonts w:asciiTheme="majorBidi" w:hAnsiTheme="majorBidi" w:cstheme="majorBidi"/>
          <w:sz w:val="24"/>
          <w:szCs w:val="24"/>
        </w:rPr>
        <w:t xml:space="preserve">El 17 de noviembre de 2022, a dos días de la fecha en que expiraban los 120 días pactados originalmente y después de suspender “indefinidamente” el acuerdo, Rusia renovó su compromiso por otros 120 días extendiendo así la protección al comercio internacional </w:t>
      </w:r>
      <w:r w:rsidRPr="009F51ED">
        <w:rPr>
          <w:rFonts w:asciiTheme="majorBidi" w:hAnsiTheme="majorBidi" w:cstheme="majorBidi"/>
          <w:sz w:val="24"/>
          <w:szCs w:val="24"/>
        </w:rPr>
        <w:lastRenderedPageBreak/>
        <w:t>de bienes de primera necesidad en un contexto de guerra e incertidumbre hasta marzo de 2023 (</w:t>
      </w:r>
      <w:proofErr w:type="spellStart"/>
      <w:r w:rsidRPr="009F51ED">
        <w:rPr>
          <w:rFonts w:asciiTheme="majorBidi" w:hAnsiTheme="majorBidi" w:cstheme="majorBidi"/>
          <w:sz w:val="24"/>
          <w:szCs w:val="24"/>
        </w:rPr>
        <w:t>Caprile</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et al.</w:t>
      </w:r>
      <w:r w:rsidRPr="009F51ED">
        <w:rPr>
          <w:rFonts w:asciiTheme="majorBidi" w:hAnsiTheme="majorBidi" w:cstheme="majorBidi"/>
          <w:sz w:val="24"/>
          <w:szCs w:val="24"/>
        </w:rPr>
        <w:t>, 2022).</w:t>
      </w:r>
    </w:p>
    <w:p w14:paraId="11AD828E" w14:textId="77777777" w:rsidR="009A3ABE" w:rsidRPr="009F51ED" w:rsidRDefault="009A3ABE" w:rsidP="009F51ED">
      <w:pPr>
        <w:spacing w:line="360" w:lineRule="auto"/>
        <w:jc w:val="both"/>
        <w:rPr>
          <w:rFonts w:asciiTheme="majorBidi" w:hAnsiTheme="majorBidi" w:cstheme="majorBidi"/>
          <w:sz w:val="24"/>
          <w:szCs w:val="24"/>
        </w:rPr>
      </w:pPr>
    </w:p>
    <w:p w14:paraId="6631028F" w14:textId="5A41C70E" w:rsidR="00337E38" w:rsidRPr="009F51ED" w:rsidRDefault="0036026E" w:rsidP="009F51ED">
      <w:pPr>
        <w:pStyle w:val="Ttulo1"/>
        <w:spacing w:after="240"/>
        <w:jc w:val="both"/>
        <w:rPr>
          <w:rFonts w:asciiTheme="majorBidi" w:eastAsiaTheme="minorHAnsi" w:hAnsiTheme="majorBidi"/>
          <w:b/>
          <w:bCs/>
          <w:color w:val="auto"/>
          <w:sz w:val="24"/>
          <w:szCs w:val="24"/>
          <w:lang w:eastAsia="en-US"/>
        </w:rPr>
      </w:pPr>
      <w:bookmarkStart w:id="63" w:name="_Hlk137228655"/>
      <w:bookmarkStart w:id="64" w:name="_Toc137456622"/>
      <w:bookmarkEnd w:id="58"/>
      <w:r w:rsidRPr="009F51ED">
        <w:rPr>
          <w:rFonts w:asciiTheme="majorBidi" w:eastAsiaTheme="minorHAnsi" w:hAnsiTheme="majorBidi"/>
          <w:b/>
          <w:bCs/>
          <w:color w:val="auto"/>
          <w:sz w:val="24"/>
          <w:szCs w:val="24"/>
          <w:lang w:eastAsia="en-US"/>
        </w:rPr>
        <w:t>Capítulo 5. Conclusiones</w:t>
      </w:r>
      <w:bookmarkEnd w:id="64"/>
    </w:p>
    <w:p w14:paraId="56B4A689" w14:textId="77777777" w:rsidR="00C1071A" w:rsidRPr="009F51ED" w:rsidRDefault="00C1071A"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Las cadenas y relaciones logísticas que tejen el comercio internacional son considerablemente sensibles a eventos como guerras, manifestando sus efectos tanto en los volúmenes a través de ellas comercializados como en los precios a los que los productos alcanzan el mercado final. </w:t>
      </w:r>
      <w:r w:rsidRPr="009F51ED">
        <w:rPr>
          <w:rFonts w:asciiTheme="majorBidi" w:hAnsiTheme="majorBidi" w:cstheme="majorBidi"/>
          <w:sz w:val="24"/>
          <w:szCs w:val="24"/>
        </w:rPr>
        <w:t>El grano como el maíz y el trigo se encuentra inmerso en una dinámica de producción y exportación de frágil equilibrio, en la que una disrupción al principio de su cadena de valor y suministro desestabiliza los ritmos adquiridos durante años, lo que a través de sucesos como la globalización acaba derivando en cuestiones de seguridad nacional para países geográficamente alejados pero estrechamente relacionados.</w:t>
      </w:r>
      <w:r w:rsidRPr="009F51ED">
        <w:rPr>
          <w:rFonts w:asciiTheme="majorBidi" w:hAnsiTheme="majorBidi" w:cstheme="majorBidi"/>
          <w:sz w:val="24"/>
          <w:szCs w:val="24"/>
        </w:rPr>
        <w:t xml:space="preserve"> </w:t>
      </w:r>
    </w:p>
    <w:p w14:paraId="113EDC0E" w14:textId="0765D791" w:rsidR="0012438E" w:rsidRPr="009F51ED" w:rsidRDefault="00C1071A"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En el caso de la guerra de Ucrania, la disrupción fue mayúscula y de amplia trascendencia en 2022. </w:t>
      </w:r>
      <w:r w:rsidR="0012438E" w:rsidRPr="009F51ED">
        <w:rPr>
          <w:rFonts w:asciiTheme="majorBidi" w:hAnsiTheme="majorBidi" w:cstheme="majorBidi"/>
          <w:sz w:val="24"/>
          <w:szCs w:val="24"/>
        </w:rPr>
        <w:t xml:space="preserve">Rusia y Ucrania se situaron el año anterior, en un contexto de relativa normalidad de la actividad agrícola, como líderes en la producción y exportación de maíz y trigo, descansando sobre estos países el peso del 15,7% de la exportación mundial de maíz y del 27,5% de la de trigo. </w:t>
      </w:r>
      <w:r w:rsidR="004E7670" w:rsidRPr="009F51ED">
        <w:rPr>
          <w:rFonts w:asciiTheme="majorBidi" w:hAnsiTheme="majorBidi" w:cstheme="majorBidi"/>
          <w:sz w:val="24"/>
          <w:szCs w:val="24"/>
        </w:rPr>
        <w:t xml:space="preserve">Con el estallido de la guerra, se resintió la cosecha </w:t>
      </w:r>
      <w:r w:rsidR="004257E9" w:rsidRPr="009F51ED">
        <w:rPr>
          <w:rFonts w:asciiTheme="majorBidi" w:hAnsiTheme="majorBidi" w:cstheme="majorBidi"/>
          <w:sz w:val="24"/>
          <w:szCs w:val="24"/>
        </w:rPr>
        <w:t xml:space="preserve">y procesado </w:t>
      </w:r>
      <w:r w:rsidR="004E7670" w:rsidRPr="009F51ED">
        <w:rPr>
          <w:rFonts w:asciiTheme="majorBidi" w:hAnsiTheme="majorBidi" w:cstheme="majorBidi"/>
          <w:sz w:val="24"/>
          <w:szCs w:val="24"/>
        </w:rPr>
        <w:t>de cereales en Ucrania debido al abandono de tierras de cultivo por parte de los agricultores</w:t>
      </w:r>
      <w:r w:rsidR="004257E9" w:rsidRPr="009F51ED">
        <w:rPr>
          <w:rFonts w:asciiTheme="majorBidi" w:hAnsiTheme="majorBidi" w:cstheme="majorBidi"/>
          <w:sz w:val="24"/>
          <w:szCs w:val="24"/>
        </w:rPr>
        <w:t xml:space="preserve"> que huían del conflicto o marchaban al frente del mismo</w:t>
      </w:r>
      <w:r w:rsidR="004E7670" w:rsidRPr="009F51ED">
        <w:rPr>
          <w:rFonts w:asciiTheme="majorBidi" w:hAnsiTheme="majorBidi" w:cstheme="majorBidi"/>
          <w:sz w:val="24"/>
          <w:szCs w:val="24"/>
        </w:rPr>
        <w:t>, a la dest</w:t>
      </w:r>
      <w:r w:rsidR="004257E9" w:rsidRPr="009F51ED">
        <w:rPr>
          <w:rFonts w:asciiTheme="majorBidi" w:hAnsiTheme="majorBidi" w:cstheme="majorBidi"/>
          <w:sz w:val="24"/>
          <w:szCs w:val="24"/>
        </w:rPr>
        <w:t xml:space="preserve">rucción de infraestructura y capital físico e inmueble, o la preferencia de los agricultores por cosechas de consumo local frente a cultivos dedicados a la exportación, entre otros. </w:t>
      </w:r>
    </w:p>
    <w:p w14:paraId="21FD24DC" w14:textId="79E244F1" w:rsidR="004257E9" w:rsidRPr="009F51ED" w:rsidRDefault="004257E9"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Aunque la producción rusa no se vio comprometida, las dificultades en exportación de grano sí afectaron a ambos contendientes: las sanciones impuestas a Rusia por Occidente impedían la entrada de cargueros bajo su pabellón en importantes puertos comerciales, mientras que los navíos ucranianos no podían transitar por seguridad por el mar Negro hasta llegar a aguas internacionales. A través de los puertos ucranianos bloqueados por el ejército ruso se comercializaba el </w:t>
      </w:r>
      <w:r w:rsidRPr="009F51ED">
        <w:rPr>
          <w:rFonts w:asciiTheme="majorBidi" w:hAnsiTheme="majorBidi" w:cstheme="majorBidi"/>
          <w:sz w:val="24"/>
          <w:szCs w:val="24"/>
        </w:rPr>
        <w:t>90% de las exportaciones de grano del país</w:t>
      </w:r>
      <w:r w:rsidRPr="009F51ED">
        <w:rPr>
          <w:rFonts w:asciiTheme="majorBidi" w:hAnsiTheme="majorBidi" w:cstheme="majorBidi"/>
          <w:sz w:val="24"/>
          <w:szCs w:val="24"/>
        </w:rPr>
        <w:t>.</w:t>
      </w:r>
      <w:r w:rsidRPr="009F51ED">
        <w:rPr>
          <w:rFonts w:asciiTheme="majorBidi" w:hAnsiTheme="majorBidi" w:cstheme="majorBidi"/>
          <w:sz w:val="24"/>
          <w:szCs w:val="24"/>
        </w:rPr>
        <w:t xml:space="preserve"> Entre febrero y mayo de 2022, el coste de transporte </w:t>
      </w:r>
      <w:r w:rsidRPr="009F51ED">
        <w:rPr>
          <w:rFonts w:asciiTheme="majorBidi" w:hAnsiTheme="majorBidi" w:cstheme="majorBidi"/>
          <w:sz w:val="24"/>
          <w:szCs w:val="24"/>
        </w:rPr>
        <w:t xml:space="preserve">internacional </w:t>
      </w:r>
      <w:r w:rsidRPr="009F51ED">
        <w:rPr>
          <w:rFonts w:asciiTheme="majorBidi" w:hAnsiTheme="majorBidi" w:cstheme="majorBidi"/>
          <w:sz w:val="24"/>
          <w:szCs w:val="24"/>
        </w:rPr>
        <w:t>de bienes como el grano subió casi un 60%.</w:t>
      </w:r>
    </w:p>
    <w:p w14:paraId="088B0893" w14:textId="63BF54C4" w:rsidR="004257E9" w:rsidRPr="009F51ED" w:rsidRDefault="00022F3B"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lastRenderedPageBreak/>
        <w:t xml:space="preserve">Este aumento de precio sería un asunto de seguridad alimentaria, y por tanto nacional, para los </w:t>
      </w:r>
      <w:r w:rsidRPr="009F51ED">
        <w:rPr>
          <w:rFonts w:asciiTheme="majorBidi" w:hAnsiTheme="majorBidi" w:cstheme="majorBidi"/>
          <w:sz w:val="24"/>
          <w:szCs w:val="24"/>
        </w:rPr>
        <w:t xml:space="preserve">ocho </w:t>
      </w:r>
      <w:r w:rsidRPr="009F51ED">
        <w:rPr>
          <w:rFonts w:asciiTheme="majorBidi" w:hAnsiTheme="majorBidi" w:cstheme="majorBidi"/>
          <w:sz w:val="24"/>
          <w:szCs w:val="24"/>
        </w:rPr>
        <w:t xml:space="preserve">y once países que </w:t>
      </w:r>
      <w:r w:rsidRPr="009F51ED">
        <w:rPr>
          <w:rFonts w:asciiTheme="majorBidi" w:hAnsiTheme="majorBidi" w:cstheme="majorBidi"/>
          <w:sz w:val="24"/>
          <w:szCs w:val="24"/>
        </w:rPr>
        <w:t>dependen en más del 75% de sus importaciones de</w:t>
      </w:r>
      <w:r w:rsidRPr="009F51ED">
        <w:rPr>
          <w:rFonts w:asciiTheme="majorBidi" w:hAnsiTheme="majorBidi" w:cstheme="majorBidi"/>
          <w:sz w:val="24"/>
          <w:szCs w:val="24"/>
        </w:rPr>
        <w:t xml:space="preserve">, </w:t>
      </w:r>
      <w:r w:rsidRPr="009F51ED">
        <w:rPr>
          <w:rFonts w:asciiTheme="majorBidi" w:hAnsiTheme="majorBidi" w:cstheme="majorBidi"/>
          <w:sz w:val="24"/>
          <w:szCs w:val="24"/>
        </w:rPr>
        <w:t>respectivamente</w:t>
      </w:r>
      <w:r w:rsidRPr="009F51ED">
        <w:rPr>
          <w:rFonts w:asciiTheme="majorBidi" w:hAnsiTheme="majorBidi" w:cstheme="majorBidi"/>
          <w:sz w:val="24"/>
          <w:szCs w:val="24"/>
        </w:rPr>
        <w:t>, e</w:t>
      </w:r>
      <w:r w:rsidRPr="009F51ED">
        <w:rPr>
          <w:rFonts w:asciiTheme="majorBidi" w:hAnsiTheme="majorBidi" w:cstheme="majorBidi"/>
          <w:sz w:val="24"/>
          <w:szCs w:val="24"/>
        </w:rPr>
        <w:t xml:space="preserve">l maíz </w:t>
      </w:r>
      <w:r w:rsidRPr="009F51ED">
        <w:rPr>
          <w:rFonts w:asciiTheme="majorBidi" w:hAnsiTheme="majorBidi" w:cstheme="majorBidi"/>
          <w:sz w:val="24"/>
          <w:szCs w:val="24"/>
        </w:rPr>
        <w:t>y trigo, e</w:t>
      </w:r>
      <w:r w:rsidRPr="009F51ED">
        <w:rPr>
          <w:rFonts w:asciiTheme="majorBidi" w:hAnsiTheme="majorBidi" w:cstheme="majorBidi"/>
          <w:sz w:val="24"/>
          <w:szCs w:val="24"/>
        </w:rPr>
        <w:t>xportado por Rusia y Ucrania</w:t>
      </w:r>
      <w:r w:rsidRPr="009F51ED">
        <w:rPr>
          <w:rFonts w:asciiTheme="majorBidi" w:hAnsiTheme="majorBidi" w:cstheme="majorBidi"/>
          <w:sz w:val="24"/>
          <w:szCs w:val="24"/>
        </w:rPr>
        <w:t>. Entre los principales importadores afectados se encuentran numerosas economías frágiles o en crisis, Estados en guerra o países con bajo nivel de desarrollo económico, importantemente vulnerables entonces a un conflicto que se desarrolla a miles kilómetros de su territorio. Además, sin estar su seguridad alimentaria comprometida por sus fuertes lazos con Rusia, se encuentran varias economías dependientes de las exportaciones de cereales de este país en hasta un 99% de sus importaciones.</w:t>
      </w:r>
    </w:p>
    <w:p w14:paraId="7E5B7FB9" w14:textId="1038B0D7" w:rsidR="003E19BE" w:rsidRPr="009F51ED" w:rsidRDefault="003E19BE"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La Iniciativa de Granos del Mar Negro, orquestada por Turquía y la ONU y firmada por Rusia y Ucrania, alivió las presiones que soportaba la exportación de grano desde Ucrania, lo que contribuyó a moderar la escalada de precios que se había observado en el maíz y trigo desde allí comercializado a nivel internacional. Si bien se trata de un acuerdo frágil por la volatilidad de sus firmantes y por el hecho de que siguen en conflicto, su impacto sobre la seguridad alimentaria de gran cantidad de países situaría sus sucesivas renovaciones como una de las prioridades de la diplomacia mundial. </w:t>
      </w:r>
    </w:p>
    <w:p w14:paraId="73E0F6D3" w14:textId="57FCE966" w:rsidR="001C7385" w:rsidRPr="009F51ED" w:rsidRDefault="003E19BE"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Futuras líneas de investigación podrían recoger el análisis llevado a cabo en el presente trabajo y expandirlo más allá del año 2022, incorporando otros hechos relevantes</w:t>
      </w:r>
      <w:r w:rsidR="001C7385" w:rsidRPr="009F51ED">
        <w:rPr>
          <w:rFonts w:asciiTheme="majorBidi" w:hAnsiTheme="majorBidi" w:cstheme="majorBidi"/>
          <w:sz w:val="24"/>
          <w:szCs w:val="24"/>
        </w:rPr>
        <w:t xml:space="preserve">. Algunos de estos hechos podrían ser </w:t>
      </w:r>
      <w:r w:rsidR="001756BC" w:rsidRPr="009F51ED">
        <w:rPr>
          <w:rFonts w:asciiTheme="majorBidi" w:hAnsiTheme="majorBidi" w:cstheme="majorBidi"/>
          <w:sz w:val="24"/>
          <w:szCs w:val="24"/>
        </w:rPr>
        <w:t>ocurridos en el marco de la guerra de Ucrania, como el veto introducido por Polonia y Hungría, importantes productores de cereal dentro de la UE, a la importación de grano y alimentos ucranianos alegando una saturación de los mercados locales y un perjuicio a sus rentas percibidas</w:t>
      </w:r>
      <w:r w:rsidR="001C7385" w:rsidRPr="009F51ED">
        <w:rPr>
          <w:rFonts w:asciiTheme="majorBidi" w:hAnsiTheme="majorBidi" w:cstheme="majorBidi"/>
          <w:sz w:val="24"/>
          <w:szCs w:val="24"/>
        </w:rPr>
        <w:t xml:space="preserve"> (</w:t>
      </w:r>
      <w:proofErr w:type="spellStart"/>
      <w:r w:rsidR="001C7385" w:rsidRPr="009F51ED">
        <w:rPr>
          <w:rFonts w:asciiTheme="majorBidi" w:hAnsiTheme="majorBidi" w:cstheme="majorBidi"/>
          <w:sz w:val="24"/>
          <w:szCs w:val="24"/>
        </w:rPr>
        <w:t>Sahuquillo</w:t>
      </w:r>
      <w:proofErr w:type="spellEnd"/>
      <w:r w:rsidR="001C7385" w:rsidRPr="009F51ED">
        <w:rPr>
          <w:rFonts w:asciiTheme="majorBidi" w:hAnsiTheme="majorBidi" w:cstheme="majorBidi"/>
          <w:sz w:val="24"/>
          <w:szCs w:val="24"/>
        </w:rPr>
        <w:t xml:space="preserve"> y</w:t>
      </w:r>
      <w:r w:rsidR="001C7385" w:rsidRPr="009F51ED">
        <w:rPr>
          <w:rFonts w:asciiTheme="majorBidi" w:hAnsiTheme="majorBidi" w:cstheme="majorBidi"/>
          <w:sz w:val="24"/>
          <w:szCs w:val="24"/>
        </w:rPr>
        <w:t xml:space="preserve"> Segura, 2023</w:t>
      </w:r>
      <w:r w:rsidR="001C7385" w:rsidRPr="009F51ED">
        <w:rPr>
          <w:rFonts w:asciiTheme="majorBidi" w:hAnsiTheme="majorBidi" w:cstheme="majorBidi"/>
          <w:sz w:val="24"/>
          <w:szCs w:val="24"/>
        </w:rPr>
        <w:t>). Otros de los hechos recientes que afectarían a los volúmenes y precios de grano producido y exportado sería l</w:t>
      </w:r>
      <w:r w:rsidR="001C7385" w:rsidRPr="009F51ED">
        <w:rPr>
          <w:rFonts w:asciiTheme="majorBidi" w:hAnsiTheme="majorBidi" w:cstheme="majorBidi"/>
          <w:sz w:val="24"/>
          <w:szCs w:val="24"/>
        </w:rPr>
        <w:t xml:space="preserve">a convergencia de episodios de sequía intensos en el hemisferio norte con la </w:t>
      </w:r>
      <w:r w:rsidR="001C7385" w:rsidRPr="009F51ED">
        <w:rPr>
          <w:rFonts w:asciiTheme="majorBidi" w:hAnsiTheme="majorBidi" w:cstheme="majorBidi"/>
          <w:sz w:val="24"/>
          <w:szCs w:val="24"/>
        </w:rPr>
        <w:t xml:space="preserve">inestabilidad que conlleva la </w:t>
      </w:r>
      <w:r w:rsidR="001C7385" w:rsidRPr="009F51ED">
        <w:rPr>
          <w:rFonts w:asciiTheme="majorBidi" w:hAnsiTheme="majorBidi" w:cstheme="majorBidi"/>
          <w:sz w:val="24"/>
          <w:szCs w:val="24"/>
        </w:rPr>
        <w:t>guerra de Ucrania</w:t>
      </w:r>
      <w:r w:rsidR="001C7385" w:rsidRPr="009F51ED">
        <w:rPr>
          <w:rFonts w:asciiTheme="majorBidi" w:hAnsiTheme="majorBidi" w:cstheme="majorBidi"/>
          <w:sz w:val="24"/>
          <w:szCs w:val="24"/>
        </w:rPr>
        <w:t>, lo que conduciría a otras líneas de investigación con e</w:t>
      </w:r>
      <w:r w:rsidR="001C7385" w:rsidRPr="009F51ED">
        <w:rPr>
          <w:rFonts w:asciiTheme="majorBidi" w:hAnsiTheme="majorBidi" w:cstheme="majorBidi"/>
          <w:sz w:val="24"/>
          <w:szCs w:val="24"/>
        </w:rPr>
        <w:t xml:space="preserve">l cambio climático como desafío adicional y origen de tensiones en los mercados de </w:t>
      </w:r>
      <w:proofErr w:type="spellStart"/>
      <w:r w:rsidR="001C7385" w:rsidRPr="009F51ED">
        <w:rPr>
          <w:rFonts w:asciiTheme="majorBidi" w:hAnsiTheme="majorBidi" w:cstheme="majorBidi"/>
          <w:i/>
          <w:iCs/>
          <w:sz w:val="24"/>
          <w:szCs w:val="24"/>
        </w:rPr>
        <w:t>commodities</w:t>
      </w:r>
      <w:proofErr w:type="spellEnd"/>
      <w:r w:rsidR="001C7385" w:rsidRPr="009F51ED">
        <w:rPr>
          <w:rFonts w:asciiTheme="majorBidi" w:hAnsiTheme="majorBidi" w:cstheme="majorBidi"/>
          <w:sz w:val="24"/>
          <w:szCs w:val="24"/>
        </w:rPr>
        <w:t xml:space="preserve"> esenciales. </w:t>
      </w:r>
    </w:p>
    <w:p w14:paraId="0B9D9E3E" w14:textId="7A9F4BBA" w:rsidR="00B51FDA" w:rsidRPr="009F51ED" w:rsidRDefault="00B51FDA"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La investigación llevada a cabo ha sido preliminar e inherentemente limitada por la actualidad del conflicto, a fecha de publicación del trabajo inconcluso</w:t>
      </w:r>
      <w:r w:rsidR="00716536" w:rsidRPr="009F51ED">
        <w:rPr>
          <w:rFonts w:asciiTheme="majorBidi" w:hAnsiTheme="majorBidi" w:cstheme="majorBidi"/>
          <w:sz w:val="24"/>
          <w:szCs w:val="24"/>
        </w:rPr>
        <w:t>. En el</w:t>
      </w:r>
      <w:r w:rsidRPr="009F51ED">
        <w:rPr>
          <w:rFonts w:asciiTheme="majorBidi" w:hAnsiTheme="majorBidi" w:cstheme="majorBidi"/>
          <w:sz w:val="24"/>
          <w:szCs w:val="24"/>
        </w:rPr>
        <w:t xml:space="preserve"> desarrollo </w:t>
      </w:r>
      <w:r w:rsidR="00716536" w:rsidRPr="009F51ED">
        <w:rPr>
          <w:rFonts w:asciiTheme="majorBidi" w:hAnsiTheme="majorBidi" w:cstheme="majorBidi"/>
          <w:sz w:val="24"/>
          <w:szCs w:val="24"/>
        </w:rPr>
        <w:t xml:space="preserve">del mismo </w:t>
      </w:r>
      <w:r w:rsidRPr="009F51ED">
        <w:rPr>
          <w:rFonts w:asciiTheme="majorBidi" w:hAnsiTheme="majorBidi" w:cstheme="majorBidi"/>
          <w:sz w:val="24"/>
          <w:szCs w:val="24"/>
        </w:rPr>
        <w:t xml:space="preserve">se suceden eventos como la voladura de la presa de Nova </w:t>
      </w:r>
      <w:proofErr w:type="spellStart"/>
      <w:r w:rsidRPr="009F51ED">
        <w:rPr>
          <w:rFonts w:asciiTheme="majorBidi" w:hAnsiTheme="majorBidi" w:cstheme="majorBidi"/>
          <w:sz w:val="24"/>
          <w:szCs w:val="24"/>
        </w:rPr>
        <w:t>Kajovka</w:t>
      </w:r>
      <w:proofErr w:type="spellEnd"/>
      <w:r w:rsidRPr="009F51ED">
        <w:rPr>
          <w:rFonts w:asciiTheme="majorBidi" w:hAnsiTheme="majorBidi" w:cstheme="majorBidi"/>
          <w:sz w:val="24"/>
          <w:szCs w:val="24"/>
        </w:rPr>
        <w:t xml:space="preserve">, en el Dniéper, </w:t>
      </w:r>
      <w:r w:rsidR="00716536" w:rsidRPr="009F51ED">
        <w:rPr>
          <w:rFonts w:asciiTheme="majorBidi" w:hAnsiTheme="majorBidi" w:cstheme="majorBidi"/>
          <w:sz w:val="24"/>
          <w:szCs w:val="24"/>
        </w:rPr>
        <w:t xml:space="preserve">que no sólo amenaza las cosechas de grano almacenadas en silos curso abajo del río sino también elimina la </w:t>
      </w:r>
      <w:r w:rsidRPr="009F51ED">
        <w:rPr>
          <w:rFonts w:asciiTheme="majorBidi" w:hAnsiTheme="majorBidi" w:cstheme="majorBidi"/>
          <w:sz w:val="24"/>
          <w:szCs w:val="24"/>
        </w:rPr>
        <w:t xml:space="preserve">reserva de agua estratégica para </w:t>
      </w:r>
      <w:r w:rsidR="00716536" w:rsidRPr="009F51ED">
        <w:rPr>
          <w:rFonts w:asciiTheme="majorBidi" w:hAnsiTheme="majorBidi" w:cstheme="majorBidi"/>
          <w:sz w:val="24"/>
          <w:szCs w:val="24"/>
        </w:rPr>
        <w:t xml:space="preserve">el suministro de </w:t>
      </w:r>
      <w:r w:rsidRPr="009F51ED">
        <w:rPr>
          <w:rFonts w:asciiTheme="majorBidi" w:hAnsiTheme="majorBidi" w:cstheme="majorBidi"/>
          <w:sz w:val="24"/>
          <w:szCs w:val="24"/>
        </w:rPr>
        <w:t>una de las zonas más productivas de Ucrania</w:t>
      </w:r>
      <w:r w:rsidR="00716536" w:rsidRPr="009F51ED">
        <w:rPr>
          <w:rFonts w:asciiTheme="majorBidi" w:hAnsiTheme="majorBidi" w:cstheme="majorBidi"/>
          <w:sz w:val="24"/>
          <w:szCs w:val="24"/>
        </w:rPr>
        <w:t xml:space="preserve"> y provoca la inundación de considerables extensiones </w:t>
      </w:r>
      <w:r w:rsidR="00716536" w:rsidRPr="009F51ED">
        <w:rPr>
          <w:rFonts w:asciiTheme="majorBidi" w:hAnsiTheme="majorBidi" w:cstheme="majorBidi"/>
          <w:sz w:val="24"/>
          <w:szCs w:val="24"/>
        </w:rPr>
        <w:lastRenderedPageBreak/>
        <w:t xml:space="preserve">de superficie cultivable </w:t>
      </w:r>
      <w:r w:rsidR="00B676C7" w:rsidRPr="009F51ED">
        <w:rPr>
          <w:rFonts w:asciiTheme="majorBidi" w:hAnsiTheme="majorBidi" w:cstheme="majorBidi"/>
          <w:sz w:val="24"/>
          <w:szCs w:val="24"/>
        </w:rPr>
        <w:t>(</w:t>
      </w:r>
      <w:r w:rsidR="0033399D" w:rsidRPr="009F51ED">
        <w:rPr>
          <w:rFonts w:asciiTheme="majorBidi" w:hAnsiTheme="majorBidi" w:cstheme="majorBidi"/>
          <w:sz w:val="24"/>
          <w:szCs w:val="24"/>
        </w:rPr>
        <w:t xml:space="preserve">Poole </w:t>
      </w:r>
      <w:r w:rsidR="0033399D" w:rsidRPr="009F51ED">
        <w:rPr>
          <w:rFonts w:asciiTheme="majorBidi" w:hAnsiTheme="majorBidi" w:cstheme="majorBidi"/>
          <w:i/>
          <w:iCs/>
          <w:sz w:val="24"/>
          <w:szCs w:val="24"/>
        </w:rPr>
        <w:t>et al.</w:t>
      </w:r>
      <w:r w:rsidR="0033399D" w:rsidRPr="009F51ED">
        <w:rPr>
          <w:rFonts w:asciiTheme="majorBidi" w:hAnsiTheme="majorBidi" w:cstheme="majorBidi"/>
          <w:sz w:val="24"/>
          <w:szCs w:val="24"/>
        </w:rPr>
        <w:t xml:space="preserve">, 2023; </w:t>
      </w:r>
      <w:r w:rsidR="00B676C7" w:rsidRPr="009F51ED">
        <w:rPr>
          <w:rFonts w:asciiTheme="majorBidi" w:hAnsiTheme="majorBidi" w:cstheme="majorBidi"/>
          <w:sz w:val="24"/>
          <w:szCs w:val="24"/>
        </w:rPr>
        <w:t>Reidy, 2023)</w:t>
      </w:r>
      <w:r w:rsidRPr="009F51ED">
        <w:rPr>
          <w:rFonts w:asciiTheme="majorBidi" w:hAnsiTheme="majorBidi" w:cstheme="majorBidi"/>
          <w:sz w:val="24"/>
          <w:szCs w:val="24"/>
        </w:rPr>
        <w:t>.</w:t>
      </w:r>
      <w:r w:rsidR="003E19BE" w:rsidRPr="009F51ED">
        <w:rPr>
          <w:rFonts w:asciiTheme="majorBidi" w:hAnsiTheme="majorBidi" w:cstheme="majorBidi"/>
          <w:sz w:val="24"/>
          <w:szCs w:val="24"/>
        </w:rPr>
        <w:t xml:space="preserve"> Por lo tanto, y ante la imprevisibilidad de nuevos acontecimientos que afecten a la producción o exportación del grano ruso y ucraniano, cabe esperar nuevas presiones a las cadenas de suministro de los mismos. </w:t>
      </w:r>
    </w:p>
    <w:p w14:paraId="550F9E80" w14:textId="6E287970" w:rsidR="0033683E" w:rsidRPr="009F51ED" w:rsidRDefault="003E19BE"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También c</w:t>
      </w:r>
      <w:r w:rsidR="0033683E" w:rsidRPr="009F51ED">
        <w:rPr>
          <w:rFonts w:asciiTheme="majorBidi" w:hAnsiTheme="majorBidi" w:cstheme="majorBidi"/>
          <w:sz w:val="24"/>
          <w:szCs w:val="24"/>
        </w:rPr>
        <w:t xml:space="preserve">abe </w:t>
      </w:r>
      <w:r w:rsidRPr="009F51ED">
        <w:rPr>
          <w:rFonts w:asciiTheme="majorBidi" w:hAnsiTheme="majorBidi" w:cstheme="majorBidi"/>
          <w:sz w:val="24"/>
          <w:szCs w:val="24"/>
        </w:rPr>
        <w:t>la duda razonable respecto</w:t>
      </w:r>
      <w:r w:rsidR="0033683E" w:rsidRPr="009F51ED">
        <w:rPr>
          <w:rFonts w:asciiTheme="majorBidi" w:hAnsiTheme="majorBidi" w:cstheme="majorBidi"/>
          <w:sz w:val="24"/>
          <w:szCs w:val="24"/>
        </w:rPr>
        <w:t xml:space="preserve"> de la fiabilidad de las estadísticas de producción de grano de las zonas de Ucrania en disputa, sujetas a avances y retrocesos sucesivos de uno y otro ejército y, por tanto, </w:t>
      </w:r>
      <w:r w:rsidRPr="009F51ED">
        <w:rPr>
          <w:rFonts w:asciiTheme="majorBidi" w:hAnsiTheme="majorBidi" w:cstheme="majorBidi"/>
          <w:sz w:val="24"/>
          <w:szCs w:val="24"/>
        </w:rPr>
        <w:t xml:space="preserve">posiblemente </w:t>
      </w:r>
      <w:r w:rsidR="0033683E" w:rsidRPr="009F51ED">
        <w:rPr>
          <w:rFonts w:asciiTheme="majorBidi" w:hAnsiTheme="majorBidi" w:cstheme="majorBidi"/>
          <w:sz w:val="24"/>
          <w:szCs w:val="24"/>
        </w:rPr>
        <w:t>de facto elaboradas, controladas y consideradas como propias</w:t>
      </w:r>
      <w:r w:rsidRPr="009F51ED">
        <w:rPr>
          <w:rFonts w:asciiTheme="majorBidi" w:hAnsiTheme="majorBidi" w:cstheme="majorBidi"/>
          <w:sz w:val="24"/>
          <w:szCs w:val="24"/>
        </w:rPr>
        <w:t xml:space="preserve"> por cada una de las partes del conflicto. </w:t>
      </w:r>
    </w:p>
    <w:p w14:paraId="0E84D9FD" w14:textId="2965B229" w:rsidR="0036026E" w:rsidRPr="009F51ED" w:rsidRDefault="00B51FDA" w:rsidP="009F51ED">
      <w:pPr>
        <w:spacing w:line="360" w:lineRule="auto"/>
        <w:ind w:firstLine="708"/>
        <w:jc w:val="both"/>
        <w:rPr>
          <w:rFonts w:asciiTheme="majorBidi" w:hAnsiTheme="majorBidi" w:cstheme="majorBidi"/>
          <w:sz w:val="24"/>
          <w:szCs w:val="24"/>
        </w:rPr>
      </w:pPr>
      <w:r w:rsidRPr="009F51ED">
        <w:rPr>
          <w:rFonts w:asciiTheme="majorBidi" w:hAnsiTheme="majorBidi" w:cstheme="majorBidi"/>
          <w:sz w:val="24"/>
          <w:szCs w:val="24"/>
        </w:rPr>
        <w:t xml:space="preserve"> </w:t>
      </w:r>
    </w:p>
    <w:p w14:paraId="54AA3F00" w14:textId="02C30F80" w:rsidR="002F5AA0" w:rsidRPr="009F51ED" w:rsidRDefault="002F5AA0" w:rsidP="009F51ED">
      <w:pPr>
        <w:jc w:val="both"/>
        <w:rPr>
          <w:rFonts w:asciiTheme="majorBidi" w:hAnsiTheme="majorBidi" w:cstheme="majorBidi"/>
          <w:sz w:val="24"/>
          <w:szCs w:val="24"/>
        </w:rPr>
      </w:pPr>
    </w:p>
    <w:p w14:paraId="0E24DAFB" w14:textId="77777777" w:rsidR="00FC4EE5" w:rsidRPr="009F51ED" w:rsidRDefault="00FC4EE5" w:rsidP="009F51ED">
      <w:pPr>
        <w:jc w:val="both"/>
        <w:rPr>
          <w:rFonts w:asciiTheme="majorBidi" w:hAnsiTheme="majorBidi" w:cstheme="majorBidi"/>
          <w:b/>
          <w:bCs/>
          <w:sz w:val="24"/>
          <w:szCs w:val="24"/>
        </w:rPr>
      </w:pPr>
      <w:r w:rsidRPr="009F51ED">
        <w:rPr>
          <w:rFonts w:asciiTheme="majorBidi" w:hAnsiTheme="majorBidi" w:cstheme="majorBidi"/>
          <w:b/>
          <w:bCs/>
          <w:sz w:val="24"/>
          <w:szCs w:val="24"/>
        </w:rPr>
        <w:br w:type="page"/>
      </w:r>
    </w:p>
    <w:p w14:paraId="19ADB65F" w14:textId="4486B724" w:rsidR="002F5AA0" w:rsidRPr="009F51ED" w:rsidRDefault="002F5AA0" w:rsidP="009F51ED">
      <w:pPr>
        <w:pStyle w:val="Ttulo1"/>
        <w:spacing w:after="240"/>
        <w:jc w:val="both"/>
        <w:rPr>
          <w:rFonts w:asciiTheme="majorBidi" w:eastAsiaTheme="minorHAnsi" w:hAnsiTheme="majorBidi"/>
          <w:b/>
          <w:bCs/>
          <w:color w:val="auto"/>
          <w:sz w:val="24"/>
          <w:szCs w:val="24"/>
          <w:lang w:eastAsia="en-US"/>
        </w:rPr>
      </w:pPr>
      <w:bookmarkStart w:id="65" w:name="_Toc137456623"/>
      <w:r w:rsidRPr="009F51ED">
        <w:rPr>
          <w:rFonts w:asciiTheme="majorBidi" w:eastAsiaTheme="minorHAnsi" w:hAnsiTheme="majorBidi"/>
          <w:b/>
          <w:bCs/>
          <w:color w:val="auto"/>
          <w:sz w:val="24"/>
          <w:szCs w:val="24"/>
          <w:lang w:eastAsia="en-US"/>
        </w:rPr>
        <w:lastRenderedPageBreak/>
        <w:t xml:space="preserve">Capítulo </w:t>
      </w:r>
      <w:r w:rsidR="00692A14" w:rsidRPr="009F51ED">
        <w:rPr>
          <w:rFonts w:asciiTheme="majorBidi" w:eastAsiaTheme="minorHAnsi" w:hAnsiTheme="majorBidi"/>
          <w:b/>
          <w:bCs/>
          <w:color w:val="auto"/>
          <w:sz w:val="24"/>
          <w:szCs w:val="24"/>
          <w:lang w:eastAsia="en-US"/>
        </w:rPr>
        <w:t>6</w:t>
      </w:r>
      <w:r w:rsidRPr="009F51ED">
        <w:rPr>
          <w:rFonts w:asciiTheme="majorBidi" w:eastAsiaTheme="minorHAnsi" w:hAnsiTheme="majorBidi"/>
          <w:b/>
          <w:bCs/>
          <w:color w:val="auto"/>
          <w:sz w:val="24"/>
          <w:szCs w:val="24"/>
          <w:lang w:eastAsia="en-US"/>
        </w:rPr>
        <w:t>. Fuentes documentales</w:t>
      </w:r>
      <w:bookmarkEnd w:id="65"/>
    </w:p>
    <w:p w14:paraId="4C1120E7" w14:textId="6A2F2466" w:rsidR="00B06FB9" w:rsidRPr="009F51ED" w:rsidRDefault="00B06FB9"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rPr>
        <w:t>Allam</w:t>
      </w:r>
      <w:proofErr w:type="spellEnd"/>
      <w:r w:rsidRPr="009F51ED">
        <w:rPr>
          <w:rFonts w:asciiTheme="majorBidi" w:hAnsiTheme="majorBidi" w:cstheme="majorBidi"/>
          <w:sz w:val="24"/>
          <w:szCs w:val="24"/>
        </w:rPr>
        <w:t xml:space="preserve">, Z., </w:t>
      </w:r>
      <w:proofErr w:type="spellStart"/>
      <w:r w:rsidRPr="009F51ED">
        <w:rPr>
          <w:rFonts w:asciiTheme="majorBidi" w:hAnsiTheme="majorBidi" w:cstheme="majorBidi"/>
          <w:sz w:val="24"/>
          <w:szCs w:val="24"/>
        </w:rPr>
        <w:t>Bibri</w:t>
      </w:r>
      <w:proofErr w:type="spellEnd"/>
      <w:r w:rsidRPr="009F51ED">
        <w:rPr>
          <w:rFonts w:asciiTheme="majorBidi" w:hAnsiTheme="majorBidi" w:cstheme="majorBidi"/>
          <w:sz w:val="24"/>
          <w:szCs w:val="24"/>
        </w:rPr>
        <w:t xml:space="preserve">, S. E., </w:t>
      </w:r>
      <w:r w:rsidR="001C1DBF" w:rsidRPr="009F51ED">
        <w:rPr>
          <w:rFonts w:asciiTheme="majorBidi" w:hAnsiTheme="majorBidi" w:cstheme="majorBidi"/>
          <w:sz w:val="24"/>
          <w:szCs w:val="24"/>
        </w:rPr>
        <w:t>y</w:t>
      </w:r>
      <w:r w:rsidRPr="009F51ED">
        <w:rPr>
          <w:rFonts w:asciiTheme="majorBidi" w:hAnsiTheme="majorBidi" w:cstheme="majorBidi"/>
          <w:sz w:val="24"/>
          <w:szCs w:val="24"/>
        </w:rPr>
        <w:t xml:space="preserve"> Sharpe, S. A. (2022). </w:t>
      </w:r>
      <w:r w:rsidRPr="009F51ED">
        <w:rPr>
          <w:rFonts w:asciiTheme="majorBidi" w:hAnsiTheme="majorBidi" w:cstheme="majorBidi"/>
          <w:sz w:val="24"/>
          <w:szCs w:val="24"/>
          <w:lang w:val="en-US"/>
        </w:rPr>
        <w:t xml:space="preserve">The Rising Impacts of the COVID-19 Pandemic and the Russia–Ukraine War: Energy Transition, Climate Justice, Global Inequality, and Supply Chain Disruption. </w:t>
      </w:r>
      <w:proofErr w:type="spellStart"/>
      <w:r w:rsidRPr="009F51ED">
        <w:rPr>
          <w:rFonts w:asciiTheme="majorBidi" w:hAnsiTheme="majorBidi" w:cstheme="majorBidi"/>
          <w:i/>
          <w:iCs/>
          <w:sz w:val="24"/>
          <w:szCs w:val="24"/>
        </w:rPr>
        <w:t>Resources</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11</w:t>
      </w:r>
      <w:r w:rsidRPr="009F51ED">
        <w:rPr>
          <w:rFonts w:asciiTheme="majorBidi" w:hAnsiTheme="majorBidi" w:cstheme="majorBidi"/>
          <w:sz w:val="24"/>
          <w:szCs w:val="24"/>
        </w:rPr>
        <w:t xml:space="preserve">(11), 99. MDPI AG. </w:t>
      </w:r>
      <w:hyperlink r:id="rId15" w:history="1">
        <w:r w:rsidRPr="009F51ED">
          <w:rPr>
            <w:rStyle w:val="Hipervnculo"/>
            <w:rFonts w:asciiTheme="majorBidi" w:hAnsiTheme="majorBidi" w:cstheme="majorBidi"/>
            <w:sz w:val="24"/>
            <w:szCs w:val="24"/>
          </w:rPr>
          <w:t>http://dx.doi.org/10.3390/resources11110099</w:t>
        </w:r>
      </w:hyperlink>
      <w:r w:rsidRPr="009F51ED">
        <w:rPr>
          <w:rFonts w:asciiTheme="majorBidi" w:hAnsiTheme="majorBidi" w:cstheme="majorBidi"/>
          <w:sz w:val="24"/>
          <w:szCs w:val="24"/>
        </w:rPr>
        <w:t xml:space="preserve">  </w:t>
      </w:r>
    </w:p>
    <w:p w14:paraId="3F46FC1B" w14:textId="45042BCD" w:rsidR="002D546F" w:rsidRPr="009F51ED" w:rsidRDefault="002D546F"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Baena Rojas, J. J. (2018). Barreras arancelarias y no arancelarias como restricciones al comercio internacional. </w:t>
      </w:r>
      <w:r w:rsidRPr="009F51ED">
        <w:rPr>
          <w:rFonts w:asciiTheme="majorBidi" w:hAnsiTheme="majorBidi" w:cstheme="majorBidi"/>
          <w:i/>
          <w:iCs/>
          <w:sz w:val="24"/>
          <w:szCs w:val="24"/>
        </w:rPr>
        <w:t>Revista Venezolana de Gerencia</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23</w:t>
      </w:r>
      <w:r w:rsidRPr="009F51ED">
        <w:rPr>
          <w:rFonts w:asciiTheme="majorBidi" w:hAnsiTheme="majorBidi" w:cstheme="majorBidi"/>
          <w:sz w:val="24"/>
          <w:szCs w:val="24"/>
        </w:rPr>
        <w:t xml:space="preserve">(83), 543-562. </w:t>
      </w:r>
      <w:hyperlink r:id="rId16" w:history="1">
        <w:r w:rsidRPr="009F51ED">
          <w:rPr>
            <w:rStyle w:val="Hipervnculo"/>
            <w:rFonts w:asciiTheme="majorBidi" w:hAnsiTheme="majorBidi" w:cstheme="majorBidi"/>
            <w:sz w:val="24"/>
            <w:szCs w:val="24"/>
          </w:rPr>
          <w:t>https://www.redalyc.org/articulo.oa?id=29058775003</w:t>
        </w:r>
      </w:hyperlink>
      <w:r w:rsidRPr="009F51ED">
        <w:rPr>
          <w:rFonts w:asciiTheme="majorBidi" w:hAnsiTheme="majorBidi" w:cstheme="majorBidi"/>
          <w:sz w:val="24"/>
          <w:szCs w:val="24"/>
        </w:rPr>
        <w:t xml:space="preserve"> </w:t>
      </w:r>
    </w:p>
    <w:p w14:paraId="34EB0641" w14:textId="3E904229" w:rsidR="003C3E2F" w:rsidRPr="009F51ED" w:rsidRDefault="003C3E2F"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Ballesteros Mart</w:t>
      </w:r>
      <w:r w:rsidR="001416F1" w:rsidRPr="009F51ED">
        <w:rPr>
          <w:rFonts w:asciiTheme="majorBidi" w:hAnsiTheme="majorBidi" w:cstheme="majorBidi"/>
          <w:sz w:val="24"/>
          <w:szCs w:val="24"/>
        </w:rPr>
        <w:t>í</w:t>
      </w:r>
      <w:r w:rsidRPr="009F51ED">
        <w:rPr>
          <w:rFonts w:asciiTheme="majorBidi" w:hAnsiTheme="majorBidi" w:cstheme="majorBidi"/>
          <w:sz w:val="24"/>
          <w:szCs w:val="24"/>
        </w:rPr>
        <w:t xml:space="preserve">n, M. A. </w:t>
      </w:r>
      <w:r w:rsidR="001416F1" w:rsidRPr="009F51ED">
        <w:rPr>
          <w:rFonts w:asciiTheme="majorBidi" w:hAnsiTheme="majorBidi" w:cstheme="majorBidi"/>
          <w:sz w:val="24"/>
          <w:szCs w:val="24"/>
        </w:rPr>
        <w:t>(2003)</w:t>
      </w:r>
      <w:r w:rsidR="009F477B" w:rsidRPr="009F51ED">
        <w:rPr>
          <w:rFonts w:asciiTheme="majorBidi" w:hAnsiTheme="majorBidi" w:cstheme="majorBidi"/>
          <w:sz w:val="24"/>
          <w:szCs w:val="24"/>
        </w:rPr>
        <w:t>.</w:t>
      </w:r>
      <w:r w:rsidR="001416F1" w:rsidRPr="009F51ED">
        <w:rPr>
          <w:rFonts w:asciiTheme="majorBidi" w:hAnsiTheme="majorBidi" w:cstheme="majorBidi"/>
          <w:sz w:val="24"/>
          <w:szCs w:val="24"/>
        </w:rPr>
        <w:t xml:space="preserve"> </w:t>
      </w:r>
      <w:r w:rsidRPr="009F51ED">
        <w:rPr>
          <w:rFonts w:asciiTheme="majorBidi" w:hAnsiTheme="majorBidi" w:cstheme="majorBidi"/>
          <w:sz w:val="24"/>
          <w:szCs w:val="24"/>
        </w:rPr>
        <w:t xml:space="preserve">Las estrategias de seguridad y de defensa. </w:t>
      </w:r>
      <w:r w:rsidRPr="009F51ED">
        <w:rPr>
          <w:rFonts w:asciiTheme="majorBidi" w:hAnsiTheme="majorBidi" w:cstheme="majorBidi"/>
          <w:i/>
          <w:iCs/>
          <w:sz w:val="24"/>
          <w:szCs w:val="24"/>
        </w:rPr>
        <w:t>Fundamentos de la Estrategia para el siglo XXI</w:t>
      </w:r>
      <w:r w:rsidR="001416F1" w:rsidRPr="009F51ED">
        <w:rPr>
          <w:rFonts w:asciiTheme="majorBidi" w:hAnsiTheme="majorBidi" w:cstheme="majorBidi"/>
          <w:sz w:val="24"/>
          <w:szCs w:val="24"/>
        </w:rPr>
        <w:t>,</w:t>
      </w:r>
      <w:r w:rsidR="001416F1" w:rsidRPr="009F51ED">
        <w:rPr>
          <w:rFonts w:asciiTheme="majorBidi" w:hAnsiTheme="majorBidi" w:cstheme="majorBidi"/>
          <w:i/>
          <w:iCs/>
          <w:sz w:val="24"/>
          <w:szCs w:val="24"/>
        </w:rPr>
        <w:t xml:space="preserve"> </w:t>
      </w:r>
      <w:r w:rsidR="001416F1" w:rsidRPr="009F51ED">
        <w:rPr>
          <w:rFonts w:asciiTheme="majorBidi" w:hAnsiTheme="majorBidi" w:cstheme="majorBidi"/>
          <w:sz w:val="24"/>
          <w:szCs w:val="24"/>
        </w:rPr>
        <w:t>(</w:t>
      </w:r>
      <w:r w:rsidRPr="009F51ED">
        <w:rPr>
          <w:rFonts w:asciiTheme="majorBidi" w:hAnsiTheme="majorBidi" w:cstheme="majorBidi"/>
          <w:sz w:val="24"/>
          <w:szCs w:val="24"/>
        </w:rPr>
        <w:t>67</w:t>
      </w:r>
      <w:r w:rsidR="001416F1" w:rsidRPr="009F51ED">
        <w:rPr>
          <w:rFonts w:asciiTheme="majorBidi" w:hAnsiTheme="majorBidi" w:cstheme="majorBidi"/>
          <w:sz w:val="24"/>
          <w:szCs w:val="24"/>
        </w:rPr>
        <w:t>), 14-64</w:t>
      </w:r>
      <w:r w:rsidRPr="009F51ED">
        <w:rPr>
          <w:rFonts w:asciiTheme="majorBidi" w:hAnsiTheme="majorBidi" w:cstheme="majorBidi"/>
          <w:sz w:val="24"/>
          <w:szCs w:val="24"/>
        </w:rPr>
        <w:t>.</w:t>
      </w:r>
      <w:r w:rsidR="001416F1" w:rsidRPr="009F51ED">
        <w:rPr>
          <w:rFonts w:asciiTheme="majorBidi" w:hAnsiTheme="majorBidi" w:cstheme="majorBidi"/>
          <w:sz w:val="24"/>
          <w:szCs w:val="24"/>
        </w:rPr>
        <w:t xml:space="preserve"> </w:t>
      </w:r>
      <w:hyperlink r:id="rId17" w:history="1">
        <w:r w:rsidR="001416F1" w:rsidRPr="009F51ED">
          <w:rPr>
            <w:rStyle w:val="Hipervnculo"/>
            <w:rFonts w:asciiTheme="majorBidi" w:hAnsiTheme="majorBidi" w:cstheme="majorBidi"/>
            <w:sz w:val="24"/>
            <w:szCs w:val="24"/>
          </w:rPr>
          <w:t>https://dialnet.unirioja.es/servlet/articulo?codigo=4843978</w:t>
        </w:r>
      </w:hyperlink>
      <w:r w:rsidR="001416F1" w:rsidRPr="009F51ED">
        <w:rPr>
          <w:rFonts w:asciiTheme="majorBidi" w:hAnsiTheme="majorBidi" w:cstheme="majorBidi"/>
          <w:sz w:val="24"/>
          <w:szCs w:val="24"/>
        </w:rPr>
        <w:t xml:space="preserve"> </w:t>
      </w:r>
    </w:p>
    <w:p w14:paraId="090538F0" w14:textId="6C7028E3" w:rsidR="001A2C2C" w:rsidRPr="009F51ED" w:rsidRDefault="001A2C2C"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 xml:space="preserve">Banco Mundial. (2021). </w:t>
      </w:r>
      <w:r w:rsidRPr="009F51ED">
        <w:rPr>
          <w:rFonts w:asciiTheme="majorBidi" w:hAnsiTheme="majorBidi" w:cstheme="majorBidi"/>
          <w:i/>
          <w:iCs/>
          <w:sz w:val="24"/>
          <w:szCs w:val="24"/>
          <w:lang w:val="en-US"/>
        </w:rPr>
        <w:t>Commodity Markets Outlook: Urbanization and Commodity Demand, October 2021</w:t>
      </w:r>
      <w:r w:rsidRPr="009F51ED">
        <w:rPr>
          <w:rFonts w:asciiTheme="majorBidi" w:hAnsiTheme="majorBidi" w:cstheme="majorBidi"/>
          <w:sz w:val="24"/>
          <w:szCs w:val="24"/>
          <w:lang w:val="en-US"/>
        </w:rPr>
        <w:t xml:space="preserve">. Banco Mundial, Washington, DC. </w:t>
      </w:r>
      <w:proofErr w:type="spellStart"/>
      <w:r w:rsidRPr="009F51ED">
        <w:rPr>
          <w:rFonts w:asciiTheme="majorBidi" w:hAnsiTheme="majorBidi" w:cstheme="majorBidi"/>
          <w:sz w:val="24"/>
          <w:szCs w:val="24"/>
          <w:lang w:val="en-US"/>
        </w:rPr>
        <w:t>Licencia</w:t>
      </w:r>
      <w:proofErr w:type="spellEnd"/>
      <w:r w:rsidRPr="009F51ED">
        <w:rPr>
          <w:rFonts w:asciiTheme="majorBidi" w:hAnsiTheme="majorBidi" w:cstheme="majorBidi"/>
          <w:sz w:val="24"/>
          <w:szCs w:val="24"/>
          <w:lang w:val="en-US"/>
        </w:rPr>
        <w:t xml:space="preserve">: Creative Commons Attribution CC BY 3.0 IGO. </w:t>
      </w:r>
      <w:hyperlink r:id="rId18" w:history="1">
        <w:r w:rsidRPr="009F51ED">
          <w:rPr>
            <w:rStyle w:val="Hipervnculo"/>
            <w:rFonts w:asciiTheme="majorBidi" w:hAnsiTheme="majorBidi" w:cstheme="majorBidi"/>
            <w:sz w:val="24"/>
            <w:szCs w:val="24"/>
          </w:rPr>
          <w:t>https://openknowledge.worldbank.org/server/api/core/bitstreams/7b201a1b-fdef-5260-af55-1d0aab9146ec/content</w:t>
        </w:r>
      </w:hyperlink>
    </w:p>
    <w:p w14:paraId="4507C278" w14:textId="266A78FA" w:rsidR="00E97B3B" w:rsidRPr="009F51ED" w:rsidRDefault="00E97B3B" w:rsidP="009F51ED">
      <w:pPr>
        <w:spacing w:line="360" w:lineRule="auto"/>
        <w:ind w:left="709" w:hanging="709"/>
        <w:jc w:val="both"/>
        <w:rPr>
          <w:rFonts w:asciiTheme="majorBidi" w:hAnsiTheme="majorBidi" w:cstheme="majorBidi"/>
          <w:sz w:val="24"/>
          <w:szCs w:val="24"/>
          <w:lang w:val="en-US"/>
        </w:rPr>
      </w:pPr>
      <w:proofErr w:type="spellStart"/>
      <w:r w:rsidRPr="009F51ED">
        <w:rPr>
          <w:rFonts w:asciiTheme="majorBidi" w:hAnsiTheme="majorBidi" w:cstheme="majorBidi"/>
          <w:sz w:val="24"/>
          <w:szCs w:val="24"/>
        </w:rPr>
        <w:t>Behnassi</w:t>
      </w:r>
      <w:proofErr w:type="spellEnd"/>
      <w:r w:rsidRPr="009F51ED">
        <w:rPr>
          <w:rFonts w:asciiTheme="majorBidi" w:hAnsiTheme="majorBidi" w:cstheme="majorBidi"/>
          <w:sz w:val="24"/>
          <w:szCs w:val="24"/>
        </w:rPr>
        <w:t xml:space="preserve">, M., y El </w:t>
      </w:r>
      <w:proofErr w:type="spellStart"/>
      <w:r w:rsidRPr="009F51ED">
        <w:rPr>
          <w:rFonts w:asciiTheme="majorBidi" w:hAnsiTheme="majorBidi" w:cstheme="majorBidi"/>
          <w:sz w:val="24"/>
          <w:szCs w:val="24"/>
        </w:rPr>
        <w:t>Haiba</w:t>
      </w:r>
      <w:proofErr w:type="spellEnd"/>
      <w:r w:rsidRPr="009F51ED">
        <w:rPr>
          <w:rFonts w:asciiTheme="majorBidi" w:hAnsiTheme="majorBidi" w:cstheme="majorBidi"/>
          <w:sz w:val="24"/>
          <w:szCs w:val="24"/>
        </w:rPr>
        <w:t xml:space="preserve">, M. (2022). </w:t>
      </w:r>
      <w:r w:rsidRPr="009F51ED">
        <w:rPr>
          <w:rFonts w:asciiTheme="majorBidi" w:hAnsiTheme="majorBidi" w:cstheme="majorBidi"/>
          <w:sz w:val="24"/>
          <w:szCs w:val="24"/>
          <w:lang w:val="en-US"/>
        </w:rPr>
        <w:t xml:space="preserve">Implications of the Russia–Ukraine war for Global Food Security. </w:t>
      </w:r>
      <w:r w:rsidRPr="009F51ED">
        <w:rPr>
          <w:rFonts w:asciiTheme="majorBidi" w:hAnsiTheme="majorBidi" w:cstheme="majorBidi"/>
          <w:i/>
          <w:iCs/>
          <w:sz w:val="24"/>
          <w:szCs w:val="24"/>
          <w:lang w:val="en-US"/>
        </w:rPr>
        <w:t xml:space="preserve">Nature Human </w:t>
      </w:r>
      <w:proofErr w:type="spellStart"/>
      <w:r w:rsidRPr="009F51ED">
        <w:rPr>
          <w:rFonts w:asciiTheme="majorBidi" w:hAnsiTheme="majorBidi" w:cstheme="majorBidi"/>
          <w:i/>
          <w:iCs/>
          <w:sz w:val="24"/>
          <w:szCs w:val="24"/>
          <w:lang w:val="en-US"/>
        </w:rPr>
        <w:t>Behaviour</w:t>
      </w:r>
      <w:proofErr w:type="spellEnd"/>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6</w:t>
      </w:r>
      <w:r w:rsidRPr="009F51ED">
        <w:rPr>
          <w:rFonts w:asciiTheme="majorBidi" w:hAnsiTheme="majorBidi" w:cstheme="majorBidi"/>
          <w:sz w:val="24"/>
          <w:szCs w:val="24"/>
          <w:lang w:val="en-US"/>
        </w:rPr>
        <w:t>(6), 754</w:t>
      </w:r>
      <w:r w:rsidR="00F20C52" w:rsidRPr="009F51ED">
        <w:rPr>
          <w:rFonts w:asciiTheme="majorBidi" w:hAnsiTheme="majorBidi" w:cstheme="majorBidi"/>
          <w:sz w:val="24"/>
          <w:szCs w:val="24"/>
          <w:lang w:val="en-US"/>
        </w:rPr>
        <w:t>-</w:t>
      </w:r>
      <w:r w:rsidRPr="009F51ED">
        <w:rPr>
          <w:rFonts w:asciiTheme="majorBidi" w:hAnsiTheme="majorBidi" w:cstheme="majorBidi"/>
          <w:sz w:val="24"/>
          <w:szCs w:val="24"/>
          <w:lang w:val="en-US"/>
        </w:rPr>
        <w:t xml:space="preserve">755. </w:t>
      </w:r>
      <w:hyperlink r:id="rId19" w:history="1">
        <w:r w:rsidRPr="009F51ED">
          <w:rPr>
            <w:rStyle w:val="Hipervnculo"/>
            <w:rFonts w:asciiTheme="majorBidi" w:hAnsiTheme="majorBidi" w:cstheme="majorBidi"/>
            <w:sz w:val="24"/>
            <w:szCs w:val="24"/>
            <w:lang w:val="en-US"/>
          </w:rPr>
          <w:t>https://doi.org/10.1038/s41562-022-01391-x</w:t>
        </w:r>
      </w:hyperlink>
      <w:r w:rsidRPr="009F51ED">
        <w:rPr>
          <w:rFonts w:asciiTheme="majorBidi" w:hAnsiTheme="majorBidi" w:cstheme="majorBidi"/>
          <w:sz w:val="24"/>
          <w:szCs w:val="24"/>
          <w:lang w:val="en-US"/>
        </w:rPr>
        <w:t xml:space="preserve"> </w:t>
      </w:r>
    </w:p>
    <w:p w14:paraId="45529381" w14:textId="51A9464E" w:rsidR="00FC4EE5" w:rsidRPr="009F51ED" w:rsidRDefault="003E7F86"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 xml:space="preserve">Bianco, C. (2019). </w:t>
      </w:r>
      <w:r w:rsidRPr="009F51ED">
        <w:rPr>
          <w:rFonts w:asciiTheme="majorBidi" w:hAnsiTheme="majorBidi" w:cstheme="majorBidi"/>
          <w:i/>
          <w:iCs/>
          <w:sz w:val="24"/>
          <w:szCs w:val="24"/>
        </w:rPr>
        <w:t>La síntesis neoclásica de la teoría del comercio internacional: un modelo sencillo de Heckscher-Ohlin</w:t>
      </w:r>
      <w:r w:rsidRPr="009F51ED">
        <w:rPr>
          <w:rFonts w:asciiTheme="majorBidi" w:hAnsiTheme="majorBidi" w:cstheme="majorBidi"/>
          <w:sz w:val="24"/>
          <w:szCs w:val="24"/>
        </w:rPr>
        <w:t>.</w:t>
      </w:r>
      <w:r w:rsidR="00FA1C48" w:rsidRPr="009F51ED">
        <w:rPr>
          <w:rFonts w:asciiTheme="majorBidi" w:hAnsiTheme="majorBidi" w:cstheme="majorBidi"/>
          <w:sz w:val="24"/>
          <w:szCs w:val="24"/>
        </w:rPr>
        <w:t xml:space="preserve"> Bernal, Argentina: Universidad Nacional de Quilmes, Unidad de Publicaciones del Departamento de Economía y Administración.</w:t>
      </w:r>
      <w:r w:rsidRPr="009F51ED">
        <w:rPr>
          <w:rFonts w:asciiTheme="majorBidi" w:hAnsiTheme="majorBidi" w:cstheme="majorBidi"/>
          <w:sz w:val="24"/>
          <w:szCs w:val="24"/>
        </w:rPr>
        <w:t xml:space="preserve"> </w:t>
      </w:r>
      <w:hyperlink r:id="rId20" w:history="1">
        <w:r w:rsidRPr="009F51ED">
          <w:rPr>
            <w:rStyle w:val="Hipervnculo"/>
            <w:rFonts w:asciiTheme="majorBidi" w:hAnsiTheme="majorBidi" w:cstheme="majorBidi"/>
            <w:sz w:val="24"/>
            <w:szCs w:val="24"/>
          </w:rPr>
          <w:t>http://ridaa.unq.edu.ar/handle/20.500.11807/2992</w:t>
        </w:r>
      </w:hyperlink>
    </w:p>
    <w:p w14:paraId="65350831" w14:textId="77777777" w:rsidR="00CF6F22" w:rsidRPr="009F51ED" w:rsidRDefault="00FC4EE5"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Castillo Nino, A. (1981). </w:t>
      </w:r>
      <w:r w:rsidRPr="009F51ED">
        <w:rPr>
          <w:rFonts w:asciiTheme="majorBidi" w:hAnsiTheme="majorBidi" w:cstheme="majorBidi"/>
          <w:i/>
          <w:iCs/>
          <w:sz w:val="24"/>
          <w:szCs w:val="24"/>
        </w:rPr>
        <w:t>Comercio internacional de granos</w:t>
      </w:r>
      <w:r w:rsidRPr="009F51ED">
        <w:rPr>
          <w:rFonts w:asciiTheme="majorBidi" w:hAnsiTheme="majorBidi" w:cstheme="majorBidi"/>
          <w:sz w:val="24"/>
          <w:szCs w:val="24"/>
        </w:rPr>
        <w:t xml:space="preserve">. Instituto Colombiano Agropecuario. </w:t>
      </w:r>
      <w:hyperlink r:id="rId21" w:history="1">
        <w:r w:rsidR="007F0FD5" w:rsidRPr="009F51ED">
          <w:rPr>
            <w:rStyle w:val="Hipervnculo"/>
            <w:rFonts w:asciiTheme="majorBidi" w:hAnsiTheme="majorBidi" w:cstheme="majorBidi"/>
            <w:sz w:val="24"/>
            <w:szCs w:val="24"/>
          </w:rPr>
          <w:t>https://repository.agrosavia.co/bitstream/handle/20.500.12324/23821/23074_4422.pdf?sequence=1</w:t>
        </w:r>
      </w:hyperlink>
      <w:r w:rsidRPr="009F51ED">
        <w:rPr>
          <w:rFonts w:asciiTheme="majorBidi" w:hAnsiTheme="majorBidi" w:cstheme="majorBidi"/>
          <w:sz w:val="24"/>
          <w:szCs w:val="24"/>
        </w:rPr>
        <w:t xml:space="preserve"> </w:t>
      </w:r>
    </w:p>
    <w:p w14:paraId="33333F49" w14:textId="0235CE39" w:rsidR="00CF6F22" w:rsidRPr="009F51ED" w:rsidRDefault="00CF6F22" w:rsidP="009F51ED">
      <w:pPr>
        <w:spacing w:line="360" w:lineRule="auto"/>
        <w:ind w:left="709" w:hanging="709"/>
        <w:jc w:val="both"/>
        <w:rPr>
          <w:rFonts w:asciiTheme="majorBidi" w:hAnsiTheme="majorBidi" w:cstheme="majorBidi"/>
          <w:sz w:val="24"/>
          <w:szCs w:val="24"/>
          <w:lang w:val="de-DE"/>
        </w:rPr>
      </w:pPr>
      <w:proofErr w:type="spellStart"/>
      <w:r w:rsidRPr="009F51ED">
        <w:rPr>
          <w:rFonts w:asciiTheme="majorBidi" w:hAnsiTheme="majorBidi" w:cstheme="majorBidi"/>
          <w:sz w:val="24"/>
          <w:szCs w:val="24"/>
          <w:lang w:val="en-US"/>
        </w:rPr>
        <w:t>Caprile</w:t>
      </w:r>
      <w:proofErr w:type="spellEnd"/>
      <w:r w:rsidRPr="009F51ED">
        <w:rPr>
          <w:rFonts w:asciiTheme="majorBidi" w:hAnsiTheme="majorBidi" w:cstheme="majorBidi"/>
          <w:sz w:val="24"/>
          <w:szCs w:val="24"/>
          <w:lang w:val="en-US"/>
        </w:rPr>
        <w:t xml:space="preserve">, A., Pichon, E., </w:t>
      </w:r>
      <w:proofErr w:type="spellStart"/>
      <w:r w:rsidRPr="009F51ED">
        <w:rPr>
          <w:rFonts w:asciiTheme="majorBidi" w:hAnsiTheme="majorBidi" w:cstheme="majorBidi"/>
          <w:sz w:val="24"/>
          <w:szCs w:val="24"/>
          <w:lang w:val="en-US"/>
        </w:rPr>
        <w:t>Przetacznik</w:t>
      </w:r>
      <w:proofErr w:type="spellEnd"/>
      <w:r w:rsidRPr="009F51ED">
        <w:rPr>
          <w:rFonts w:asciiTheme="majorBidi" w:hAnsiTheme="majorBidi" w:cstheme="majorBidi"/>
          <w:sz w:val="24"/>
          <w:szCs w:val="24"/>
          <w:lang w:val="en-US"/>
        </w:rPr>
        <w:t xml:space="preserve"> J., y Smit-Jacobs, K. (2022). </w:t>
      </w:r>
      <w:r w:rsidRPr="009F51ED">
        <w:rPr>
          <w:rFonts w:asciiTheme="majorBidi" w:hAnsiTheme="majorBidi" w:cstheme="majorBidi"/>
          <w:i/>
          <w:iCs/>
          <w:sz w:val="24"/>
          <w:szCs w:val="24"/>
          <w:lang w:val="en-US"/>
        </w:rPr>
        <w:t>Question time: The impact on third countries of Russia's war on Ukraine in relation to the 'Black Sea Grain Initiative' agreement</w:t>
      </w:r>
      <w:r w:rsidRPr="009F51ED">
        <w:rPr>
          <w:rFonts w:asciiTheme="majorBidi" w:hAnsiTheme="majorBidi" w:cstheme="majorBidi"/>
          <w:sz w:val="24"/>
          <w:szCs w:val="24"/>
          <w:lang w:val="en-US"/>
        </w:rPr>
        <w:t xml:space="preserve">, EPRS: European Parliamentary Research Service. </w:t>
      </w:r>
      <w:proofErr w:type="spellStart"/>
      <w:r w:rsidRPr="009F51ED">
        <w:rPr>
          <w:rFonts w:asciiTheme="majorBidi" w:hAnsiTheme="majorBidi" w:cstheme="majorBidi"/>
          <w:sz w:val="24"/>
          <w:szCs w:val="24"/>
          <w:lang w:val="de-DE"/>
        </w:rPr>
        <w:t>Belgium</w:t>
      </w:r>
      <w:proofErr w:type="spellEnd"/>
      <w:r w:rsidRPr="009F51ED">
        <w:rPr>
          <w:rFonts w:asciiTheme="majorBidi" w:hAnsiTheme="majorBidi" w:cstheme="majorBidi"/>
          <w:sz w:val="24"/>
          <w:szCs w:val="24"/>
          <w:lang w:val="de-DE"/>
        </w:rPr>
        <w:t xml:space="preserve">. </w:t>
      </w:r>
      <w:hyperlink r:id="rId22" w:history="1">
        <w:r w:rsidRPr="009F51ED">
          <w:rPr>
            <w:rStyle w:val="Hipervnculo"/>
            <w:rFonts w:asciiTheme="majorBidi" w:hAnsiTheme="majorBidi" w:cstheme="majorBidi"/>
            <w:sz w:val="24"/>
            <w:szCs w:val="24"/>
            <w:lang w:val="de-DE"/>
          </w:rPr>
          <w:t>https://www.europarl.europa.eu/RegData/etudes/ATAG/2022/739200/EPRS_ATA(2022)739200_EN.pdf</w:t>
        </w:r>
      </w:hyperlink>
      <w:r w:rsidRPr="009F51ED">
        <w:rPr>
          <w:rFonts w:asciiTheme="majorBidi" w:hAnsiTheme="majorBidi" w:cstheme="majorBidi"/>
          <w:sz w:val="24"/>
          <w:szCs w:val="24"/>
          <w:lang w:val="de-DE"/>
        </w:rPr>
        <w:t xml:space="preserve"> </w:t>
      </w:r>
    </w:p>
    <w:p w14:paraId="0D8697E2" w14:textId="4206A4B2" w:rsidR="002C7DC7" w:rsidRPr="009F51ED" w:rsidRDefault="002C7DC7"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rPr>
        <w:t>Colás</w:t>
      </w:r>
      <w:proofErr w:type="spellEnd"/>
      <w:r w:rsidRPr="009F51ED">
        <w:rPr>
          <w:rFonts w:asciiTheme="majorBidi" w:hAnsiTheme="majorBidi" w:cstheme="majorBidi"/>
          <w:sz w:val="24"/>
          <w:szCs w:val="24"/>
        </w:rPr>
        <w:t xml:space="preserve">, X. (2022). Vladimir Putin lanza una guerra relámpago en Ucrania. </w:t>
      </w:r>
      <w:r w:rsidRPr="009F51ED">
        <w:rPr>
          <w:rFonts w:asciiTheme="majorBidi" w:hAnsiTheme="majorBidi" w:cstheme="majorBidi"/>
          <w:i/>
          <w:iCs/>
          <w:sz w:val="24"/>
          <w:szCs w:val="24"/>
        </w:rPr>
        <w:t>El Mundo</w:t>
      </w:r>
      <w:r w:rsidRPr="009F51ED">
        <w:rPr>
          <w:rFonts w:asciiTheme="majorBidi" w:hAnsiTheme="majorBidi" w:cstheme="majorBidi"/>
          <w:sz w:val="24"/>
          <w:szCs w:val="24"/>
        </w:rPr>
        <w:t xml:space="preserve">. </w:t>
      </w:r>
      <w:hyperlink r:id="rId23" w:history="1">
        <w:r w:rsidRPr="009F51ED">
          <w:rPr>
            <w:rStyle w:val="Hipervnculo"/>
            <w:rFonts w:asciiTheme="majorBidi" w:hAnsiTheme="majorBidi" w:cstheme="majorBidi"/>
            <w:sz w:val="24"/>
            <w:szCs w:val="24"/>
          </w:rPr>
          <w:t>https://www.elmundo.es/internacional/2022/02/24/6217dd6f21efa0101c8b45c4.html</w:t>
        </w:r>
      </w:hyperlink>
    </w:p>
    <w:p w14:paraId="108C3104" w14:textId="3D33EA2A" w:rsidR="00004DF2" w:rsidRPr="009F51ED" w:rsidRDefault="0017124B"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CIC</w:t>
      </w:r>
      <w:r w:rsidR="00004DF2" w:rsidRPr="009F51ED">
        <w:rPr>
          <w:rFonts w:asciiTheme="majorBidi" w:hAnsiTheme="majorBidi" w:cstheme="majorBidi"/>
          <w:sz w:val="24"/>
          <w:szCs w:val="24"/>
        </w:rPr>
        <w:t xml:space="preserve">. (2022). </w:t>
      </w:r>
      <w:r w:rsidR="00004DF2" w:rsidRPr="009F51ED">
        <w:rPr>
          <w:rFonts w:asciiTheme="majorBidi" w:hAnsiTheme="majorBidi" w:cstheme="majorBidi"/>
          <w:sz w:val="24"/>
          <w:szCs w:val="24"/>
          <w:lang w:val="en-US"/>
        </w:rPr>
        <w:t xml:space="preserve">Databank: Ukraine production and trade (main grains &amp; oilseeds/products). </w:t>
      </w:r>
      <w:r w:rsidR="00004DF2" w:rsidRPr="009F51ED">
        <w:rPr>
          <w:rFonts w:asciiTheme="majorBidi" w:hAnsiTheme="majorBidi" w:cstheme="majorBidi"/>
          <w:sz w:val="24"/>
          <w:szCs w:val="24"/>
        </w:rPr>
        <w:t xml:space="preserve">Londres. </w:t>
      </w:r>
      <w:hyperlink r:id="rId24" w:history="1">
        <w:r w:rsidR="00004DF2" w:rsidRPr="009F51ED">
          <w:rPr>
            <w:rStyle w:val="Hipervnculo"/>
            <w:rFonts w:asciiTheme="majorBidi" w:hAnsiTheme="majorBidi" w:cstheme="majorBidi"/>
            <w:sz w:val="24"/>
            <w:szCs w:val="24"/>
          </w:rPr>
          <w:t>http://www.igc.int/en/downloads/2022/gen2122misc1.pdf</w:t>
        </w:r>
      </w:hyperlink>
      <w:r w:rsidR="00004DF2" w:rsidRPr="009F51ED">
        <w:rPr>
          <w:rFonts w:asciiTheme="majorBidi" w:hAnsiTheme="majorBidi" w:cstheme="majorBidi"/>
          <w:sz w:val="24"/>
          <w:szCs w:val="24"/>
        </w:rPr>
        <w:t xml:space="preserve"> </w:t>
      </w:r>
    </w:p>
    <w:p w14:paraId="66FBEB22" w14:textId="2A01437B" w:rsidR="00C30727" w:rsidRPr="009F51ED" w:rsidRDefault="00C30727"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rPr>
        <w:t>Coppelli</w:t>
      </w:r>
      <w:proofErr w:type="spellEnd"/>
      <w:r w:rsidRPr="009F51ED">
        <w:rPr>
          <w:rFonts w:asciiTheme="majorBidi" w:hAnsiTheme="majorBidi" w:cstheme="majorBidi"/>
          <w:sz w:val="24"/>
          <w:szCs w:val="24"/>
        </w:rPr>
        <w:t xml:space="preserve"> Ortiz, G. (2018). </w:t>
      </w:r>
      <w:r w:rsidRPr="009F51ED">
        <w:rPr>
          <w:rFonts w:asciiTheme="majorBidi" w:hAnsiTheme="majorBidi" w:cstheme="majorBidi"/>
          <w:sz w:val="24"/>
          <w:szCs w:val="24"/>
          <w:lang w:val="en-US"/>
        </w:rPr>
        <w:t xml:space="preserve">The economic globalization of the 21st Century. </w:t>
      </w:r>
      <w:r w:rsidRPr="009F51ED">
        <w:rPr>
          <w:rFonts w:asciiTheme="majorBidi" w:hAnsiTheme="majorBidi" w:cstheme="majorBidi"/>
          <w:sz w:val="24"/>
          <w:szCs w:val="24"/>
        </w:rPr>
        <w:t xml:space="preserve">Between </w:t>
      </w:r>
      <w:proofErr w:type="spellStart"/>
      <w:r w:rsidRPr="009F51ED">
        <w:rPr>
          <w:rFonts w:asciiTheme="majorBidi" w:hAnsiTheme="majorBidi" w:cstheme="majorBidi"/>
          <w:sz w:val="24"/>
          <w:szCs w:val="24"/>
        </w:rPr>
        <w:t>globalization</w:t>
      </w:r>
      <w:proofErr w:type="spellEnd"/>
      <w:r w:rsidRPr="009F51ED">
        <w:rPr>
          <w:rFonts w:asciiTheme="majorBidi" w:hAnsiTheme="majorBidi" w:cstheme="majorBidi"/>
          <w:sz w:val="24"/>
          <w:szCs w:val="24"/>
        </w:rPr>
        <w:t xml:space="preserve"> and </w:t>
      </w:r>
      <w:proofErr w:type="spellStart"/>
      <w:r w:rsidRPr="009F51ED">
        <w:rPr>
          <w:rFonts w:asciiTheme="majorBidi" w:hAnsiTheme="majorBidi" w:cstheme="majorBidi"/>
          <w:sz w:val="24"/>
          <w:szCs w:val="24"/>
        </w:rPr>
        <w:t>deglobalization</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Estudios internacionales (Santiago)</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50</w:t>
      </w:r>
      <w:r w:rsidRPr="009F51ED">
        <w:rPr>
          <w:rFonts w:asciiTheme="majorBidi" w:hAnsiTheme="majorBidi" w:cstheme="majorBidi"/>
          <w:sz w:val="24"/>
          <w:szCs w:val="24"/>
        </w:rPr>
        <w:t xml:space="preserve">(191), 57-80. </w:t>
      </w:r>
      <w:hyperlink r:id="rId25" w:history="1">
        <w:r w:rsidRPr="009F51ED">
          <w:rPr>
            <w:rStyle w:val="Hipervnculo"/>
            <w:rFonts w:asciiTheme="majorBidi" w:hAnsiTheme="majorBidi" w:cstheme="majorBidi"/>
            <w:sz w:val="24"/>
            <w:szCs w:val="24"/>
          </w:rPr>
          <w:t>https://dx.doi.org/10.5354/0719-3769.2019.52048</w:t>
        </w:r>
      </w:hyperlink>
      <w:r w:rsidRPr="009F51ED">
        <w:rPr>
          <w:rFonts w:asciiTheme="majorBidi" w:hAnsiTheme="majorBidi" w:cstheme="majorBidi"/>
          <w:sz w:val="24"/>
          <w:szCs w:val="24"/>
        </w:rPr>
        <w:t xml:space="preserve"> </w:t>
      </w:r>
    </w:p>
    <w:p w14:paraId="04F40ED8" w14:textId="3D1BC53E" w:rsidR="00D060C6" w:rsidRPr="009F51ED" w:rsidRDefault="00D060C6" w:rsidP="009F51ED">
      <w:pPr>
        <w:spacing w:line="360" w:lineRule="auto"/>
        <w:ind w:left="709" w:hanging="709"/>
        <w:jc w:val="both"/>
        <w:rPr>
          <w:rFonts w:asciiTheme="majorBidi" w:hAnsiTheme="majorBidi" w:cstheme="majorBidi"/>
          <w:sz w:val="24"/>
          <w:szCs w:val="24"/>
          <w:lang w:val="de-DE"/>
        </w:rPr>
      </w:pPr>
      <w:proofErr w:type="spellStart"/>
      <w:r w:rsidRPr="009F51ED">
        <w:rPr>
          <w:rFonts w:asciiTheme="majorBidi" w:hAnsiTheme="majorBidi" w:cstheme="majorBidi"/>
          <w:sz w:val="24"/>
          <w:szCs w:val="24"/>
        </w:rPr>
        <w:t>Devitt</w:t>
      </w:r>
      <w:proofErr w:type="spellEnd"/>
      <w:r w:rsidRPr="009F51ED">
        <w:rPr>
          <w:rFonts w:asciiTheme="majorBidi" w:hAnsiTheme="majorBidi" w:cstheme="majorBidi"/>
          <w:sz w:val="24"/>
          <w:szCs w:val="24"/>
        </w:rPr>
        <w:t xml:space="preserve">, P. (2022, 31 de enero). </w:t>
      </w:r>
      <w:r w:rsidRPr="009F51ED">
        <w:rPr>
          <w:rFonts w:asciiTheme="majorBidi" w:hAnsiTheme="majorBidi" w:cstheme="majorBidi"/>
          <w:i/>
          <w:iCs/>
          <w:sz w:val="24"/>
          <w:szCs w:val="24"/>
          <w:lang w:val="en-US"/>
        </w:rPr>
        <w:t>Russia’s monthly grain exports by destination</w:t>
      </w:r>
      <w:r w:rsidRPr="009F51ED">
        <w:rPr>
          <w:rFonts w:asciiTheme="majorBidi" w:hAnsiTheme="majorBidi" w:cstheme="majorBidi"/>
          <w:sz w:val="24"/>
          <w:szCs w:val="24"/>
          <w:lang w:val="en-US"/>
        </w:rPr>
        <w:t xml:space="preserve">. </w:t>
      </w:r>
      <w:r w:rsidRPr="009F51ED">
        <w:rPr>
          <w:rFonts w:asciiTheme="majorBidi" w:hAnsiTheme="majorBidi" w:cstheme="majorBidi"/>
          <w:sz w:val="24"/>
          <w:szCs w:val="24"/>
          <w:lang w:val="de-DE"/>
        </w:rPr>
        <w:t xml:space="preserve">Reuters. </w:t>
      </w:r>
      <w:hyperlink r:id="rId26" w:history="1">
        <w:r w:rsidRPr="009F51ED">
          <w:rPr>
            <w:rStyle w:val="Hipervnculo"/>
            <w:rFonts w:asciiTheme="majorBidi" w:hAnsiTheme="majorBidi" w:cstheme="majorBidi"/>
            <w:sz w:val="24"/>
            <w:szCs w:val="24"/>
            <w:lang w:val="de-DE"/>
          </w:rPr>
          <w:t>https://www.reuters.com/markets/asia/russias-monthly-grain-exports-by-destination-2022-01-31/</w:t>
        </w:r>
      </w:hyperlink>
      <w:r w:rsidRPr="009F51ED">
        <w:rPr>
          <w:rFonts w:asciiTheme="majorBidi" w:hAnsiTheme="majorBidi" w:cstheme="majorBidi"/>
          <w:sz w:val="24"/>
          <w:szCs w:val="24"/>
          <w:lang w:val="de-DE"/>
        </w:rPr>
        <w:t xml:space="preserve"> </w:t>
      </w:r>
    </w:p>
    <w:p w14:paraId="72EC3656" w14:textId="17304411" w:rsidR="009F477B" w:rsidRPr="009F51ED" w:rsidRDefault="009F477B"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FAO. (1996). </w:t>
      </w:r>
      <w:r w:rsidR="00904A3E" w:rsidRPr="009F51ED">
        <w:rPr>
          <w:rFonts w:asciiTheme="majorBidi" w:hAnsiTheme="majorBidi" w:cstheme="majorBidi"/>
          <w:sz w:val="24"/>
          <w:szCs w:val="24"/>
          <w:lang w:val="en-US"/>
        </w:rPr>
        <w:t>Rome Declaration on World Food Security.</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Population and Development Review</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22</w:t>
      </w:r>
      <w:r w:rsidR="00904A3E" w:rsidRPr="009F51ED">
        <w:rPr>
          <w:rFonts w:asciiTheme="majorBidi" w:hAnsiTheme="majorBidi" w:cstheme="majorBidi"/>
          <w:sz w:val="24"/>
          <w:szCs w:val="24"/>
          <w:lang w:val="en-US"/>
        </w:rPr>
        <w:t>(4)</w:t>
      </w:r>
      <w:r w:rsidRPr="009F51ED">
        <w:rPr>
          <w:rFonts w:asciiTheme="majorBidi" w:hAnsiTheme="majorBidi" w:cstheme="majorBidi"/>
          <w:sz w:val="24"/>
          <w:szCs w:val="24"/>
          <w:lang w:val="en-US"/>
        </w:rPr>
        <w:t>, 807-809</w:t>
      </w:r>
      <w:r w:rsidR="00904A3E" w:rsidRPr="009F51ED">
        <w:rPr>
          <w:rFonts w:asciiTheme="majorBidi" w:hAnsiTheme="majorBidi" w:cstheme="majorBidi"/>
          <w:sz w:val="24"/>
          <w:szCs w:val="24"/>
          <w:lang w:val="en-US"/>
        </w:rPr>
        <w:t xml:space="preserve">. </w:t>
      </w:r>
      <w:hyperlink r:id="rId27" w:history="1">
        <w:r w:rsidR="00904A3E" w:rsidRPr="009F51ED">
          <w:rPr>
            <w:rStyle w:val="Hipervnculo"/>
            <w:rFonts w:asciiTheme="majorBidi" w:hAnsiTheme="majorBidi" w:cstheme="majorBidi"/>
            <w:sz w:val="24"/>
            <w:szCs w:val="24"/>
            <w:lang w:val="en-US"/>
          </w:rPr>
          <w:t>https://www.fao.org/3/w3613e/w3613e00.htm</w:t>
        </w:r>
      </w:hyperlink>
      <w:r w:rsidR="00904A3E" w:rsidRPr="009F51ED">
        <w:rPr>
          <w:rFonts w:asciiTheme="majorBidi" w:hAnsiTheme="majorBidi" w:cstheme="majorBidi"/>
          <w:sz w:val="24"/>
          <w:szCs w:val="24"/>
          <w:lang w:val="en-US"/>
        </w:rPr>
        <w:t xml:space="preserve"> </w:t>
      </w:r>
    </w:p>
    <w:p w14:paraId="6E707BE7" w14:textId="51D16A0B" w:rsidR="00C74418" w:rsidRPr="009F51ED" w:rsidRDefault="00C74418"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FAO. (2021). Trade Policy Review in Europe and Central Asia</w:t>
      </w:r>
      <w:r w:rsidRPr="009F51ED">
        <w:rPr>
          <w:rFonts w:asciiTheme="majorBidi" w:hAnsiTheme="majorBidi" w:cstheme="majorBidi"/>
          <w:i/>
          <w:iCs/>
          <w:sz w:val="24"/>
          <w:szCs w:val="24"/>
          <w:lang w:val="en-US"/>
        </w:rPr>
        <w:t xml:space="preserve">. Quarterly Bulletin, </w:t>
      </w:r>
      <w:r w:rsidRPr="009F51ED">
        <w:rPr>
          <w:rFonts w:asciiTheme="majorBidi" w:hAnsiTheme="majorBidi" w:cstheme="majorBidi"/>
          <w:sz w:val="24"/>
          <w:szCs w:val="24"/>
          <w:lang w:val="en-US"/>
        </w:rPr>
        <w:t xml:space="preserve">(7). </w:t>
      </w:r>
      <w:hyperlink r:id="rId28" w:history="1">
        <w:r w:rsidRPr="009F51ED">
          <w:rPr>
            <w:rStyle w:val="Hipervnculo"/>
            <w:rFonts w:asciiTheme="majorBidi" w:hAnsiTheme="majorBidi" w:cstheme="majorBidi"/>
            <w:sz w:val="24"/>
            <w:szCs w:val="24"/>
            <w:lang w:val="en-US"/>
          </w:rPr>
          <w:t>https://www.fao.org/3/cb7132en/cb7132en.pdf</w:t>
        </w:r>
      </w:hyperlink>
      <w:r w:rsidRPr="009F51ED">
        <w:rPr>
          <w:rFonts w:asciiTheme="majorBidi" w:hAnsiTheme="majorBidi" w:cstheme="majorBidi"/>
          <w:sz w:val="24"/>
          <w:szCs w:val="24"/>
          <w:lang w:val="en-US"/>
        </w:rPr>
        <w:t xml:space="preserve"> </w:t>
      </w:r>
    </w:p>
    <w:p w14:paraId="1E20F81F" w14:textId="77777777" w:rsidR="00DD6477" w:rsidRPr="009F51ED" w:rsidRDefault="00DD6477"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FAO. (2022a). Crop Prospects and Food Situation. </w:t>
      </w:r>
      <w:r w:rsidRPr="009F51ED">
        <w:rPr>
          <w:rFonts w:asciiTheme="majorBidi" w:hAnsiTheme="majorBidi" w:cstheme="majorBidi"/>
          <w:i/>
          <w:iCs/>
          <w:sz w:val="24"/>
          <w:szCs w:val="24"/>
          <w:lang w:val="en-US"/>
        </w:rPr>
        <w:t>Quarterly Global Report</w:t>
      </w:r>
      <w:r w:rsidRPr="009F51ED">
        <w:rPr>
          <w:rFonts w:asciiTheme="majorBidi" w:hAnsiTheme="majorBidi" w:cstheme="majorBidi"/>
          <w:sz w:val="24"/>
          <w:szCs w:val="24"/>
          <w:lang w:val="en-US"/>
        </w:rPr>
        <w:t>, (4). Roma.</w:t>
      </w:r>
      <w:r w:rsidRPr="009F51ED">
        <w:rPr>
          <w:rFonts w:asciiTheme="majorBidi" w:hAnsiTheme="majorBidi" w:cstheme="majorBidi"/>
          <w:sz w:val="24"/>
          <w:szCs w:val="24"/>
          <w:lang w:val="en-US"/>
        </w:rPr>
        <w:br/>
      </w:r>
      <w:hyperlink r:id="rId29" w:history="1">
        <w:r w:rsidRPr="009F51ED">
          <w:rPr>
            <w:rStyle w:val="Hipervnculo"/>
            <w:rFonts w:asciiTheme="majorBidi" w:hAnsiTheme="majorBidi" w:cstheme="majorBidi"/>
            <w:sz w:val="24"/>
            <w:szCs w:val="24"/>
            <w:lang w:val="en-US"/>
          </w:rPr>
          <w:t>https://doi.org/10.4060/cc3233en</w:t>
        </w:r>
      </w:hyperlink>
    </w:p>
    <w:p w14:paraId="63017FF7" w14:textId="72EFA07D" w:rsidR="00E27B3D" w:rsidRPr="009F51ED" w:rsidRDefault="00E27B3D"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FAO. (2022</w:t>
      </w:r>
      <w:r w:rsidR="00DD6477" w:rsidRPr="009F51ED">
        <w:rPr>
          <w:rFonts w:asciiTheme="majorBidi" w:hAnsiTheme="majorBidi" w:cstheme="majorBidi"/>
          <w:sz w:val="24"/>
          <w:szCs w:val="24"/>
          <w:lang w:val="en-US"/>
        </w:rPr>
        <w:t>b</w:t>
      </w:r>
      <w:r w:rsidR="007D5BD2" w:rsidRPr="009F51ED">
        <w:rPr>
          <w:rFonts w:asciiTheme="majorBidi" w:hAnsiTheme="majorBidi" w:cstheme="majorBidi"/>
          <w:sz w:val="24"/>
          <w:szCs w:val="24"/>
          <w:lang w:val="en-US"/>
        </w:rPr>
        <w:t xml:space="preserve">, </w:t>
      </w:r>
      <w:proofErr w:type="spellStart"/>
      <w:r w:rsidR="007D5BD2" w:rsidRPr="009F51ED">
        <w:rPr>
          <w:rFonts w:asciiTheme="majorBidi" w:hAnsiTheme="majorBidi" w:cstheme="majorBidi"/>
          <w:sz w:val="24"/>
          <w:szCs w:val="24"/>
          <w:lang w:val="en-US"/>
        </w:rPr>
        <w:t>junio</w:t>
      </w:r>
      <w:proofErr w:type="spellEnd"/>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Food Outlook – Biannual Report on Global Food Markets</w:t>
      </w:r>
      <w:r w:rsidRPr="009F51ED">
        <w:rPr>
          <w:rFonts w:asciiTheme="majorBidi" w:hAnsiTheme="majorBidi" w:cstheme="majorBidi"/>
          <w:sz w:val="24"/>
          <w:szCs w:val="24"/>
          <w:lang w:val="en-US"/>
        </w:rPr>
        <w:t xml:space="preserve">. Roma. </w:t>
      </w:r>
      <w:hyperlink r:id="rId30" w:history="1">
        <w:r w:rsidRPr="009F51ED">
          <w:rPr>
            <w:rStyle w:val="Hipervnculo"/>
            <w:rFonts w:asciiTheme="majorBidi" w:hAnsiTheme="majorBidi" w:cstheme="majorBidi"/>
            <w:sz w:val="24"/>
            <w:szCs w:val="24"/>
            <w:lang w:val="en-US"/>
          </w:rPr>
          <w:t>https://doi.org/10.4060/cb9427en</w:t>
        </w:r>
      </w:hyperlink>
    </w:p>
    <w:p w14:paraId="5BE502F8" w14:textId="7EFEA1A5" w:rsidR="00E61F6B" w:rsidRPr="009F51ED" w:rsidRDefault="00E61F6B" w:rsidP="009F51ED">
      <w:pPr>
        <w:spacing w:line="360" w:lineRule="auto"/>
        <w:ind w:left="709" w:hanging="709"/>
        <w:jc w:val="both"/>
        <w:rPr>
          <w:rStyle w:val="Hipervnculo"/>
          <w:rFonts w:asciiTheme="majorBidi" w:hAnsiTheme="majorBidi" w:cstheme="majorBidi"/>
          <w:sz w:val="24"/>
          <w:szCs w:val="24"/>
          <w:lang w:val="en-US"/>
        </w:rPr>
      </w:pPr>
      <w:r w:rsidRPr="009F51ED">
        <w:rPr>
          <w:rFonts w:asciiTheme="majorBidi" w:hAnsiTheme="majorBidi" w:cstheme="majorBidi"/>
          <w:sz w:val="24"/>
          <w:szCs w:val="24"/>
          <w:lang w:val="en-US"/>
        </w:rPr>
        <w:t>FAO. (2022c</w:t>
      </w:r>
      <w:r w:rsidR="00157D41" w:rsidRPr="009F51ED">
        <w:rPr>
          <w:rFonts w:asciiTheme="majorBidi" w:hAnsiTheme="majorBidi" w:cstheme="majorBidi"/>
          <w:sz w:val="24"/>
          <w:szCs w:val="24"/>
          <w:lang w:val="en-US"/>
        </w:rPr>
        <w:t xml:space="preserve">, </w:t>
      </w:r>
      <w:proofErr w:type="spellStart"/>
      <w:r w:rsidR="00157D41" w:rsidRPr="009F51ED">
        <w:rPr>
          <w:rFonts w:asciiTheme="majorBidi" w:hAnsiTheme="majorBidi" w:cstheme="majorBidi"/>
          <w:sz w:val="24"/>
          <w:szCs w:val="24"/>
          <w:lang w:val="en-US"/>
        </w:rPr>
        <w:t>noviembre</w:t>
      </w:r>
      <w:proofErr w:type="spellEnd"/>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Food Outlook – Biannual Report on Global Food Markets</w:t>
      </w:r>
      <w:r w:rsidRPr="009F51ED">
        <w:rPr>
          <w:rFonts w:asciiTheme="majorBidi" w:hAnsiTheme="majorBidi" w:cstheme="majorBidi"/>
          <w:sz w:val="24"/>
          <w:szCs w:val="24"/>
          <w:lang w:val="en-US"/>
        </w:rPr>
        <w:t xml:space="preserve">. Roma. </w:t>
      </w:r>
      <w:hyperlink r:id="rId31" w:history="1">
        <w:r w:rsidRPr="009F51ED">
          <w:rPr>
            <w:rStyle w:val="Hipervnculo"/>
            <w:rFonts w:asciiTheme="majorBidi" w:hAnsiTheme="majorBidi" w:cstheme="majorBidi"/>
            <w:sz w:val="24"/>
            <w:szCs w:val="24"/>
            <w:lang w:val="en-US"/>
          </w:rPr>
          <w:t>https://doi.org/10.4060/cc2864en</w:t>
        </w:r>
      </w:hyperlink>
    </w:p>
    <w:p w14:paraId="7851C361" w14:textId="10E0D066" w:rsidR="00453997" w:rsidRPr="009F51ED" w:rsidRDefault="00453997"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FAO. (2022</w:t>
      </w:r>
      <w:r w:rsidR="00380388" w:rsidRPr="009F51ED">
        <w:rPr>
          <w:rFonts w:asciiTheme="majorBidi" w:hAnsiTheme="majorBidi" w:cstheme="majorBidi"/>
          <w:sz w:val="24"/>
          <w:szCs w:val="24"/>
          <w:lang w:val="en-US"/>
        </w:rPr>
        <w:t>d</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New scenarios on global food security based</w:t>
      </w:r>
      <w:r w:rsidR="00E426A8" w:rsidRPr="009F51ED">
        <w:rPr>
          <w:rFonts w:asciiTheme="majorBidi" w:hAnsiTheme="majorBidi" w:cstheme="majorBidi"/>
          <w:i/>
          <w:iCs/>
          <w:sz w:val="24"/>
          <w:szCs w:val="24"/>
          <w:lang w:val="en-US"/>
        </w:rPr>
        <w:t xml:space="preserve"> </w:t>
      </w:r>
      <w:r w:rsidRPr="009F51ED">
        <w:rPr>
          <w:rFonts w:asciiTheme="majorBidi" w:hAnsiTheme="majorBidi" w:cstheme="majorBidi"/>
          <w:i/>
          <w:iCs/>
          <w:sz w:val="24"/>
          <w:szCs w:val="24"/>
          <w:lang w:val="en-US"/>
        </w:rPr>
        <w:t>on Russia-Ukraine conflict</w:t>
      </w:r>
      <w:r w:rsidRPr="009F51ED">
        <w:rPr>
          <w:rFonts w:asciiTheme="majorBidi" w:hAnsiTheme="majorBidi" w:cstheme="majorBidi"/>
          <w:sz w:val="24"/>
          <w:szCs w:val="24"/>
          <w:lang w:val="en-US"/>
        </w:rPr>
        <w:t xml:space="preserve">. FAO. </w:t>
      </w:r>
      <w:hyperlink r:id="rId32" w:history="1">
        <w:r w:rsidRPr="009F51ED">
          <w:rPr>
            <w:rStyle w:val="Hipervnculo"/>
            <w:rFonts w:asciiTheme="majorBidi" w:hAnsiTheme="majorBidi" w:cstheme="majorBidi"/>
            <w:sz w:val="24"/>
            <w:szCs w:val="24"/>
            <w:lang w:val="en-US"/>
          </w:rPr>
          <w:t>https://www.fao.org/philippines/news/detail/zh/c/1476904/</w:t>
        </w:r>
      </w:hyperlink>
      <w:r w:rsidRPr="009F51ED">
        <w:rPr>
          <w:rFonts w:asciiTheme="majorBidi" w:hAnsiTheme="majorBidi" w:cstheme="majorBidi"/>
          <w:sz w:val="24"/>
          <w:szCs w:val="24"/>
          <w:lang w:val="en-US"/>
        </w:rPr>
        <w:t xml:space="preserve"> </w:t>
      </w:r>
    </w:p>
    <w:p w14:paraId="4EEA8594" w14:textId="57C62C34" w:rsidR="00FA03DD" w:rsidRPr="009F51ED" w:rsidRDefault="00FA03DD"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FAOSTAT. (2022). </w:t>
      </w:r>
      <w:r w:rsidR="00834901" w:rsidRPr="009F51ED">
        <w:rPr>
          <w:rFonts w:asciiTheme="majorBidi" w:hAnsiTheme="majorBidi" w:cstheme="majorBidi"/>
          <w:sz w:val="24"/>
          <w:szCs w:val="24"/>
        </w:rPr>
        <w:t xml:space="preserve">Matriz detallada del comercio. </w:t>
      </w:r>
      <w:hyperlink r:id="rId33" w:anchor="data/TM" w:history="1">
        <w:r w:rsidR="00834901" w:rsidRPr="009F51ED">
          <w:rPr>
            <w:rStyle w:val="Hipervnculo"/>
            <w:rFonts w:asciiTheme="majorBidi" w:hAnsiTheme="majorBidi" w:cstheme="majorBidi"/>
            <w:sz w:val="24"/>
            <w:szCs w:val="24"/>
            <w:lang w:val="en-US"/>
          </w:rPr>
          <w:t>https://www.fao.org/faostat/es/?#data/TM</w:t>
        </w:r>
      </w:hyperlink>
      <w:r w:rsidR="00834901" w:rsidRPr="009F51ED">
        <w:rPr>
          <w:rFonts w:asciiTheme="majorBidi" w:hAnsiTheme="majorBidi" w:cstheme="majorBidi"/>
          <w:sz w:val="24"/>
          <w:szCs w:val="24"/>
          <w:lang w:val="en-US"/>
        </w:rPr>
        <w:t xml:space="preserve">  </w:t>
      </w:r>
      <w:r w:rsidRPr="009F51ED">
        <w:rPr>
          <w:rFonts w:asciiTheme="majorBidi" w:hAnsiTheme="majorBidi" w:cstheme="majorBidi"/>
          <w:sz w:val="24"/>
          <w:szCs w:val="24"/>
          <w:lang w:val="en-US"/>
        </w:rPr>
        <w:t xml:space="preserve">  </w:t>
      </w:r>
    </w:p>
    <w:p w14:paraId="3FF4B4E8" w14:textId="77777777" w:rsidR="00573BB5" w:rsidRPr="009F51ED" w:rsidRDefault="00911164"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lang w:val="en-US"/>
        </w:rPr>
        <w:t>Fellmann</w:t>
      </w:r>
      <w:proofErr w:type="spellEnd"/>
      <w:r w:rsidRPr="009F51ED">
        <w:rPr>
          <w:rFonts w:asciiTheme="majorBidi" w:hAnsiTheme="majorBidi" w:cstheme="majorBidi"/>
          <w:sz w:val="24"/>
          <w:szCs w:val="24"/>
          <w:lang w:val="en-US"/>
        </w:rPr>
        <w:t xml:space="preserve">, T., </w:t>
      </w:r>
      <w:proofErr w:type="spellStart"/>
      <w:r w:rsidRPr="009F51ED">
        <w:rPr>
          <w:rFonts w:asciiTheme="majorBidi" w:hAnsiTheme="majorBidi" w:cstheme="majorBidi"/>
          <w:sz w:val="24"/>
          <w:szCs w:val="24"/>
          <w:lang w:val="en-US"/>
        </w:rPr>
        <w:t>Hélaine</w:t>
      </w:r>
      <w:proofErr w:type="spellEnd"/>
      <w:r w:rsidRPr="009F51ED">
        <w:rPr>
          <w:rFonts w:asciiTheme="majorBidi" w:hAnsiTheme="majorBidi" w:cstheme="majorBidi"/>
          <w:sz w:val="24"/>
          <w:szCs w:val="24"/>
          <w:lang w:val="en-US"/>
        </w:rPr>
        <w:t xml:space="preserve">, S. y </w:t>
      </w:r>
      <w:proofErr w:type="spellStart"/>
      <w:r w:rsidRPr="009F51ED">
        <w:rPr>
          <w:rFonts w:asciiTheme="majorBidi" w:hAnsiTheme="majorBidi" w:cstheme="majorBidi"/>
          <w:sz w:val="24"/>
          <w:szCs w:val="24"/>
          <w:lang w:val="en-US"/>
        </w:rPr>
        <w:t>Nekhay</w:t>
      </w:r>
      <w:proofErr w:type="spellEnd"/>
      <w:r w:rsidRPr="009F51ED">
        <w:rPr>
          <w:rFonts w:asciiTheme="majorBidi" w:hAnsiTheme="majorBidi" w:cstheme="majorBidi"/>
          <w:sz w:val="24"/>
          <w:szCs w:val="24"/>
          <w:lang w:val="en-US"/>
        </w:rPr>
        <w:t xml:space="preserve">, O. (2014) Harvest failures, temporary export restrictions and global food security: the example of limited grain exports from </w:t>
      </w:r>
      <w:r w:rsidRPr="009F51ED">
        <w:rPr>
          <w:rFonts w:asciiTheme="majorBidi" w:hAnsiTheme="majorBidi" w:cstheme="majorBidi"/>
          <w:sz w:val="24"/>
          <w:szCs w:val="24"/>
          <w:lang w:val="en-US"/>
        </w:rPr>
        <w:lastRenderedPageBreak/>
        <w:t xml:space="preserve">Russia, Ukraine and Kazakhstan. </w:t>
      </w:r>
      <w:proofErr w:type="spellStart"/>
      <w:r w:rsidRPr="009F51ED">
        <w:rPr>
          <w:rFonts w:asciiTheme="majorBidi" w:hAnsiTheme="majorBidi" w:cstheme="majorBidi"/>
          <w:i/>
          <w:iCs/>
          <w:sz w:val="24"/>
          <w:szCs w:val="24"/>
        </w:rPr>
        <w:t>Food</w:t>
      </w:r>
      <w:proofErr w:type="spellEnd"/>
      <w:r w:rsidRPr="009F51ED">
        <w:rPr>
          <w:rFonts w:asciiTheme="majorBidi" w:hAnsiTheme="majorBidi" w:cstheme="majorBidi"/>
          <w:i/>
          <w:iCs/>
          <w:sz w:val="24"/>
          <w:szCs w:val="24"/>
        </w:rPr>
        <w:t xml:space="preserve"> Security</w:t>
      </w:r>
      <w:r w:rsidR="00DD6477" w:rsidRPr="009F51ED">
        <w:rPr>
          <w:rFonts w:asciiTheme="majorBidi" w:hAnsiTheme="majorBidi" w:cstheme="majorBidi"/>
          <w:i/>
          <w:iCs/>
          <w:sz w:val="24"/>
          <w:szCs w:val="24"/>
        </w:rPr>
        <w:t>,</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6</w:t>
      </w:r>
      <w:r w:rsidRPr="009F51ED">
        <w:rPr>
          <w:rFonts w:asciiTheme="majorBidi" w:hAnsiTheme="majorBidi" w:cstheme="majorBidi"/>
          <w:sz w:val="24"/>
          <w:szCs w:val="24"/>
        </w:rPr>
        <w:t>, 727</w:t>
      </w:r>
      <w:r w:rsidR="00F20C52" w:rsidRPr="009F51ED">
        <w:rPr>
          <w:rFonts w:asciiTheme="majorBidi" w:hAnsiTheme="majorBidi" w:cstheme="majorBidi"/>
          <w:sz w:val="24"/>
          <w:szCs w:val="24"/>
        </w:rPr>
        <w:t>-</w:t>
      </w:r>
      <w:r w:rsidRPr="009F51ED">
        <w:rPr>
          <w:rFonts w:asciiTheme="majorBidi" w:hAnsiTheme="majorBidi" w:cstheme="majorBidi"/>
          <w:sz w:val="24"/>
          <w:szCs w:val="24"/>
        </w:rPr>
        <w:t xml:space="preserve">742. </w:t>
      </w:r>
      <w:hyperlink r:id="rId34" w:history="1">
        <w:r w:rsidRPr="009F51ED">
          <w:rPr>
            <w:rStyle w:val="Hipervnculo"/>
            <w:rFonts w:asciiTheme="majorBidi" w:hAnsiTheme="majorBidi" w:cstheme="majorBidi"/>
            <w:sz w:val="24"/>
            <w:szCs w:val="24"/>
          </w:rPr>
          <w:t>https://doi.org/10.1007/s12571-014-0372-2</w:t>
        </w:r>
      </w:hyperlink>
      <w:r w:rsidRPr="009F51ED">
        <w:rPr>
          <w:rFonts w:asciiTheme="majorBidi" w:hAnsiTheme="majorBidi" w:cstheme="majorBidi"/>
          <w:sz w:val="24"/>
          <w:szCs w:val="24"/>
        </w:rPr>
        <w:t xml:space="preserve"> </w:t>
      </w:r>
      <w:r w:rsidR="000B60D4" w:rsidRPr="009F51ED">
        <w:rPr>
          <w:rFonts w:asciiTheme="majorBidi" w:hAnsiTheme="majorBidi" w:cstheme="majorBidi"/>
          <w:sz w:val="24"/>
          <w:szCs w:val="24"/>
        </w:rPr>
        <w:t xml:space="preserve"> </w:t>
      </w:r>
    </w:p>
    <w:p w14:paraId="796F5278" w14:textId="0C56F2E3" w:rsidR="00757F1A" w:rsidRPr="009F51ED" w:rsidRDefault="00757F1A"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Flores Paredes, J. (2006). Las reformas de la Política Agraria Común y la Ronda Doha. </w:t>
      </w:r>
      <w:r w:rsidRPr="009F51ED">
        <w:rPr>
          <w:rFonts w:asciiTheme="majorBidi" w:hAnsiTheme="majorBidi" w:cstheme="majorBidi"/>
          <w:i/>
          <w:iCs/>
          <w:sz w:val="24"/>
          <w:szCs w:val="24"/>
        </w:rPr>
        <w:t>Revista de economía mundial, 15</w:t>
      </w:r>
      <w:r w:rsidRPr="009F51ED">
        <w:rPr>
          <w:rFonts w:asciiTheme="majorBidi" w:hAnsiTheme="majorBidi" w:cstheme="majorBidi"/>
          <w:sz w:val="24"/>
          <w:szCs w:val="24"/>
        </w:rPr>
        <w:t xml:space="preserve">. </w:t>
      </w:r>
      <w:hyperlink r:id="rId35" w:history="1">
        <w:r w:rsidRPr="009F51ED">
          <w:rPr>
            <w:rStyle w:val="Hipervnculo"/>
            <w:rFonts w:asciiTheme="majorBidi" w:hAnsiTheme="majorBidi" w:cstheme="majorBidi"/>
            <w:sz w:val="24"/>
            <w:szCs w:val="24"/>
          </w:rPr>
          <w:t>http://hdl.handle.net/10272/485</w:t>
        </w:r>
      </w:hyperlink>
      <w:r w:rsidRPr="009F51ED">
        <w:rPr>
          <w:rFonts w:asciiTheme="majorBidi" w:hAnsiTheme="majorBidi" w:cstheme="majorBidi"/>
          <w:sz w:val="24"/>
          <w:szCs w:val="24"/>
        </w:rPr>
        <w:t xml:space="preserve"> </w:t>
      </w:r>
    </w:p>
    <w:p w14:paraId="54311913" w14:textId="77777777" w:rsidR="007E0239" w:rsidRPr="009F51ED" w:rsidRDefault="00573BB5"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García Arancibia, R. (2013). Sobre las curvas de Engel. Una breve revisión de su evolución histórica. </w:t>
      </w:r>
      <w:r w:rsidRPr="009F51ED">
        <w:rPr>
          <w:rFonts w:asciiTheme="majorBidi" w:hAnsiTheme="majorBidi" w:cstheme="majorBidi"/>
          <w:i/>
          <w:iCs/>
          <w:sz w:val="24"/>
          <w:szCs w:val="24"/>
        </w:rPr>
        <w:t>Ensayos de Economía</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23</w:t>
      </w:r>
      <w:r w:rsidRPr="009F51ED">
        <w:rPr>
          <w:rFonts w:asciiTheme="majorBidi" w:hAnsiTheme="majorBidi" w:cstheme="majorBidi"/>
          <w:sz w:val="24"/>
          <w:szCs w:val="24"/>
        </w:rPr>
        <w:t xml:space="preserve">(42), 175-189. </w:t>
      </w:r>
      <w:hyperlink r:id="rId36" w:history="1">
        <w:r w:rsidRPr="009F51ED">
          <w:rPr>
            <w:rStyle w:val="Hipervnculo"/>
            <w:rFonts w:asciiTheme="majorBidi" w:hAnsiTheme="majorBidi" w:cstheme="majorBidi"/>
            <w:sz w:val="24"/>
            <w:szCs w:val="24"/>
          </w:rPr>
          <w:t>https://ideas.repec.org/p/col/000418/012240.html</w:t>
        </w:r>
      </w:hyperlink>
      <w:r w:rsidRPr="009F51ED">
        <w:rPr>
          <w:rFonts w:asciiTheme="majorBidi" w:hAnsiTheme="majorBidi" w:cstheme="majorBidi"/>
          <w:sz w:val="24"/>
          <w:szCs w:val="24"/>
        </w:rPr>
        <w:t xml:space="preserve"> </w:t>
      </w:r>
    </w:p>
    <w:p w14:paraId="325D617F" w14:textId="5237A4A8" w:rsidR="007E0239" w:rsidRPr="009F51ED" w:rsidRDefault="007E0239"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Gilbert, C. L. (2023). </w:t>
      </w:r>
      <w:r w:rsidRPr="009F51ED">
        <w:rPr>
          <w:rFonts w:asciiTheme="majorBidi" w:hAnsiTheme="majorBidi" w:cstheme="majorBidi"/>
          <w:i/>
          <w:iCs/>
          <w:sz w:val="24"/>
          <w:szCs w:val="24"/>
          <w:lang w:val="en-US"/>
        </w:rPr>
        <w:t>The impact of the Ukraine conflict on world grains prices</w:t>
      </w:r>
      <w:r w:rsidRPr="009F51ED">
        <w:rPr>
          <w:rFonts w:asciiTheme="majorBidi" w:hAnsiTheme="majorBidi" w:cstheme="majorBidi"/>
          <w:sz w:val="24"/>
          <w:szCs w:val="24"/>
          <w:lang w:val="en-US"/>
        </w:rPr>
        <w:t xml:space="preserve">. </w:t>
      </w:r>
      <w:r w:rsidRPr="009F51ED">
        <w:rPr>
          <w:rFonts w:asciiTheme="majorBidi" w:hAnsiTheme="majorBidi" w:cstheme="majorBidi"/>
          <w:sz w:val="24"/>
          <w:szCs w:val="24"/>
        </w:rPr>
        <w:t>9</w:t>
      </w:r>
      <w:r w:rsidRPr="009F51ED">
        <w:rPr>
          <w:rFonts w:asciiTheme="majorBidi" w:hAnsiTheme="majorBidi" w:cstheme="majorBidi"/>
          <w:sz w:val="24"/>
          <w:szCs w:val="24"/>
          <w:vertAlign w:val="superscript"/>
        </w:rPr>
        <w:t>a</w:t>
      </w:r>
      <w:r w:rsidRPr="009F51ED">
        <w:rPr>
          <w:rFonts w:asciiTheme="majorBidi" w:hAnsiTheme="majorBidi" w:cstheme="majorBidi"/>
          <w:sz w:val="24"/>
          <w:szCs w:val="24"/>
        </w:rPr>
        <w:t xml:space="preserve"> Conferencia Anual de la </w:t>
      </w:r>
      <w:proofErr w:type="spellStart"/>
      <w:r w:rsidRPr="009F51ED">
        <w:rPr>
          <w:rFonts w:asciiTheme="majorBidi" w:hAnsiTheme="majorBidi" w:cstheme="majorBidi"/>
          <w:sz w:val="24"/>
          <w:szCs w:val="24"/>
        </w:rPr>
        <w:t>Agricultural</w:t>
      </w:r>
      <w:proofErr w:type="spellEnd"/>
      <w:r w:rsidRPr="009F51ED">
        <w:rPr>
          <w:rFonts w:asciiTheme="majorBidi" w:hAnsiTheme="majorBidi" w:cstheme="majorBidi"/>
          <w:sz w:val="24"/>
          <w:szCs w:val="24"/>
        </w:rPr>
        <w:t xml:space="preserve"> </w:t>
      </w:r>
      <w:proofErr w:type="spellStart"/>
      <w:r w:rsidRPr="009F51ED">
        <w:rPr>
          <w:rFonts w:asciiTheme="majorBidi" w:hAnsiTheme="majorBidi" w:cstheme="majorBidi"/>
          <w:sz w:val="24"/>
          <w:szCs w:val="24"/>
        </w:rPr>
        <w:t>Economics</w:t>
      </w:r>
      <w:proofErr w:type="spellEnd"/>
      <w:r w:rsidRPr="009F51ED">
        <w:rPr>
          <w:rFonts w:asciiTheme="majorBidi" w:hAnsiTheme="majorBidi" w:cstheme="majorBidi"/>
          <w:sz w:val="24"/>
          <w:szCs w:val="24"/>
        </w:rPr>
        <w:t xml:space="preserve"> </w:t>
      </w:r>
      <w:proofErr w:type="spellStart"/>
      <w:r w:rsidRPr="009F51ED">
        <w:rPr>
          <w:rFonts w:asciiTheme="majorBidi" w:hAnsiTheme="majorBidi" w:cstheme="majorBidi"/>
          <w:sz w:val="24"/>
          <w:szCs w:val="24"/>
        </w:rPr>
        <w:t>Society</w:t>
      </w:r>
      <w:proofErr w:type="spellEnd"/>
      <w:r w:rsidRPr="009F51ED">
        <w:rPr>
          <w:rFonts w:asciiTheme="majorBidi" w:hAnsiTheme="majorBidi" w:cstheme="majorBidi"/>
          <w:sz w:val="24"/>
          <w:szCs w:val="24"/>
        </w:rPr>
        <w:t xml:space="preserve">. </w:t>
      </w:r>
      <w:hyperlink r:id="rId37" w:history="1">
        <w:r w:rsidRPr="009F51ED">
          <w:rPr>
            <w:rStyle w:val="Hipervnculo"/>
            <w:rFonts w:asciiTheme="majorBidi" w:hAnsiTheme="majorBidi" w:cstheme="majorBidi"/>
            <w:sz w:val="24"/>
            <w:szCs w:val="24"/>
          </w:rPr>
          <w:t>https://ageconsearch.umn.edu/record/334525/</w:t>
        </w:r>
      </w:hyperlink>
      <w:r w:rsidRPr="009F51ED">
        <w:rPr>
          <w:rFonts w:asciiTheme="majorBidi" w:hAnsiTheme="majorBidi" w:cstheme="majorBidi"/>
          <w:sz w:val="24"/>
          <w:szCs w:val="24"/>
        </w:rPr>
        <w:t xml:space="preserve"> </w:t>
      </w:r>
    </w:p>
    <w:p w14:paraId="27318358" w14:textId="5FED299F" w:rsidR="00ED31ED" w:rsidRPr="009F51ED" w:rsidRDefault="00ED31ED"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Giles, C., Dempsey, H., y Riordan, P. (2021). </w:t>
      </w:r>
      <w:r w:rsidRPr="009F51ED">
        <w:rPr>
          <w:rFonts w:asciiTheme="majorBidi" w:hAnsiTheme="majorBidi" w:cstheme="majorBidi"/>
          <w:sz w:val="24"/>
          <w:szCs w:val="24"/>
          <w:lang w:val="en-US"/>
        </w:rPr>
        <w:t xml:space="preserve">Shipping bottlenecks set to prolong supply chain turmoil. </w:t>
      </w:r>
      <w:proofErr w:type="spellStart"/>
      <w:r w:rsidRPr="009F51ED">
        <w:rPr>
          <w:rFonts w:asciiTheme="majorBidi" w:hAnsiTheme="majorBidi" w:cstheme="majorBidi"/>
          <w:i/>
          <w:iCs/>
          <w:sz w:val="24"/>
          <w:szCs w:val="24"/>
        </w:rPr>
        <w:t>Financial</w:t>
      </w:r>
      <w:proofErr w:type="spellEnd"/>
      <w:r w:rsidRPr="009F51ED">
        <w:rPr>
          <w:rFonts w:asciiTheme="majorBidi" w:hAnsiTheme="majorBidi" w:cstheme="majorBidi"/>
          <w:i/>
          <w:iCs/>
          <w:sz w:val="24"/>
          <w:szCs w:val="24"/>
        </w:rPr>
        <w:t xml:space="preserve"> Times</w:t>
      </w:r>
      <w:r w:rsidRPr="009F51ED">
        <w:rPr>
          <w:rFonts w:asciiTheme="majorBidi" w:hAnsiTheme="majorBidi" w:cstheme="majorBidi"/>
          <w:sz w:val="24"/>
          <w:szCs w:val="24"/>
        </w:rPr>
        <w:t xml:space="preserve">. </w:t>
      </w:r>
      <w:hyperlink r:id="rId38" w:history="1">
        <w:r w:rsidRPr="009F51ED">
          <w:rPr>
            <w:rStyle w:val="Hipervnculo"/>
            <w:rFonts w:asciiTheme="majorBidi" w:hAnsiTheme="majorBidi" w:cstheme="majorBidi"/>
            <w:sz w:val="24"/>
            <w:szCs w:val="24"/>
          </w:rPr>
          <w:t>https://www.ft.com/content/e1263950-1173-4832-a011-ada04df1e93c</w:t>
        </w:r>
      </w:hyperlink>
    </w:p>
    <w:p w14:paraId="0D2D43D3" w14:textId="7CF644C4" w:rsidR="005C3FAB" w:rsidRPr="009F51ED" w:rsidRDefault="00E95855"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Gómez Oliver, L. y Granados Sánchez, R. (2016). Las cuatro grandes empresas comercializadoras y los precios internacionales de los alimentos. </w:t>
      </w:r>
      <w:r w:rsidRPr="009F51ED">
        <w:rPr>
          <w:rFonts w:asciiTheme="majorBidi" w:hAnsiTheme="majorBidi" w:cstheme="majorBidi"/>
          <w:i/>
          <w:iCs/>
          <w:sz w:val="24"/>
          <w:szCs w:val="24"/>
        </w:rPr>
        <w:t xml:space="preserve">Economía </w:t>
      </w:r>
      <w:proofErr w:type="spellStart"/>
      <w:r w:rsidRPr="009F51ED">
        <w:rPr>
          <w:rFonts w:asciiTheme="majorBidi" w:hAnsiTheme="majorBidi" w:cstheme="majorBidi"/>
          <w:i/>
          <w:iCs/>
          <w:sz w:val="24"/>
          <w:szCs w:val="24"/>
        </w:rPr>
        <w:t>informa</w:t>
      </w:r>
      <w:proofErr w:type="spellEnd"/>
      <w:r w:rsidRPr="009F51ED">
        <w:rPr>
          <w:rFonts w:asciiTheme="majorBidi" w:hAnsiTheme="majorBidi" w:cstheme="majorBidi"/>
          <w:i/>
          <w:iCs/>
          <w:sz w:val="24"/>
          <w:szCs w:val="24"/>
        </w:rPr>
        <w:t xml:space="preserve">, 400, 24-39. </w:t>
      </w:r>
      <w:hyperlink r:id="rId39" w:history="1">
        <w:r w:rsidRPr="009F51ED">
          <w:rPr>
            <w:rStyle w:val="Hipervnculo"/>
            <w:rFonts w:asciiTheme="majorBidi" w:hAnsiTheme="majorBidi" w:cstheme="majorBidi"/>
            <w:sz w:val="24"/>
            <w:szCs w:val="24"/>
          </w:rPr>
          <w:t>https://doi.org/10.1016/j.ecin.2016.09.003</w:t>
        </w:r>
      </w:hyperlink>
      <w:r w:rsidRPr="009F51ED">
        <w:rPr>
          <w:rFonts w:asciiTheme="majorBidi" w:hAnsiTheme="majorBidi" w:cstheme="majorBidi"/>
          <w:sz w:val="24"/>
          <w:szCs w:val="24"/>
        </w:rPr>
        <w:t xml:space="preserve"> </w:t>
      </w:r>
    </w:p>
    <w:p w14:paraId="306A8F3B" w14:textId="721E6411" w:rsidR="00804384" w:rsidRPr="009F51ED" w:rsidRDefault="00804384"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Gómez Trujillo, E. A., </w:t>
      </w:r>
      <w:proofErr w:type="spellStart"/>
      <w:r w:rsidRPr="009F51ED">
        <w:rPr>
          <w:rFonts w:asciiTheme="majorBidi" w:hAnsiTheme="majorBidi" w:cstheme="majorBidi"/>
          <w:sz w:val="24"/>
          <w:szCs w:val="24"/>
        </w:rPr>
        <w:t>Martinez</w:t>
      </w:r>
      <w:proofErr w:type="spellEnd"/>
      <w:r w:rsidRPr="009F51ED">
        <w:rPr>
          <w:rFonts w:asciiTheme="majorBidi" w:hAnsiTheme="majorBidi" w:cstheme="majorBidi"/>
          <w:sz w:val="24"/>
          <w:szCs w:val="24"/>
        </w:rPr>
        <w:t xml:space="preserve"> </w:t>
      </w:r>
      <w:proofErr w:type="spellStart"/>
      <w:r w:rsidRPr="009F51ED">
        <w:rPr>
          <w:rFonts w:asciiTheme="majorBidi" w:hAnsiTheme="majorBidi" w:cstheme="majorBidi"/>
          <w:sz w:val="24"/>
          <w:szCs w:val="24"/>
        </w:rPr>
        <w:t>Andrades</w:t>
      </w:r>
      <w:proofErr w:type="spellEnd"/>
      <w:r w:rsidRPr="009F51ED">
        <w:rPr>
          <w:rFonts w:asciiTheme="majorBidi" w:hAnsiTheme="majorBidi" w:cstheme="majorBidi"/>
          <w:sz w:val="24"/>
          <w:szCs w:val="24"/>
        </w:rPr>
        <w:t xml:space="preserve">, E., Rivas García, J. A., y Villalobos Maradiaga, E. M. (2016). La Seguridad y Soberanía Alimentaria. </w:t>
      </w:r>
      <w:r w:rsidRPr="009F51ED">
        <w:rPr>
          <w:rFonts w:asciiTheme="majorBidi" w:hAnsiTheme="majorBidi" w:cstheme="majorBidi"/>
          <w:i/>
          <w:iCs/>
          <w:sz w:val="24"/>
          <w:szCs w:val="24"/>
        </w:rPr>
        <w:t>Revista Iberoamericana de Bioeconomía y Cambio Climático</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2</w:t>
      </w:r>
      <w:r w:rsidRPr="009F51ED">
        <w:rPr>
          <w:rFonts w:asciiTheme="majorBidi" w:hAnsiTheme="majorBidi" w:cstheme="majorBidi"/>
          <w:sz w:val="24"/>
          <w:szCs w:val="24"/>
        </w:rPr>
        <w:t xml:space="preserve">(1), 315-324. </w:t>
      </w:r>
      <w:hyperlink r:id="rId40" w:history="1">
        <w:r w:rsidRPr="009F51ED">
          <w:rPr>
            <w:rStyle w:val="Hipervnculo"/>
            <w:rFonts w:asciiTheme="majorBidi" w:hAnsiTheme="majorBidi" w:cstheme="majorBidi"/>
            <w:sz w:val="24"/>
            <w:szCs w:val="24"/>
            <w:lang w:val="en-US"/>
          </w:rPr>
          <w:t>https://doi.org/10.5377/ribcc.v2i1.5702</w:t>
        </w:r>
      </w:hyperlink>
      <w:r w:rsidRPr="009F51ED">
        <w:rPr>
          <w:rFonts w:asciiTheme="majorBidi" w:hAnsiTheme="majorBidi" w:cstheme="majorBidi"/>
          <w:sz w:val="24"/>
          <w:szCs w:val="24"/>
          <w:lang w:val="en-US"/>
        </w:rPr>
        <w:t xml:space="preserve">  </w:t>
      </w:r>
    </w:p>
    <w:p w14:paraId="4945D700" w14:textId="77777777" w:rsidR="000B60D4" w:rsidRPr="009F51ED" w:rsidRDefault="000B60D4"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 xml:space="preserve">Graham-Harrison, E., Harding, L., Roth, A., y Borger, J. (2022). Ukraine fights for its survival as Putin presses forward. </w:t>
      </w:r>
      <w:r w:rsidRPr="009F51ED">
        <w:rPr>
          <w:rFonts w:asciiTheme="majorBidi" w:hAnsiTheme="majorBidi" w:cstheme="majorBidi"/>
          <w:i/>
          <w:iCs/>
          <w:sz w:val="24"/>
          <w:szCs w:val="24"/>
          <w:lang w:val="en-US"/>
        </w:rPr>
        <w:t>The Guardian</w:t>
      </w:r>
      <w:r w:rsidRPr="009F51ED">
        <w:rPr>
          <w:rFonts w:asciiTheme="majorBidi" w:hAnsiTheme="majorBidi" w:cstheme="majorBidi"/>
          <w:sz w:val="24"/>
          <w:szCs w:val="24"/>
          <w:lang w:val="en-US"/>
        </w:rPr>
        <w:t xml:space="preserve">. </w:t>
      </w:r>
      <w:hyperlink r:id="rId41" w:history="1">
        <w:r w:rsidRPr="009F51ED">
          <w:rPr>
            <w:rStyle w:val="Hipervnculo"/>
            <w:rFonts w:asciiTheme="majorBidi" w:hAnsiTheme="majorBidi" w:cstheme="majorBidi"/>
            <w:sz w:val="24"/>
            <w:szCs w:val="24"/>
          </w:rPr>
          <w:t>https://www.theguardian.com/world/2022/feb/24/ukraine-fights-for-its-survival-as-putin-presses-forward</w:t>
        </w:r>
      </w:hyperlink>
      <w:r w:rsidRPr="009F51ED">
        <w:rPr>
          <w:rFonts w:asciiTheme="majorBidi" w:hAnsiTheme="majorBidi" w:cstheme="majorBidi"/>
          <w:sz w:val="24"/>
          <w:szCs w:val="24"/>
        </w:rPr>
        <w:t xml:space="preserve"> </w:t>
      </w:r>
    </w:p>
    <w:p w14:paraId="749D7469" w14:textId="77B7FF3F" w:rsidR="002B7D1D" w:rsidRPr="009F51ED" w:rsidRDefault="002B7D1D"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He, T., Zhang, M., Xiao, W., </w:t>
      </w:r>
      <w:proofErr w:type="spellStart"/>
      <w:r w:rsidRPr="009F51ED">
        <w:rPr>
          <w:rFonts w:asciiTheme="majorBidi" w:hAnsiTheme="majorBidi" w:cstheme="majorBidi"/>
          <w:sz w:val="24"/>
          <w:szCs w:val="24"/>
        </w:rPr>
        <w:t>Zhai</w:t>
      </w:r>
      <w:proofErr w:type="spellEnd"/>
      <w:r w:rsidRPr="009F51ED">
        <w:rPr>
          <w:rFonts w:asciiTheme="majorBidi" w:hAnsiTheme="majorBidi" w:cstheme="majorBidi"/>
          <w:sz w:val="24"/>
          <w:szCs w:val="24"/>
        </w:rPr>
        <w:t xml:space="preserve">, G., Wang, Y., </w:t>
      </w:r>
      <w:proofErr w:type="spellStart"/>
      <w:r w:rsidRPr="009F51ED">
        <w:rPr>
          <w:rFonts w:asciiTheme="majorBidi" w:hAnsiTheme="majorBidi" w:cstheme="majorBidi"/>
          <w:sz w:val="24"/>
          <w:szCs w:val="24"/>
        </w:rPr>
        <w:t>Guo</w:t>
      </w:r>
      <w:proofErr w:type="spellEnd"/>
      <w:r w:rsidRPr="009F51ED">
        <w:rPr>
          <w:rFonts w:asciiTheme="majorBidi" w:hAnsiTheme="majorBidi" w:cstheme="majorBidi"/>
          <w:sz w:val="24"/>
          <w:szCs w:val="24"/>
        </w:rPr>
        <w:t xml:space="preserve">, A., y Wu, C. (2023). </w:t>
      </w:r>
      <w:r w:rsidRPr="009F51ED">
        <w:rPr>
          <w:rFonts w:asciiTheme="majorBidi" w:hAnsiTheme="majorBidi" w:cstheme="majorBidi"/>
          <w:sz w:val="24"/>
          <w:szCs w:val="24"/>
          <w:lang w:val="en-US"/>
        </w:rPr>
        <w:t xml:space="preserve">Quantitative analysis of abandonment and grain production loss under armed conflict in Ukraine. </w:t>
      </w:r>
      <w:r w:rsidRPr="009F51ED">
        <w:rPr>
          <w:rFonts w:asciiTheme="majorBidi" w:hAnsiTheme="majorBidi" w:cstheme="majorBidi"/>
          <w:i/>
          <w:iCs/>
          <w:sz w:val="24"/>
          <w:szCs w:val="24"/>
          <w:lang w:val="en-US"/>
        </w:rPr>
        <w:t>Journal of Cleaner Production</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412</w:t>
      </w:r>
      <w:r w:rsidRPr="009F51ED">
        <w:rPr>
          <w:rFonts w:asciiTheme="majorBidi" w:hAnsiTheme="majorBidi" w:cstheme="majorBidi"/>
          <w:sz w:val="24"/>
          <w:szCs w:val="24"/>
          <w:lang w:val="en-US"/>
        </w:rPr>
        <w:t xml:space="preserve">. </w:t>
      </w:r>
      <w:hyperlink r:id="rId42" w:history="1">
        <w:r w:rsidRPr="009F51ED">
          <w:rPr>
            <w:rStyle w:val="Hipervnculo"/>
            <w:rFonts w:asciiTheme="majorBidi" w:hAnsiTheme="majorBidi" w:cstheme="majorBidi"/>
            <w:sz w:val="24"/>
            <w:szCs w:val="24"/>
            <w:lang w:val="en-US"/>
          </w:rPr>
          <w:t>https://doi.org/10.1016/j.jclepro.2023.137367</w:t>
        </w:r>
      </w:hyperlink>
      <w:r w:rsidRPr="009F51ED">
        <w:rPr>
          <w:rFonts w:asciiTheme="majorBidi" w:hAnsiTheme="majorBidi" w:cstheme="majorBidi"/>
          <w:sz w:val="24"/>
          <w:szCs w:val="24"/>
          <w:lang w:val="en-US"/>
        </w:rPr>
        <w:t xml:space="preserve">  </w:t>
      </w:r>
    </w:p>
    <w:p w14:paraId="6B0383F1" w14:textId="39371F19" w:rsidR="00F20C52" w:rsidRPr="009F51ED" w:rsidRDefault="00F20C52"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lastRenderedPageBreak/>
        <w:t xml:space="preserve">Hellegers, P. (2022). Food security vulnerability due to trade dependencies on Russia and Ukraine. </w:t>
      </w:r>
      <w:r w:rsidRPr="009F51ED">
        <w:rPr>
          <w:rFonts w:asciiTheme="majorBidi" w:hAnsiTheme="majorBidi" w:cstheme="majorBidi"/>
          <w:i/>
          <w:iCs/>
          <w:sz w:val="24"/>
          <w:szCs w:val="24"/>
          <w:lang w:val="en-US"/>
        </w:rPr>
        <w:t>Food Security</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14</w:t>
      </w:r>
      <w:r w:rsidRPr="009F51ED">
        <w:rPr>
          <w:rFonts w:asciiTheme="majorBidi" w:hAnsiTheme="majorBidi" w:cstheme="majorBidi"/>
          <w:sz w:val="24"/>
          <w:szCs w:val="24"/>
          <w:lang w:val="en-US"/>
        </w:rPr>
        <w:t xml:space="preserve">(6), 1503-1510. </w:t>
      </w:r>
      <w:hyperlink r:id="rId43" w:history="1">
        <w:r w:rsidRPr="009F51ED">
          <w:rPr>
            <w:rStyle w:val="Hipervnculo"/>
            <w:rFonts w:asciiTheme="majorBidi" w:hAnsiTheme="majorBidi" w:cstheme="majorBidi"/>
            <w:sz w:val="24"/>
            <w:szCs w:val="24"/>
            <w:lang w:val="en-US"/>
          </w:rPr>
          <w:t>https://doi.org/10.1007/s12571-022-01306-8</w:t>
        </w:r>
      </w:hyperlink>
      <w:r w:rsidRPr="009F51ED">
        <w:rPr>
          <w:rFonts w:asciiTheme="majorBidi" w:hAnsiTheme="majorBidi" w:cstheme="majorBidi"/>
          <w:sz w:val="24"/>
          <w:szCs w:val="24"/>
          <w:lang w:val="en-US"/>
        </w:rPr>
        <w:t xml:space="preserve">  </w:t>
      </w:r>
    </w:p>
    <w:p w14:paraId="051AB03B" w14:textId="3E19156A" w:rsidR="00DF6EB9" w:rsidRPr="009F51ED" w:rsidRDefault="00DF6EB9" w:rsidP="009F51ED">
      <w:pPr>
        <w:spacing w:line="360" w:lineRule="auto"/>
        <w:ind w:left="709" w:hanging="709"/>
        <w:jc w:val="both"/>
        <w:rPr>
          <w:rFonts w:asciiTheme="majorBidi" w:hAnsiTheme="majorBidi" w:cstheme="majorBidi"/>
          <w:sz w:val="24"/>
          <w:szCs w:val="24"/>
          <w:lang w:val="en-US"/>
        </w:rPr>
      </w:pPr>
      <w:proofErr w:type="spellStart"/>
      <w:r w:rsidRPr="009F51ED">
        <w:rPr>
          <w:rFonts w:asciiTheme="majorBidi" w:hAnsiTheme="majorBidi" w:cstheme="majorBidi"/>
          <w:sz w:val="24"/>
          <w:szCs w:val="24"/>
          <w:lang w:val="en-US"/>
        </w:rPr>
        <w:t>Jongerden</w:t>
      </w:r>
      <w:proofErr w:type="spellEnd"/>
      <w:r w:rsidRPr="009F51ED">
        <w:rPr>
          <w:rFonts w:asciiTheme="majorBidi" w:hAnsiTheme="majorBidi" w:cstheme="majorBidi"/>
          <w:sz w:val="24"/>
          <w:szCs w:val="24"/>
          <w:lang w:val="en-US"/>
        </w:rPr>
        <w:t xml:space="preserve">, J. P. y Vicol, M. R. (2022). Crisis and capitalism: A deep dive into the Black Sea Grain Initiative and the global politics of food. </w:t>
      </w:r>
      <w:r w:rsidRPr="009F51ED">
        <w:rPr>
          <w:rFonts w:asciiTheme="majorBidi" w:hAnsiTheme="majorBidi" w:cstheme="majorBidi"/>
          <w:i/>
          <w:iCs/>
          <w:sz w:val="24"/>
          <w:szCs w:val="24"/>
          <w:lang w:val="en-US"/>
        </w:rPr>
        <w:t>Rural Sociology (RSO)</w:t>
      </w:r>
      <w:r w:rsidRPr="009F51ED">
        <w:rPr>
          <w:rFonts w:asciiTheme="majorBidi" w:hAnsiTheme="majorBidi" w:cstheme="majorBidi"/>
          <w:sz w:val="24"/>
          <w:szCs w:val="24"/>
          <w:lang w:val="en-US"/>
        </w:rPr>
        <w:t xml:space="preserve">. </w:t>
      </w:r>
      <w:hyperlink r:id="rId44" w:history="1">
        <w:r w:rsidRPr="009F51ED">
          <w:rPr>
            <w:rStyle w:val="Hipervnculo"/>
            <w:rFonts w:asciiTheme="majorBidi" w:hAnsiTheme="majorBidi" w:cstheme="majorBidi"/>
            <w:sz w:val="24"/>
            <w:szCs w:val="24"/>
            <w:lang w:val="en-US"/>
          </w:rPr>
          <w:t>https://ruralsociologywageningen.nl/2022/11/11/crisis-and-capitalism-a-deep-dive-into-the-black-sea-grain-initiative-and-the-global-politics-of-food/</w:t>
        </w:r>
      </w:hyperlink>
      <w:r w:rsidRPr="009F51ED">
        <w:rPr>
          <w:rFonts w:asciiTheme="majorBidi" w:hAnsiTheme="majorBidi" w:cstheme="majorBidi"/>
          <w:sz w:val="24"/>
          <w:szCs w:val="24"/>
          <w:lang w:val="en-US"/>
        </w:rPr>
        <w:t xml:space="preserve"> </w:t>
      </w:r>
    </w:p>
    <w:p w14:paraId="3A297E35" w14:textId="018A11D1" w:rsidR="00FC38B7" w:rsidRPr="009F51ED" w:rsidRDefault="00EE6AE5"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Kavanagh, T. (2022, 8</w:t>
      </w:r>
      <w:r w:rsidR="00D060C6" w:rsidRPr="009F51ED">
        <w:rPr>
          <w:rFonts w:asciiTheme="majorBidi" w:hAnsiTheme="majorBidi" w:cstheme="majorBidi"/>
          <w:sz w:val="24"/>
          <w:szCs w:val="24"/>
          <w:lang w:val="en-US"/>
        </w:rPr>
        <w:t xml:space="preserve"> de </w:t>
      </w:r>
      <w:proofErr w:type="spellStart"/>
      <w:r w:rsidR="00D060C6" w:rsidRPr="009F51ED">
        <w:rPr>
          <w:rFonts w:asciiTheme="majorBidi" w:hAnsiTheme="majorBidi" w:cstheme="majorBidi"/>
          <w:sz w:val="24"/>
          <w:szCs w:val="24"/>
          <w:lang w:val="en-US"/>
        </w:rPr>
        <w:t>marzo</w:t>
      </w:r>
      <w:proofErr w:type="spellEnd"/>
      <w:r w:rsidRPr="009F51ED">
        <w:rPr>
          <w:rFonts w:asciiTheme="majorBidi" w:hAnsiTheme="majorBidi" w:cstheme="majorBidi"/>
          <w:sz w:val="24"/>
          <w:szCs w:val="24"/>
          <w:lang w:val="en-US"/>
        </w:rPr>
        <w:t xml:space="preserve">). War in Ukraine: crisis is unleashing “hell on earth” for food prices. </w:t>
      </w:r>
      <w:r w:rsidRPr="009F51ED">
        <w:rPr>
          <w:rFonts w:asciiTheme="majorBidi" w:hAnsiTheme="majorBidi" w:cstheme="majorBidi"/>
          <w:i/>
          <w:iCs/>
          <w:sz w:val="24"/>
          <w:szCs w:val="24"/>
          <w:lang w:val="en-US"/>
        </w:rPr>
        <w:t>BBC News</w:t>
      </w:r>
      <w:r w:rsidRPr="009F51ED">
        <w:rPr>
          <w:rFonts w:asciiTheme="majorBidi" w:hAnsiTheme="majorBidi" w:cstheme="majorBidi"/>
          <w:sz w:val="24"/>
          <w:szCs w:val="24"/>
          <w:lang w:val="en-US"/>
        </w:rPr>
        <w:t xml:space="preserve">. </w:t>
      </w:r>
      <w:hyperlink r:id="rId45" w:history="1">
        <w:r w:rsidRPr="009F51ED">
          <w:rPr>
            <w:rStyle w:val="Hipervnculo"/>
            <w:rFonts w:asciiTheme="majorBidi" w:hAnsiTheme="majorBidi" w:cstheme="majorBidi"/>
            <w:sz w:val="24"/>
            <w:szCs w:val="24"/>
            <w:lang w:val="en-US"/>
          </w:rPr>
          <w:t>https://www.bbc.com/news/business-60653856</w:t>
        </w:r>
      </w:hyperlink>
      <w:r w:rsidRPr="009F51ED">
        <w:rPr>
          <w:rFonts w:asciiTheme="majorBidi" w:hAnsiTheme="majorBidi" w:cstheme="majorBidi"/>
          <w:sz w:val="24"/>
          <w:szCs w:val="24"/>
          <w:lang w:val="en-US"/>
        </w:rPr>
        <w:t xml:space="preserve"> </w:t>
      </w:r>
    </w:p>
    <w:p w14:paraId="093D8A3F" w14:textId="618EB102" w:rsidR="00FC38B7" w:rsidRPr="009F51ED" w:rsidRDefault="00FC38B7"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 xml:space="preserve">Krajnc, H. (2022). </w:t>
      </w:r>
      <w:r w:rsidRPr="009F51ED">
        <w:rPr>
          <w:rFonts w:asciiTheme="majorBidi" w:hAnsiTheme="majorBidi" w:cstheme="majorBidi"/>
          <w:i/>
          <w:iCs/>
          <w:sz w:val="24"/>
          <w:szCs w:val="24"/>
        </w:rPr>
        <w:t>La guerra entre Rusia y Ucrania: Una mirada desde la perspectiva agroindustrial</w:t>
      </w:r>
      <w:r w:rsidRPr="009F51ED">
        <w:rPr>
          <w:rFonts w:asciiTheme="majorBidi" w:hAnsiTheme="majorBidi" w:cstheme="majorBidi"/>
          <w:sz w:val="24"/>
          <w:szCs w:val="24"/>
        </w:rPr>
        <w:t xml:space="preserve">. Consejo Argentino para las Relaciones Internacionales (CARI). </w:t>
      </w:r>
      <w:hyperlink r:id="rId46" w:history="1">
        <w:r w:rsidRPr="009F51ED">
          <w:rPr>
            <w:rStyle w:val="Hipervnculo"/>
            <w:rFonts w:asciiTheme="majorBidi" w:hAnsiTheme="majorBidi" w:cstheme="majorBidi"/>
            <w:sz w:val="24"/>
            <w:szCs w:val="24"/>
          </w:rPr>
          <w:t>https://www.jstor.org/stable/pdf/resrep40029.pdf</w:t>
        </w:r>
      </w:hyperlink>
      <w:r w:rsidRPr="009F51ED">
        <w:rPr>
          <w:rFonts w:asciiTheme="majorBidi" w:hAnsiTheme="majorBidi" w:cstheme="majorBidi"/>
          <w:sz w:val="24"/>
          <w:szCs w:val="24"/>
        </w:rPr>
        <w:t xml:space="preserve"> </w:t>
      </w:r>
    </w:p>
    <w:p w14:paraId="2D28D435" w14:textId="77777777" w:rsidR="00A9165D" w:rsidRPr="009F51ED" w:rsidRDefault="009F2891" w:rsidP="009F51ED">
      <w:pPr>
        <w:spacing w:line="360" w:lineRule="auto"/>
        <w:ind w:left="709" w:hanging="709"/>
        <w:jc w:val="both"/>
        <w:rPr>
          <w:rFonts w:asciiTheme="majorBidi" w:hAnsiTheme="majorBidi" w:cstheme="majorBidi"/>
          <w:sz w:val="24"/>
          <w:szCs w:val="24"/>
          <w:lang w:val="en-US"/>
        </w:rPr>
      </w:pPr>
      <w:proofErr w:type="spellStart"/>
      <w:r w:rsidRPr="009F51ED">
        <w:rPr>
          <w:rFonts w:asciiTheme="majorBidi" w:hAnsiTheme="majorBidi" w:cstheme="majorBidi"/>
          <w:sz w:val="24"/>
          <w:szCs w:val="24"/>
        </w:rPr>
        <w:t>Laborie</w:t>
      </w:r>
      <w:proofErr w:type="spellEnd"/>
      <w:r w:rsidRPr="009F51ED">
        <w:rPr>
          <w:rFonts w:asciiTheme="majorBidi" w:hAnsiTheme="majorBidi" w:cstheme="majorBidi"/>
          <w:sz w:val="24"/>
          <w:szCs w:val="24"/>
        </w:rPr>
        <w:t xml:space="preserve"> Iglesias, M. A. (2011). La evolución del concepto de seguridad. </w:t>
      </w:r>
      <w:r w:rsidRPr="009F51ED">
        <w:rPr>
          <w:rFonts w:asciiTheme="majorBidi" w:hAnsiTheme="majorBidi" w:cstheme="majorBidi"/>
          <w:i/>
          <w:iCs/>
          <w:sz w:val="24"/>
          <w:szCs w:val="24"/>
          <w:lang w:val="en-US"/>
        </w:rPr>
        <w:t>Pre-bie3</w:t>
      </w:r>
      <w:r w:rsidRPr="009F51ED">
        <w:rPr>
          <w:rFonts w:asciiTheme="majorBidi" w:hAnsiTheme="majorBidi" w:cstheme="majorBidi"/>
          <w:sz w:val="24"/>
          <w:szCs w:val="24"/>
          <w:lang w:val="en-US"/>
        </w:rPr>
        <w:t xml:space="preserve">, (3). </w:t>
      </w:r>
      <w:hyperlink r:id="rId47" w:history="1">
        <w:r w:rsidRPr="009F51ED">
          <w:rPr>
            <w:rStyle w:val="Hipervnculo"/>
            <w:rFonts w:asciiTheme="majorBidi" w:hAnsiTheme="majorBidi" w:cstheme="majorBidi"/>
            <w:sz w:val="24"/>
            <w:szCs w:val="24"/>
            <w:lang w:val="en-US"/>
          </w:rPr>
          <w:t>https://dialnet.unirioja.es/servlet/articulo?codigo=7425005</w:t>
        </w:r>
      </w:hyperlink>
      <w:r w:rsidRPr="009F51ED">
        <w:rPr>
          <w:rFonts w:asciiTheme="majorBidi" w:hAnsiTheme="majorBidi" w:cstheme="majorBidi"/>
          <w:sz w:val="24"/>
          <w:szCs w:val="24"/>
          <w:lang w:val="en-US"/>
        </w:rPr>
        <w:t xml:space="preserve"> </w:t>
      </w:r>
    </w:p>
    <w:p w14:paraId="4EF3CA7F" w14:textId="304B7654" w:rsidR="00A9165D" w:rsidRPr="009F51ED" w:rsidRDefault="00A9165D"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Lang, T., Barling, D., y Caraher, M. (2009). </w:t>
      </w:r>
      <w:r w:rsidRPr="009F51ED">
        <w:rPr>
          <w:rFonts w:asciiTheme="majorBidi" w:hAnsiTheme="majorBidi" w:cstheme="majorBidi"/>
          <w:i/>
          <w:iCs/>
          <w:sz w:val="24"/>
          <w:szCs w:val="24"/>
          <w:lang w:val="en-US"/>
        </w:rPr>
        <w:t>Food policy: integrating health, environment and society</w:t>
      </w:r>
      <w:r w:rsidRPr="009F51ED">
        <w:rPr>
          <w:rFonts w:asciiTheme="majorBidi" w:hAnsiTheme="majorBidi" w:cstheme="majorBidi"/>
          <w:sz w:val="24"/>
          <w:szCs w:val="24"/>
          <w:lang w:val="en-US"/>
        </w:rPr>
        <w:t xml:space="preserve">. Oxford University Press. </w:t>
      </w:r>
      <w:hyperlink r:id="rId48" w:anchor="v=onepage&amp;q&amp;f=false" w:history="1">
        <w:r w:rsidRPr="009F51ED">
          <w:rPr>
            <w:rStyle w:val="Hipervnculo"/>
            <w:rFonts w:asciiTheme="majorBidi" w:hAnsiTheme="majorBidi" w:cstheme="majorBidi"/>
            <w:sz w:val="24"/>
            <w:szCs w:val="24"/>
            <w:lang w:val="en-US"/>
          </w:rPr>
          <w:t>https://books.google.es/books?id=MVawAAAAQBAJ&amp;lpg=PT5&amp;ots=QtXbbPiiPh&amp;lr&amp;hl=es&amp;pg=PT5#v=onepage&amp;q&amp;f=false</w:t>
        </w:r>
      </w:hyperlink>
      <w:r w:rsidRPr="009F51ED">
        <w:rPr>
          <w:rFonts w:asciiTheme="majorBidi" w:hAnsiTheme="majorBidi" w:cstheme="majorBidi"/>
          <w:sz w:val="24"/>
          <w:szCs w:val="24"/>
          <w:lang w:val="en-US"/>
        </w:rPr>
        <w:t xml:space="preserve"> </w:t>
      </w:r>
    </w:p>
    <w:p w14:paraId="0B7D5396" w14:textId="77777777" w:rsidR="004E2661" w:rsidRPr="009F51ED" w:rsidRDefault="00277379"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López-Giraldo, L. A., y Franco-Giraldo, Á. (2015). Revisión de enfoques de políticas alimentarias: entre la seguridad y la soberanía alimentaria (2000-2013). </w:t>
      </w:r>
      <w:proofErr w:type="spellStart"/>
      <w:r w:rsidRPr="009F51ED">
        <w:rPr>
          <w:rFonts w:asciiTheme="majorBidi" w:hAnsiTheme="majorBidi" w:cstheme="majorBidi"/>
          <w:i/>
          <w:iCs/>
          <w:sz w:val="24"/>
          <w:szCs w:val="24"/>
        </w:rPr>
        <w:t>Cadernos</w:t>
      </w:r>
      <w:proofErr w:type="spellEnd"/>
      <w:r w:rsidRPr="009F51ED">
        <w:rPr>
          <w:rFonts w:asciiTheme="majorBidi" w:hAnsiTheme="majorBidi" w:cstheme="majorBidi"/>
          <w:i/>
          <w:iCs/>
          <w:sz w:val="24"/>
          <w:szCs w:val="24"/>
        </w:rPr>
        <w:t xml:space="preserve"> de </w:t>
      </w:r>
      <w:proofErr w:type="spellStart"/>
      <w:r w:rsidRPr="009F51ED">
        <w:rPr>
          <w:rFonts w:asciiTheme="majorBidi" w:hAnsiTheme="majorBidi" w:cstheme="majorBidi"/>
          <w:i/>
          <w:iCs/>
          <w:sz w:val="24"/>
          <w:szCs w:val="24"/>
        </w:rPr>
        <w:t>Saúde</w:t>
      </w:r>
      <w:proofErr w:type="spellEnd"/>
      <w:r w:rsidRPr="009F51ED">
        <w:rPr>
          <w:rFonts w:asciiTheme="majorBidi" w:hAnsiTheme="majorBidi" w:cstheme="majorBidi"/>
          <w:i/>
          <w:iCs/>
          <w:sz w:val="24"/>
          <w:szCs w:val="24"/>
        </w:rPr>
        <w:t xml:space="preserve"> Pública</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31</w:t>
      </w:r>
      <w:r w:rsidRPr="009F51ED">
        <w:rPr>
          <w:rFonts w:asciiTheme="majorBidi" w:hAnsiTheme="majorBidi" w:cstheme="majorBidi"/>
          <w:sz w:val="24"/>
          <w:szCs w:val="24"/>
        </w:rPr>
        <w:t xml:space="preserve">(7), 1355-1369. </w:t>
      </w:r>
      <w:hyperlink r:id="rId49" w:history="1">
        <w:r w:rsidRPr="009F51ED">
          <w:rPr>
            <w:rStyle w:val="Hipervnculo"/>
            <w:rFonts w:asciiTheme="majorBidi" w:hAnsiTheme="majorBidi" w:cstheme="majorBidi"/>
            <w:sz w:val="24"/>
            <w:szCs w:val="24"/>
          </w:rPr>
          <w:t>https://web.archive.org/web/20170823042516id_/http://www.scielo.br/pdf/csp/v31n7/0102-311X-csp-31-7-1355.pdf</w:t>
        </w:r>
      </w:hyperlink>
      <w:r w:rsidRPr="009F51ED">
        <w:rPr>
          <w:rFonts w:asciiTheme="majorBidi" w:hAnsiTheme="majorBidi" w:cstheme="majorBidi"/>
          <w:sz w:val="24"/>
          <w:szCs w:val="24"/>
        </w:rPr>
        <w:t xml:space="preserve"> </w:t>
      </w:r>
    </w:p>
    <w:p w14:paraId="3DC50F2D" w14:textId="03E1E0E5" w:rsidR="004E2661" w:rsidRPr="009F51ED" w:rsidRDefault="004E2661"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López Lluch, D. B. (2015, 12 de agosto). </w:t>
      </w:r>
      <w:r w:rsidRPr="009F51ED">
        <w:rPr>
          <w:rFonts w:asciiTheme="majorBidi" w:hAnsiTheme="majorBidi" w:cstheme="majorBidi"/>
          <w:i/>
          <w:iCs/>
          <w:sz w:val="24"/>
          <w:szCs w:val="24"/>
        </w:rPr>
        <w:t>Ley de Engel</w:t>
      </w:r>
      <w:r w:rsidRPr="009F51ED">
        <w:rPr>
          <w:rFonts w:asciiTheme="majorBidi" w:hAnsiTheme="majorBidi" w:cstheme="majorBidi"/>
          <w:sz w:val="24"/>
          <w:szCs w:val="24"/>
        </w:rPr>
        <w:t xml:space="preserve">. </w:t>
      </w:r>
      <w:proofErr w:type="spellStart"/>
      <w:r w:rsidRPr="009F51ED">
        <w:rPr>
          <w:rFonts w:asciiTheme="majorBidi" w:hAnsiTheme="majorBidi" w:cstheme="majorBidi"/>
          <w:sz w:val="24"/>
          <w:szCs w:val="24"/>
        </w:rPr>
        <w:t>Universitas</w:t>
      </w:r>
      <w:proofErr w:type="spellEnd"/>
      <w:r w:rsidRPr="009F51ED">
        <w:rPr>
          <w:rFonts w:asciiTheme="majorBidi" w:hAnsiTheme="majorBidi" w:cstheme="majorBidi"/>
          <w:sz w:val="24"/>
          <w:szCs w:val="24"/>
        </w:rPr>
        <w:t xml:space="preserve"> Miguel Hernández. </w:t>
      </w:r>
      <w:hyperlink r:id="rId50" w:history="1">
        <w:r w:rsidRPr="009F51ED">
          <w:rPr>
            <w:rStyle w:val="Hipervnculo"/>
            <w:rFonts w:asciiTheme="majorBidi" w:hAnsiTheme="majorBidi" w:cstheme="majorBidi"/>
            <w:sz w:val="24"/>
            <w:szCs w:val="24"/>
            <w:lang w:val="en-US"/>
          </w:rPr>
          <w:t>https://davidblopezlluch.umh.es/2015/08/12/ley-de-engel/</w:t>
        </w:r>
      </w:hyperlink>
      <w:r w:rsidRPr="009F51ED">
        <w:rPr>
          <w:rFonts w:asciiTheme="majorBidi" w:hAnsiTheme="majorBidi" w:cstheme="majorBidi"/>
          <w:sz w:val="24"/>
          <w:szCs w:val="24"/>
          <w:lang w:val="en-US"/>
        </w:rPr>
        <w:t xml:space="preserve">  </w:t>
      </w:r>
    </w:p>
    <w:p w14:paraId="15CEB832" w14:textId="77777777" w:rsidR="00727703" w:rsidRPr="009F51ED" w:rsidRDefault="00A36810"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Lovasy, G. (1941). International Trade Under Imperfect Competition. </w:t>
      </w:r>
      <w:r w:rsidRPr="009F51ED">
        <w:rPr>
          <w:rFonts w:asciiTheme="majorBidi" w:hAnsiTheme="majorBidi" w:cstheme="majorBidi"/>
          <w:i/>
          <w:iCs/>
          <w:sz w:val="24"/>
          <w:szCs w:val="24"/>
          <w:lang w:val="en-US"/>
        </w:rPr>
        <w:t>The Quarterly Journal of Economics</w:t>
      </w:r>
      <w:r w:rsidRPr="009F51ED">
        <w:rPr>
          <w:rFonts w:asciiTheme="majorBidi" w:hAnsiTheme="majorBidi" w:cstheme="majorBidi"/>
          <w:sz w:val="24"/>
          <w:szCs w:val="24"/>
          <w:lang w:val="en-US"/>
        </w:rPr>
        <w:t>,</w:t>
      </w:r>
      <w:r w:rsidRPr="009F51ED">
        <w:rPr>
          <w:rFonts w:asciiTheme="majorBidi" w:hAnsiTheme="majorBidi" w:cstheme="majorBidi"/>
          <w:i/>
          <w:iCs/>
          <w:sz w:val="24"/>
          <w:szCs w:val="24"/>
          <w:lang w:val="en-US"/>
        </w:rPr>
        <w:t xml:space="preserve"> 55</w:t>
      </w:r>
      <w:r w:rsidRPr="009F51ED">
        <w:rPr>
          <w:rFonts w:asciiTheme="majorBidi" w:hAnsiTheme="majorBidi" w:cstheme="majorBidi"/>
          <w:sz w:val="24"/>
          <w:szCs w:val="24"/>
          <w:lang w:val="en-US"/>
        </w:rPr>
        <w:t>(4), 567</w:t>
      </w:r>
      <w:r w:rsidR="0037111F" w:rsidRPr="009F51ED">
        <w:rPr>
          <w:rFonts w:asciiTheme="majorBidi" w:hAnsiTheme="majorBidi" w:cstheme="majorBidi"/>
          <w:sz w:val="24"/>
          <w:szCs w:val="24"/>
          <w:lang w:val="en-US"/>
        </w:rPr>
        <w:t>-</w:t>
      </w:r>
      <w:r w:rsidRPr="009F51ED">
        <w:rPr>
          <w:rFonts w:asciiTheme="majorBidi" w:hAnsiTheme="majorBidi" w:cstheme="majorBidi"/>
          <w:sz w:val="24"/>
          <w:szCs w:val="24"/>
          <w:lang w:val="en-US"/>
        </w:rPr>
        <w:t xml:space="preserve">583. </w:t>
      </w:r>
      <w:hyperlink r:id="rId51" w:history="1">
        <w:r w:rsidRPr="009F51ED">
          <w:rPr>
            <w:rStyle w:val="Hipervnculo"/>
            <w:rFonts w:asciiTheme="majorBidi" w:hAnsiTheme="majorBidi" w:cstheme="majorBidi"/>
            <w:sz w:val="24"/>
            <w:szCs w:val="24"/>
            <w:lang w:val="en-US"/>
          </w:rPr>
          <w:t>https://doi.org/10.2307/1884118</w:t>
        </w:r>
      </w:hyperlink>
      <w:r w:rsidRPr="009F51ED">
        <w:rPr>
          <w:rFonts w:asciiTheme="majorBidi" w:hAnsiTheme="majorBidi" w:cstheme="majorBidi"/>
          <w:sz w:val="24"/>
          <w:szCs w:val="24"/>
          <w:lang w:val="en-US"/>
        </w:rPr>
        <w:t xml:space="preserve">     </w:t>
      </w:r>
    </w:p>
    <w:p w14:paraId="6C187B3E" w14:textId="094F13D9" w:rsidR="00727703" w:rsidRPr="009F51ED" w:rsidRDefault="00727703"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 xml:space="preserve">Manrique </w:t>
      </w:r>
      <w:proofErr w:type="spellStart"/>
      <w:r w:rsidRPr="009F51ED">
        <w:rPr>
          <w:rFonts w:asciiTheme="majorBidi" w:hAnsiTheme="majorBidi" w:cstheme="majorBidi"/>
          <w:sz w:val="24"/>
          <w:szCs w:val="24"/>
          <w:lang w:val="en-US"/>
        </w:rPr>
        <w:t>Persiva</w:t>
      </w:r>
      <w:proofErr w:type="spellEnd"/>
      <w:r w:rsidRPr="009F51ED">
        <w:rPr>
          <w:rFonts w:asciiTheme="majorBidi" w:hAnsiTheme="majorBidi" w:cstheme="majorBidi"/>
          <w:sz w:val="24"/>
          <w:szCs w:val="24"/>
          <w:lang w:val="en-US"/>
        </w:rPr>
        <w:t xml:space="preserve">, E. (2010). </w:t>
      </w:r>
      <w:r w:rsidRPr="009F51ED">
        <w:rPr>
          <w:rFonts w:asciiTheme="majorBidi" w:hAnsiTheme="majorBidi" w:cstheme="majorBidi"/>
          <w:sz w:val="24"/>
          <w:szCs w:val="24"/>
        </w:rPr>
        <w:t xml:space="preserve">El sector agrario ante los retos de la economía global (Contra la globalización alimentaria; por un nuevo proteccionismo agrario). </w:t>
      </w:r>
      <w:r w:rsidRPr="009F51ED">
        <w:rPr>
          <w:rFonts w:asciiTheme="majorBidi" w:hAnsiTheme="majorBidi" w:cstheme="majorBidi"/>
          <w:i/>
          <w:iCs/>
          <w:sz w:val="24"/>
          <w:szCs w:val="24"/>
        </w:rPr>
        <w:t>Revista de Desarrollo Rural y Cooperativismo Agrario</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2009</w:t>
      </w:r>
      <w:r w:rsidR="00387CFB" w:rsidRPr="009F51ED">
        <w:rPr>
          <w:rFonts w:asciiTheme="majorBidi" w:hAnsiTheme="majorBidi" w:cstheme="majorBidi"/>
          <w:i/>
          <w:iCs/>
          <w:sz w:val="24"/>
          <w:szCs w:val="24"/>
        </w:rPr>
        <w:t>-2010</w:t>
      </w:r>
      <w:r w:rsidRPr="009F51ED">
        <w:rPr>
          <w:rFonts w:asciiTheme="majorBidi" w:hAnsiTheme="majorBidi" w:cstheme="majorBidi"/>
          <w:sz w:val="24"/>
          <w:szCs w:val="24"/>
        </w:rPr>
        <w:t xml:space="preserve">(13), 79-96. </w:t>
      </w:r>
      <w:hyperlink r:id="rId52" w:anchor="page=80" w:history="1">
        <w:r w:rsidRPr="009F51ED">
          <w:rPr>
            <w:rStyle w:val="Hipervnculo"/>
            <w:rFonts w:asciiTheme="majorBidi" w:hAnsiTheme="majorBidi" w:cstheme="majorBidi"/>
            <w:sz w:val="24"/>
            <w:szCs w:val="24"/>
          </w:rPr>
          <w:t>https://ruidera.uclm.es/xmlui/bitstream/handle/10578/4674/fi_1421864175-la%20informacion%20herramienta%20dl.pdf?sequence=1#page=80</w:t>
        </w:r>
      </w:hyperlink>
      <w:r w:rsidRPr="009F51ED">
        <w:rPr>
          <w:rFonts w:asciiTheme="majorBidi" w:hAnsiTheme="majorBidi" w:cstheme="majorBidi"/>
          <w:sz w:val="24"/>
          <w:szCs w:val="24"/>
        </w:rPr>
        <w:t xml:space="preserve"> </w:t>
      </w:r>
    </w:p>
    <w:p w14:paraId="02F6ECBD" w14:textId="77777777" w:rsidR="00D67B0E" w:rsidRPr="009F51ED" w:rsidRDefault="00053F47" w:rsidP="009F51ED">
      <w:pPr>
        <w:spacing w:line="360" w:lineRule="auto"/>
        <w:ind w:left="709" w:hanging="709"/>
        <w:jc w:val="both"/>
        <w:rPr>
          <w:rFonts w:asciiTheme="majorBidi" w:hAnsiTheme="majorBidi" w:cstheme="majorBidi"/>
          <w:sz w:val="24"/>
          <w:szCs w:val="24"/>
          <w:lang w:val="en-US"/>
        </w:rPr>
      </w:pPr>
      <w:proofErr w:type="spellStart"/>
      <w:r w:rsidRPr="009F51ED">
        <w:rPr>
          <w:rFonts w:asciiTheme="majorBidi" w:hAnsiTheme="majorBidi" w:cstheme="majorBidi"/>
          <w:sz w:val="24"/>
          <w:szCs w:val="24"/>
        </w:rPr>
        <w:t>Martinez</w:t>
      </w:r>
      <w:proofErr w:type="spellEnd"/>
      <w:r w:rsidRPr="009F51ED">
        <w:rPr>
          <w:rFonts w:asciiTheme="majorBidi" w:hAnsiTheme="majorBidi" w:cstheme="majorBidi"/>
          <w:sz w:val="24"/>
          <w:szCs w:val="24"/>
        </w:rPr>
        <w:t xml:space="preserve">-Centeno, A. L., </w:t>
      </w:r>
      <w:r w:rsidR="00DC0B50" w:rsidRPr="009F51ED">
        <w:rPr>
          <w:rFonts w:asciiTheme="majorBidi" w:hAnsiTheme="majorBidi" w:cstheme="majorBidi"/>
          <w:sz w:val="24"/>
          <w:szCs w:val="24"/>
        </w:rPr>
        <w:t>y</w:t>
      </w:r>
      <w:r w:rsidRPr="009F51ED">
        <w:rPr>
          <w:rFonts w:asciiTheme="majorBidi" w:hAnsiTheme="majorBidi" w:cstheme="majorBidi"/>
          <w:sz w:val="24"/>
          <w:szCs w:val="24"/>
        </w:rPr>
        <w:t xml:space="preserve"> Huerta Sobalvarro, K. K. (2018). La revolución verde. </w:t>
      </w:r>
      <w:r w:rsidRPr="009F51ED">
        <w:rPr>
          <w:rFonts w:asciiTheme="majorBidi" w:hAnsiTheme="majorBidi" w:cstheme="majorBidi"/>
          <w:i/>
          <w:iCs/>
          <w:sz w:val="24"/>
          <w:szCs w:val="24"/>
        </w:rPr>
        <w:t>Revista Iberoamericana de Bioeconomía y Cambio Climático</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4</w:t>
      </w:r>
      <w:r w:rsidRPr="009F51ED">
        <w:rPr>
          <w:rFonts w:asciiTheme="majorBidi" w:hAnsiTheme="majorBidi" w:cstheme="majorBidi"/>
          <w:sz w:val="24"/>
          <w:szCs w:val="24"/>
        </w:rPr>
        <w:t xml:space="preserve">(8), 1040–1052. </w:t>
      </w:r>
      <w:hyperlink r:id="rId53" w:history="1">
        <w:r w:rsidRPr="009F51ED">
          <w:rPr>
            <w:rStyle w:val="Hipervnculo"/>
            <w:rFonts w:asciiTheme="majorBidi" w:hAnsiTheme="majorBidi" w:cstheme="majorBidi"/>
            <w:sz w:val="24"/>
            <w:szCs w:val="24"/>
            <w:lang w:val="en-US"/>
          </w:rPr>
          <w:t>https://doi.org/10.5377/ribcc.v4i8.6717</w:t>
        </w:r>
      </w:hyperlink>
      <w:r w:rsidRPr="009F51ED">
        <w:rPr>
          <w:rFonts w:asciiTheme="majorBidi" w:hAnsiTheme="majorBidi" w:cstheme="majorBidi"/>
          <w:sz w:val="24"/>
          <w:szCs w:val="24"/>
          <w:lang w:val="en-US"/>
        </w:rPr>
        <w:t xml:space="preserve">  </w:t>
      </w:r>
    </w:p>
    <w:p w14:paraId="323AC5D1" w14:textId="73A34E68" w:rsidR="00D67B0E" w:rsidRPr="009F51ED" w:rsidRDefault="00D67B0E"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Masters, B., </w:t>
      </w:r>
      <w:r w:rsidR="00D86653" w:rsidRPr="009F51ED">
        <w:rPr>
          <w:rFonts w:asciiTheme="majorBidi" w:hAnsiTheme="majorBidi" w:cstheme="majorBidi"/>
          <w:sz w:val="24"/>
          <w:szCs w:val="24"/>
          <w:lang w:val="en-US"/>
        </w:rPr>
        <w:t>y</w:t>
      </w:r>
      <w:r w:rsidRPr="009F51ED">
        <w:rPr>
          <w:rFonts w:asciiTheme="majorBidi" w:hAnsiTheme="majorBidi" w:cstheme="majorBidi"/>
          <w:sz w:val="24"/>
          <w:szCs w:val="24"/>
          <w:lang w:val="en-US"/>
        </w:rPr>
        <w:t xml:space="preserve"> </w:t>
      </w:r>
      <w:proofErr w:type="spellStart"/>
      <w:r w:rsidRPr="009F51ED">
        <w:rPr>
          <w:rFonts w:asciiTheme="majorBidi" w:hAnsiTheme="majorBidi" w:cstheme="majorBidi"/>
          <w:sz w:val="24"/>
          <w:szCs w:val="24"/>
          <w:lang w:val="en-US"/>
        </w:rPr>
        <w:t>Edgecliffe</w:t>
      </w:r>
      <w:proofErr w:type="spellEnd"/>
      <w:r w:rsidRPr="009F51ED">
        <w:rPr>
          <w:rFonts w:asciiTheme="majorBidi" w:hAnsiTheme="majorBidi" w:cstheme="majorBidi"/>
          <w:sz w:val="24"/>
          <w:szCs w:val="24"/>
          <w:lang w:val="en-US"/>
        </w:rPr>
        <w:t xml:space="preserve">-Johnson, A. (2021). Supply chains: companies shift from ‘just in time’ to ‘just in case’. </w:t>
      </w:r>
      <w:r w:rsidRPr="009F51ED">
        <w:rPr>
          <w:rFonts w:asciiTheme="majorBidi" w:hAnsiTheme="majorBidi" w:cstheme="majorBidi"/>
          <w:i/>
          <w:iCs/>
          <w:sz w:val="24"/>
          <w:szCs w:val="24"/>
          <w:lang w:val="en-US"/>
        </w:rPr>
        <w:t>Financial Times</w:t>
      </w:r>
      <w:r w:rsidRPr="009F51ED">
        <w:rPr>
          <w:rFonts w:asciiTheme="majorBidi" w:hAnsiTheme="majorBidi" w:cstheme="majorBidi"/>
          <w:sz w:val="24"/>
          <w:szCs w:val="24"/>
          <w:lang w:val="en-US"/>
        </w:rPr>
        <w:t xml:space="preserve">. </w:t>
      </w:r>
      <w:hyperlink r:id="rId54" w:history="1">
        <w:r w:rsidRPr="009F51ED">
          <w:rPr>
            <w:rStyle w:val="Hipervnculo"/>
            <w:rFonts w:asciiTheme="majorBidi" w:hAnsiTheme="majorBidi" w:cstheme="majorBidi"/>
            <w:sz w:val="24"/>
            <w:szCs w:val="24"/>
            <w:lang w:val="en-US"/>
          </w:rPr>
          <w:t>https://www.ft.com/content/8a7cdc0d-99aa-4ef6-ba9a-fd1a1180dc82</w:t>
        </w:r>
      </w:hyperlink>
      <w:r w:rsidRPr="009F51ED">
        <w:rPr>
          <w:rFonts w:asciiTheme="majorBidi" w:hAnsiTheme="majorBidi" w:cstheme="majorBidi"/>
          <w:sz w:val="24"/>
          <w:szCs w:val="24"/>
          <w:lang w:val="en-US"/>
        </w:rPr>
        <w:t xml:space="preserve"> </w:t>
      </w:r>
    </w:p>
    <w:p w14:paraId="0F592D77" w14:textId="49D602EB" w:rsidR="00797CD7" w:rsidRPr="009F51ED" w:rsidRDefault="00734FF7"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Méndez Naya, J. </w:t>
      </w:r>
      <w:r w:rsidR="00507400" w:rsidRPr="009F51ED">
        <w:rPr>
          <w:rFonts w:asciiTheme="majorBidi" w:hAnsiTheme="majorBidi" w:cstheme="majorBidi"/>
          <w:sz w:val="24"/>
          <w:szCs w:val="24"/>
        </w:rPr>
        <w:t>y</w:t>
      </w:r>
      <w:r w:rsidRPr="009F51ED">
        <w:rPr>
          <w:rFonts w:asciiTheme="majorBidi" w:hAnsiTheme="majorBidi" w:cstheme="majorBidi"/>
          <w:sz w:val="24"/>
          <w:szCs w:val="24"/>
        </w:rPr>
        <w:t xml:space="preserve"> Calo Blanco, A. (2004). Integración económica, barreras no arancelarias y bienestar social. </w:t>
      </w:r>
      <w:r w:rsidRPr="009F51ED">
        <w:rPr>
          <w:rFonts w:asciiTheme="majorBidi" w:hAnsiTheme="majorBidi" w:cstheme="majorBidi"/>
          <w:i/>
          <w:iCs/>
          <w:sz w:val="24"/>
          <w:szCs w:val="24"/>
        </w:rPr>
        <w:t>ICE</w:t>
      </w:r>
      <w:r w:rsidR="00797CD7" w:rsidRPr="009F51ED">
        <w:rPr>
          <w:rFonts w:asciiTheme="majorBidi" w:hAnsiTheme="majorBidi" w:cstheme="majorBidi"/>
          <w:i/>
          <w:iCs/>
          <w:sz w:val="24"/>
          <w:szCs w:val="24"/>
        </w:rPr>
        <w:t>,</w:t>
      </w:r>
      <w:r w:rsidRPr="009F51ED">
        <w:rPr>
          <w:rFonts w:asciiTheme="majorBidi" w:hAnsiTheme="majorBidi" w:cstheme="majorBidi"/>
          <w:i/>
          <w:iCs/>
          <w:sz w:val="24"/>
          <w:szCs w:val="24"/>
        </w:rPr>
        <w:t xml:space="preserve"> Revista De Economía</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1</w:t>
      </w:r>
      <w:r w:rsidRPr="009F51ED">
        <w:rPr>
          <w:rFonts w:asciiTheme="majorBidi" w:hAnsiTheme="majorBidi" w:cstheme="majorBidi"/>
          <w:sz w:val="24"/>
          <w:szCs w:val="24"/>
        </w:rPr>
        <w:t xml:space="preserve">(814). </w:t>
      </w:r>
      <w:hyperlink r:id="rId55" w:history="1">
        <w:r w:rsidRPr="009F51ED">
          <w:rPr>
            <w:rStyle w:val="Hipervnculo"/>
            <w:rFonts w:asciiTheme="majorBidi" w:hAnsiTheme="majorBidi" w:cstheme="majorBidi"/>
            <w:sz w:val="24"/>
            <w:szCs w:val="24"/>
          </w:rPr>
          <w:t>http://www.revistasice.com/index.php/ICE/article/view/637</w:t>
        </w:r>
      </w:hyperlink>
      <w:r w:rsidRPr="009F51ED">
        <w:rPr>
          <w:rFonts w:asciiTheme="majorBidi" w:hAnsiTheme="majorBidi" w:cstheme="majorBidi"/>
          <w:sz w:val="24"/>
          <w:szCs w:val="24"/>
        </w:rPr>
        <w:t xml:space="preserve"> </w:t>
      </w:r>
    </w:p>
    <w:p w14:paraId="38B1EB1A" w14:textId="77777777" w:rsidR="00FA3EB0" w:rsidRPr="009F51ED" w:rsidRDefault="00393D34"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Millet Soler, M. y García-Durán </w:t>
      </w:r>
      <w:proofErr w:type="spellStart"/>
      <w:r w:rsidRPr="009F51ED">
        <w:rPr>
          <w:rFonts w:asciiTheme="majorBidi" w:hAnsiTheme="majorBidi" w:cstheme="majorBidi"/>
          <w:sz w:val="24"/>
          <w:szCs w:val="24"/>
        </w:rPr>
        <w:t>Huet</w:t>
      </w:r>
      <w:proofErr w:type="spellEnd"/>
      <w:r w:rsidRPr="009F51ED">
        <w:rPr>
          <w:rFonts w:asciiTheme="majorBidi" w:hAnsiTheme="majorBidi" w:cstheme="majorBidi"/>
          <w:sz w:val="24"/>
          <w:szCs w:val="24"/>
        </w:rPr>
        <w:t xml:space="preserve">, P. (2009). ¿Vuelve el </w:t>
      </w:r>
      <w:proofErr w:type="gramStart"/>
      <w:r w:rsidRPr="009F51ED">
        <w:rPr>
          <w:rFonts w:asciiTheme="majorBidi" w:hAnsiTheme="majorBidi" w:cstheme="majorBidi"/>
          <w:sz w:val="24"/>
          <w:szCs w:val="24"/>
        </w:rPr>
        <w:t>proteccionismo?.</w:t>
      </w:r>
      <w:proofErr w:type="gram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ICE</w:t>
      </w:r>
      <w:r w:rsidR="00797CD7" w:rsidRPr="009F51ED">
        <w:rPr>
          <w:rFonts w:asciiTheme="majorBidi" w:hAnsiTheme="majorBidi" w:cstheme="majorBidi"/>
          <w:i/>
          <w:iCs/>
          <w:sz w:val="24"/>
          <w:szCs w:val="24"/>
        </w:rPr>
        <w:t xml:space="preserve">, </w:t>
      </w:r>
      <w:r w:rsidRPr="009F51ED">
        <w:rPr>
          <w:rFonts w:asciiTheme="majorBidi" w:hAnsiTheme="majorBidi" w:cstheme="majorBidi"/>
          <w:i/>
          <w:iCs/>
          <w:sz w:val="24"/>
          <w:szCs w:val="24"/>
        </w:rPr>
        <w:t>Revista De</w:t>
      </w:r>
      <w:r w:rsidR="00797CD7" w:rsidRPr="009F51ED">
        <w:rPr>
          <w:rFonts w:asciiTheme="majorBidi" w:hAnsiTheme="majorBidi" w:cstheme="majorBidi"/>
          <w:i/>
          <w:iCs/>
          <w:sz w:val="24"/>
          <w:szCs w:val="24"/>
        </w:rPr>
        <w:t xml:space="preserve"> </w:t>
      </w:r>
      <w:r w:rsidRPr="009F51ED">
        <w:rPr>
          <w:rFonts w:asciiTheme="majorBidi" w:hAnsiTheme="majorBidi" w:cstheme="majorBidi"/>
          <w:i/>
          <w:iCs/>
          <w:sz w:val="24"/>
          <w:szCs w:val="24"/>
        </w:rPr>
        <w:t>Economía</w:t>
      </w:r>
      <w:r w:rsidRPr="009F51ED">
        <w:rPr>
          <w:rFonts w:asciiTheme="majorBidi" w:hAnsiTheme="majorBidi" w:cstheme="majorBidi"/>
          <w:sz w:val="24"/>
          <w:szCs w:val="24"/>
        </w:rPr>
        <w:t xml:space="preserve">, </w:t>
      </w:r>
      <w:r w:rsidR="00797CD7" w:rsidRPr="009F51ED">
        <w:rPr>
          <w:rFonts w:asciiTheme="majorBidi" w:hAnsiTheme="majorBidi" w:cstheme="majorBidi"/>
          <w:i/>
          <w:iCs/>
          <w:sz w:val="24"/>
          <w:szCs w:val="24"/>
        </w:rPr>
        <w:t>1</w:t>
      </w:r>
      <w:r w:rsidRPr="009F51ED">
        <w:rPr>
          <w:rFonts w:asciiTheme="majorBidi" w:hAnsiTheme="majorBidi" w:cstheme="majorBidi"/>
          <w:sz w:val="24"/>
          <w:szCs w:val="24"/>
        </w:rPr>
        <w:t>(8</w:t>
      </w:r>
      <w:r w:rsidR="00797CD7" w:rsidRPr="009F51ED">
        <w:rPr>
          <w:rFonts w:asciiTheme="majorBidi" w:hAnsiTheme="majorBidi" w:cstheme="majorBidi"/>
          <w:sz w:val="24"/>
          <w:szCs w:val="24"/>
        </w:rPr>
        <w:t>50</w:t>
      </w:r>
      <w:r w:rsidRPr="009F51ED">
        <w:rPr>
          <w:rFonts w:asciiTheme="majorBidi" w:hAnsiTheme="majorBidi" w:cstheme="majorBidi"/>
          <w:sz w:val="24"/>
          <w:szCs w:val="24"/>
        </w:rPr>
        <w:t>)</w:t>
      </w:r>
      <w:r w:rsidR="00797CD7" w:rsidRPr="009F51ED">
        <w:rPr>
          <w:rFonts w:asciiTheme="majorBidi" w:hAnsiTheme="majorBidi" w:cstheme="majorBidi"/>
          <w:sz w:val="24"/>
          <w:szCs w:val="24"/>
        </w:rPr>
        <w:t xml:space="preserve">, 73-87. </w:t>
      </w:r>
      <w:hyperlink r:id="rId56" w:history="1">
        <w:r w:rsidR="00797CD7" w:rsidRPr="009F51ED">
          <w:rPr>
            <w:rStyle w:val="Hipervnculo"/>
            <w:rFonts w:asciiTheme="majorBidi" w:hAnsiTheme="majorBidi" w:cstheme="majorBidi"/>
            <w:sz w:val="24"/>
            <w:szCs w:val="24"/>
            <w:lang w:val="en-US"/>
          </w:rPr>
          <w:t>http://www.revistasice.com/index.php/ICE/article/view/1272/1272</w:t>
        </w:r>
      </w:hyperlink>
      <w:r w:rsidR="00797CD7" w:rsidRPr="009F51ED">
        <w:rPr>
          <w:rFonts w:asciiTheme="majorBidi" w:hAnsiTheme="majorBidi" w:cstheme="majorBidi"/>
          <w:sz w:val="24"/>
          <w:szCs w:val="24"/>
          <w:lang w:val="en-US"/>
        </w:rPr>
        <w:t xml:space="preserve"> </w:t>
      </w:r>
    </w:p>
    <w:p w14:paraId="6E45302C" w14:textId="520C309D" w:rsidR="00FA3EB0" w:rsidRPr="009F51ED" w:rsidRDefault="00FA3EB0"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Moosavi, J., </w:t>
      </w:r>
      <w:proofErr w:type="spellStart"/>
      <w:r w:rsidRPr="009F51ED">
        <w:rPr>
          <w:rFonts w:asciiTheme="majorBidi" w:hAnsiTheme="majorBidi" w:cstheme="majorBidi"/>
          <w:sz w:val="24"/>
          <w:szCs w:val="24"/>
          <w:lang w:val="en-US"/>
        </w:rPr>
        <w:t>Fathollahi</w:t>
      </w:r>
      <w:proofErr w:type="spellEnd"/>
      <w:r w:rsidRPr="009F51ED">
        <w:rPr>
          <w:rFonts w:asciiTheme="majorBidi" w:hAnsiTheme="majorBidi" w:cstheme="majorBidi"/>
          <w:sz w:val="24"/>
          <w:szCs w:val="24"/>
          <w:lang w:val="en-US"/>
        </w:rPr>
        <w:t xml:space="preserve">-Fard, A. M., y </w:t>
      </w:r>
      <w:proofErr w:type="spellStart"/>
      <w:r w:rsidRPr="009F51ED">
        <w:rPr>
          <w:rFonts w:asciiTheme="majorBidi" w:hAnsiTheme="majorBidi" w:cstheme="majorBidi"/>
          <w:sz w:val="24"/>
          <w:szCs w:val="24"/>
          <w:lang w:val="en-US"/>
        </w:rPr>
        <w:t>Dulebenets</w:t>
      </w:r>
      <w:proofErr w:type="spellEnd"/>
      <w:r w:rsidRPr="009F51ED">
        <w:rPr>
          <w:rFonts w:asciiTheme="majorBidi" w:hAnsiTheme="majorBidi" w:cstheme="majorBidi"/>
          <w:sz w:val="24"/>
          <w:szCs w:val="24"/>
          <w:lang w:val="en-US"/>
        </w:rPr>
        <w:t xml:space="preserve">, M. A. (2022). Supply chain disruption during the COVID-19 pandemic: Recognizing potential disruption management strategies. </w:t>
      </w:r>
      <w:r w:rsidRPr="009F51ED">
        <w:rPr>
          <w:rFonts w:asciiTheme="majorBidi" w:hAnsiTheme="majorBidi" w:cstheme="majorBidi"/>
          <w:i/>
          <w:iCs/>
          <w:sz w:val="24"/>
          <w:szCs w:val="24"/>
          <w:lang w:val="en-US"/>
        </w:rPr>
        <w:t>International Journal of Disaster Risk Reduction</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75</w:t>
      </w:r>
      <w:r w:rsidRPr="009F51ED">
        <w:rPr>
          <w:rFonts w:asciiTheme="majorBidi" w:hAnsiTheme="majorBidi" w:cstheme="majorBidi"/>
          <w:sz w:val="24"/>
          <w:szCs w:val="24"/>
          <w:lang w:val="en-US"/>
        </w:rPr>
        <w:t xml:space="preserve">. </w:t>
      </w:r>
      <w:hyperlink r:id="rId57" w:history="1">
        <w:r w:rsidRPr="009F51ED">
          <w:rPr>
            <w:rStyle w:val="Hipervnculo"/>
            <w:rFonts w:asciiTheme="majorBidi" w:hAnsiTheme="majorBidi" w:cstheme="majorBidi"/>
            <w:sz w:val="24"/>
            <w:szCs w:val="24"/>
            <w:lang w:val="en-US"/>
          </w:rPr>
          <w:t>https://doi.org/10.1016/j.ijdrr.2022.102983</w:t>
        </w:r>
      </w:hyperlink>
      <w:r w:rsidRPr="009F51ED">
        <w:rPr>
          <w:rFonts w:asciiTheme="majorBidi" w:hAnsiTheme="majorBidi" w:cstheme="majorBidi"/>
          <w:sz w:val="24"/>
          <w:szCs w:val="24"/>
          <w:lang w:val="en-US"/>
        </w:rPr>
        <w:t xml:space="preserve"> </w:t>
      </w:r>
    </w:p>
    <w:p w14:paraId="4377F5A8" w14:textId="57C727A6" w:rsidR="00380B88" w:rsidRPr="009F51ED" w:rsidRDefault="00380B88"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Naya, A. (2022). Ucrania y Rusia acuerdan desbloquear la exportación de cereales ucranios. El País. </w:t>
      </w:r>
      <w:hyperlink r:id="rId58" w:history="1">
        <w:r w:rsidRPr="009F51ED">
          <w:rPr>
            <w:rStyle w:val="Hipervnculo"/>
            <w:rFonts w:asciiTheme="majorBidi" w:hAnsiTheme="majorBidi" w:cstheme="majorBidi"/>
            <w:sz w:val="24"/>
            <w:szCs w:val="24"/>
          </w:rPr>
          <w:t>https://elpais.com/internacional/2022-07-22/ucrania-y-rusia-se-preparan-para-firmar-un-posible-acuerdo-que-desbloquee-la-exportacion-de-cereales-ucranios.html</w:t>
        </w:r>
      </w:hyperlink>
      <w:r w:rsidRPr="009F51ED">
        <w:rPr>
          <w:rFonts w:asciiTheme="majorBidi" w:hAnsiTheme="majorBidi" w:cstheme="majorBidi"/>
          <w:sz w:val="24"/>
          <w:szCs w:val="24"/>
        </w:rPr>
        <w:t xml:space="preserve">  </w:t>
      </w:r>
    </w:p>
    <w:p w14:paraId="3586D0C4" w14:textId="11CEBEBC" w:rsidR="008869B2" w:rsidRPr="009F51ED" w:rsidRDefault="006E71DE"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Ortega, P. y Font, T. (2012). Seguridad nacional, seguridad multidimensional, seguridad humana. </w:t>
      </w:r>
      <w:r w:rsidRPr="009F51ED">
        <w:rPr>
          <w:rFonts w:asciiTheme="majorBidi" w:hAnsiTheme="majorBidi" w:cstheme="majorBidi"/>
          <w:i/>
          <w:iCs/>
          <w:sz w:val="24"/>
          <w:szCs w:val="24"/>
        </w:rPr>
        <w:t xml:space="preserve">Papeles de relaciones </w:t>
      </w:r>
      <w:proofErr w:type="spellStart"/>
      <w:r w:rsidRPr="009F51ED">
        <w:rPr>
          <w:rFonts w:asciiTheme="majorBidi" w:hAnsiTheme="majorBidi" w:cstheme="majorBidi"/>
          <w:i/>
          <w:iCs/>
          <w:sz w:val="24"/>
          <w:szCs w:val="24"/>
        </w:rPr>
        <w:t>ecosociales</w:t>
      </w:r>
      <w:proofErr w:type="spellEnd"/>
      <w:r w:rsidRPr="009F51ED">
        <w:rPr>
          <w:rFonts w:asciiTheme="majorBidi" w:hAnsiTheme="majorBidi" w:cstheme="majorBidi"/>
          <w:i/>
          <w:iCs/>
          <w:sz w:val="24"/>
          <w:szCs w:val="24"/>
        </w:rPr>
        <w:t xml:space="preserve"> y cambio global</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119</w:t>
      </w:r>
      <w:r w:rsidRPr="009F51ED">
        <w:rPr>
          <w:rFonts w:asciiTheme="majorBidi" w:hAnsiTheme="majorBidi" w:cstheme="majorBidi"/>
          <w:sz w:val="24"/>
          <w:szCs w:val="24"/>
        </w:rPr>
        <w:t xml:space="preserve">, 161-172. </w:t>
      </w:r>
      <w:hyperlink r:id="rId59" w:history="1">
        <w:r w:rsidRPr="009F51ED">
          <w:rPr>
            <w:rStyle w:val="Hipervnculo"/>
            <w:rFonts w:asciiTheme="majorBidi" w:hAnsiTheme="majorBidi" w:cstheme="majorBidi"/>
            <w:sz w:val="24"/>
            <w:szCs w:val="24"/>
          </w:rPr>
          <w:t>https://www.fuhem.es/media/cdv/file/biblioteca/revista_papeles/119/Seguridad_nacional_multidimensional_humana_T._Font_y_P._Ortega.pdf</w:t>
        </w:r>
      </w:hyperlink>
      <w:r w:rsidRPr="009F51ED">
        <w:rPr>
          <w:rFonts w:asciiTheme="majorBidi" w:hAnsiTheme="majorBidi" w:cstheme="majorBidi"/>
          <w:sz w:val="24"/>
          <w:szCs w:val="24"/>
        </w:rPr>
        <w:t xml:space="preserve"> </w:t>
      </w:r>
    </w:p>
    <w:p w14:paraId="316024D9" w14:textId="6982D7FB" w:rsidR="008869B2" w:rsidRPr="009F51ED" w:rsidRDefault="008869B2"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Otero-Iglesias, M., y Steinberg, F. (2022). La guerra de Ucrania en el tablero económico. </w:t>
      </w:r>
      <w:r w:rsidRPr="009F51ED">
        <w:rPr>
          <w:rFonts w:asciiTheme="majorBidi" w:hAnsiTheme="majorBidi" w:cstheme="majorBidi"/>
          <w:i/>
          <w:iCs/>
          <w:sz w:val="24"/>
          <w:szCs w:val="24"/>
        </w:rPr>
        <w:t>Comentario Elcano</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7</w:t>
      </w:r>
      <w:r w:rsidRPr="009F51ED">
        <w:rPr>
          <w:rFonts w:asciiTheme="majorBidi" w:hAnsiTheme="majorBidi" w:cstheme="majorBidi"/>
          <w:sz w:val="24"/>
          <w:szCs w:val="24"/>
        </w:rPr>
        <w:t xml:space="preserve">. </w:t>
      </w:r>
      <w:hyperlink r:id="rId60" w:history="1">
        <w:r w:rsidRPr="009F51ED">
          <w:rPr>
            <w:rStyle w:val="Hipervnculo"/>
            <w:rFonts w:asciiTheme="majorBidi" w:hAnsiTheme="majorBidi" w:cstheme="majorBidi"/>
            <w:sz w:val="24"/>
            <w:szCs w:val="24"/>
          </w:rPr>
          <w:t>https://media.realinstitutoelcano.org/wp-content/uploads/2022/03/comentario-otero-steinberg-la-guerra-de-ucrania-en-el-tablero-economico.pdf</w:t>
        </w:r>
      </w:hyperlink>
      <w:r w:rsidRPr="009F51ED">
        <w:rPr>
          <w:rFonts w:asciiTheme="majorBidi" w:hAnsiTheme="majorBidi" w:cstheme="majorBidi"/>
          <w:sz w:val="24"/>
          <w:szCs w:val="24"/>
        </w:rPr>
        <w:t xml:space="preserve"> </w:t>
      </w:r>
    </w:p>
    <w:p w14:paraId="4CAE23BA" w14:textId="612BA4A4" w:rsidR="00A45D8D" w:rsidRPr="009F51ED" w:rsidRDefault="00A45D8D"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lastRenderedPageBreak/>
        <w:t xml:space="preserve">Parlamento Europeo. (s.f.). </w:t>
      </w:r>
      <w:r w:rsidRPr="009F51ED">
        <w:rPr>
          <w:rFonts w:asciiTheme="majorBidi" w:hAnsiTheme="majorBidi" w:cstheme="majorBidi"/>
          <w:i/>
          <w:iCs/>
          <w:sz w:val="24"/>
          <w:szCs w:val="24"/>
        </w:rPr>
        <w:t>El Acuerdo sobre la agricultura de la OMC: Fichas Temáticas sobre la Unión Europea</w:t>
      </w:r>
      <w:r w:rsidRPr="009F51ED">
        <w:rPr>
          <w:rFonts w:asciiTheme="majorBidi" w:hAnsiTheme="majorBidi" w:cstheme="majorBidi"/>
          <w:sz w:val="24"/>
          <w:szCs w:val="24"/>
        </w:rPr>
        <w:t xml:space="preserve">. Fichas temáticas sobre la Unión Europea. </w:t>
      </w:r>
      <w:hyperlink r:id="rId61" w:history="1">
        <w:r w:rsidRPr="009F51ED">
          <w:rPr>
            <w:rStyle w:val="Hipervnculo"/>
            <w:rFonts w:asciiTheme="majorBidi" w:hAnsiTheme="majorBidi" w:cstheme="majorBidi"/>
            <w:sz w:val="24"/>
            <w:szCs w:val="24"/>
          </w:rPr>
          <w:t>https://www.europarl.europa.eu/factsheets/es/sheet/111/wto-agreement-on-agriculture</w:t>
        </w:r>
      </w:hyperlink>
      <w:r w:rsidRPr="009F51ED">
        <w:rPr>
          <w:rFonts w:asciiTheme="majorBidi" w:hAnsiTheme="majorBidi" w:cstheme="majorBidi"/>
          <w:sz w:val="24"/>
          <w:szCs w:val="24"/>
        </w:rPr>
        <w:t xml:space="preserve"> </w:t>
      </w:r>
    </w:p>
    <w:p w14:paraId="73668D9B" w14:textId="4010CF34" w:rsidR="0033399D" w:rsidRPr="009F51ED" w:rsidRDefault="0033399D"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Poole, J., Quinn, A., y </w:t>
      </w:r>
      <w:r w:rsidR="009453D4" w:rsidRPr="009F51ED">
        <w:rPr>
          <w:rFonts w:asciiTheme="majorBidi" w:hAnsiTheme="majorBidi" w:cstheme="majorBidi"/>
          <w:sz w:val="24"/>
          <w:szCs w:val="24"/>
        </w:rPr>
        <w:t xml:space="preserve">Veloso </w:t>
      </w:r>
      <w:r w:rsidRPr="009F51ED">
        <w:rPr>
          <w:rFonts w:asciiTheme="majorBidi" w:hAnsiTheme="majorBidi" w:cstheme="majorBidi"/>
          <w:sz w:val="24"/>
          <w:szCs w:val="24"/>
        </w:rPr>
        <w:t xml:space="preserve">Ribeiro, T. (2023). </w:t>
      </w:r>
      <w:r w:rsidRPr="009F51ED">
        <w:rPr>
          <w:rFonts w:asciiTheme="majorBidi" w:hAnsiTheme="majorBidi" w:cstheme="majorBidi"/>
          <w:sz w:val="24"/>
          <w:szCs w:val="24"/>
          <w:lang w:val="en-US"/>
        </w:rPr>
        <w:t xml:space="preserve">Wheat Jumps on Dam Blast as Fighting Escalates in Ukraine. </w:t>
      </w:r>
      <w:r w:rsidRPr="009F51ED">
        <w:rPr>
          <w:rFonts w:asciiTheme="majorBidi" w:hAnsiTheme="majorBidi" w:cstheme="majorBidi"/>
          <w:i/>
          <w:iCs/>
          <w:sz w:val="24"/>
          <w:szCs w:val="24"/>
          <w:lang w:val="en-US"/>
        </w:rPr>
        <w:t>Bloomberg</w:t>
      </w:r>
      <w:r w:rsidRPr="009F51ED">
        <w:rPr>
          <w:rFonts w:asciiTheme="majorBidi" w:hAnsiTheme="majorBidi" w:cstheme="majorBidi"/>
          <w:sz w:val="24"/>
          <w:szCs w:val="24"/>
          <w:lang w:val="en-US"/>
        </w:rPr>
        <w:t xml:space="preserve">. </w:t>
      </w:r>
      <w:hyperlink r:id="rId62" w:history="1">
        <w:r w:rsidRPr="009F51ED">
          <w:rPr>
            <w:rStyle w:val="Hipervnculo"/>
            <w:rFonts w:asciiTheme="majorBidi" w:hAnsiTheme="majorBidi" w:cstheme="majorBidi"/>
            <w:sz w:val="24"/>
            <w:szCs w:val="24"/>
            <w:lang w:val="en-US"/>
          </w:rPr>
          <w:t>https://www.bloomberg.com/news/articles/2023-06-06/wheat-in-longest-run-of-gains-in-over-a-year-as-supply-tightens</w:t>
        </w:r>
      </w:hyperlink>
    </w:p>
    <w:p w14:paraId="643DB17F" w14:textId="52F21782" w:rsidR="00A61722" w:rsidRPr="009F51ED" w:rsidRDefault="00A61722"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lang w:val="en-US"/>
        </w:rPr>
        <w:t>Poursina</w:t>
      </w:r>
      <w:proofErr w:type="spellEnd"/>
      <w:r w:rsidRPr="009F51ED">
        <w:rPr>
          <w:rFonts w:asciiTheme="majorBidi" w:hAnsiTheme="majorBidi" w:cstheme="majorBidi"/>
          <w:sz w:val="24"/>
          <w:szCs w:val="24"/>
          <w:lang w:val="en-US"/>
        </w:rPr>
        <w:t xml:space="preserve">, D., Schaefer, K. A., Hilburn, S. y Johnson, T. (2023). Economic impacts of the Black Sea Grain Initiative. </w:t>
      </w:r>
      <w:r w:rsidRPr="009F51ED">
        <w:rPr>
          <w:rFonts w:asciiTheme="majorBidi" w:hAnsiTheme="majorBidi" w:cstheme="majorBidi"/>
          <w:i/>
          <w:iCs/>
          <w:sz w:val="24"/>
          <w:szCs w:val="24"/>
          <w:lang w:val="en-US"/>
        </w:rPr>
        <w:t>Journal of Agricultural Economics</w:t>
      </w:r>
      <w:r w:rsidRPr="009F51ED">
        <w:rPr>
          <w:rFonts w:asciiTheme="majorBidi" w:hAnsiTheme="majorBidi" w:cstheme="majorBidi"/>
          <w:sz w:val="24"/>
          <w:szCs w:val="24"/>
          <w:lang w:val="en-US"/>
        </w:rPr>
        <w:t xml:space="preserve">. </w:t>
      </w:r>
      <w:hyperlink r:id="rId63" w:history="1">
        <w:r w:rsidRPr="009F51ED">
          <w:rPr>
            <w:rStyle w:val="Hipervnculo"/>
            <w:rFonts w:asciiTheme="majorBidi" w:hAnsiTheme="majorBidi" w:cstheme="majorBidi"/>
            <w:sz w:val="24"/>
            <w:szCs w:val="24"/>
          </w:rPr>
          <w:t>https://doi.org/10.1111/1477-9552.12549</w:t>
        </w:r>
      </w:hyperlink>
      <w:r w:rsidRPr="009F51ED">
        <w:rPr>
          <w:rFonts w:asciiTheme="majorBidi" w:hAnsiTheme="majorBidi" w:cstheme="majorBidi"/>
          <w:sz w:val="24"/>
          <w:szCs w:val="24"/>
        </w:rPr>
        <w:t xml:space="preserve"> </w:t>
      </w:r>
    </w:p>
    <w:p w14:paraId="4398C4A7" w14:textId="56BD1F98" w:rsidR="00A61722" w:rsidRPr="009F51ED" w:rsidRDefault="00A61722"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rPr>
        <w:t>Prebisch</w:t>
      </w:r>
      <w:proofErr w:type="spellEnd"/>
      <w:r w:rsidRPr="009F51ED">
        <w:rPr>
          <w:rFonts w:asciiTheme="majorBidi" w:hAnsiTheme="majorBidi" w:cstheme="majorBidi"/>
          <w:sz w:val="24"/>
          <w:szCs w:val="24"/>
        </w:rPr>
        <w:t xml:space="preserve">, R. (1986). Notas sobre el intercambio desde el Punto de Vista Periférico. </w:t>
      </w:r>
      <w:r w:rsidRPr="009F51ED">
        <w:rPr>
          <w:rFonts w:asciiTheme="majorBidi" w:hAnsiTheme="majorBidi" w:cstheme="majorBidi"/>
          <w:i/>
          <w:iCs/>
          <w:sz w:val="24"/>
          <w:szCs w:val="24"/>
        </w:rPr>
        <w:t>Revista De La CEPAL</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1986</w:t>
      </w:r>
      <w:r w:rsidRPr="009F51ED">
        <w:rPr>
          <w:rFonts w:asciiTheme="majorBidi" w:hAnsiTheme="majorBidi" w:cstheme="majorBidi"/>
          <w:sz w:val="24"/>
          <w:szCs w:val="24"/>
        </w:rPr>
        <w:t xml:space="preserve">(28), 195-217. </w:t>
      </w:r>
      <w:hyperlink r:id="rId64" w:history="1">
        <w:r w:rsidRPr="009F51ED">
          <w:rPr>
            <w:rStyle w:val="Hipervnculo"/>
            <w:rFonts w:asciiTheme="majorBidi" w:hAnsiTheme="majorBidi" w:cstheme="majorBidi"/>
            <w:sz w:val="24"/>
            <w:szCs w:val="24"/>
          </w:rPr>
          <w:t>https://doi.org/10.18356/e10fef95-es</w:t>
        </w:r>
      </w:hyperlink>
    </w:p>
    <w:p w14:paraId="3664DF7B" w14:textId="77777777" w:rsidR="001B4420" w:rsidRPr="009F51ED" w:rsidRDefault="00B676C7"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Reidy, J. (2023). </w:t>
      </w:r>
      <w:r w:rsidRPr="009F51ED">
        <w:rPr>
          <w:rFonts w:asciiTheme="majorBidi" w:hAnsiTheme="majorBidi" w:cstheme="majorBidi"/>
          <w:sz w:val="24"/>
          <w:szCs w:val="24"/>
          <w:lang w:val="en-US"/>
        </w:rPr>
        <w:t xml:space="preserve">Wheat prices rise with Ukraine dam breach. </w:t>
      </w:r>
      <w:r w:rsidRPr="009F51ED">
        <w:rPr>
          <w:rFonts w:asciiTheme="majorBidi" w:hAnsiTheme="majorBidi" w:cstheme="majorBidi"/>
          <w:i/>
          <w:iCs/>
          <w:sz w:val="24"/>
          <w:szCs w:val="24"/>
          <w:lang w:val="en-US"/>
        </w:rPr>
        <w:t>World Grain</w:t>
      </w:r>
      <w:r w:rsidRPr="009F51ED">
        <w:rPr>
          <w:rFonts w:asciiTheme="majorBidi" w:hAnsiTheme="majorBidi" w:cstheme="majorBidi"/>
          <w:sz w:val="24"/>
          <w:szCs w:val="24"/>
          <w:lang w:val="en-US"/>
        </w:rPr>
        <w:t xml:space="preserve">. </w:t>
      </w:r>
      <w:hyperlink r:id="rId65" w:history="1">
        <w:r w:rsidRPr="009F51ED">
          <w:rPr>
            <w:rStyle w:val="Hipervnculo"/>
            <w:rFonts w:asciiTheme="majorBidi" w:hAnsiTheme="majorBidi" w:cstheme="majorBidi"/>
            <w:sz w:val="24"/>
            <w:szCs w:val="24"/>
            <w:lang w:val="en-US"/>
          </w:rPr>
          <w:t>https://www.world-grain.com/articles/18605-wheat-prices-rise-with-ukraine-dam-breach</w:t>
        </w:r>
      </w:hyperlink>
    </w:p>
    <w:p w14:paraId="6F05E4D9" w14:textId="08B77ED1" w:rsidR="001B4420" w:rsidRPr="009F51ED" w:rsidRDefault="001B4420"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Ricardo, D. (1975). </w:t>
      </w:r>
      <w:r w:rsidRPr="009F51ED">
        <w:rPr>
          <w:rFonts w:asciiTheme="majorBidi" w:hAnsiTheme="majorBidi" w:cstheme="majorBidi"/>
          <w:i/>
          <w:iCs/>
          <w:sz w:val="24"/>
          <w:szCs w:val="24"/>
        </w:rPr>
        <w:t>Principios de Economía Política</w:t>
      </w:r>
      <w:r w:rsidR="004B0C90" w:rsidRPr="009F51ED">
        <w:rPr>
          <w:rFonts w:asciiTheme="majorBidi" w:hAnsiTheme="majorBidi" w:cstheme="majorBidi"/>
          <w:i/>
          <w:iCs/>
          <w:sz w:val="24"/>
          <w:szCs w:val="24"/>
        </w:rPr>
        <w:t xml:space="preserve"> </w:t>
      </w:r>
      <w:r w:rsidRPr="009F51ED">
        <w:rPr>
          <w:rFonts w:asciiTheme="majorBidi" w:hAnsiTheme="majorBidi" w:cstheme="majorBidi"/>
          <w:i/>
          <w:iCs/>
          <w:sz w:val="24"/>
          <w:szCs w:val="24"/>
        </w:rPr>
        <w:t>y de Tributación</w:t>
      </w:r>
      <w:r w:rsidRPr="009F51ED">
        <w:rPr>
          <w:rFonts w:asciiTheme="majorBidi" w:hAnsiTheme="majorBidi" w:cstheme="majorBidi"/>
          <w:sz w:val="24"/>
          <w:szCs w:val="24"/>
        </w:rPr>
        <w:t>. Aguilar, Madrid.</w:t>
      </w:r>
      <w:r w:rsidR="001579BE" w:rsidRPr="009F51ED">
        <w:rPr>
          <w:rFonts w:asciiTheme="majorBidi" w:hAnsiTheme="majorBidi" w:cstheme="majorBidi"/>
          <w:sz w:val="24"/>
          <w:szCs w:val="24"/>
        </w:rPr>
        <w:t xml:space="preserve"> </w:t>
      </w:r>
      <w:hyperlink r:id="rId66" w:history="1">
        <w:r w:rsidR="001579BE" w:rsidRPr="009F51ED">
          <w:rPr>
            <w:rStyle w:val="Hipervnculo"/>
            <w:rFonts w:asciiTheme="majorBidi" w:hAnsiTheme="majorBidi" w:cstheme="majorBidi"/>
            <w:sz w:val="24"/>
            <w:szCs w:val="24"/>
          </w:rPr>
          <w:t>https://books.google.es/books?id=L5a4EAAAQBAJ&amp;lpg=PT6&amp;ots=B_WLVCHYeK&amp;dq=adam%20smith%20la%20riqueza%20de%20las%20naciones&amp;lr&amp;hl=es&amp;pg=PP1#v=onepage&amp;q=adam%20smith%20la%20riqueza%20de%20las%20naciones&amp;f=false</w:t>
        </w:r>
      </w:hyperlink>
      <w:r w:rsidR="001579BE" w:rsidRPr="009F51ED">
        <w:rPr>
          <w:rFonts w:asciiTheme="majorBidi" w:hAnsiTheme="majorBidi" w:cstheme="majorBidi"/>
          <w:sz w:val="24"/>
          <w:szCs w:val="24"/>
        </w:rPr>
        <w:t xml:space="preserve"> </w:t>
      </w:r>
    </w:p>
    <w:p w14:paraId="5DDD1598" w14:textId="0EB91253" w:rsidR="00893D16" w:rsidRPr="009F51ED" w:rsidRDefault="00893D16"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Robinson</w:t>
      </w:r>
      <w:r w:rsidR="00A36810" w:rsidRPr="009F51ED">
        <w:rPr>
          <w:rFonts w:asciiTheme="majorBidi" w:hAnsiTheme="majorBidi" w:cstheme="majorBidi"/>
          <w:sz w:val="24"/>
          <w:szCs w:val="24"/>
          <w:lang w:val="en-US"/>
        </w:rPr>
        <w:t>, J.</w:t>
      </w:r>
      <w:r w:rsidRPr="009F51ED">
        <w:rPr>
          <w:rFonts w:asciiTheme="majorBidi" w:hAnsiTheme="majorBidi" w:cstheme="majorBidi"/>
          <w:sz w:val="24"/>
          <w:szCs w:val="24"/>
          <w:lang w:val="en-US"/>
        </w:rPr>
        <w:t xml:space="preserve"> (1932). Imperfect Competition and Falling Supply Price. </w:t>
      </w:r>
      <w:proofErr w:type="spellStart"/>
      <w:r w:rsidRPr="009F51ED">
        <w:rPr>
          <w:rFonts w:asciiTheme="majorBidi" w:hAnsiTheme="majorBidi" w:cstheme="majorBidi"/>
          <w:i/>
          <w:iCs/>
          <w:sz w:val="24"/>
          <w:szCs w:val="24"/>
        </w:rPr>
        <w:t>The</w:t>
      </w:r>
      <w:proofErr w:type="spellEnd"/>
      <w:r w:rsidRPr="009F51ED">
        <w:rPr>
          <w:rFonts w:asciiTheme="majorBidi" w:hAnsiTheme="majorBidi" w:cstheme="majorBidi"/>
          <w:i/>
          <w:iCs/>
          <w:sz w:val="24"/>
          <w:szCs w:val="24"/>
        </w:rPr>
        <w:t xml:space="preserve"> </w:t>
      </w:r>
      <w:proofErr w:type="spellStart"/>
      <w:r w:rsidRPr="009F51ED">
        <w:rPr>
          <w:rFonts w:asciiTheme="majorBidi" w:hAnsiTheme="majorBidi" w:cstheme="majorBidi"/>
          <w:i/>
          <w:iCs/>
          <w:sz w:val="24"/>
          <w:szCs w:val="24"/>
        </w:rPr>
        <w:t>Economic</w:t>
      </w:r>
      <w:proofErr w:type="spellEnd"/>
      <w:r w:rsidRPr="009F51ED">
        <w:rPr>
          <w:rFonts w:asciiTheme="majorBidi" w:hAnsiTheme="majorBidi" w:cstheme="majorBidi"/>
          <w:i/>
          <w:iCs/>
          <w:sz w:val="24"/>
          <w:szCs w:val="24"/>
        </w:rPr>
        <w:t xml:space="preserve"> </w:t>
      </w:r>
      <w:proofErr w:type="spellStart"/>
      <w:r w:rsidRPr="009F51ED">
        <w:rPr>
          <w:rFonts w:asciiTheme="majorBidi" w:hAnsiTheme="majorBidi" w:cstheme="majorBidi"/>
          <w:i/>
          <w:iCs/>
          <w:sz w:val="24"/>
          <w:szCs w:val="24"/>
        </w:rPr>
        <w:t>Journal</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42</w:t>
      </w:r>
      <w:r w:rsidRPr="009F51ED">
        <w:rPr>
          <w:rFonts w:asciiTheme="majorBidi" w:hAnsiTheme="majorBidi" w:cstheme="majorBidi"/>
          <w:sz w:val="24"/>
          <w:szCs w:val="24"/>
        </w:rPr>
        <w:t>(168), 544</w:t>
      </w:r>
      <w:r w:rsidR="0037111F" w:rsidRPr="009F51ED">
        <w:rPr>
          <w:rFonts w:asciiTheme="majorBidi" w:hAnsiTheme="majorBidi" w:cstheme="majorBidi"/>
          <w:sz w:val="24"/>
          <w:szCs w:val="24"/>
        </w:rPr>
        <w:t>-</w:t>
      </w:r>
      <w:r w:rsidRPr="009F51ED">
        <w:rPr>
          <w:rFonts w:asciiTheme="majorBidi" w:hAnsiTheme="majorBidi" w:cstheme="majorBidi"/>
          <w:sz w:val="24"/>
          <w:szCs w:val="24"/>
        </w:rPr>
        <w:t xml:space="preserve">554. </w:t>
      </w:r>
      <w:hyperlink r:id="rId67" w:history="1">
        <w:r w:rsidRPr="009F51ED">
          <w:rPr>
            <w:rStyle w:val="Hipervnculo"/>
            <w:rFonts w:asciiTheme="majorBidi" w:hAnsiTheme="majorBidi" w:cstheme="majorBidi"/>
            <w:sz w:val="24"/>
            <w:szCs w:val="24"/>
          </w:rPr>
          <w:t>https://doi.org/10.2307/2223779</w:t>
        </w:r>
      </w:hyperlink>
    </w:p>
    <w:p w14:paraId="3381DEA1" w14:textId="77777777" w:rsidR="001C7385" w:rsidRPr="009F51ED" w:rsidRDefault="002E5C23"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Rojas, J. (2007). El Mercantilismo. Teoría, política e historia. </w:t>
      </w:r>
      <w:proofErr w:type="spellStart"/>
      <w:r w:rsidRPr="009F51ED">
        <w:rPr>
          <w:rFonts w:asciiTheme="majorBidi" w:hAnsiTheme="majorBidi" w:cstheme="majorBidi"/>
          <w:i/>
          <w:iCs/>
          <w:sz w:val="24"/>
          <w:szCs w:val="24"/>
        </w:rPr>
        <w:t>Economia</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30</w:t>
      </w:r>
      <w:r w:rsidRPr="009F51ED">
        <w:rPr>
          <w:rFonts w:asciiTheme="majorBidi" w:hAnsiTheme="majorBidi" w:cstheme="majorBidi"/>
          <w:sz w:val="24"/>
          <w:szCs w:val="24"/>
        </w:rPr>
        <w:t xml:space="preserve">(59-60), 76-96. </w:t>
      </w:r>
      <w:hyperlink r:id="rId68" w:history="1">
        <w:r w:rsidRPr="009F51ED">
          <w:rPr>
            <w:rStyle w:val="Hipervnculo"/>
            <w:rFonts w:asciiTheme="majorBidi" w:hAnsiTheme="majorBidi" w:cstheme="majorBidi"/>
            <w:sz w:val="24"/>
            <w:szCs w:val="24"/>
          </w:rPr>
          <w:t>https://doi.org/10.18800/economia.200701.002</w:t>
        </w:r>
      </w:hyperlink>
    </w:p>
    <w:p w14:paraId="2FCEFBBD" w14:textId="29B76B8E" w:rsidR="001C7385" w:rsidRPr="009F51ED" w:rsidRDefault="001C7385" w:rsidP="009F51ED">
      <w:pPr>
        <w:spacing w:line="360" w:lineRule="auto"/>
        <w:ind w:left="709" w:hanging="709"/>
        <w:jc w:val="both"/>
        <w:rPr>
          <w:rFonts w:asciiTheme="majorBidi" w:hAnsiTheme="majorBidi" w:cstheme="majorBidi"/>
          <w:sz w:val="24"/>
          <w:szCs w:val="24"/>
        </w:rPr>
      </w:pPr>
      <w:proofErr w:type="spellStart"/>
      <w:r w:rsidRPr="009F51ED">
        <w:rPr>
          <w:rFonts w:asciiTheme="majorBidi" w:hAnsiTheme="majorBidi" w:cstheme="majorBidi"/>
          <w:sz w:val="24"/>
          <w:szCs w:val="24"/>
        </w:rPr>
        <w:t>Sahuquillo</w:t>
      </w:r>
      <w:proofErr w:type="spellEnd"/>
      <w:r w:rsidRPr="009F51ED">
        <w:rPr>
          <w:rFonts w:asciiTheme="majorBidi" w:hAnsiTheme="majorBidi" w:cstheme="majorBidi"/>
          <w:sz w:val="24"/>
          <w:szCs w:val="24"/>
        </w:rPr>
        <w:t xml:space="preserve">, M. R., </w:t>
      </w:r>
      <w:r w:rsidRPr="009F51ED">
        <w:rPr>
          <w:rFonts w:asciiTheme="majorBidi" w:hAnsiTheme="majorBidi" w:cstheme="majorBidi"/>
          <w:sz w:val="24"/>
          <w:szCs w:val="24"/>
        </w:rPr>
        <w:t>y</w:t>
      </w:r>
      <w:r w:rsidRPr="009F51ED">
        <w:rPr>
          <w:rFonts w:asciiTheme="majorBidi" w:hAnsiTheme="majorBidi" w:cstheme="majorBidi"/>
          <w:sz w:val="24"/>
          <w:szCs w:val="24"/>
        </w:rPr>
        <w:t xml:space="preserve"> Segura, C. (2023). Polonia y Hungría prohíben la importación de grano desde Ucrania y amenazan con agrietar la unidad de la UE en el apoyo a Kiev. </w:t>
      </w:r>
      <w:r w:rsidRPr="009F51ED">
        <w:rPr>
          <w:rFonts w:asciiTheme="majorBidi" w:hAnsiTheme="majorBidi" w:cstheme="majorBidi"/>
          <w:i/>
          <w:iCs/>
          <w:sz w:val="24"/>
          <w:szCs w:val="24"/>
        </w:rPr>
        <w:t>El País</w:t>
      </w:r>
      <w:r w:rsidRPr="009F51ED">
        <w:rPr>
          <w:rFonts w:asciiTheme="majorBidi" w:hAnsiTheme="majorBidi" w:cstheme="majorBidi"/>
          <w:sz w:val="24"/>
          <w:szCs w:val="24"/>
        </w:rPr>
        <w:t xml:space="preserve">. </w:t>
      </w:r>
      <w:hyperlink r:id="rId69" w:history="1">
        <w:r w:rsidRPr="009F51ED">
          <w:rPr>
            <w:rStyle w:val="Hipervnculo"/>
            <w:rFonts w:asciiTheme="majorBidi" w:hAnsiTheme="majorBidi" w:cstheme="majorBidi"/>
            <w:sz w:val="24"/>
            <w:szCs w:val="24"/>
          </w:rPr>
          <w:t>https://elpais.com/internacional/2023-04-15/polonia-prohibe-la-importacion-de-grano-desde-ucrania-y-amenaza-con-agrietar-la-unidad-de-la-ue-en-el-apoyo-a-kiev.html</w:t>
        </w:r>
      </w:hyperlink>
      <w:r w:rsidRPr="009F51ED">
        <w:rPr>
          <w:rFonts w:asciiTheme="majorBidi" w:hAnsiTheme="majorBidi" w:cstheme="majorBidi"/>
          <w:sz w:val="24"/>
          <w:szCs w:val="24"/>
        </w:rPr>
        <w:t xml:space="preserve"> </w:t>
      </w:r>
    </w:p>
    <w:p w14:paraId="01F3A37C" w14:textId="57F91926" w:rsidR="00050E94" w:rsidRPr="009F51ED" w:rsidRDefault="00050E94"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lastRenderedPageBreak/>
        <w:t xml:space="preserve">Smith, A. (2023). </w:t>
      </w:r>
      <w:r w:rsidRPr="009F51ED">
        <w:rPr>
          <w:rFonts w:asciiTheme="majorBidi" w:hAnsiTheme="majorBidi" w:cstheme="majorBidi"/>
          <w:i/>
          <w:iCs/>
          <w:sz w:val="24"/>
          <w:szCs w:val="24"/>
        </w:rPr>
        <w:t>La riqueza de las naciones</w:t>
      </w:r>
      <w:r w:rsidRPr="009F51ED">
        <w:rPr>
          <w:rFonts w:asciiTheme="majorBidi" w:hAnsiTheme="majorBidi" w:cstheme="majorBidi"/>
          <w:sz w:val="24"/>
          <w:szCs w:val="24"/>
        </w:rPr>
        <w:t xml:space="preserve">. </w:t>
      </w:r>
      <w:r w:rsidRPr="009F51ED">
        <w:rPr>
          <w:rFonts w:asciiTheme="majorBidi" w:hAnsiTheme="majorBidi" w:cstheme="majorBidi"/>
          <w:sz w:val="24"/>
          <w:szCs w:val="24"/>
          <w:lang w:val="en-US"/>
        </w:rPr>
        <w:t>LA CASE Books.</w:t>
      </w:r>
    </w:p>
    <w:p w14:paraId="440717BB" w14:textId="7ECFE6F1" w:rsidR="009E2E77" w:rsidRPr="009F51ED" w:rsidRDefault="009E2E77"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lang w:val="en-US"/>
        </w:rPr>
        <w:t xml:space="preserve">Souto, G. (2013). </w:t>
      </w:r>
      <w:r w:rsidRPr="009F51ED">
        <w:rPr>
          <w:rFonts w:asciiTheme="majorBidi" w:hAnsiTheme="majorBidi" w:cstheme="majorBidi"/>
          <w:sz w:val="24"/>
          <w:szCs w:val="24"/>
        </w:rPr>
        <w:t xml:space="preserve">Mercado internacional de granos: características principales, trayectoria reciente y articulación con el mercado local. </w:t>
      </w:r>
      <w:r w:rsidRPr="009F51ED">
        <w:rPr>
          <w:rFonts w:asciiTheme="majorBidi" w:hAnsiTheme="majorBidi" w:cstheme="majorBidi"/>
          <w:i/>
          <w:iCs/>
          <w:sz w:val="24"/>
          <w:szCs w:val="24"/>
        </w:rPr>
        <w:t>Documento de Trabajo/FCS-DS; 2013/91</w:t>
      </w:r>
      <w:r w:rsidRPr="009F51ED">
        <w:rPr>
          <w:rFonts w:asciiTheme="majorBidi" w:hAnsiTheme="majorBidi" w:cstheme="majorBidi"/>
          <w:sz w:val="24"/>
          <w:szCs w:val="24"/>
        </w:rPr>
        <w:t xml:space="preserve">. </w:t>
      </w:r>
      <w:hyperlink r:id="rId70" w:history="1">
        <w:r w:rsidR="00C23252" w:rsidRPr="009F51ED">
          <w:rPr>
            <w:rStyle w:val="Hipervnculo"/>
            <w:rFonts w:asciiTheme="majorBidi" w:hAnsiTheme="majorBidi" w:cstheme="majorBidi"/>
            <w:sz w:val="24"/>
            <w:szCs w:val="24"/>
          </w:rPr>
          <w:t>https://www.colibri.udelar.edu.uy/jspui/bitstream/20.500.12008/4597/1/DT%20S%202013%2091.pdf</w:t>
        </w:r>
      </w:hyperlink>
      <w:r w:rsidRPr="009F51ED">
        <w:rPr>
          <w:rFonts w:asciiTheme="majorBidi" w:hAnsiTheme="majorBidi" w:cstheme="majorBidi"/>
          <w:sz w:val="24"/>
          <w:szCs w:val="24"/>
        </w:rPr>
        <w:t xml:space="preserve"> </w:t>
      </w:r>
    </w:p>
    <w:p w14:paraId="195941DF" w14:textId="3AF5343B" w:rsidR="00313C78" w:rsidRPr="009F51ED" w:rsidRDefault="00313C78"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Tobey, J. A. y </w:t>
      </w:r>
      <w:proofErr w:type="spellStart"/>
      <w:r w:rsidRPr="009F51ED">
        <w:rPr>
          <w:rFonts w:asciiTheme="majorBidi" w:hAnsiTheme="majorBidi" w:cstheme="majorBidi"/>
          <w:sz w:val="24"/>
          <w:szCs w:val="24"/>
        </w:rPr>
        <w:t>Chomo</w:t>
      </w:r>
      <w:proofErr w:type="spellEnd"/>
      <w:r w:rsidRPr="009F51ED">
        <w:rPr>
          <w:rFonts w:asciiTheme="majorBidi" w:hAnsiTheme="majorBidi" w:cstheme="majorBidi"/>
          <w:sz w:val="24"/>
          <w:szCs w:val="24"/>
        </w:rPr>
        <w:t xml:space="preserve">, G. V. (1994). </w:t>
      </w:r>
      <w:r w:rsidRPr="009F51ED">
        <w:rPr>
          <w:rFonts w:asciiTheme="majorBidi" w:hAnsiTheme="majorBidi" w:cstheme="majorBidi"/>
          <w:sz w:val="24"/>
          <w:szCs w:val="24"/>
          <w:lang w:val="en-US"/>
        </w:rPr>
        <w:t xml:space="preserve">Resource Supplies and changing world agricultural comparative advantage. </w:t>
      </w:r>
      <w:proofErr w:type="spellStart"/>
      <w:r w:rsidRPr="009F51ED">
        <w:rPr>
          <w:rFonts w:asciiTheme="majorBidi" w:hAnsiTheme="majorBidi" w:cstheme="majorBidi"/>
          <w:i/>
          <w:iCs/>
          <w:sz w:val="24"/>
          <w:szCs w:val="24"/>
        </w:rPr>
        <w:t>Agricultural</w:t>
      </w:r>
      <w:proofErr w:type="spellEnd"/>
      <w:r w:rsidRPr="009F51ED">
        <w:rPr>
          <w:rFonts w:asciiTheme="majorBidi" w:hAnsiTheme="majorBidi" w:cstheme="majorBidi"/>
          <w:i/>
          <w:iCs/>
          <w:sz w:val="24"/>
          <w:szCs w:val="24"/>
        </w:rPr>
        <w:t xml:space="preserve"> </w:t>
      </w:r>
      <w:proofErr w:type="spellStart"/>
      <w:r w:rsidRPr="009F51ED">
        <w:rPr>
          <w:rFonts w:asciiTheme="majorBidi" w:hAnsiTheme="majorBidi" w:cstheme="majorBidi"/>
          <w:i/>
          <w:iCs/>
          <w:sz w:val="24"/>
          <w:szCs w:val="24"/>
        </w:rPr>
        <w:t>Economics</w:t>
      </w:r>
      <w:proofErr w:type="spellEnd"/>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10</w:t>
      </w:r>
      <w:r w:rsidRPr="009F51ED">
        <w:rPr>
          <w:rFonts w:asciiTheme="majorBidi" w:hAnsiTheme="majorBidi" w:cstheme="majorBidi"/>
          <w:sz w:val="24"/>
          <w:szCs w:val="24"/>
        </w:rPr>
        <w:t xml:space="preserve">(3), 207-217. </w:t>
      </w:r>
      <w:hyperlink r:id="rId71" w:history="1">
        <w:r w:rsidRPr="009F51ED">
          <w:rPr>
            <w:rStyle w:val="Hipervnculo"/>
            <w:rFonts w:asciiTheme="majorBidi" w:hAnsiTheme="majorBidi" w:cstheme="majorBidi"/>
            <w:sz w:val="24"/>
            <w:szCs w:val="24"/>
          </w:rPr>
          <w:t>https://doi.org/10.1016/0169-5150(94)90023-x</w:t>
        </w:r>
      </w:hyperlink>
      <w:r w:rsidRPr="009F51ED">
        <w:rPr>
          <w:rFonts w:asciiTheme="majorBidi" w:hAnsiTheme="majorBidi" w:cstheme="majorBidi"/>
          <w:sz w:val="24"/>
          <w:szCs w:val="24"/>
        </w:rPr>
        <w:t xml:space="preserve"> </w:t>
      </w:r>
    </w:p>
    <w:p w14:paraId="09E81E5B" w14:textId="7B0F69C2" w:rsidR="00A47644" w:rsidRPr="009F51ED" w:rsidRDefault="00BD4B4C"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Torres Torres, F. (2003). La visión teórica de la seguridad alimentaria como componente de la seguridad nacional. </w:t>
      </w:r>
      <w:r w:rsidRPr="009F51ED">
        <w:rPr>
          <w:rFonts w:asciiTheme="majorBidi" w:hAnsiTheme="majorBidi" w:cstheme="majorBidi"/>
          <w:i/>
          <w:iCs/>
          <w:sz w:val="24"/>
          <w:szCs w:val="24"/>
        </w:rPr>
        <w:t>Seguridad alimentaria, seguridad nacional</w:t>
      </w:r>
      <w:r w:rsidRPr="009F51ED">
        <w:rPr>
          <w:rFonts w:asciiTheme="majorBidi" w:hAnsiTheme="majorBidi" w:cstheme="majorBidi"/>
          <w:sz w:val="24"/>
          <w:szCs w:val="24"/>
        </w:rPr>
        <w:t>.</w:t>
      </w:r>
      <w:r w:rsidR="00A47644" w:rsidRPr="009F51ED">
        <w:rPr>
          <w:rFonts w:asciiTheme="majorBidi" w:hAnsiTheme="majorBidi" w:cstheme="majorBidi"/>
          <w:sz w:val="24"/>
          <w:szCs w:val="24"/>
        </w:rPr>
        <w:t xml:space="preserve"> 15-53.</w:t>
      </w:r>
      <w:r w:rsidRPr="009F51ED">
        <w:rPr>
          <w:rFonts w:asciiTheme="majorBidi" w:hAnsiTheme="majorBidi" w:cstheme="majorBidi"/>
          <w:sz w:val="24"/>
          <w:szCs w:val="24"/>
        </w:rPr>
        <w:t xml:space="preserve"> Plaza y </w:t>
      </w:r>
      <w:proofErr w:type="spellStart"/>
      <w:r w:rsidRPr="009F51ED">
        <w:rPr>
          <w:rFonts w:asciiTheme="majorBidi" w:hAnsiTheme="majorBidi" w:cstheme="majorBidi"/>
          <w:sz w:val="24"/>
          <w:szCs w:val="24"/>
        </w:rPr>
        <w:t>Valdes</w:t>
      </w:r>
      <w:proofErr w:type="spellEnd"/>
      <w:r w:rsidRPr="009F51ED">
        <w:rPr>
          <w:rFonts w:asciiTheme="majorBidi" w:hAnsiTheme="majorBidi" w:cstheme="majorBidi"/>
          <w:sz w:val="24"/>
          <w:szCs w:val="24"/>
        </w:rPr>
        <w:t>.</w:t>
      </w:r>
      <w:r w:rsidR="00A47644" w:rsidRPr="009F51ED">
        <w:rPr>
          <w:rFonts w:asciiTheme="majorBidi" w:hAnsiTheme="majorBidi" w:cstheme="majorBidi"/>
          <w:sz w:val="24"/>
          <w:szCs w:val="24"/>
        </w:rPr>
        <w:t xml:space="preserve"> </w:t>
      </w:r>
      <w:hyperlink r:id="rId72" w:anchor="v=onepage&amp;q&amp;f=false" w:history="1">
        <w:r w:rsidR="00A47644" w:rsidRPr="009F51ED">
          <w:rPr>
            <w:rStyle w:val="Hipervnculo"/>
            <w:rFonts w:asciiTheme="majorBidi" w:hAnsiTheme="majorBidi" w:cstheme="majorBidi"/>
            <w:sz w:val="24"/>
            <w:szCs w:val="24"/>
          </w:rPr>
          <w:t>https://books.google.es/books?id=ErX-G9R-DEsC&amp;lpg=PA7&amp;ots=ER3JZ3PHAO&amp;dq=seguridad%20alimentaria%20nacional&amp;lr&amp;hl=es&amp;pg=PA15#v=onepage&amp;q&amp;f=false</w:t>
        </w:r>
      </w:hyperlink>
      <w:r w:rsidR="00A47644" w:rsidRPr="009F51ED">
        <w:rPr>
          <w:rFonts w:asciiTheme="majorBidi" w:hAnsiTheme="majorBidi" w:cstheme="majorBidi"/>
          <w:sz w:val="24"/>
          <w:szCs w:val="24"/>
        </w:rPr>
        <w:t xml:space="preserve"> </w:t>
      </w:r>
    </w:p>
    <w:p w14:paraId="7F388CD6" w14:textId="7B4E12CA" w:rsidR="0065735E" w:rsidRPr="009F51ED" w:rsidRDefault="0065735E" w:rsidP="009F51ED">
      <w:pPr>
        <w:spacing w:line="360" w:lineRule="auto"/>
        <w:ind w:left="709" w:hanging="709"/>
        <w:jc w:val="both"/>
        <w:rPr>
          <w:rFonts w:asciiTheme="majorBidi" w:hAnsiTheme="majorBidi" w:cstheme="majorBidi"/>
          <w:sz w:val="24"/>
          <w:szCs w:val="24"/>
          <w:lang w:val="en-US"/>
        </w:rPr>
      </w:pPr>
      <w:proofErr w:type="spellStart"/>
      <w:r w:rsidRPr="009F51ED">
        <w:rPr>
          <w:rFonts w:asciiTheme="majorBidi" w:hAnsiTheme="majorBidi" w:cstheme="majorBidi"/>
          <w:sz w:val="24"/>
          <w:szCs w:val="24"/>
        </w:rPr>
        <w:t>Toye</w:t>
      </w:r>
      <w:proofErr w:type="spellEnd"/>
      <w:r w:rsidRPr="009F51ED">
        <w:rPr>
          <w:rFonts w:asciiTheme="majorBidi" w:hAnsiTheme="majorBidi" w:cstheme="majorBidi"/>
          <w:sz w:val="24"/>
          <w:szCs w:val="24"/>
        </w:rPr>
        <w:t xml:space="preserve">, J. F. y </w:t>
      </w:r>
      <w:proofErr w:type="spellStart"/>
      <w:r w:rsidRPr="009F51ED">
        <w:rPr>
          <w:rFonts w:asciiTheme="majorBidi" w:hAnsiTheme="majorBidi" w:cstheme="majorBidi"/>
          <w:sz w:val="24"/>
          <w:szCs w:val="24"/>
        </w:rPr>
        <w:t>Toye</w:t>
      </w:r>
      <w:proofErr w:type="spellEnd"/>
      <w:r w:rsidRPr="009F51ED">
        <w:rPr>
          <w:rFonts w:asciiTheme="majorBidi" w:hAnsiTheme="majorBidi" w:cstheme="majorBidi"/>
          <w:sz w:val="24"/>
          <w:szCs w:val="24"/>
        </w:rPr>
        <w:t xml:space="preserve">, R. (2003). </w:t>
      </w:r>
      <w:r w:rsidRPr="009F51ED">
        <w:rPr>
          <w:rFonts w:asciiTheme="majorBidi" w:hAnsiTheme="majorBidi" w:cstheme="majorBidi"/>
          <w:sz w:val="24"/>
          <w:szCs w:val="24"/>
          <w:lang w:val="en-US"/>
        </w:rPr>
        <w:t xml:space="preserve">The origins and interpretation of the </w:t>
      </w:r>
      <w:proofErr w:type="spellStart"/>
      <w:r w:rsidRPr="009F51ED">
        <w:rPr>
          <w:rFonts w:asciiTheme="majorBidi" w:hAnsiTheme="majorBidi" w:cstheme="majorBidi"/>
          <w:sz w:val="24"/>
          <w:szCs w:val="24"/>
          <w:lang w:val="en-US"/>
        </w:rPr>
        <w:t>Prebisch</w:t>
      </w:r>
      <w:proofErr w:type="spellEnd"/>
      <w:r w:rsidRPr="009F51ED">
        <w:rPr>
          <w:rFonts w:asciiTheme="majorBidi" w:hAnsiTheme="majorBidi" w:cstheme="majorBidi"/>
          <w:sz w:val="24"/>
          <w:szCs w:val="24"/>
          <w:lang w:val="en-US"/>
        </w:rPr>
        <w:t xml:space="preserve">-Singer thesis. </w:t>
      </w:r>
      <w:r w:rsidRPr="009F51ED">
        <w:rPr>
          <w:rFonts w:asciiTheme="majorBidi" w:hAnsiTheme="majorBidi" w:cstheme="majorBidi"/>
          <w:i/>
          <w:iCs/>
          <w:sz w:val="24"/>
          <w:szCs w:val="24"/>
          <w:lang w:val="en-US"/>
        </w:rPr>
        <w:t>History of political Economy</w:t>
      </w:r>
      <w:r w:rsidRPr="009F51ED">
        <w:rPr>
          <w:rFonts w:asciiTheme="majorBidi" w:hAnsiTheme="majorBidi" w:cstheme="majorBidi"/>
          <w:sz w:val="24"/>
          <w:szCs w:val="24"/>
          <w:lang w:val="en-US"/>
        </w:rPr>
        <w:t xml:space="preserve">, </w:t>
      </w:r>
      <w:r w:rsidRPr="009F51ED">
        <w:rPr>
          <w:rFonts w:asciiTheme="majorBidi" w:hAnsiTheme="majorBidi" w:cstheme="majorBidi"/>
          <w:i/>
          <w:iCs/>
          <w:sz w:val="24"/>
          <w:szCs w:val="24"/>
          <w:lang w:val="en-US"/>
        </w:rPr>
        <w:t>35</w:t>
      </w:r>
      <w:r w:rsidRPr="009F51ED">
        <w:rPr>
          <w:rFonts w:asciiTheme="majorBidi" w:hAnsiTheme="majorBidi" w:cstheme="majorBidi"/>
          <w:sz w:val="24"/>
          <w:szCs w:val="24"/>
          <w:lang w:val="en-US"/>
        </w:rPr>
        <w:t xml:space="preserve">(3), 437-467. </w:t>
      </w:r>
      <w:hyperlink r:id="rId73" w:tgtFrame="_blank" w:history="1">
        <w:r w:rsidRPr="009F51ED">
          <w:rPr>
            <w:rStyle w:val="Hipervnculo"/>
            <w:rFonts w:asciiTheme="majorBidi" w:hAnsiTheme="majorBidi" w:cstheme="majorBidi"/>
            <w:sz w:val="24"/>
            <w:szCs w:val="24"/>
            <w:lang w:val="en-US"/>
          </w:rPr>
          <w:t>https://doi.org/10.1215/00182702-35-3-437</w:t>
        </w:r>
      </w:hyperlink>
    </w:p>
    <w:p w14:paraId="07888E32" w14:textId="347FB929" w:rsidR="00420360" w:rsidRPr="009F51ED" w:rsidRDefault="00420360"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UNCTAD. (2022). </w:t>
      </w:r>
      <w:r w:rsidRPr="009F51ED">
        <w:rPr>
          <w:rFonts w:asciiTheme="majorBidi" w:hAnsiTheme="majorBidi" w:cstheme="majorBidi"/>
          <w:i/>
          <w:iCs/>
          <w:sz w:val="24"/>
          <w:szCs w:val="24"/>
          <w:lang w:val="en-US"/>
        </w:rPr>
        <w:t>Maritime trade disrupted. The war in Ukraine and its effects on maritime trade logistics</w:t>
      </w:r>
      <w:r w:rsidRPr="009F51ED">
        <w:rPr>
          <w:rFonts w:asciiTheme="majorBidi" w:hAnsiTheme="majorBidi" w:cstheme="majorBidi"/>
          <w:sz w:val="24"/>
          <w:szCs w:val="24"/>
          <w:lang w:val="en-US"/>
        </w:rPr>
        <w:t xml:space="preserve">. </w:t>
      </w:r>
      <w:r w:rsidR="0025713C" w:rsidRPr="009F51ED">
        <w:rPr>
          <w:rFonts w:asciiTheme="majorBidi" w:hAnsiTheme="majorBidi" w:cstheme="majorBidi"/>
          <w:sz w:val="24"/>
          <w:szCs w:val="24"/>
          <w:lang w:val="en-US"/>
        </w:rPr>
        <w:t>Ginebra</w:t>
      </w:r>
      <w:r w:rsidRPr="009F51ED">
        <w:rPr>
          <w:rFonts w:asciiTheme="majorBidi" w:hAnsiTheme="majorBidi" w:cstheme="majorBidi"/>
          <w:sz w:val="24"/>
          <w:szCs w:val="24"/>
          <w:lang w:val="en-US"/>
        </w:rPr>
        <w:t>: United Nations Conference on Trade and Development.</w:t>
      </w:r>
      <w:r w:rsidR="001579BE" w:rsidRPr="009F51ED">
        <w:rPr>
          <w:rFonts w:asciiTheme="majorBidi" w:hAnsiTheme="majorBidi" w:cstheme="majorBidi"/>
          <w:sz w:val="24"/>
          <w:szCs w:val="24"/>
          <w:lang w:val="en-US"/>
        </w:rPr>
        <w:t xml:space="preserve"> </w:t>
      </w:r>
      <w:hyperlink r:id="rId74" w:history="1">
        <w:r w:rsidR="001579BE" w:rsidRPr="009F51ED">
          <w:rPr>
            <w:rStyle w:val="Hipervnculo"/>
            <w:rFonts w:asciiTheme="majorBidi" w:hAnsiTheme="majorBidi" w:cstheme="majorBidi"/>
            <w:sz w:val="24"/>
            <w:szCs w:val="24"/>
            <w:lang w:val="en-US"/>
          </w:rPr>
          <w:t>https://unctad.org/system/files/official-document/ditcted2023d1_en.pdf</w:t>
        </w:r>
      </w:hyperlink>
      <w:r w:rsidRPr="009F51ED">
        <w:rPr>
          <w:rFonts w:asciiTheme="majorBidi" w:hAnsiTheme="majorBidi" w:cstheme="majorBidi"/>
          <w:sz w:val="24"/>
          <w:szCs w:val="24"/>
          <w:lang w:val="en-US"/>
        </w:rPr>
        <w:t xml:space="preserve"> </w:t>
      </w:r>
    </w:p>
    <w:p w14:paraId="5A27D47C" w14:textId="69C26FC0" w:rsidR="00976ABB" w:rsidRPr="009F51ED" w:rsidRDefault="00976ABB"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lang w:val="en-US"/>
        </w:rPr>
        <w:t xml:space="preserve">UNCTAD. (2023). </w:t>
      </w:r>
      <w:r w:rsidRPr="009F51ED">
        <w:rPr>
          <w:rFonts w:asciiTheme="majorBidi" w:hAnsiTheme="majorBidi" w:cstheme="majorBidi"/>
          <w:i/>
          <w:iCs/>
          <w:sz w:val="24"/>
          <w:szCs w:val="24"/>
          <w:lang w:val="en-US"/>
        </w:rPr>
        <w:t>Trade and environment</w:t>
      </w:r>
      <w:r w:rsidR="00C23252" w:rsidRPr="009F51ED">
        <w:rPr>
          <w:rFonts w:asciiTheme="majorBidi" w:hAnsiTheme="majorBidi" w:cstheme="majorBidi"/>
          <w:i/>
          <w:iCs/>
          <w:sz w:val="24"/>
          <w:szCs w:val="24"/>
          <w:lang w:val="en-US"/>
        </w:rPr>
        <w:t xml:space="preserve"> </w:t>
      </w:r>
      <w:r w:rsidRPr="009F51ED">
        <w:rPr>
          <w:rFonts w:asciiTheme="majorBidi" w:hAnsiTheme="majorBidi" w:cstheme="majorBidi"/>
          <w:i/>
          <w:iCs/>
          <w:sz w:val="24"/>
          <w:szCs w:val="24"/>
          <w:lang w:val="en-US"/>
        </w:rPr>
        <w:t>review 2023. Building a sustainable and resilient ocean economy beyond 2030</w:t>
      </w:r>
      <w:r w:rsidRPr="009F51ED">
        <w:rPr>
          <w:rFonts w:asciiTheme="majorBidi" w:hAnsiTheme="majorBidi" w:cstheme="majorBidi"/>
          <w:sz w:val="24"/>
          <w:szCs w:val="24"/>
          <w:lang w:val="en-US"/>
        </w:rPr>
        <w:t xml:space="preserve">. </w:t>
      </w:r>
      <w:r w:rsidR="0025713C" w:rsidRPr="009F51ED">
        <w:rPr>
          <w:rFonts w:asciiTheme="majorBidi" w:hAnsiTheme="majorBidi" w:cstheme="majorBidi"/>
          <w:sz w:val="24"/>
          <w:szCs w:val="24"/>
          <w:lang w:val="en-US"/>
        </w:rPr>
        <w:t>Ginebra</w:t>
      </w:r>
      <w:r w:rsidRPr="009F51ED">
        <w:rPr>
          <w:rFonts w:asciiTheme="majorBidi" w:hAnsiTheme="majorBidi" w:cstheme="majorBidi"/>
          <w:sz w:val="24"/>
          <w:szCs w:val="24"/>
          <w:lang w:val="en-US"/>
        </w:rPr>
        <w:t>: United Nations Conference on</w:t>
      </w:r>
      <w:r w:rsidR="00C23252" w:rsidRPr="009F51ED">
        <w:rPr>
          <w:rFonts w:asciiTheme="majorBidi" w:hAnsiTheme="majorBidi" w:cstheme="majorBidi"/>
          <w:sz w:val="24"/>
          <w:szCs w:val="24"/>
          <w:lang w:val="en-US"/>
        </w:rPr>
        <w:t xml:space="preserve"> </w:t>
      </w:r>
      <w:r w:rsidRPr="009F51ED">
        <w:rPr>
          <w:rFonts w:asciiTheme="majorBidi" w:hAnsiTheme="majorBidi" w:cstheme="majorBidi"/>
          <w:sz w:val="24"/>
          <w:szCs w:val="24"/>
          <w:lang w:val="en-US"/>
        </w:rPr>
        <w:t xml:space="preserve">Trade and Development. </w:t>
      </w:r>
      <w:hyperlink r:id="rId75" w:history="1">
        <w:r w:rsidRPr="009F51ED">
          <w:rPr>
            <w:rStyle w:val="Hipervnculo"/>
            <w:rFonts w:asciiTheme="majorBidi" w:hAnsiTheme="majorBidi" w:cstheme="majorBidi"/>
            <w:sz w:val="24"/>
            <w:szCs w:val="24"/>
            <w:lang w:val="en-US"/>
          </w:rPr>
          <w:t>https://unctad.org/system/files/official-document/ditcted2023d1_en.pdf</w:t>
        </w:r>
      </w:hyperlink>
      <w:r w:rsidRPr="009F51ED">
        <w:rPr>
          <w:rFonts w:asciiTheme="majorBidi" w:hAnsiTheme="majorBidi" w:cstheme="majorBidi"/>
          <w:sz w:val="24"/>
          <w:szCs w:val="24"/>
          <w:lang w:val="en-US"/>
        </w:rPr>
        <w:t xml:space="preserve"> </w:t>
      </w:r>
    </w:p>
    <w:p w14:paraId="5C04CD3A" w14:textId="1C1B30B2" w:rsidR="000F3DBC" w:rsidRPr="009F51ED" w:rsidRDefault="0065735E" w:rsidP="009F51ED">
      <w:pPr>
        <w:spacing w:line="360" w:lineRule="auto"/>
        <w:ind w:left="709" w:hanging="709"/>
        <w:jc w:val="both"/>
        <w:rPr>
          <w:rFonts w:asciiTheme="majorBidi" w:hAnsiTheme="majorBidi" w:cstheme="majorBidi"/>
          <w:sz w:val="24"/>
          <w:szCs w:val="24"/>
          <w:lang w:val="en-US"/>
        </w:rPr>
      </w:pPr>
      <w:r w:rsidRPr="009F51ED">
        <w:rPr>
          <w:rFonts w:asciiTheme="majorBidi" w:hAnsiTheme="majorBidi" w:cstheme="majorBidi"/>
          <w:sz w:val="24"/>
          <w:szCs w:val="24"/>
        </w:rPr>
        <w:t xml:space="preserve">Vilches, C. (2023, 6 de abril). </w:t>
      </w:r>
      <w:proofErr w:type="spellStart"/>
      <w:r w:rsidRPr="009F51ED">
        <w:rPr>
          <w:rFonts w:asciiTheme="majorBidi" w:hAnsiTheme="majorBidi" w:cstheme="majorBidi"/>
          <w:i/>
          <w:iCs/>
          <w:sz w:val="24"/>
          <w:szCs w:val="24"/>
        </w:rPr>
        <w:t>Biblioguías</w:t>
      </w:r>
      <w:proofErr w:type="spellEnd"/>
      <w:r w:rsidRPr="009F51ED">
        <w:rPr>
          <w:rFonts w:asciiTheme="majorBidi" w:hAnsiTheme="majorBidi" w:cstheme="majorBidi"/>
          <w:i/>
          <w:iCs/>
          <w:sz w:val="24"/>
          <w:szCs w:val="24"/>
        </w:rPr>
        <w:t xml:space="preserve"> – Raúl </w:t>
      </w:r>
      <w:proofErr w:type="spellStart"/>
      <w:r w:rsidRPr="009F51ED">
        <w:rPr>
          <w:rFonts w:asciiTheme="majorBidi" w:hAnsiTheme="majorBidi" w:cstheme="majorBidi"/>
          <w:i/>
          <w:iCs/>
          <w:sz w:val="24"/>
          <w:szCs w:val="24"/>
        </w:rPr>
        <w:t>Prebisch</w:t>
      </w:r>
      <w:proofErr w:type="spellEnd"/>
      <w:r w:rsidRPr="009F51ED">
        <w:rPr>
          <w:rFonts w:asciiTheme="majorBidi" w:hAnsiTheme="majorBidi" w:cstheme="majorBidi"/>
          <w:i/>
          <w:iCs/>
          <w:sz w:val="24"/>
          <w:szCs w:val="24"/>
        </w:rPr>
        <w:t xml:space="preserve"> y los desafíos del Siglo XXI: Términos de intercambio</w:t>
      </w:r>
      <w:r w:rsidRPr="009F51ED">
        <w:rPr>
          <w:rFonts w:asciiTheme="majorBidi" w:hAnsiTheme="majorBidi" w:cstheme="majorBidi"/>
          <w:sz w:val="24"/>
          <w:szCs w:val="24"/>
        </w:rPr>
        <w:t xml:space="preserve">. </w:t>
      </w:r>
      <w:hyperlink r:id="rId76" w:history="1">
        <w:r w:rsidRPr="009F51ED">
          <w:rPr>
            <w:rStyle w:val="Hipervnculo"/>
            <w:rFonts w:asciiTheme="majorBidi" w:hAnsiTheme="majorBidi" w:cstheme="majorBidi"/>
            <w:sz w:val="24"/>
            <w:szCs w:val="24"/>
            <w:lang w:val="en-US"/>
          </w:rPr>
          <w:t>https://biblioguias.cepal.org/ld.php?content_id=31872193</w:t>
        </w:r>
      </w:hyperlink>
      <w:r w:rsidRPr="009F51ED">
        <w:rPr>
          <w:rFonts w:asciiTheme="majorBidi" w:hAnsiTheme="majorBidi" w:cstheme="majorBidi"/>
          <w:sz w:val="24"/>
          <w:szCs w:val="24"/>
          <w:lang w:val="en-US"/>
        </w:rPr>
        <w:t xml:space="preserve"> </w:t>
      </w:r>
    </w:p>
    <w:p w14:paraId="3E9D2FF9" w14:textId="2DD8AC2E" w:rsidR="000F3DBC" w:rsidRPr="00CD1DDC" w:rsidRDefault="000F3DBC" w:rsidP="009F51ED">
      <w:pPr>
        <w:spacing w:line="360" w:lineRule="auto"/>
        <w:ind w:left="709" w:hanging="709"/>
        <w:jc w:val="both"/>
        <w:rPr>
          <w:rFonts w:asciiTheme="majorBidi" w:hAnsiTheme="majorBidi" w:cstheme="majorBidi"/>
          <w:sz w:val="24"/>
          <w:szCs w:val="24"/>
        </w:rPr>
      </w:pPr>
      <w:r w:rsidRPr="009F51ED">
        <w:rPr>
          <w:rFonts w:asciiTheme="majorBidi" w:eastAsia="Times New Roman" w:hAnsiTheme="majorBidi" w:cstheme="majorBidi"/>
          <w:sz w:val="24"/>
          <w:szCs w:val="24"/>
          <w:lang w:val="en-US" w:eastAsia="es-ES"/>
        </w:rPr>
        <w:t xml:space="preserve">Wailes, E. J. (2005). Rice: Global trade, protectionist policies, and the impact of trade liberalization. </w:t>
      </w:r>
      <w:r w:rsidRPr="009F51ED">
        <w:rPr>
          <w:rFonts w:asciiTheme="majorBidi" w:eastAsia="Times New Roman" w:hAnsiTheme="majorBidi" w:cstheme="majorBidi"/>
          <w:i/>
          <w:iCs/>
          <w:sz w:val="24"/>
          <w:szCs w:val="24"/>
          <w:lang w:val="en-US" w:eastAsia="es-ES"/>
        </w:rPr>
        <w:t>Global agricultural trade and developing countries</w:t>
      </w:r>
      <w:r w:rsidRPr="009F51ED">
        <w:rPr>
          <w:rFonts w:asciiTheme="majorBidi" w:eastAsia="Times New Roman" w:hAnsiTheme="majorBidi" w:cstheme="majorBidi"/>
          <w:sz w:val="24"/>
          <w:szCs w:val="24"/>
          <w:lang w:val="en-US" w:eastAsia="es-ES"/>
        </w:rPr>
        <w:t xml:space="preserve">, 177-194. </w:t>
      </w:r>
      <w:hyperlink r:id="rId77" w:anchor="page=197" w:history="1">
        <w:r w:rsidR="00293C18" w:rsidRPr="00CD1DDC">
          <w:rPr>
            <w:rStyle w:val="Hipervnculo"/>
            <w:rFonts w:asciiTheme="majorBidi" w:eastAsia="Times New Roman" w:hAnsiTheme="majorBidi" w:cstheme="majorBidi"/>
            <w:sz w:val="24"/>
            <w:szCs w:val="24"/>
            <w:lang w:eastAsia="es-ES"/>
          </w:rPr>
          <w:t>https://openknowledge.worldbank.org/server/api/core/bitstreams/eab770be-c90b-5539-80ea-41f1ce5484ff/content#page=197</w:t>
        </w:r>
      </w:hyperlink>
      <w:r w:rsidR="00293C18" w:rsidRPr="00CD1DDC">
        <w:rPr>
          <w:rFonts w:asciiTheme="majorBidi" w:eastAsia="Times New Roman" w:hAnsiTheme="majorBidi" w:cstheme="majorBidi"/>
          <w:sz w:val="24"/>
          <w:szCs w:val="24"/>
          <w:lang w:eastAsia="es-ES"/>
        </w:rPr>
        <w:t xml:space="preserve"> </w:t>
      </w:r>
    </w:p>
    <w:p w14:paraId="620682B9" w14:textId="052877F8" w:rsidR="00E52F1E" w:rsidRPr="009F51ED" w:rsidRDefault="00E52F1E" w:rsidP="009F51ED">
      <w:pPr>
        <w:spacing w:line="360" w:lineRule="auto"/>
        <w:ind w:left="709" w:hanging="709"/>
        <w:jc w:val="both"/>
        <w:rPr>
          <w:rStyle w:val="Hipervnculo"/>
          <w:rFonts w:asciiTheme="majorBidi" w:hAnsiTheme="majorBidi" w:cstheme="majorBidi"/>
          <w:sz w:val="24"/>
          <w:szCs w:val="24"/>
          <w:lang w:val="en-US"/>
        </w:rPr>
      </w:pPr>
      <w:proofErr w:type="spellStart"/>
      <w:r w:rsidRPr="009F51ED">
        <w:rPr>
          <w:rFonts w:asciiTheme="majorBidi" w:hAnsiTheme="majorBidi" w:cstheme="majorBidi"/>
          <w:sz w:val="24"/>
          <w:szCs w:val="24"/>
        </w:rPr>
        <w:t>Windfuhr</w:t>
      </w:r>
      <w:proofErr w:type="spellEnd"/>
      <w:r w:rsidRPr="009F51ED">
        <w:rPr>
          <w:rFonts w:asciiTheme="majorBidi" w:hAnsiTheme="majorBidi" w:cstheme="majorBidi"/>
          <w:sz w:val="24"/>
          <w:szCs w:val="24"/>
        </w:rPr>
        <w:t xml:space="preserve">, M., y </w:t>
      </w:r>
      <w:proofErr w:type="spellStart"/>
      <w:r w:rsidRPr="009F51ED">
        <w:rPr>
          <w:rFonts w:asciiTheme="majorBidi" w:hAnsiTheme="majorBidi" w:cstheme="majorBidi"/>
          <w:sz w:val="24"/>
          <w:szCs w:val="24"/>
        </w:rPr>
        <w:t>Jonsén</w:t>
      </w:r>
      <w:proofErr w:type="spellEnd"/>
      <w:r w:rsidRPr="009F51ED">
        <w:rPr>
          <w:rFonts w:asciiTheme="majorBidi" w:hAnsiTheme="majorBidi" w:cstheme="majorBidi"/>
          <w:sz w:val="24"/>
          <w:szCs w:val="24"/>
        </w:rPr>
        <w:t xml:space="preserve">, J. (2005). </w:t>
      </w:r>
      <w:r w:rsidRPr="009F51ED">
        <w:rPr>
          <w:rFonts w:asciiTheme="majorBidi" w:hAnsiTheme="majorBidi" w:cstheme="majorBidi"/>
          <w:i/>
          <w:iCs/>
          <w:sz w:val="24"/>
          <w:szCs w:val="24"/>
        </w:rPr>
        <w:t>Soberanía alimentaria. Hacia la democracia en sistemas alimentarios locales</w:t>
      </w:r>
      <w:r w:rsidR="0068320C" w:rsidRPr="009F51ED">
        <w:rPr>
          <w:rFonts w:asciiTheme="majorBidi" w:hAnsiTheme="majorBidi" w:cstheme="majorBidi"/>
          <w:sz w:val="24"/>
          <w:szCs w:val="24"/>
        </w:rPr>
        <w:t xml:space="preserve"> (1ª edición)</w:t>
      </w:r>
      <w:r w:rsidRPr="009F51ED">
        <w:rPr>
          <w:rFonts w:asciiTheme="majorBidi" w:hAnsiTheme="majorBidi" w:cstheme="majorBidi"/>
          <w:i/>
          <w:iCs/>
          <w:sz w:val="24"/>
          <w:szCs w:val="24"/>
        </w:rPr>
        <w:t>.</w:t>
      </w:r>
      <w:r w:rsidR="0068320C" w:rsidRPr="009F51ED">
        <w:rPr>
          <w:rFonts w:asciiTheme="majorBidi" w:hAnsiTheme="majorBidi" w:cstheme="majorBidi"/>
          <w:i/>
          <w:iCs/>
          <w:sz w:val="24"/>
          <w:szCs w:val="24"/>
        </w:rPr>
        <w:t xml:space="preserve"> </w:t>
      </w:r>
      <w:r w:rsidR="0068320C" w:rsidRPr="009F51ED">
        <w:rPr>
          <w:rFonts w:asciiTheme="majorBidi" w:hAnsiTheme="majorBidi" w:cstheme="majorBidi"/>
          <w:sz w:val="24"/>
          <w:szCs w:val="24"/>
          <w:lang w:val="en-US"/>
        </w:rPr>
        <w:t>IDTG Publishing.</w:t>
      </w:r>
      <w:r w:rsidR="002317F4" w:rsidRPr="009F51ED">
        <w:rPr>
          <w:rFonts w:asciiTheme="majorBidi" w:hAnsiTheme="majorBidi" w:cstheme="majorBidi"/>
          <w:sz w:val="24"/>
          <w:szCs w:val="24"/>
          <w:lang w:val="en-US"/>
        </w:rPr>
        <w:t xml:space="preserve"> FIAN Interna</w:t>
      </w:r>
      <w:r w:rsidR="0068320C" w:rsidRPr="009F51ED">
        <w:rPr>
          <w:rFonts w:asciiTheme="majorBidi" w:hAnsiTheme="majorBidi" w:cstheme="majorBidi"/>
          <w:sz w:val="24"/>
          <w:szCs w:val="24"/>
          <w:lang w:val="en-US"/>
        </w:rPr>
        <w:t>t</w:t>
      </w:r>
      <w:r w:rsidR="002317F4" w:rsidRPr="009F51ED">
        <w:rPr>
          <w:rFonts w:asciiTheme="majorBidi" w:hAnsiTheme="majorBidi" w:cstheme="majorBidi"/>
          <w:sz w:val="24"/>
          <w:szCs w:val="24"/>
          <w:lang w:val="en-US"/>
        </w:rPr>
        <w:t>ional</w:t>
      </w:r>
      <w:r w:rsidRPr="009F51ED">
        <w:rPr>
          <w:rFonts w:asciiTheme="majorBidi" w:hAnsiTheme="majorBidi" w:cstheme="majorBidi"/>
          <w:i/>
          <w:iCs/>
          <w:sz w:val="24"/>
          <w:szCs w:val="24"/>
          <w:lang w:val="en-US"/>
        </w:rPr>
        <w:t xml:space="preserve"> </w:t>
      </w:r>
      <w:hyperlink r:id="rId78" w:history="1">
        <w:r w:rsidR="003B1477" w:rsidRPr="009F51ED">
          <w:rPr>
            <w:rStyle w:val="Hipervnculo"/>
            <w:rFonts w:asciiTheme="majorBidi" w:hAnsiTheme="majorBidi" w:cstheme="majorBidi"/>
            <w:sz w:val="24"/>
            <w:szCs w:val="24"/>
            <w:lang w:val="en-US"/>
          </w:rPr>
          <w:t>http://www.oda-alc.org/documentos/1341800313.pdf</w:t>
        </w:r>
      </w:hyperlink>
      <w:r w:rsidR="003B1477" w:rsidRPr="009F51ED">
        <w:rPr>
          <w:rStyle w:val="Hipervnculo"/>
          <w:rFonts w:asciiTheme="majorBidi" w:hAnsiTheme="majorBidi" w:cstheme="majorBidi"/>
          <w:sz w:val="24"/>
          <w:szCs w:val="24"/>
          <w:lang w:val="en-US"/>
        </w:rPr>
        <w:t xml:space="preserve"> </w:t>
      </w:r>
    </w:p>
    <w:p w14:paraId="45B5FAE8" w14:textId="610F186B" w:rsidR="00B023E9" w:rsidRPr="009F51ED" w:rsidRDefault="00B023E9" w:rsidP="009F51ED">
      <w:pPr>
        <w:spacing w:line="360" w:lineRule="auto"/>
        <w:ind w:left="709" w:hanging="709"/>
        <w:jc w:val="both"/>
        <w:rPr>
          <w:rFonts w:asciiTheme="majorBidi" w:hAnsiTheme="majorBidi" w:cstheme="majorBidi"/>
          <w:sz w:val="24"/>
          <w:szCs w:val="24"/>
        </w:rPr>
      </w:pPr>
      <w:r w:rsidRPr="009F51ED">
        <w:rPr>
          <w:rFonts w:asciiTheme="majorBidi" w:hAnsiTheme="majorBidi" w:cstheme="majorBidi"/>
          <w:sz w:val="24"/>
          <w:szCs w:val="24"/>
        </w:rPr>
        <w:t xml:space="preserve">Wirth, E. (2018). La Maldición de los Recursos naturales y los hidrocarburos: Una Revisión de Literatura. </w:t>
      </w:r>
      <w:r w:rsidRPr="009F51ED">
        <w:rPr>
          <w:rFonts w:asciiTheme="majorBidi" w:hAnsiTheme="majorBidi" w:cstheme="majorBidi"/>
          <w:i/>
          <w:iCs/>
          <w:sz w:val="24"/>
          <w:szCs w:val="24"/>
        </w:rPr>
        <w:t>Papeles de Europa</w:t>
      </w:r>
      <w:r w:rsidRPr="009F51ED">
        <w:rPr>
          <w:rFonts w:asciiTheme="majorBidi" w:hAnsiTheme="majorBidi" w:cstheme="majorBidi"/>
          <w:sz w:val="24"/>
          <w:szCs w:val="24"/>
        </w:rPr>
        <w:t xml:space="preserve">, </w:t>
      </w:r>
      <w:r w:rsidRPr="009F51ED">
        <w:rPr>
          <w:rFonts w:asciiTheme="majorBidi" w:hAnsiTheme="majorBidi" w:cstheme="majorBidi"/>
          <w:i/>
          <w:iCs/>
          <w:sz w:val="24"/>
          <w:szCs w:val="24"/>
        </w:rPr>
        <w:t>31</w:t>
      </w:r>
      <w:r w:rsidRPr="009F51ED">
        <w:rPr>
          <w:rFonts w:asciiTheme="majorBidi" w:hAnsiTheme="majorBidi" w:cstheme="majorBidi"/>
          <w:sz w:val="24"/>
          <w:szCs w:val="24"/>
        </w:rPr>
        <w:t>(1), 19</w:t>
      </w:r>
      <w:r w:rsidR="00DA7D09" w:rsidRPr="009F51ED">
        <w:rPr>
          <w:rFonts w:asciiTheme="majorBidi" w:hAnsiTheme="majorBidi" w:cstheme="majorBidi"/>
          <w:sz w:val="24"/>
          <w:szCs w:val="24"/>
        </w:rPr>
        <w:t>-</w:t>
      </w:r>
      <w:r w:rsidRPr="009F51ED">
        <w:rPr>
          <w:rFonts w:asciiTheme="majorBidi" w:hAnsiTheme="majorBidi" w:cstheme="majorBidi"/>
          <w:sz w:val="24"/>
          <w:szCs w:val="24"/>
        </w:rPr>
        <w:t xml:space="preserve">40. </w:t>
      </w:r>
      <w:hyperlink r:id="rId79" w:history="1">
        <w:r w:rsidRPr="009F51ED">
          <w:rPr>
            <w:rStyle w:val="Hipervnculo"/>
            <w:rFonts w:asciiTheme="majorBidi" w:hAnsiTheme="majorBidi" w:cstheme="majorBidi"/>
            <w:sz w:val="24"/>
            <w:szCs w:val="24"/>
          </w:rPr>
          <w:t>https://doi.org/10.5209/pade.61487</w:t>
        </w:r>
      </w:hyperlink>
      <w:r w:rsidRPr="009F51ED">
        <w:rPr>
          <w:rFonts w:asciiTheme="majorBidi" w:hAnsiTheme="majorBidi" w:cstheme="majorBidi"/>
          <w:sz w:val="24"/>
          <w:szCs w:val="24"/>
        </w:rPr>
        <w:t xml:space="preserve"> </w:t>
      </w:r>
    </w:p>
    <w:bookmarkEnd w:id="63"/>
    <w:p w14:paraId="79839BA3" w14:textId="77777777" w:rsidR="001579BE" w:rsidRPr="009F51ED" w:rsidRDefault="001579BE" w:rsidP="009F51ED">
      <w:pPr>
        <w:jc w:val="both"/>
        <w:rPr>
          <w:rFonts w:asciiTheme="majorBidi" w:hAnsiTheme="majorBidi" w:cstheme="majorBidi"/>
          <w:b/>
          <w:bCs/>
          <w:sz w:val="24"/>
          <w:szCs w:val="24"/>
        </w:rPr>
      </w:pPr>
      <w:r w:rsidRPr="009F51ED">
        <w:rPr>
          <w:rFonts w:asciiTheme="majorBidi" w:hAnsiTheme="majorBidi" w:cstheme="majorBidi"/>
          <w:b/>
          <w:bCs/>
          <w:sz w:val="24"/>
          <w:szCs w:val="24"/>
        </w:rPr>
        <w:br w:type="page"/>
      </w:r>
    </w:p>
    <w:p w14:paraId="6F75E147" w14:textId="5581776C" w:rsidR="009F51ED" w:rsidRPr="009F51ED" w:rsidRDefault="009F51ED" w:rsidP="009F51ED">
      <w:pPr>
        <w:pStyle w:val="Ttulo1"/>
        <w:spacing w:after="240"/>
        <w:jc w:val="both"/>
        <w:rPr>
          <w:rFonts w:asciiTheme="majorBidi" w:eastAsiaTheme="minorHAnsi" w:hAnsiTheme="majorBidi"/>
          <w:b/>
          <w:bCs/>
          <w:color w:val="auto"/>
          <w:sz w:val="24"/>
          <w:szCs w:val="24"/>
          <w:lang w:eastAsia="en-US"/>
        </w:rPr>
      </w:pPr>
      <w:bookmarkStart w:id="66" w:name="_Toc137456624"/>
      <w:r w:rsidRPr="009F51ED">
        <w:rPr>
          <w:rFonts w:asciiTheme="majorBidi" w:eastAsiaTheme="minorHAnsi" w:hAnsiTheme="majorBidi"/>
          <w:b/>
          <w:bCs/>
          <w:color w:val="auto"/>
          <w:sz w:val="24"/>
          <w:szCs w:val="24"/>
          <w:lang w:eastAsia="en-US"/>
        </w:rPr>
        <w:lastRenderedPageBreak/>
        <w:t>Anexos</w:t>
      </w:r>
      <w:bookmarkEnd w:id="66"/>
    </w:p>
    <w:p w14:paraId="023ACD91" w14:textId="163AF92D" w:rsidR="001579BE" w:rsidRPr="009F51ED" w:rsidRDefault="001579BE" w:rsidP="009F51ED">
      <w:pPr>
        <w:pStyle w:val="Ttulo3"/>
        <w:spacing w:line="360" w:lineRule="auto"/>
        <w:jc w:val="both"/>
        <w:rPr>
          <w:rFonts w:asciiTheme="majorBidi" w:hAnsiTheme="majorBidi"/>
          <w:b/>
          <w:bCs/>
          <w:color w:val="auto"/>
        </w:rPr>
      </w:pPr>
      <w:bookmarkStart w:id="67" w:name="_Toc137456625"/>
      <w:r w:rsidRPr="009F51ED">
        <w:rPr>
          <w:rFonts w:asciiTheme="majorBidi" w:hAnsiTheme="majorBidi"/>
          <w:b/>
          <w:bCs/>
          <w:color w:val="auto"/>
        </w:rPr>
        <w:t>Anexo I. Cifras de producción, stock, exportación e importación de maíz, en millones de toneladas métricas (Banco Mundial, 2021).</w:t>
      </w:r>
      <w:bookmarkEnd w:id="67"/>
    </w:p>
    <w:tbl>
      <w:tblPr>
        <w:tblW w:w="5000" w:type="pct"/>
        <w:tblCellMar>
          <w:left w:w="70" w:type="dxa"/>
          <w:right w:w="70" w:type="dxa"/>
        </w:tblCellMar>
        <w:tblLook w:val="04A0" w:firstRow="1" w:lastRow="0" w:firstColumn="1" w:lastColumn="0" w:noHBand="0" w:noVBand="1"/>
      </w:tblPr>
      <w:tblGrid>
        <w:gridCol w:w="390"/>
        <w:gridCol w:w="1590"/>
        <w:gridCol w:w="675"/>
        <w:gridCol w:w="675"/>
        <w:gridCol w:w="675"/>
        <w:gridCol w:w="675"/>
        <w:gridCol w:w="675"/>
        <w:gridCol w:w="789"/>
        <w:gridCol w:w="789"/>
        <w:gridCol w:w="789"/>
        <w:gridCol w:w="782"/>
      </w:tblGrid>
      <w:tr w:rsidR="001579BE" w:rsidRPr="006A71C3" w14:paraId="4242A161" w14:textId="77777777" w:rsidTr="00377237">
        <w:trPr>
          <w:trHeight w:val="310"/>
        </w:trPr>
        <w:tc>
          <w:tcPr>
            <w:tcW w:w="229" w:type="pct"/>
            <w:tcBorders>
              <w:top w:val="nil"/>
              <w:left w:val="nil"/>
              <w:bottom w:val="nil"/>
              <w:right w:val="nil"/>
            </w:tcBorders>
            <w:shd w:val="clear" w:color="auto" w:fill="auto"/>
            <w:noWrap/>
            <w:vAlign w:val="bottom"/>
            <w:hideMark/>
          </w:tcPr>
          <w:p w14:paraId="24ECED39"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934" w:type="pct"/>
            <w:tcBorders>
              <w:top w:val="nil"/>
              <w:left w:val="nil"/>
              <w:bottom w:val="nil"/>
              <w:right w:val="nil"/>
            </w:tcBorders>
            <w:shd w:val="clear" w:color="auto" w:fill="auto"/>
            <w:noWrap/>
            <w:vAlign w:val="bottom"/>
            <w:hideMark/>
          </w:tcPr>
          <w:p w14:paraId="30556A5E" w14:textId="77777777" w:rsidR="001579BE" w:rsidRPr="006A71C3" w:rsidRDefault="001579BE" w:rsidP="00377237">
            <w:pPr>
              <w:spacing w:after="0" w:line="240" w:lineRule="auto"/>
              <w:jc w:val="center"/>
              <w:rPr>
                <w:rFonts w:ascii="Times New Roman" w:eastAsia="Times New Roman" w:hAnsi="Times New Roman" w:cs="Times New Roman"/>
                <w:color w:val="000000"/>
                <w:sz w:val="20"/>
                <w:szCs w:val="20"/>
                <w:lang w:eastAsia="es-ES"/>
              </w:rPr>
            </w:pPr>
          </w:p>
        </w:tc>
        <w:tc>
          <w:tcPr>
            <w:tcW w:w="397" w:type="pct"/>
            <w:tcBorders>
              <w:top w:val="nil"/>
              <w:left w:val="nil"/>
              <w:bottom w:val="nil"/>
              <w:right w:val="nil"/>
            </w:tcBorders>
            <w:shd w:val="clear" w:color="auto" w:fill="auto"/>
            <w:noWrap/>
            <w:vAlign w:val="bottom"/>
            <w:hideMark/>
          </w:tcPr>
          <w:p w14:paraId="57DE6DA4"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1971</w:t>
            </w:r>
          </w:p>
        </w:tc>
        <w:tc>
          <w:tcPr>
            <w:tcW w:w="397" w:type="pct"/>
            <w:tcBorders>
              <w:top w:val="nil"/>
              <w:left w:val="nil"/>
              <w:bottom w:val="nil"/>
              <w:right w:val="nil"/>
            </w:tcBorders>
            <w:shd w:val="clear" w:color="auto" w:fill="auto"/>
            <w:noWrap/>
            <w:vAlign w:val="bottom"/>
            <w:hideMark/>
          </w:tcPr>
          <w:p w14:paraId="0B211016"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1981</w:t>
            </w:r>
          </w:p>
        </w:tc>
        <w:tc>
          <w:tcPr>
            <w:tcW w:w="397" w:type="pct"/>
            <w:tcBorders>
              <w:top w:val="nil"/>
              <w:left w:val="nil"/>
              <w:bottom w:val="nil"/>
              <w:right w:val="nil"/>
            </w:tcBorders>
            <w:shd w:val="clear" w:color="auto" w:fill="auto"/>
            <w:noWrap/>
            <w:vAlign w:val="bottom"/>
            <w:hideMark/>
          </w:tcPr>
          <w:p w14:paraId="0E72D7DD"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1991</w:t>
            </w:r>
          </w:p>
        </w:tc>
        <w:tc>
          <w:tcPr>
            <w:tcW w:w="397" w:type="pct"/>
            <w:tcBorders>
              <w:top w:val="nil"/>
              <w:left w:val="nil"/>
              <w:bottom w:val="nil"/>
              <w:right w:val="nil"/>
            </w:tcBorders>
            <w:shd w:val="clear" w:color="auto" w:fill="auto"/>
            <w:noWrap/>
            <w:vAlign w:val="bottom"/>
            <w:hideMark/>
          </w:tcPr>
          <w:p w14:paraId="66CFF1C7"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2001</w:t>
            </w:r>
          </w:p>
        </w:tc>
        <w:tc>
          <w:tcPr>
            <w:tcW w:w="397" w:type="pct"/>
            <w:tcBorders>
              <w:top w:val="nil"/>
              <w:left w:val="nil"/>
              <w:bottom w:val="nil"/>
              <w:right w:val="nil"/>
            </w:tcBorders>
            <w:shd w:val="clear" w:color="auto" w:fill="auto"/>
            <w:noWrap/>
            <w:vAlign w:val="bottom"/>
            <w:hideMark/>
          </w:tcPr>
          <w:p w14:paraId="527B5DD9"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2011</w:t>
            </w:r>
          </w:p>
        </w:tc>
        <w:tc>
          <w:tcPr>
            <w:tcW w:w="464" w:type="pct"/>
            <w:tcBorders>
              <w:top w:val="nil"/>
              <w:left w:val="nil"/>
              <w:bottom w:val="nil"/>
              <w:right w:val="nil"/>
            </w:tcBorders>
            <w:shd w:val="clear" w:color="auto" w:fill="auto"/>
            <w:noWrap/>
            <w:vAlign w:val="bottom"/>
            <w:hideMark/>
          </w:tcPr>
          <w:p w14:paraId="61CC1FA7"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2019</w:t>
            </w:r>
          </w:p>
        </w:tc>
        <w:tc>
          <w:tcPr>
            <w:tcW w:w="464" w:type="pct"/>
            <w:tcBorders>
              <w:top w:val="nil"/>
              <w:left w:val="nil"/>
              <w:bottom w:val="nil"/>
              <w:right w:val="nil"/>
            </w:tcBorders>
            <w:shd w:val="clear" w:color="auto" w:fill="auto"/>
            <w:noWrap/>
            <w:vAlign w:val="bottom"/>
            <w:hideMark/>
          </w:tcPr>
          <w:p w14:paraId="6EE730FE"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2020</w:t>
            </w:r>
          </w:p>
        </w:tc>
        <w:tc>
          <w:tcPr>
            <w:tcW w:w="464" w:type="pct"/>
            <w:tcBorders>
              <w:top w:val="nil"/>
              <w:left w:val="nil"/>
              <w:bottom w:val="nil"/>
              <w:right w:val="nil"/>
            </w:tcBorders>
            <w:shd w:val="clear" w:color="auto" w:fill="auto"/>
            <w:noWrap/>
            <w:vAlign w:val="bottom"/>
            <w:hideMark/>
          </w:tcPr>
          <w:p w14:paraId="364F6C9F"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2021</w:t>
            </w:r>
          </w:p>
        </w:tc>
        <w:tc>
          <w:tcPr>
            <w:tcW w:w="461" w:type="pct"/>
            <w:tcBorders>
              <w:top w:val="nil"/>
              <w:left w:val="nil"/>
              <w:bottom w:val="nil"/>
              <w:right w:val="nil"/>
            </w:tcBorders>
            <w:shd w:val="clear" w:color="auto" w:fill="auto"/>
            <w:noWrap/>
            <w:vAlign w:val="bottom"/>
            <w:hideMark/>
          </w:tcPr>
          <w:p w14:paraId="2006DC6A"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2022</w:t>
            </w:r>
          </w:p>
        </w:tc>
      </w:tr>
      <w:tr w:rsidR="001579BE" w:rsidRPr="006A71C3" w14:paraId="69D2DC31" w14:textId="77777777" w:rsidTr="00377237">
        <w:trPr>
          <w:trHeight w:val="310"/>
        </w:trPr>
        <w:tc>
          <w:tcPr>
            <w:tcW w:w="229" w:type="pct"/>
            <w:tcBorders>
              <w:top w:val="nil"/>
              <w:left w:val="nil"/>
              <w:bottom w:val="nil"/>
              <w:right w:val="nil"/>
            </w:tcBorders>
            <w:shd w:val="clear" w:color="auto" w:fill="auto"/>
            <w:noWrap/>
            <w:vAlign w:val="bottom"/>
            <w:hideMark/>
          </w:tcPr>
          <w:p w14:paraId="1135DC09"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934" w:type="pct"/>
            <w:tcBorders>
              <w:top w:val="nil"/>
              <w:left w:val="nil"/>
              <w:bottom w:val="nil"/>
              <w:right w:val="nil"/>
            </w:tcBorders>
            <w:shd w:val="clear" w:color="auto" w:fill="auto"/>
            <w:noWrap/>
            <w:vAlign w:val="bottom"/>
            <w:hideMark/>
          </w:tcPr>
          <w:p w14:paraId="5A46F7EB"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r w:rsidRPr="006A71C3">
              <w:rPr>
                <w:rFonts w:ascii="Times New Roman" w:eastAsia="Times New Roman" w:hAnsi="Times New Roman" w:cs="Times New Roman"/>
                <w:b/>
                <w:bCs/>
                <w:color w:val="000000"/>
                <w:sz w:val="20"/>
                <w:szCs w:val="20"/>
                <w:lang w:eastAsia="es-ES"/>
              </w:rPr>
              <w:t>Producción</w:t>
            </w:r>
          </w:p>
        </w:tc>
        <w:tc>
          <w:tcPr>
            <w:tcW w:w="397" w:type="pct"/>
            <w:tcBorders>
              <w:top w:val="nil"/>
              <w:left w:val="nil"/>
              <w:bottom w:val="nil"/>
              <w:right w:val="nil"/>
            </w:tcBorders>
            <w:shd w:val="clear" w:color="auto" w:fill="auto"/>
            <w:noWrap/>
            <w:vAlign w:val="bottom"/>
            <w:hideMark/>
          </w:tcPr>
          <w:p w14:paraId="6FA1EA7B"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397" w:type="pct"/>
            <w:tcBorders>
              <w:top w:val="nil"/>
              <w:left w:val="nil"/>
              <w:bottom w:val="nil"/>
              <w:right w:val="nil"/>
            </w:tcBorders>
            <w:shd w:val="clear" w:color="auto" w:fill="auto"/>
            <w:noWrap/>
            <w:vAlign w:val="bottom"/>
            <w:hideMark/>
          </w:tcPr>
          <w:p w14:paraId="31AD510B"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610ADD40"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78D6BA50"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60B675A3"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52CBE1AE"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729DA687"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250A6C7A"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c>
          <w:tcPr>
            <w:tcW w:w="461" w:type="pct"/>
            <w:tcBorders>
              <w:top w:val="nil"/>
              <w:left w:val="nil"/>
              <w:bottom w:val="nil"/>
              <w:right w:val="nil"/>
            </w:tcBorders>
            <w:shd w:val="clear" w:color="auto" w:fill="auto"/>
            <w:noWrap/>
            <w:vAlign w:val="bottom"/>
            <w:hideMark/>
          </w:tcPr>
          <w:p w14:paraId="1BF0394C" w14:textId="77777777" w:rsidR="001579BE" w:rsidRPr="006A71C3" w:rsidRDefault="001579BE" w:rsidP="00377237">
            <w:pPr>
              <w:spacing w:after="0" w:line="240" w:lineRule="auto"/>
              <w:rPr>
                <w:rFonts w:ascii="Times New Roman" w:eastAsia="Times New Roman" w:hAnsi="Times New Roman" w:cs="Times New Roman"/>
                <w:sz w:val="20"/>
                <w:szCs w:val="20"/>
                <w:lang w:eastAsia="es-ES"/>
              </w:rPr>
            </w:pPr>
          </w:p>
        </w:tc>
      </w:tr>
      <w:tr w:rsidR="001579BE" w:rsidRPr="006A71C3" w14:paraId="49BE885F" w14:textId="77777777" w:rsidTr="00377237">
        <w:trPr>
          <w:trHeight w:val="310"/>
        </w:trPr>
        <w:tc>
          <w:tcPr>
            <w:tcW w:w="229" w:type="pct"/>
            <w:tcBorders>
              <w:top w:val="nil"/>
              <w:left w:val="nil"/>
              <w:bottom w:val="nil"/>
              <w:right w:val="nil"/>
            </w:tcBorders>
            <w:shd w:val="clear" w:color="auto" w:fill="auto"/>
            <w:noWrap/>
            <w:vAlign w:val="bottom"/>
            <w:hideMark/>
          </w:tcPr>
          <w:p w14:paraId="59563DD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w:t>
            </w:r>
          </w:p>
        </w:tc>
        <w:tc>
          <w:tcPr>
            <w:tcW w:w="934" w:type="pct"/>
            <w:tcBorders>
              <w:top w:val="nil"/>
              <w:left w:val="nil"/>
              <w:bottom w:val="nil"/>
              <w:right w:val="nil"/>
            </w:tcBorders>
            <w:shd w:val="clear" w:color="auto" w:fill="auto"/>
            <w:noWrap/>
            <w:vAlign w:val="bottom"/>
            <w:hideMark/>
          </w:tcPr>
          <w:p w14:paraId="5C8FF6A3"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Estados Unidos</w:t>
            </w:r>
          </w:p>
        </w:tc>
        <w:tc>
          <w:tcPr>
            <w:tcW w:w="397" w:type="pct"/>
            <w:tcBorders>
              <w:top w:val="nil"/>
              <w:left w:val="nil"/>
              <w:bottom w:val="nil"/>
              <w:right w:val="nil"/>
            </w:tcBorders>
            <w:shd w:val="clear" w:color="auto" w:fill="auto"/>
            <w:noWrap/>
            <w:vAlign w:val="bottom"/>
            <w:hideMark/>
          </w:tcPr>
          <w:p w14:paraId="19F5C3A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105,5</w:t>
            </w:r>
          </w:p>
        </w:tc>
        <w:tc>
          <w:tcPr>
            <w:tcW w:w="397" w:type="pct"/>
            <w:tcBorders>
              <w:top w:val="nil"/>
              <w:left w:val="nil"/>
              <w:bottom w:val="nil"/>
              <w:right w:val="nil"/>
            </w:tcBorders>
            <w:shd w:val="clear" w:color="auto" w:fill="auto"/>
            <w:noWrap/>
            <w:vAlign w:val="bottom"/>
            <w:hideMark/>
          </w:tcPr>
          <w:p w14:paraId="045EA6F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168,6</w:t>
            </w:r>
          </w:p>
        </w:tc>
        <w:tc>
          <w:tcPr>
            <w:tcW w:w="397" w:type="pct"/>
            <w:tcBorders>
              <w:top w:val="nil"/>
              <w:left w:val="nil"/>
              <w:bottom w:val="nil"/>
              <w:right w:val="nil"/>
            </w:tcBorders>
            <w:shd w:val="clear" w:color="auto" w:fill="auto"/>
            <w:noWrap/>
            <w:vAlign w:val="bottom"/>
            <w:hideMark/>
          </w:tcPr>
          <w:p w14:paraId="3E393E4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201,5</w:t>
            </w:r>
          </w:p>
        </w:tc>
        <w:tc>
          <w:tcPr>
            <w:tcW w:w="397" w:type="pct"/>
            <w:tcBorders>
              <w:top w:val="nil"/>
              <w:left w:val="nil"/>
              <w:bottom w:val="nil"/>
              <w:right w:val="nil"/>
            </w:tcBorders>
            <w:shd w:val="clear" w:color="auto" w:fill="auto"/>
            <w:noWrap/>
            <w:vAlign w:val="bottom"/>
            <w:hideMark/>
          </w:tcPr>
          <w:p w14:paraId="3516379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251,9</w:t>
            </w:r>
          </w:p>
        </w:tc>
        <w:tc>
          <w:tcPr>
            <w:tcW w:w="397" w:type="pct"/>
            <w:tcBorders>
              <w:top w:val="nil"/>
              <w:left w:val="nil"/>
              <w:bottom w:val="nil"/>
              <w:right w:val="nil"/>
            </w:tcBorders>
            <w:shd w:val="clear" w:color="auto" w:fill="auto"/>
            <w:noWrap/>
            <w:vAlign w:val="bottom"/>
            <w:hideMark/>
          </w:tcPr>
          <w:p w14:paraId="305FEFA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315,6</w:t>
            </w:r>
          </w:p>
        </w:tc>
        <w:tc>
          <w:tcPr>
            <w:tcW w:w="464" w:type="pct"/>
            <w:tcBorders>
              <w:top w:val="nil"/>
              <w:left w:val="nil"/>
              <w:bottom w:val="nil"/>
              <w:right w:val="nil"/>
            </w:tcBorders>
            <w:shd w:val="clear" w:color="auto" w:fill="auto"/>
            <w:noWrap/>
            <w:vAlign w:val="bottom"/>
            <w:hideMark/>
          </w:tcPr>
          <w:p w14:paraId="6B7AACC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364,3</w:t>
            </w:r>
          </w:p>
        </w:tc>
        <w:tc>
          <w:tcPr>
            <w:tcW w:w="464" w:type="pct"/>
            <w:tcBorders>
              <w:top w:val="nil"/>
              <w:left w:val="nil"/>
              <w:bottom w:val="nil"/>
              <w:right w:val="nil"/>
            </w:tcBorders>
            <w:shd w:val="clear" w:color="auto" w:fill="auto"/>
            <w:noWrap/>
            <w:vAlign w:val="bottom"/>
            <w:hideMark/>
          </w:tcPr>
          <w:p w14:paraId="5C43C5A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346,0</w:t>
            </w:r>
          </w:p>
        </w:tc>
        <w:tc>
          <w:tcPr>
            <w:tcW w:w="464" w:type="pct"/>
            <w:tcBorders>
              <w:top w:val="nil"/>
              <w:left w:val="nil"/>
              <w:bottom w:val="nil"/>
              <w:right w:val="nil"/>
            </w:tcBorders>
            <w:shd w:val="clear" w:color="auto" w:fill="auto"/>
            <w:noWrap/>
            <w:vAlign w:val="bottom"/>
            <w:hideMark/>
          </w:tcPr>
          <w:p w14:paraId="2F01A24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358,4</w:t>
            </w:r>
          </w:p>
        </w:tc>
        <w:tc>
          <w:tcPr>
            <w:tcW w:w="461" w:type="pct"/>
            <w:tcBorders>
              <w:top w:val="nil"/>
              <w:left w:val="nil"/>
              <w:bottom w:val="nil"/>
              <w:right w:val="nil"/>
            </w:tcBorders>
            <w:shd w:val="clear" w:color="auto" w:fill="auto"/>
            <w:noWrap/>
            <w:vAlign w:val="bottom"/>
            <w:hideMark/>
          </w:tcPr>
          <w:p w14:paraId="6CBA7F9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381,5</w:t>
            </w:r>
          </w:p>
        </w:tc>
      </w:tr>
      <w:tr w:rsidR="001579BE" w:rsidRPr="006A71C3" w14:paraId="0DABC2B1" w14:textId="77777777" w:rsidTr="00377237">
        <w:trPr>
          <w:trHeight w:val="310"/>
        </w:trPr>
        <w:tc>
          <w:tcPr>
            <w:tcW w:w="229" w:type="pct"/>
            <w:tcBorders>
              <w:top w:val="nil"/>
              <w:left w:val="nil"/>
              <w:bottom w:val="nil"/>
              <w:right w:val="nil"/>
            </w:tcBorders>
            <w:shd w:val="clear" w:color="auto" w:fill="auto"/>
            <w:noWrap/>
            <w:vAlign w:val="bottom"/>
            <w:hideMark/>
          </w:tcPr>
          <w:p w14:paraId="2D82725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w:t>
            </w:r>
          </w:p>
        </w:tc>
        <w:tc>
          <w:tcPr>
            <w:tcW w:w="934" w:type="pct"/>
            <w:tcBorders>
              <w:top w:val="nil"/>
              <w:left w:val="nil"/>
              <w:bottom w:val="nil"/>
              <w:right w:val="nil"/>
            </w:tcBorders>
            <w:shd w:val="clear" w:color="auto" w:fill="auto"/>
            <w:noWrap/>
            <w:vAlign w:val="bottom"/>
            <w:hideMark/>
          </w:tcPr>
          <w:p w14:paraId="006A2910"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China</w:t>
            </w:r>
          </w:p>
        </w:tc>
        <w:tc>
          <w:tcPr>
            <w:tcW w:w="397" w:type="pct"/>
            <w:tcBorders>
              <w:top w:val="nil"/>
              <w:left w:val="nil"/>
              <w:bottom w:val="nil"/>
              <w:right w:val="nil"/>
            </w:tcBorders>
            <w:shd w:val="clear" w:color="auto" w:fill="auto"/>
            <w:noWrap/>
            <w:vAlign w:val="bottom"/>
            <w:hideMark/>
          </w:tcPr>
          <w:p w14:paraId="03B6050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33,0</w:t>
            </w:r>
          </w:p>
        </w:tc>
        <w:tc>
          <w:tcPr>
            <w:tcW w:w="397" w:type="pct"/>
            <w:tcBorders>
              <w:top w:val="nil"/>
              <w:left w:val="nil"/>
              <w:bottom w:val="nil"/>
              <w:right w:val="nil"/>
            </w:tcBorders>
            <w:shd w:val="clear" w:color="auto" w:fill="auto"/>
            <w:noWrap/>
            <w:vAlign w:val="bottom"/>
            <w:hideMark/>
          </w:tcPr>
          <w:p w14:paraId="78EBE2E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62,6</w:t>
            </w:r>
          </w:p>
        </w:tc>
        <w:tc>
          <w:tcPr>
            <w:tcW w:w="397" w:type="pct"/>
            <w:tcBorders>
              <w:top w:val="nil"/>
              <w:left w:val="nil"/>
              <w:bottom w:val="nil"/>
              <w:right w:val="nil"/>
            </w:tcBorders>
            <w:shd w:val="clear" w:color="auto" w:fill="auto"/>
            <w:noWrap/>
            <w:vAlign w:val="bottom"/>
            <w:hideMark/>
          </w:tcPr>
          <w:p w14:paraId="0C6D1CA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96,8</w:t>
            </w:r>
          </w:p>
        </w:tc>
        <w:tc>
          <w:tcPr>
            <w:tcW w:w="397" w:type="pct"/>
            <w:tcBorders>
              <w:top w:val="nil"/>
              <w:left w:val="nil"/>
              <w:bottom w:val="nil"/>
              <w:right w:val="nil"/>
            </w:tcBorders>
            <w:shd w:val="clear" w:color="auto" w:fill="auto"/>
            <w:noWrap/>
            <w:vAlign w:val="bottom"/>
            <w:hideMark/>
          </w:tcPr>
          <w:p w14:paraId="50F0438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106,0</w:t>
            </w:r>
          </w:p>
        </w:tc>
        <w:tc>
          <w:tcPr>
            <w:tcW w:w="397" w:type="pct"/>
            <w:tcBorders>
              <w:top w:val="nil"/>
              <w:left w:val="nil"/>
              <w:bottom w:val="nil"/>
              <w:right w:val="nil"/>
            </w:tcBorders>
            <w:shd w:val="clear" w:color="auto" w:fill="auto"/>
            <w:noWrap/>
            <w:vAlign w:val="bottom"/>
            <w:hideMark/>
          </w:tcPr>
          <w:p w14:paraId="2C5C43C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190,8</w:t>
            </w:r>
          </w:p>
        </w:tc>
        <w:tc>
          <w:tcPr>
            <w:tcW w:w="464" w:type="pct"/>
            <w:tcBorders>
              <w:top w:val="nil"/>
              <w:left w:val="nil"/>
              <w:bottom w:val="nil"/>
              <w:right w:val="nil"/>
            </w:tcBorders>
            <w:shd w:val="clear" w:color="auto" w:fill="auto"/>
            <w:noWrap/>
            <w:vAlign w:val="bottom"/>
            <w:hideMark/>
          </w:tcPr>
          <w:p w14:paraId="6A9FFA2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257,2</w:t>
            </w:r>
          </w:p>
        </w:tc>
        <w:tc>
          <w:tcPr>
            <w:tcW w:w="464" w:type="pct"/>
            <w:tcBorders>
              <w:top w:val="nil"/>
              <w:left w:val="nil"/>
              <w:bottom w:val="nil"/>
              <w:right w:val="nil"/>
            </w:tcBorders>
            <w:shd w:val="clear" w:color="auto" w:fill="auto"/>
            <w:noWrap/>
            <w:vAlign w:val="bottom"/>
            <w:hideMark/>
          </w:tcPr>
          <w:p w14:paraId="164DCA5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260,8</w:t>
            </w:r>
          </w:p>
        </w:tc>
        <w:tc>
          <w:tcPr>
            <w:tcW w:w="464" w:type="pct"/>
            <w:tcBorders>
              <w:top w:val="nil"/>
              <w:left w:val="nil"/>
              <w:bottom w:val="nil"/>
              <w:right w:val="nil"/>
            </w:tcBorders>
            <w:shd w:val="clear" w:color="auto" w:fill="auto"/>
            <w:noWrap/>
            <w:vAlign w:val="bottom"/>
            <w:hideMark/>
          </w:tcPr>
          <w:p w14:paraId="41577F2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260,7</w:t>
            </w:r>
          </w:p>
        </w:tc>
        <w:tc>
          <w:tcPr>
            <w:tcW w:w="461" w:type="pct"/>
            <w:tcBorders>
              <w:top w:val="nil"/>
              <w:left w:val="nil"/>
              <w:bottom w:val="nil"/>
              <w:right w:val="nil"/>
            </w:tcBorders>
            <w:shd w:val="clear" w:color="auto" w:fill="auto"/>
            <w:noWrap/>
            <w:vAlign w:val="bottom"/>
            <w:hideMark/>
          </w:tcPr>
          <w:p w14:paraId="54B70E4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273,0</w:t>
            </w:r>
          </w:p>
        </w:tc>
      </w:tr>
      <w:tr w:rsidR="001579BE" w:rsidRPr="006A71C3" w14:paraId="5C4F803D" w14:textId="77777777" w:rsidTr="00377237">
        <w:trPr>
          <w:trHeight w:val="310"/>
        </w:trPr>
        <w:tc>
          <w:tcPr>
            <w:tcW w:w="229" w:type="pct"/>
            <w:tcBorders>
              <w:top w:val="nil"/>
              <w:left w:val="nil"/>
              <w:bottom w:val="nil"/>
              <w:right w:val="nil"/>
            </w:tcBorders>
            <w:shd w:val="clear" w:color="auto" w:fill="auto"/>
            <w:noWrap/>
            <w:vAlign w:val="bottom"/>
            <w:hideMark/>
          </w:tcPr>
          <w:p w14:paraId="1158AE4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w:t>
            </w:r>
          </w:p>
        </w:tc>
        <w:tc>
          <w:tcPr>
            <w:tcW w:w="934" w:type="pct"/>
            <w:tcBorders>
              <w:top w:val="nil"/>
              <w:left w:val="nil"/>
              <w:bottom w:val="nil"/>
              <w:right w:val="nil"/>
            </w:tcBorders>
            <w:shd w:val="clear" w:color="auto" w:fill="auto"/>
            <w:noWrap/>
            <w:vAlign w:val="bottom"/>
            <w:hideMark/>
          </w:tcPr>
          <w:p w14:paraId="1223D469"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Brasil</w:t>
            </w:r>
          </w:p>
        </w:tc>
        <w:tc>
          <w:tcPr>
            <w:tcW w:w="397" w:type="pct"/>
            <w:tcBorders>
              <w:top w:val="nil"/>
              <w:left w:val="nil"/>
              <w:bottom w:val="nil"/>
              <w:right w:val="nil"/>
            </w:tcBorders>
            <w:shd w:val="clear" w:color="auto" w:fill="auto"/>
            <w:noWrap/>
            <w:vAlign w:val="bottom"/>
            <w:hideMark/>
          </w:tcPr>
          <w:p w14:paraId="03986D1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14,1</w:t>
            </w:r>
          </w:p>
        </w:tc>
        <w:tc>
          <w:tcPr>
            <w:tcW w:w="397" w:type="pct"/>
            <w:tcBorders>
              <w:top w:val="nil"/>
              <w:left w:val="nil"/>
              <w:bottom w:val="nil"/>
              <w:right w:val="nil"/>
            </w:tcBorders>
            <w:shd w:val="clear" w:color="auto" w:fill="auto"/>
            <w:noWrap/>
            <w:vAlign w:val="bottom"/>
            <w:hideMark/>
          </w:tcPr>
          <w:p w14:paraId="099E57B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22,6</w:t>
            </w:r>
          </w:p>
        </w:tc>
        <w:tc>
          <w:tcPr>
            <w:tcW w:w="397" w:type="pct"/>
            <w:tcBorders>
              <w:top w:val="nil"/>
              <w:left w:val="nil"/>
              <w:bottom w:val="nil"/>
              <w:right w:val="nil"/>
            </w:tcBorders>
            <w:shd w:val="clear" w:color="auto" w:fill="auto"/>
            <w:noWrap/>
            <w:vAlign w:val="bottom"/>
            <w:hideMark/>
          </w:tcPr>
          <w:p w14:paraId="1A96BB3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24,3</w:t>
            </w:r>
          </w:p>
        </w:tc>
        <w:tc>
          <w:tcPr>
            <w:tcW w:w="397" w:type="pct"/>
            <w:tcBorders>
              <w:top w:val="nil"/>
              <w:left w:val="nil"/>
              <w:bottom w:val="nil"/>
              <w:right w:val="nil"/>
            </w:tcBorders>
            <w:shd w:val="clear" w:color="auto" w:fill="auto"/>
            <w:noWrap/>
            <w:vAlign w:val="bottom"/>
            <w:hideMark/>
          </w:tcPr>
          <w:p w14:paraId="2399741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41,5</w:t>
            </w:r>
          </w:p>
        </w:tc>
        <w:tc>
          <w:tcPr>
            <w:tcW w:w="397" w:type="pct"/>
            <w:tcBorders>
              <w:top w:val="nil"/>
              <w:left w:val="nil"/>
              <w:bottom w:val="nil"/>
              <w:right w:val="nil"/>
            </w:tcBorders>
            <w:shd w:val="clear" w:color="auto" w:fill="auto"/>
            <w:noWrap/>
            <w:vAlign w:val="bottom"/>
            <w:hideMark/>
          </w:tcPr>
          <w:p w14:paraId="51067B6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57,4</w:t>
            </w:r>
          </w:p>
        </w:tc>
        <w:tc>
          <w:tcPr>
            <w:tcW w:w="464" w:type="pct"/>
            <w:tcBorders>
              <w:top w:val="nil"/>
              <w:left w:val="nil"/>
              <w:bottom w:val="nil"/>
              <w:right w:val="nil"/>
            </w:tcBorders>
            <w:shd w:val="clear" w:color="auto" w:fill="auto"/>
            <w:noWrap/>
            <w:vAlign w:val="bottom"/>
            <w:hideMark/>
          </w:tcPr>
          <w:p w14:paraId="00B9065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101,0</w:t>
            </w:r>
          </w:p>
        </w:tc>
        <w:tc>
          <w:tcPr>
            <w:tcW w:w="464" w:type="pct"/>
            <w:tcBorders>
              <w:top w:val="nil"/>
              <w:left w:val="nil"/>
              <w:bottom w:val="nil"/>
              <w:right w:val="nil"/>
            </w:tcBorders>
            <w:shd w:val="clear" w:color="auto" w:fill="auto"/>
            <w:noWrap/>
            <w:vAlign w:val="bottom"/>
            <w:hideMark/>
          </w:tcPr>
          <w:p w14:paraId="5535355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102,0</w:t>
            </w:r>
          </w:p>
        </w:tc>
        <w:tc>
          <w:tcPr>
            <w:tcW w:w="464" w:type="pct"/>
            <w:tcBorders>
              <w:top w:val="nil"/>
              <w:left w:val="nil"/>
              <w:bottom w:val="nil"/>
              <w:right w:val="nil"/>
            </w:tcBorders>
            <w:shd w:val="clear" w:color="auto" w:fill="auto"/>
            <w:noWrap/>
            <w:vAlign w:val="bottom"/>
            <w:hideMark/>
          </w:tcPr>
          <w:p w14:paraId="754BF62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86,0</w:t>
            </w:r>
          </w:p>
        </w:tc>
        <w:tc>
          <w:tcPr>
            <w:tcW w:w="461" w:type="pct"/>
            <w:tcBorders>
              <w:top w:val="nil"/>
              <w:left w:val="nil"/>
              <w:bottom w:val="nil"/>
              <w:right w:val="nil"/>
            </w:tcBorders>
            <w:shd w:val="clear" w:color="auto" w:fill="auto"/>
            <w:noWrap/>
            <w:vAlign w:val="bottom"/>
            <w:hideMark/>
          </w:tcPr>
          <w:p w14:paraId="7E2E967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118,0</w:t>
            </w:r>
          </w:p>
        </w:tc>
      </w:tr>
      <w:tr w:rsidR="001579BE" w:rsidRPr="006A71C3" w14:paraId="5B1CD1E9" w14:textId="77777777" w:rsidTr="00377237">
        <w:trPr>
          <w:trHeight w:val="310"/>
        </w:trPr>
        <w:tc>
          <w:tcPr>
            <w:tcW w:w="229" w:type="pct"/>
            <w:tcBorders>
              <w:top w:val="nil"/>
              <w:left w:val="nil"/>
              <w:bottom w:val="nil"/>
              <w:right w:val="nil"/>
            </w:tcBorders>
            <w:shd w:val="clear" w:color="auto" w:fill="auto"/>
            <w:noWrap/>
            <w:vAlign w:val="bottom"/>
            <w:hideMark/>
          </w:tcPr>
          <w:p w14:paraId="70F78DB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w:t>
            </w:r>
          </w:p>
        </w:tc>
        <w:tc>
          <w:tcPr>
            <w:tcW w:w="934" w:type="pct"/>
            <w:tcBorders>
              <w:top w:val="nil"/>
              <w:left w:val="nil"/>
              <w:bottom w:val="nil"/>
              <w:right w:val="nil"/>
            </w:tcBorders>
            <w:shd w:val="clear" w:color="auto" w:fill="auto"/>
            <w:noWrap/>
            <w:vAlign w:val="bottom"/>
            <w:hideMark/>
          </w:tcPr>
          <w:p w14:paraId="64053C83"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Unión Europea</w:t>
            </w:r>
          </w:p>
        </w:tc>
        <w:tc>
          <w:tcPr>
            <w:tcW w:w="397" w:type="pct"/>
            <w:tcBorders>
              <w:top w:val="nil"/>
              <w:left w:val="nil"/>
              <w:bottom w:val="nil"/>
              <w:right w:val="nil"/>
            </w:tcBorders>
            <w:shd w:val="clear" w:color="auto" w:fill="auto"/>
            <w:noWrap/>
            <w:vAlign w:val="bottom"/>
            <w:hideMark/>
          </w:tcPr>
          <w:p w14:paraId="37EF57E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16,4</w:t>
            </w:r>
          </w:p>
        </w:tc>
        <w:tc>
          <w:tcPr>
            <w:tcW w:w="397" w:type="pct"/>
            <w:tcBorders>
              <w:top w:val="nil"/>
              <w:left w:val="nil"/>
              <w:bottom w:val="nil"/>
              <w:right w:val="nil"/>
            </w:tcBorders>
            <w:shd w:val="clear" w:color="auto" w:fill="auto"/>
            <w:noWrap/>
            <w:vAlign w:val="bottom"/>
            <w:hideMark/>
          </w:tcPr>
          <w:p w14:paraId="740C7C2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21,6</w:t>
            </w:r>
          </w:p>
        </w:tc>
        <w:tc>
          <w:tcPr>
            <w:tcW w:w="397" w:type="pct"/>
            <w:tcBorders>
              <w:top w:val="nil"/>
              <w:left w:val="nil"/>
              <w:bottom w:val="nil"/>
              <w:right w:val="nil"/>
            </w:tcBorders>
            <w:shd w:val="clear" w:color="auto" w:fill="auto"/>
            <w:noWrap/>
            <w:vAlign w:val="bottom"/>
            <w:hideMark/>
          </w:tcPr>
          <w:p w14:paraId="1E04D83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23,4</w:t>
            </w:r>
          </w:p>
        </w:tc>
        <w:tc>
          <w:tcPr>
            <w:tcW w:w="397" w:type="pct"/>
            <w:tcBorders>
              <w:top w:val="nil"/>
              <w:left w:val="nil"/>
              <w:bottom w:val="nil"/>
              <w:right w:val="nil"/>
            </w:tcBorders>
            <w:shd w:val="clear" w:color="auto" w:fill="auto"/>
            <w:noWrap/>
            <w:vAlign w:val="bottom"/>
            <w:hideMark/>
          </w:tcPr>
          <w:p w14:paraId="3AE67D6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51,8</w:t>
            </w:r>
          </w:p>
        </w:tc>
        <w:tc>
          <w:tcPr>
            <w:tcW w:w="397" w:type="pct"/>
            <w:tcBorders>
              <w:top w:val="nil"/>
              <w:left w:val="nil"/>
              <w:bottom w:val="nil"/>
              <w:right w:val="nil"/>
            </w:tcBorders>
            <w:shd w:val="clear" w:color="auto" w:fill="auto"/>
            <w:noWrap/>
            <w:vAlign w:val="bottom"/>
            <w:hideMark/>
          </w:tcPr>
          <w:p w14:paraId="3766D68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58,6</w:t>
            </w:r>
          </w:p>
        </w:tc>
        <w:tc>
          <w:tcPr>
            <w:tcW w:w="464" w:type="pct"/>
            <w:tcBorders>
              <w:top w:val="nil"/>
              <w:left w:val="nil"/>
              <w:bottom w:val="nil"/>
              <w:right w:val="nil"/>
            </w:tcBorders>
            <w:shd w:val="clear" w:color="auto" w:fill="auto"/>
            <w:noWrap/>
            <w:vAlign w:val="bottom"/>
            <w:hideMark/>
          </w:tcPr>
          <w:p w14:paraId="7F41C72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64,4</w:t>
            </w:r>
          </w:p>
        </w:tc>
        <w:tc>
          <w:tcPr>
            <w:tcW w:w="464" w:type="pct"/>
            <w:tcBorders>
              <w:top w:val="nil"/>
              <w:left w:val="nil"/>
              <w:bottom w:val="nil"/>
              <w:right w:val="nil"/>
            </w:tcBorders>
            <w:shd w:val="clear" w:color="auto" w:fill="auto"/>
            <w:noWrap/>
            <w:vAlign w:val="bottom"/>
            <w:hideMark/>
          </w:tcPr>
          <w:p w14:paraId="1981D42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66,7</w:t>
            </w:r>
          </w:p>
        </w:tc>
        <w:tc>
          <w:tcPr>
            <w:tcW w:w="464" w:type="pct"/>
            <w:tcBorders>
              <w:top w:val="nil"/>
              <w:left w:val="nil"/>
              <w:bottom w:val="nil"/>
              <w:right w:val="nil"/>
            </w:tcBorders>
            <w:shd w:val="clear" w:color="auto" w:fill="auto"/>
            <w:noWrap/>
            <w:vAlign w:val="bottom"/>
            <w:hideMark/>
          </w:tcPr>
          <w:p w14:paraId="24B56E0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64,4</w:t>
            </w:r>
          </w:p>
        </w:tc>
        <w:tc>
          <w:tcPr>
            <w:tcW w:w="461" w:type="pct"/>
            <w:tcBorders>
              <w:top w:val="nil"/>
              <w:left w:val="nil"/>
              <w:bottom w:val="nil"/>
              <w:right w:val="nil"/>
            </w:tcBorders>
            <w:shd w:val="clear" w:color="auto" w:fill="auto"/>
            <w:noWrap/>
            <w:vAlign w:val="bottom"/>
            <w:hideMark/>
          </w:tcPr>
          <w:p w14:paraId="5F4AFEC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66,3</w:t>
            </w:r>
          </w:p>
        </w:tc>
      </w:tr>
      <w:tr w:rsidR="001579BE" w:rsidRPr="006A71C3" w14:paraId="6CED8DEE" w14:textId="77777777" w:rsidTr="00377237">
        <w:trPr>
          <w:trHeight w:val="310"/>
        </w:trPr>
        <w:tc>
          <w:tcPr>
            <w:tcW w:w="229" w:type="pct"/>
            <w:tcBorders>
              <w:top w:val="nil"/>
              <w:left w:val="nil"/>
              <w:bottom w:val="nil"/>
              <w:right w:val="nil"/>
            </w:tcBorders>
            <w:shd w:val="clear" w:color="auto" w:fill="auto"/>
            <w:noWrap/>
            <w:vAlign w:val="bottom"/>
            <w:hideMark/>
          </w:tcPr>
          <w:p w14:paraId="7BADCBA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w:t>
            </w:r>
          </w:p>
        </w:tc>
        <w:tc>
          <w:tcPr>
            <w:tcW w:w="934" w:type="pct"/>
            <w:tcBorders>
              <w:top w:val="nil"/>
              <w:left w:val="nil"/>
              <w:bottom w:val="nil"/>
              <w:right w:val="nil"/>
            </w:tcBorders>
            <w:shd w:val="clear" w:color="auto" w:fill="auto"/>
            <w:noWrap/>
            <w:vAlign w:val="bottom"/>
            <w:hideMark/>
          </w:tcPr>
          <w:p w14:paraId="5569E695"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Argentina</w:t>
            </w:r>
          </w:p>
        </w:tc>
        <w:tc>
          <w:tcPr>
            <w:tcW w:w="397" w:type="pct"/>
            <w:tcBorders>
              <w:top w:val="nil"/>
              <w:left w:val="nil"/>
              <w:bottom w:val="nil"/>
              <w:right w:val="nil"/>
            </w:tcBorders>
            <w:shd w:val="clear" w:color="auto" w:fill="auto"/>
            <w:noWrap/>
            <w:vAlign w:val="bottom"/>
            <w:hideMark/>
          </w:tcPr>
          <w:p w14:paraId="5ABFCF2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9,9</w:t>
            </w:r>
          </w:p>
        </w:tc>
        <w:tc>
          <w:tcPr>
            <w:tcW w:w="397" w:type="pct"/>
            <w:tcBorders>
              <w:top w:val="nil"/>
              <w:left w:val="nil"/>
              <w:bottom w:val="nil"/>
              <w:right w:val="nil"/>
            </w:tcBorders>
            <w:shd w:val="clear" w:color="auto" w:fill="auto"/>
            <w:noWrap/>
            <w:vAlign w:val="bottom"/>
            <w:hideMark/>
          </w:tcPr>
          <w:p w14:paraId="0B7AC9A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12,9</w:t>
            </w:r>
          </w:p>
        </w:tc>
        <w:tc>
          <w:tcPr>
            <w:tcW w:w="397" w:type="pct"/>
            <w:tcBorders>
              <w:top w:val="nil"/>
              <w:left w:val="nil"/>
              <w:bottom w:val="nil"/>
              <w:right w:val="nil"/>
            </w:tcBorders>
            <w:shd w:val="clear" w:color="auto" w:fill="auto"/>
            <w:noWrap/>
            <w:vAlign w:val="bottom"/>
            <w:hideMark/>
          </w:tcPr>
          <w:p w14:paraId="00971E9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7,7</w:t>
            </w:r>
          </w:p>
        </w:tc>
        <w:tc>
          <w:tcPr>
            <w:tcW w:w="397" w:type="pct"/>
            <w:tcBorders>
              <w:top w:val="nil"/>
              <w:left w:val="nil"/>
              <w:bottom w:val="nil"/>
              <w:right w:val="nil"/>
            </w:tcBorders>
            <w:shd w:val="clear" w:color="auto" w:fill="auto"/>
            <w:noWrap/>
            <w:vAlign w:val="bottom"/>
            <w:hideMark/>
          </w:tcPr>
          <w:p w14:paraId="407DDB5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15,4</w:t>
            </w:r>
          </w:p>
        </w:tc>
        <w:tc>
          <w:tcPr>
            <w:tcW w:w="397" w:type="pct"/>
            <w:tcBorders>
              <w:top w:val="nil"/>
              <w:left w:val="nil"/>
              <w:bottom w:val="nil"/>
              <w:right w:val="nil"/>
            </w:tcBorders>
            <w:shd w:val="clear" w:color="auto" w:fill="auto"/>
            <w:noWrap/>
            <w:vAlign w:val="bottom"/>
            <w:hideMark/>
          </w:tcPr>
          <w:p w14:paraId="3754EAA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25,2</w:t>
            </w:r>
          </w:p>
        </w:tc>
        <w:tc>
          <w:tcPr>
            <w:tcW w:w="464" w:type="pct"/>
            <w:tcBorders>
              <w:top w:val="nil"/>
              <w:left w:val="nil"/>
              <w:bottom w:val="nil"/>
              <w:right w:val="nil"/>
            </w:tcBorders>
            <w:shd w:val="clear" w:color="auto" w:fill="auto"/>
            <w:noWrap/>
            <w:vAlign w:val="bottom"/>
            <w:hideMark/>
          </w:tcPr>
          <w:p w14:paraId="4FBA0D1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51,0</w:t>
            </w:r>
          </w:p>
        </w:tc>
        <w:tc>
          <w:tcPr>
            <w:tcW w:w="464" w:type="pct"/>
            <w:tcBorders>
              <w:top w:val="nil"/>
              <w:left w:val="nil"/>
              <w:bottom w:val="nil"/>
              <w:right w:val="nil"/>
            </w:tcBorders>
            <w:shd w:val="clear" w:color="auto" w:fill="auto"/>
            <w:noWrap/>
            <w:vAlign w:val="bottom"/>
            <w:hideMark/>
          </w:tcPr>
          <w:p w14:paraId="2F95D73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51,0</w:t>
            </w:r>
          </w:p>
        </w:tc>
        <w:tc>
          <w:tcPr>
            <w:tcW w:w="464" w:type="pct"/>
            <w:tcBorders>
              <w:top w:val="nil"/>
              <w:left w:val="nil"/>
              <w:bottom w:val="nil"/>
              <w:right w:val="nil"/>
            </w:tcBorders>
            <w:shd w:val="clear" w:color="auto" w:fill="auto"/>
            <w:noWrap/>
            <w:vAlign w:val="bottom"/>
            <w:hideMark/>
          </w:tcPr>
          <w:p w14:paraId="226E565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50,0</w:t>
            </w:r>
          </w:p>
        </w:tc>
        <w:tc>
          <w:tcPr>
            <w:tcW w:w="461" w:type="pct"/>
            <w:tcBorders>
              <w:top w:val="nil"/>
              <w:left w:val="nil"/>
              <w:bottom w:val="nil"/>
              <w:right w:val="nil"/>
            </w:tcBorders>
            <w:shd w:val="clear" w:color="auto" w:fill="auto"/>
            <w:noWrap/>
            <w:vAlign w:val="bottom"/>
            <w:hideMark/>
          </w:tcPr>
          <w:p w14:paraId="7DF2F6A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53,0</w:t>
            </w:r>
          </w:p>
        </w:tc>
      </w:tr>
      <w:tr w:rsidR="001579BE" w:rsidRPr="006A71C3" w14:paraId="230308AF" w14:textId="77777777" w:rsidTr="00377237">
        <w:trPr>
          <w:trHeight w:val="310"/>
        </w:trPr>
        <w:tc>
          <w:tcPr>
            <w:tcW w:w="229" w:type="pct"/>
            <w:tcBorders>
              <w:top w:val="nil"/>
              <w:left w:val="nil"/>
              <w:bottom w:val="nil"/>
              <w:right w:val="nil"/>
            </w:tcBorders>
            <w:shd w:val="clear" w:color="auto" w:fill="auto"/>
            <w:noWrap/>
            <w:vAlign w:val="bottom"/>
            <w:hideMark/>
          </w:tcPr>
          <w:p w14:paraId="706AC9E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w:t>
            </w:r>
          </w:p>
        </w:tc>
        <w:tc>
          <w:tcPr>
            <w:tcW w:w="934" w:type="pct"/>
            <w:tcBorders>
              <w:top w:val="nil"/>
              <w:left w:val="nil"/>
              <w:bottom w:val="nil"/>
              <w:right w:val="nil"/>
            </w:tcBorders>
            <w:shd w:val="clear" w:color="auto" w:fill="auto"/>
            <w:noWrap/>
            <w:vAlign w:val="bottom"/>
            <w:hideMark/>
          </w:tcPr>
          <w:p w14:paraId="4BCFEEFE"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Ucrania</w:t>
            </w:r>
          </w:p>
        </w:tc>
        <w:tc>
          <w:tcPr>
            <w:tcW w:w="397" w:type="pct"/>
            <w:tcBorders>
              <w:top w:val="nil"/>
              <w:left w:val="nil"/>
              <w:bottom w:val="nil"/>
              <w:right w:val="nil"/>
            </w:tcBorders>
            <w:shd w:val="clear" w:color="auto" w:fill="auto"/>
            <w:noWrap/>
            <w:vAlign w:val="bottom"/>
            <w:hideMark/>
          </w:tcPr>
          <w:p w14:paraId="031064E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26FC01E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2CE2E5A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4,7</w:t>
            </w:r>
          </w:p>
        </w:tc>
        <w:tc>
          <w:tcPr>
            <w:tcW w:w="397" w:type="pct"/>
            <w:tcBorders>
              <w:top w:val="nil"/>
              <w:left w:val="nil"/>
              <w:bottom w:val="nil"/>
              <w:right w:val="nil"/>
            </w:tcBorders>
            <w:shd w:val="clear" w:color="auto" w:fill="auto"/>
            <w:noWrap/>
            <w:vAlign w:val="bottom"/>
            <w:hideMark/>
          </w:tcPr>
          <w:p w14:paraId="1790E82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w:t>
            </w:r>
          </w:p>
        </w:tc>
        <w:tc>
          <w:tcPr>
            <w:tcW w:w="397" w:type="pct"/>
            <w:tcBorders>
              <w:top w:val="nil"/>
              <w:left w:val="nil"/>
              <w:bottom w:val="nil"/>
              <w:right w:val="nil"/>
            </w:tcBorders>
            <w:shd w:val="clear" w:color="auto" w:fill="auto"/>
            <w:noWrap/>
            <w:vAlign w:val="bottom"/>
            <w:hideMark/>
          </w:tcPr>
          <w:p w14:paraId="2D26C14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11,9</w:t>
            </w:r>
          </w:p>
        </w:tc>
        <w:tc>
          <w:tcPr>
            <w:tcW w:w="464" w:type="pct"/>
            <w:tcBorders>
              <w:top w:val="nil"/>
              <w:left w:val="nil"/>
              <w:bottom w:val="nil"/>
              <w:right w:val="nil"/>
            </w:tcBorders>
            <w:shd w:val="clear" w:color="auto" w:fill="auto"/>
            <w:noWrap/>
            <w:vAlign w:val="bottom"/>
            <w:hideMark/>
          </w:tcPr>
          <w:p w14:paraId="42D1F24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35,8</w:t>
            </w:r>
          </w:p>
        </w:tc>
        <w:tc>
          <w:tcPr>
            <w:tcW w:w="464" w:type="pct"/>
            <w:tcBorders>
              <w:top w:val="nil"/>
              <w:left w:val="nil"/>
              <w:bottom w:val="nil"/>
              <w:right w:val="nil"/>
            </w:tcBorders>
            <w:shd w:val="clear" w:color="auto" w:fill="auto"/>
            <w:noWrap/>
            <w:vAlign w:val="bottom"/>
            <w:hideMark/>
          </w:tcPr>
          <w:p w14:paraId="0B49333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35,9</w:t>
            </w:r>
          </w:p>
        </w:tc>
        <w:tc>
          <w:tcPr>
            <w:tcW w:w="464" w:type="pct"/>
            <w:tcBorders>
              <w:top w:val="nil"/>
              <w:left w:val="nil"/>
              <w:bottom w:val="nil"/>
              <w:right w:val="nil"/>
            </w:tcBorders>
            <w:shd w:val="clear" w:color="auto" w:fill="auto"/>
            <w:noWrap/>
            <w:vAlign w:val="bottom"/>
            <w:hideMark/>
          </w:tcPr>
          <w:p w14:paraId="123E842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30,3</w:t>
            </w:r>
          </w:p>
        </w:tc>
        <w:tc>
          <w:tcPr>
            <w:tcW w:w="461" w:type="pct"/>
            <w:tcBorders>
              <w:top w:val="nil"/>
              <w:left w:val="nil"/>
              <w:bottom w:val="nil"/>
              <w:right w:val="nil"/>
            </w:tcBorders>
            <w:shd w:val="clear" w:color="auto" w:fill="auto"/>
            <w:noWrap/>
            <w:vAlign w:val="bottom"/>
            <w:hideMark/>
          </w:tcPr>
          <w:p w14:paraId="03605E0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38,0</w:t>
            </w:r>
          </w:p>
        </w:tc>
      </w:tr>
      <w:tr w:rsidR="001579BE" w:rsidRPr="006A71C3" w14:paraId="7FD9B5AC" w14:textId="77777777" w:rsidTr="00377237">
        <w:trPr>
          <w:trHeight w:val="310"/>
        </w:trPr>
        <w:tc>
          <w:tcPr>
            <w:tcW w:w="229" w:type="pct"/>
            <w:tcBorders>
              <w:top w:val="nil"/>
              <w:left w:val="nil"/>
              <w:bottom w:val="nil"/>
              <w:right w:val="nil"/>
            </w:tcBorders>
            <w:shd w:val="clear" w:color="auto" w:fill="auto"/>
            <w:noWrap/>
            <w:vAlign w:val="bottom"/>
            <w:hideMark/>
          </w:tcPr>
          <w:p w14:paraId="4670DD8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w:t>
            </w:r>
          </w:p>
        </w:tc>
        <w:tc>
          <w:tcPr>
            <w:tcW w:w="934" w:type="pct"/>
            <w:tcBorders>
              <w:top w:val="nil"/>
              <w:left w:val="nil"/>
              <w:bottom w:val="nil"/>
              <w:right w:val="nil"/>
            </w:tcBorders>
            <w:shd w:val="clear" w:color="auto" w:fill="auto"/>
            <w:noWrap/>
            <w:vAlign w:val="bottom"/>
            <w:hideMark/>
          </w:tcPr>
          <w:p w14:paraId="72EEF6C7"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India</w:t>
            </w:r>
          </w:p>
        </w:tc>
        <w:tc>
          <w:tcPr>
            <w:tcW w:w="397" w:type="pct"/>
            <w:tcBorders>
              <w:top w:val="nil"/>
              <w:left w:val="nil"/>
              <w:bottom w:val="nil"/>
              <w:right w:val="nil"/>
            </w:tcBorders>
            <w:shd w:val="clear" w:color="auto" w:fill="auto"/>
            <w:noWrap/>
            <w:vAlign w:val="bottom"/>
            <w:hideMark/>
          </w:tcPr>
          <w:p w14:paraId="547E2AB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7,5</w:t>
            </w:r>
          </w:p>
        </w:tc>
        <w:tc>
          <w:tcPr>
            <w:tcW w:w="397" w:type="pct"/>
            <w:tcBorders>
              <w:top w:val="nil"/>
              <w:left w:val="nil"/>
              <w:bottom w:val="nil"/>
              <w:right w:val="nil"/>
            </w:tcBorders>
            <w:shd w:val="clear" w:color="auto" w:fill="auto"/>
            <w:noWrap/>
            <w:vAlign w:val="bottom"/>
            <w:hideMark/>
          </w:tcPr>
          <w:p w14:paraId="0739F3E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7,0</w:t>
            </w:r>
          </w:p>
        </w:tc>
        <w:tc>
          <w:tcPr>
            <w:tcW w:w="397" w:type="pct"/>
            <w:tcBorders>
              <w:top w:val="nil"/>
              <w:left w:val="nil"/>
              <w:bottom w:val="nil"/>
              <w:right w:val="nil"/>
            </w:tcBorders>
            <w:shd w:val="clear" w:color="auto" w:fill="auto"/>
            <w:noWrap/>
            <w:vAlign w:val="bottom"/>
            <w:hideMark/>
          </w:tcPr>
          <w:p w14:paraId="554F49B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9,0</w:t>
            </w:r>
          </w:p>
        </w:tc>
        <w:tc>
          <w:tcPr>
            <w:tcW w:w="397" w:type="pct"/>
            <w:tcBorders>
              <w:top w:val="nil"/>
              <w:left w:val="nil"/>
              <w:bottom w:val="nil"/>
              <w:right w:val="nil"/>
            </w:tcBorders>
            <w:shd w:val="clear" w:color="auto" w:fill="auto"/>
            <w:noWrap/>
            <w:vAlign w:val="bottom"/>
            <w:hideMark/>
          </w:tcPr>
          <w:p w14:paraId="5DCD1A3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12,0</w:t>
            </w:r>
          </w:p>
        </w:tc>
        <w:tc>
          <w:tcPr>
            <w:tcW w:w="397" w:type="pct"/>
            <w:tcBorders>
              <w:top w:val="nil"/>
              <w:left w:val="nil"/>
              <w:bottom w:val="nil"/>
              <w:right w:val="nil"/>
            </w:tcBorders>
            <w:shd w:val="clear" w:color="auto" w:fill="auto"/>
            <w:noWrap/>
            <w:vAlign w:val="bottom"/>
            <w:hideMark/>
          </w:tcPr>
          <w:p w14:paraId="2074D86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21,7</w:t>
            </w:r>
          </w:p>
        </w:tc>
        <w:tc>
          <w:tcPr>
            <w:tcW w:w="464" w:type="pct"/>
            <w:tcBorders>
              <w:top w:val="nil"/>
              <w:left w:val="nil"/>
              <w:bottom w:val="nil"/>
              <w:right w:val="nil"/>
            </w:tcBorders>
            <w:shd w:val="clear" w:color="auto" w:fill="auto"/>
            <w:noWrap/>
            <w:vAlign w:val="bottom"/>
            <w:hideMark/>
          </w:tcPr>
          <w:p w14:paraId="3D9DAD8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27,7</w:t>
            </w:r>
          </w:p>
        </w:tc>
        <w:tc>
          <w:tcPr>
            <w:tcW w:w="464" w:type="pct"/>
            <w:tcBorders>
              <w:top w:val="nil"/>
              <w:left w:val="nil"/>
              <w:bottom w:val="nil"/>
              <w:right w:val="nil"/>
            </w:tcBorders>
            <w:shd w:val="clear" w:color="auto" w:fill="auto"/>
            <w:noWrap/>
            <w:vAlign w:val="bottom"/>
            <w:hideMark/>
          </w:tcPr>
          <w:p w14:paraId="6516AE9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28,8</w:t>
            </w:r>
          </w:p>
        </w:tc>
        <w:tc>
          <w:tcPr>
            <w:tcW w:w="464" w:type="pct"/>
            <w:tcBorders>
              <w:top w:val="nil"/>
              <w:left w:val="nil"/>
              <w:bottom w:val="nil"/>
              <w:right w:val="nil"/>
            </w:tcBorders>
            <w:shd w:val="clear" w:color="auto" w:fill="auto"/>
            <w:noWrap/>
            <w:vAlign w:val="bottom"/>
            <w:hideMark/>
          </w:tcPr>
          <w:p w14:paraId="3233D60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31,5</w:t>
            </w:r>
          </w:p>
        </w:tc>
        <w:tc>
          <w:tcPr>
            <w:tcW w:w="461" w:type="pct"/>
            <w:tcBorders>
              <w:top w:val="nil"/>
              <w:left w:val="nil"/>
              <w:bottom w:val="nil"/>
              <w:right w:val="nil"/>
            </w:tcBorders>
            <w:shd w:val="clear" w:color="auto" w:fill="auto"/>
            <w:noWrap/>
            <w:vAlign w:val="bottom"/>
            <w:hideMark/>
          </w:tcPr>
          <w:p w14:paraId="09A7A7B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30,0</w:t>
            </w:r>
          </w:p>
        </w:tc>
      </w:tr>
      <w:tr w:rsidR="001579BE" w:rsidRPr="006A71C3" w14:paraId="0FF8A97B" w14:textId="77777777" w:rsidTr="00377237">
        <w:trPr>
          <w:trHeight w:val="310"/>
        </w:trPr>
        <w:tc>
          <w:tcPr>
            <w:tcW w:w="229" w:type="pct"/>
            <w:tcBorders>
              <w:top w:val="nil"/>
              <w:left w:val="nil"/>
              <w:bottom w:val="nil"/>
              <w:right w:val="nil"/>
            </w:tcBorders>
            <w:shd w:val="clear" w:color="auto" w:fill="auto"/>
            <w:noWrap/>
            <w:vAlign w:val="bottom"/>
            <w:hideMark/>
          </w:tcPr>
          <w:p w14:paraId="5E1B8F6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w:t>
            </w:r>
          </w:p>
        </w:tc>
        <w:tc>
          <w:tcPr>
            <w:tcW w:w="934" w:type="pct"/>
            <w:tcBorders>
              <w:top w:val="nil"/>
              <w:left w:val="nil"/>
              <w:bottom w:val="nil"/>
              <w:right w:val="nil"/>
            </w:tcBorders>
            <w:shd w:val="clear" w:color="auto" w:fill="auto"/>
            <w:noWrap/>
            <w:vAlign w:val="bottom"/>
            <w:hideMark/>
          </w:tcPr>
          <w:p w14:paraId="62594F70"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México</w:t>
            </w:r>
          </w:p>
        </w:tc>
        <w:tc>
          <w:tcPr>
            <w:tcW w:w="397" w:type="pct"/>
            <w:tcBorders>
              <w:top w:val="nil"/>
              <w:left w:val="nil"/>
              <w:bottom w:val="nil"/>
              <w:right w:val="nil"/>
            </w:tcBorders>
            <w:shd w:val="clear" w:color="auto" w:fill="auto"/>
            <w:noWrap/>
            <w:vAlign w:val="bottom"/>
            <w:hideMark/>
          </w:tcPr>
          <w:p w14:paraId="1749608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8,9</w:t>
            </w:r>
          </w:p>
        </w:tc>
        <w:tc>
          <w:tcPr>
            <w:tcW w:w="397" w:type="pct"/>
            <w:tcBorders>
              <w:top w:val="nil"/>
              <w:left w:val="nil"/>
              <w:bottom w:val="nil"/>
              <w:right w:val="nil"/>
            </w:tcBorders>
            <w:shd w:val="clear" w:color="auto" w:fill="auto"/>
            <w:noWrap/>
            <w:vAlign w:val="bottom"/>
            <w:hideMark/>
          </w:tcPr>
          <w:p w14:paraId="75097AB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10,4</w:t>
            </w:r>
          </w:p>
        </w:tc>
        <w:tc>
          <w:tcPr>
            <w:tcW w:w="397" w:type="pct"/>
            <w:tcBorders>
              <w:top w:val="nil"/>
              <w:left w:val="nil"/>
              <w:bottom w:val="nil"/>
              <w:right w:val="nil"/>
            </w:tcBorders>
            <w:shd w:val="clear" w:color="auto" w:fill="auto"/>
            <w:noWrap/>
            <w:vAlign w:val="bottom"/>
            <w:hideMark/>
          </w:tcPr>
          <w:p w14:paraId="07B52CC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14,1</w:t>
            </w:r>
          </w:p>
        </w:tc>
        <w:tc>
          <w:tcPr>
            <w:tcW w:w="397" w:type="pct"/>
            <w:tcBorders>
              <w:top w:val="nil"/>
              <w:left w:val="nil"/>
              <w:bottom w:val="nil"/>
              <w:right w:val="nil"/>
            </w:tcBorders>
            <w:shd w:val="clear" w:color="auto" w:fill="auto"/>
            <w:noWrap/>
            <w:vAlign w:val="bottom"/>
            <w:hideMark/>
          </w:tcPr>
          <w:p w14:paraId="4C846D0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17,9</w:t>
            </w:r>
          </w:p>
        </w:tc>
        <w:tc>
          <w:tcPr>
            <w:tcW w:w="397" w:type="pct"/>
            <w:tcBorders>
              <w:top w:val="nil"/>
              <w:left w:val="nil"/>
              <w:bottom w:val="nil"/>
              <w:right w:val="nil"/>
            </w:tcBorders>
            <w:shd w:val="clear" w:color="auto" w:fill="auto"/>
            <w:noWrap/>
            <w:vAlign w:val="bottom"/>
            <w:hideMark/>
          </w:tcPr>
          <w:p w14:paraId="0F581E2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21,1</w:t>
            </w:r>
          </w:p>
        </w:tc>
        <w:tc>
          <w:tcPr>
            <w:tcW w:w="464" w:type="pct"/>
            <w:tcBorders>
              <w:top w:val="nil"/>
              <w:left w:val="nil"/>
              <w:bottom w:val="nil"/>
              <w:right w:val="nil"/>
            </w:tcBorders>
            <w:shd w:val="clear" w:color="auto" w:fill="auto"/>
            <w:noWrap/>
            <w:vAlign w:val="bottom"/>
            <w:hideMark/>
          </w:tcPr>
          <w:p w14:paraId="4289B23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27,7</w:t>
            </w:r>
          </w:p>
        </w:tc>
        <w:tc>
          <w:tcPr>
            <w:tcW w:w="464" w:type="pct"/>
            <w:tcBorders>
              <w:top w:val="nil"/>
              <w:left w:val="nil"/>
              <w:bottom w:val="nil"/>
              <w:right w:val="nil"/>
            </w:tcBorders>
            <w:shd w:val="clear" w:color="auto" w:fill="auto"/>
            <w:noWrap/>
            <w:vAlign w:val="bottom"/>
            <w:hideMark/>
          </w:tcPr>
          <w:p w14:paraId="3787692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26,7</w:t>
            </w:r>
          </w:p>
        </w:tc>
        <w:tc>
          <w:tcPr>
            <w:tcW w:w="464" w:type="pct"/>
            <w:tcBorders>
              <w:top w:val="nil"/>
              <w:left w:val="nil"/>
              <w:bottom w:val="nil"/>
              <w:right w:val="nil"/>
            </w:tcBorders>
            <w:shd w:val="clear" w:color="auto" w:fill="auto"/>
            <w:noWrap/>
            <w:vAlign w:val="bottom"/>
            <w:hideMark/>
          </w:tcPr>
          <w:p w14:paraId="60D9262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27,4</w:t>
            </w:r>
          </w:p>
        </w:tc>
        <w:tc>
          <w:tcPr>
            <w:tcW w:w="461" w:type="pct"/>
            <w:tcBorders>
              <w:top w:val="nil"/>
              <w:left w:val="nil"/>
              <w:bottom w:val="nil"/>
              <w:right w:val="nil"/>
            </w:tcBorders>
            <w:shd w:val="clear" w:color="auto" w:fill="auto"/>
            <w:noWrap/>
            <w:vAlign w:val="bottom"/>
            <w:hideMark/>
          </w:tcPr>
          <w:p w14:paraId="059A6A9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28,0</w:t>
            </w:r>
          </w:p>
        </w:tc>
      </w:tr>
      <w:tr w:rsidR="001579BE" w:rsidRPr="006A71C3" w14:paraId="04CDDDEE" w14:textId="77777777" w:rsidTr="00377237">
        <w:trPr>
          <w:trHeight w:val="310"/>
        </w:trPr>
        <w:tc>
          <w:tcPr>
            <w:tcW w:w="229" w:type="pct"/>
            <w:tcBorders>
              <w:top w:val="nil"/>
              <w:left w:val="nil"/>
              <w:bottom w:val="nil"/>
              <w:right w:val="nil"/>
            </w:tcBorders>
            <w:shd w:val="clear" w:color="auto" w:fill="auto"/>
            <w:noWrap/>
            <w:vAlign w:val="bottom"/>
            <w:hideMark/>
          </w:tcPr>
          <w:p w14:paraId="518AA01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w:t>
            </w:r>
          </w:p>
        </w:tc>
        <w:tc>
          <w:tcPr>
            <w:tcW w:w="934" w:type="pct"/>
            <w:tcBorders>
              <w:top w:val="nil"/>
              <w:left w:val="nil"/>
              <w:bottom w:val="nil"/>
              <w:right w:val="nil"/>
            </w:tcBorders>
            <w:shd w:val="clear" w:color="auto" w:fill="auto"/>
            <w:noWrap/>
            <w:vAlign w:val="bottom"/>
            <w:hideMark/>
          </w:tcPr>
          <w:p w14:paraId="4E2D3680"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Sudáfrica</w:t>
            </w:r>
          </w:p>
        </w:tc>
        <w:tc>
          <w:tcPr>
            <w:tcW w:w="397" w:type="pct"/>
            <w:tcBorders>
              <w:top w:val="nil"/>
              <w:left w:val="nil"/>
              <w:bottom w:val="nil"/>
              <w:right w:val="nil"/>
            </w:tcBorders>
            <w:shd w:val="clear" w:color="auto" w:fill="auto"/>
            <w:noWrap/>
            <w:vAlign w:val="bottom"/>
            <w:hideMark/>
          </w:tcPr>
          <w:p w14:paraId="3790AEA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8,6</w:t>
            </w:r>
          </w:p>
        </w:tc>
        <w:tc>
          <w:tcPr>
            <w:tcW w:w="397" w:type="pct"/>
            <w:tcBorders>
              <w:top w:val="nil"/>
              <w:left w:val="nil"/>
              <w:bottom w:val="nil"/>
              <w:right w:val="nil"/>
            </w:tcBorders>
            <w:shd w:val="clear" w:color="auto" w:fill="auto"/>
            <w:noWrap/>
            <w:vAlign w:val="bottom"/>
            <w:hideMark/>
          </w:tcPr>
          <w:p w14:paraId="44893AE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14,9</w:t>
            </w:r>
          </w:p>
        </w:tc>
        <w:tc>
          <w:tcPr>
            <w:tcW w:w="397" w:type="pct"/>
            <w:tcBorders>
              <w:top w:val="nil"/>
              <w:left w:val="nil"/>
              <w:bottom w:val="nil"/>
              <w:right w:val="nil"/>
            </w:tcBorders>
            <w:shd w:val="clear" w:color="auto" w:fill="auto"/>
            <w:noWrap/>
            <w:vAlign w:val="bottom"/>
            <w:hideMark/>
          </w:tcPr>
          <w:p w14:paraId="5FA64C0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8,6</w:t>
            </w:r>
          </w:p>
        </w:tc>
        <w:tc>
          <w:tcPr>
            <w:tcW w:w="397" w:type="pct"/>
            <w:tcBorders>
              <w:top w:val="nil"/>
              <w:left w:val="nil"/>
              <w:bottom w:val="nil"/>
              <w:right w:val="nil"/>
            </w:tcBorders>
            <w:shd w:val="clear" w:color="auto" w:fill="auto"/>
            <w:noWrap/>
            <w:vAlign w:val="bottom"/>
            <w:hideMark/>
          </w:tcPr>
          <w:p w14:paraId="09C039C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8,0</w:t>
            </w:r>
          </w:p>
        </w:tc>
        <w:tc>
          <w:tcPr>
            <w:tcW w:w="397" w:type="pct"/>
            <w:tcBorders>
              <w:top w:val="nil"/>
              <w:left w:val="nil"/>
              <w:bottom w:val="nil"/>
              <w:right w:val="nil"/>
            </w:tcBorders>
            <w:shd w:val="clear" w:color="auto" w:fill="auto"/>
            <w:noWrap/>
            <w:vAlign w:val="bottom"/>
            <w:hideMark/>
          </w:tcPr>
          <w:p w14:paraId="2E767EA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10,9</w:t>
            </w:r>
          </w:p>
        </w:tc>
        <w:tc>
          <w:tcPr>
            <w:tcW w:w="464" w:type="pct"/>
            <w:tcBorders>
              <w:top w:val="nil"/>
              <w:left w:val="nil"/>
              <w:bottom w:val="nil"/>
              <w:right w:val="nil"/>
            </w:tcBorders>
            <w:shd w:val="clear" w:color="auto" w:fill="auto"/>
            <w:noWrap/>
            <w:vAlign w:val="bottom"/>
            <w:hideMark/>
          </w:tcPr>
          <w:p w14:paraId="12E6DA2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11,8</w:t>
            </w:r>
          </w:p>
        </w:tc>
        <w:tc>
          <w:tcPr>
            <w:tcW w:w="464" w:type="pct"/>
            <w:tcBorders>
              <w:top w:val="nil"/>
              <w:left w:val="nil"/>
              <w:bottom w:val="nil"/>
              <w:right w:val="nil"/>
            </w:tcBorders>
            <w:shd w:val="clear" w:color="auto" w:fill="auto"/>
            <w:noWrap/>
            <w:vAlign w:val="bottom"/>
            <w:hideMark/>
          </w:tcPr>
          <w:p w14:paraId="3D4C47E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15,8</w:t>
            </w:r>
          </w:p>
        </w:tc>
        <w:tc>
          <w:tcPr>
            <w:tcW w:w="464" w:type="pct"/>
            <w:tcBorders>
              <w:top w:val="nil"/>
              <w:left w:val="nil"/>
              <w:bottom w:val="nil"/>
              <w:right w:val="nil"/>
            </w:tcBorders>
            <w:shd w:val="clear" w:color="auto" w:fill="auto"/>
            <w:noWrap/>
            <w:vAlign w:val="bottom"/>
            <w:hideMark/>
          </w:tcPr>
          <w:p w14:paraId="326EA60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16,9</w:t>
            </w:r>
          </w:p>
        </w:tc>
        <w:tc>
          <w:tcPr>
            <w:tcW w:w="461" w:type="pct"/>
            <w:tcBorders>
              <w:top w:val="nil"/>
              <w:left w:val="nil"/>
              <w:bottom w:val="nil"/>
              <w:right w:val="nil"/>
            </w:tcBorders>
            <w:shd w:val="clear" w:color="auto" w:fill="auto"/>
            <w:noWrap/>
            <w:vAlign w:val="bottom"/>
            <w:hideMark/>
          </w:tcPr>
          <w:p w14:paraId="59E36CB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17,0</w:t>
            </w:r>
          </w:p>
        </w:tc>
      </w:tr>
      <w:tr w:rsidR="001579BE" w:rsidRPr="006A71C3" w14:paraId="6409D8B4" w14:textId="77777777" w:rsidTr="00377237">
        <w:trPr>
          <w:trHeight w:val="310"/>
        </w:trPr>
        <w:tc>
          <w:tcPr>
            <w:tcW w:w="229" w:type="pct"/>
            <w:tcBorders>
              <w:top w:val="nil"/>
              <w:left w:val="nil"/>
              <w:bottom w:val="nil"/>
              <w:right w:val="nil"/>
            </w:tcBorders>
            <w:shd w:val="clear" w:color="auto" w:fill="auto"/>
            <w:noWrap/>
            <w:vAlign w:val="bottom"/>
            <w:hideMark/>
          </w:tcPr>
          <w:p w14:paraId="68C7B13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w:t>
            </w:r>
          </w:p>
        </w:tc>
        <w:tc>
          <w:tcPr>
            <w:tcW w:w="934" w:type="pct"/>
            <w:tcBorders>
              <w:top w:val="nil"/>
              <w:left w:val="nil"/>
              <w:bottom w:val="nil"/>
              <w:right w:val="nil"/>
            </w:tcBorders>
            <w:shd w:val="clear" w:color="auto" w:fill="auto"/>
            <w:noWrap/>
            <w:vAlign w:val="bottom"/>
            <w:hideMark/>
          </w:tcPr>
          <w:p w14:paraId="4FE5E524"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Rusia</w:t>
            </w:r>
          </w:p>
        </w:tc>
        <w:tc>
          <w:tcPr>
            <w:tcW w:w="397" w:type="pct"/>
            <w:tcBorders>
              <w:top w:val="nil"/>
              <w:left w:val="nil"/>
              <w:bottom w:val="nil"/>
              <w:right w:val="nil"/>
            </w:tcBorders>
            <w:shd w:val="clear" w:color="auto" w:fill="auto"/>
            <w:noWrap/>
            <w:vAlign w:val="bottom"/>
            <w:hideMark/>
          </w:tcPr>
          <w:p w14:paraId="41947A5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7825EA1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61916A3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2,5</w:t>
            </w:r>
          </w:p>
        </w:tc>
        <w:tc>
          <w:tcPr>
            <w:tcW w:w="397" w:type="pct"/>
            <w:tcBorders>
              <w:top w:val="nil"/>
              <w:left w:val="nil"/>
              <w:bottom w:val="nil"/>
              <w:right w:val="nil"/>
            </w:tcBorders>
            <w:shd w:val="clear" w:color="auto" w:fill="auto"/>
            <w:noWrap/>
            <w:vAlign w:val="bottom"/>
            <w:hideMark/>
          </w:tcPr>
          <w:p w14:paraId="22A38F6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w:t>
            </w:r>
          </w:p>
        </w:tc>
        <w:tc>
          <w:tcPr>
            <w:tcW w:w="397" w:type="pct"/>
            <w:tcBorders>
              <w:top w:val="nil"/>
              <w:left w:val="nil"/>
              <w:bottom w:val="nil"/>
              <w:right w:val="nil"/>
            </w:tcBorders>
            <w:shd w:val="clear" w:color="auto" w:fill="auto"/>
            <w:noWrap/>
            <w:vAlign w:val="bottom"/>
            <w:hideMark/>
          </w:tcPr>
          <w:p w14:paraId="77C02AD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3,1</w:t>
            </w:r>
          </w:p>
        </w:tc>
        <w:tc>
          <w:tcPr>
            <w:tcW w:w="464" w:type="pct"/>
            <w:tcBorders>
              <w:top w:val="nil"/>
              <w:left w:val="nil"/>
              <w:bottom w:val="nil"/>
              <w:right w:val="nil"/>
            </w:tcBorders>
            <w:shd w:val="clear" w:color="auto" w:fill="auto"/>
            <w:noWrap/>
            <w:vAlign w:val="bottom"/>
            <w:hideMark/>
          </w:tcPr>
          <w:p w14:paraId="2238799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11,4</w:t>
            </w:r>
          </w:p>
        </w:tc>
        <w:tc>
          <w:tcPr>
            <w:tcW w:w="464" w:type="pct"/>
            <w:tcBorders>
              <w:top w:val="nil"/>
              <w:left w:val="nil"/>
              <w:bottom w:val="nil"/>
              <w:right w:val="nil"/>
            </w:tcBorders>
            <w:shd w:val="clear" w:color="auto" w:fill="auto"/>
            <w:noWrap/>
            <w:vAlign w:val="bottom"/>
            <w:hideMark/>
          </w:tcPr>
          <w:p w14:paraId="6B9C3BB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14,3</w:t>
            </w:r>
          </w:p>
        </w:tc>
        <w:tc>
          <w:tcPr>
            <w:tcW w:w="464" w:type="pct"/>
            <w:tcBorders>
              <w:top w:val="nil"/>
              <w:left w:val="nil"/>
              <w:bottom w:val="nil"/>
              <w:right w:val="nil"/>
            </w:tcBorders>
            <w:shd w:val="clear" w:color="auto" w:fill="auto"/>
            <w:noWrap/>
            <w:vAlign w:val="bottom"/>
            <w:hideMark/>
          </w:tcPr>
          <w:p w14:paraId="63ACA4D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13,9</w:t>
            </w:r>
          </w:p>
        </w:tc>
        <w:tc>
          <w:tcPr>
            <w:tcW w:w="461" w:type="pct"/>
            <w:tcBorders>
              <w:top w:val="nil"/>
              <w:left w:val="nil"/>
              <w:bottom w:val="nil"/>
              <w:right w:val="nil"/>
            </w:tcBorders>
            <w:shd w:val="clear" w:color="auto" w:fill="auto"/>
            <w:noWrap/>
            <w:vAlign w:val="bottom"/>
            <w:hideMark/>
          </w:tcPr>
          <w:p w14:paraId="713D9F0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15,0</w:t>
            </w:r>
          </w:p>
        </w:tc>
      </w:tr>
      <w:tr w:rsidR="001579BE" w:rsidRPr="006A71C3" w14:paraId="104851B5" w14:textId="77777777" w:rsidTr="00377237">
        <w:trPr>
          <w:trHeight w:val="310"/>
        </w:trPr>
        <w:tc>
          <w:tcPr>
            <w:tcW w:w="229" w:type="pct"/>
            <w:tcBorders>
              <w:top w:val="nil"/>
              <w:left w:val="nil"/>
              <w:bottom w:val="nil"/>
              <w:right w:val="nil"/>
            </w:tcBorders>
            <w:shd w:val="clear" w:color="auto" w:fill="auto"/>
            <w:noWrap/>
            <w:vAlign w:val="bottom"/>
            <w:hideMark/>
          </w:tcPr>
          <w:p w14:paraId="68CB6E9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w:t>
            </w:r>
          </w:p>
        </w:tc>
        <w:tc>
          <w:tcPr>
            <w:tcW w:w="934" w:type="pct"/>
            <w:tcBorders>
              <w:top w:val="nil"/>
              <w:left w:val="nil"/>
              <w:bottom w:val="nil"/>
              <w:right w:val="nil"/>
            </w:tcBorders>
            <w:shd w:val="clear" w:color="auto" w:fill="auto"/>
            <w:noWrap/>
            <w:vAlign w:val="bottom"/>
            <w:hideMark/>
          </w:tcPr>
          <w:p w14:paraId="5F5EAB10"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Canadá</w:t>
            </w:r>
          </w:p>
        </w:tc>
        <w:tc>
          <w:tcPr>
            <w:tcW w:w="397" w:type="pct"/>
            <w:tcBorders>
              <w:top w:val="nil"/>
              <w:left w:val="nil"/>
              <w:bottom w:val="nil"/>
              <w:right w:val="nil"/>
            </w:tcBorders>
            <w:shd w:val="clear" w:color="auto" w:fill="auto"/>
            <w:noWrap/>
            <w:vAlign w:val="bottom"/>
            <w:hideMark/>
          </w:tcPr>
          <w:p w14:paraId="4DD5699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2,6</w:t>
            </w:r>
          </w:p>
        </w:tc>
        <w:tc>
          <w:tcPr>
            <w:tcW w:w="397" w:type="pct"/>
            <w:tcBorders>
              <w:top w:val="nil"/>
              <w:left w:val="nil"/>
              <w:bottom w:val="nil"/>
              <w:right w:val="nil"/>
            </w:tcBorders>
            <w:shd w:val="clear" w:color="auto" w:fill="auto"/>
            <w:noWrap/>
            <w:vAlign w:val="bottom"/>
            <w:hideMark/>
          </w:tcPr>
          <w:p w14:paraId="0F40AB7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5,8</w:t>
            </w:r>
          </w:p>
        </w:tc>
        <w:tc>
          <w:tcPr>
            <w:tcW w:w="397" w:type="pct"/>
            <w:tcBorders>
              <w:top w:val="nil"/>
              <w:left w:val="nil"/>
              <w:bottom w:val="nil"/>
              <w:right w:val="nil"/>
            </w:tcBorders>
            <w:shd w:val="clear" w:color="auto" w:fill="auto"/>
            <w:noWrap/>
            <w:vAlign w:val="bottom"/>
            <w:hideMark/>
          </w:tcPr>
          <w:p w14:paraId="3EFE8D0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7,1</w:t>
            </w:r>
          </w:p>
        </w:tc>
        <w:tc>
          <w:tcPr>
            <w:tcW w:w="397" w:type="pct"/>
            <w:tcBorders>
              <w:top w:val="nil"/>
              <w:left w:val="nil"/>
              <w:bottom w:val="nil"/>
              <w:right w:val="nil"/>
            </w:tcBorders>
            <w:shd w:val="clear" w:color="auto" w:fill="auto"/>
            <w:noWrap/>
            <w:vAlign w:val="bottom"/>
            <w:hideMark/>
          </w:tcPr>
          <w:p w14:paraId="46754A7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7,0</w:t>
            </w:r>
          </w:p>
        </w:tc>
        <w:tc>
          <w:tcPr>
            <w:tcW w:w="397" w:type="pct"/>
            <w:tcBorders>
              <w:top w:val="nil"/>
              <w:left w:val="nil"/>
              <w:bottom w:val="nil"/>
              <w:right w:val="nil"/>
            </w:tcBorders>
            <w:shd w:val="clear" w:color="auto" w:fill="auto"/>
            <w:noWrap/>
            <w:vAlign w:val="bottom"/>
            <w:hideMark/>
          </w:tcPr>
          <w:p w14:paraId="1CB699E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12,0</w:t>
            </w:r>
          </w:p>
        </w:tc>
        <w:tc>
          <w:tcPr>
            <w:tcW w:w="464" w:type="pct"/>
            <w:tcBorders>
              <w:top w:val="nil"/>
              <w:left w:val="nil"/>
              <w:bottom w:val="nil"/>
              <w:right w:val="nil"/>
            </w:tcBorders>
            <w:shd w:val="clear" w:color="auto" w:fill="auto"/>
            <w:noWrap/>
            <w:vAlign w:val="bottom"/>
            <w:hideMark/>
          </w:tcPr>
          <w:p w14:paraId="243B61F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13,9</w:t>
            </w:r>
          </w:p>
        </w:tc>
        <w:tc>
          <w:tcPr>
            <w:tcW w:w="464" w:type="pct"/>
            <w:tcBorders>
              <w:top w:val="nil"/>
              <w:left w:val="nil"/>
              <w:bottom w:val="nil"/>
              <w:right w:val="nil"/>
            </w:tcBorders>
            <w:shd w:val="clear" w:color="auto" w:fill="auto"/>
            <w:noWrap/>
            <w:vAlign w:val="bottom"/>
            <w:hideMark/>
          </w:tcPr>
          <w:p w14:paraId="15298D1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13,4</w:t>
            </w:r>
          </w:p>
        </w:tc>
        <w:tc>
          <w:tcPr>
            <w:tcW w:w="464" w:type="pct"/>
            <w:tcBorders>
              <w:top w:val="nil"/>
              <w:left w:val="nil"/>
              <w:bottom w:val="nil"/>
              <w:right w:val="nil"/>
            </w:tcBorders>
            <w:shd w:val="clear" w:color="auto" w:fill="auto"/>
            <w:noWrap/>
            <w:vAlign w:val="bottom"/>
            <w:hideMark/>
          </w:tcPr>
          <w:p w14:paraId="761718E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13,6</w:t>
            </w:r>
          </w:p>
        </w:tc>
        <w:tc>
          <w:tcPr>
            <w:tcW w:w="461" w:type="pct"/>
            <w:tcBorders>
              <w:top w:val="nil"/>
              <w:left w:val="nil"/>
              <w:bottom w:val="nil"/>
              <w:right w:val="nil"/>
            </w:tcBorders>
            <w:shd w:val="clear" w:color="auto" w:fill="auto"/>
            <w:noWrap/>
            <w:vAlign w:val="bottom"/>
            <w:hideMark/>
          </w:tcPr>
          <w:p w14:paraId="6F2241E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14,0</w:t>
            </w:r>
          </w:p>
        </w:tc>
      </w:tr>
      <w:tr w:rsidR="001579BE" w:rsidRPr="006A71C3" w14:paraId="0366299F" w14:textId="77777777" w:rsidTr="00377237">
        <w:trPr>
          <w:trHeight w:val="310"/>
        </w:trPr>
        <w:tc>
          <w:tcPr>
            <w:tcW w:w="229" w:type="pct"/>
            <w:tcBorders>
              <w:top w:val="nil"/>
              <w:left w:val="nil"/>
              <w:bottom w:val="nil"/>
              <w:right w:val="nil"/>
            </w:tcBorders>
            <w:shd w:val="clear" w:color="auto" w:fill="auto"/>
            <w:noWrap/>
            <w:vAlign w:val="bottom"/>
            <w:hideMark/>
          </w:tcPr>
          <w:p w14:paraId="4173452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w:t>
            </w:r>
          </w:p>
        </w:tc>
        <w:tc>
          <w:tcPr>
            <w:tcW w:w="934" w:type="pct"/>
            <w:tcBorders>
              <w:top w:val="nil"/>
              <w:left w:val="nil"/>
              <w:bottom w:val="nil"/>
              <w:right w:val="nil"/>
            </w:tcBorders>
            <w:shd w:val="clear" w:color="auto" w:fill="auto"/>
            <w:noWrap/>
            <w:vAlign w:val="bottom"/>
            <w:hideMark/>
          </w:tcPr>
          <w:p w14:paraId="7E31A091"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Indonesia</w:t>
            </w:r>
          </w:p>
        </w:tc>
        <w:tc>
          <w:tcPr>
            <w:tcW w:w="397" w:type="pct"/>
            <w:tcBorders>
              <w:top w:val="nil"/>
              <w:left w:val="nil"/>
              <w:bottom w:val="nil"/>
              <w:right w:val="nil"/>
            </w:tcBorders>
            <w:shd w:val="clear" w:color="auto" w:fill="auto"/>
            <w:noWrap/>
            <w:vAlign w:val="bottom"/>
            <w:hideMark/>
          </w:tcPr>
          <w:p w14:paraId="50E9D6F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w:t>
            </w:r>
          </w:p>
        </w:tc>
        <w:tc>
          <w:tcPr>
            <w:tcW w:w="397" w:type="pct"/>
            <w:tcBorders>
              <w:top w:val="nil"/>
              <w:left w:val="nil"/>
              <w:bottom w:val="nil"/>
              <w:right w:val="nil"/>
            </w:tcBorders>
            <w:shd w:val="clear" w:color="auto" w:fill="auto"/>
            <w:noWrap/>
            <w:vAlign w:val="bottom"/>
            <w:hideMark/>
          </w:tcPr>
          <w:p w14:paraId="35E9423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4,0</w:t>
            </w:r>
          </w:p>
        </w:tc>
        <w:tc>
          <w:tcPr>
            <w:tcW w:w="397" w:type="pct"/>
            <w:tcBorders>
              <w:top w:val="nil"/>
              <w:left w:val="nil"/>
              <w:bottom w:val="nil"/>
              <w:right w:val="nil"/>
            </w:tcBorders>
            <w:shd w:val="clear" w:color="auto" w:fill="auto"/>
            <w:noWrap/>
            <w:vAlign w:val="bottom"/>
            <w:hideMark/>
          </w:tcPr>
          <w:p w14:paraId="509DE21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5,0</w:t>
            </w:r>
          </w:p>
        </w:tc>
        <w:tc>
          <w:tcPr>
            <w:tcW w:w="397" w:type="pct"/>
            <w:tcBorders>
              <w:top w:val="nil"/>
              <w:left w:val="nil"/>
              <w:bottom w:val="nil"/>
              <w:right w:val="nil"/>
            </w:tcBorders>
            <w:shd w:val="clear" w:color="auto" w:fill="auto"/>
            <w:noWrap/>
            <w:vAlign w:val="bottom"/>
            <w:hideMark/>
          </w:tcPr>
          <w:p w14:paraId="53F7695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5,9</w:t>
            </w:r>
          </w:p>
        </w:tc>
        <w:tc>
          <w:tcPr>
            <w:tcW w:w="397" w:type="pct"/>
            <w:tcBorders>
              <w:top w:val="nil"/>
              <w:left w:val="nil"/>
              <w:bottom w:val="nil"/>
              <w:right w:val="nil"/>
            </w:tcBorders>
            <w:shd w:val="clear" w:color="auto" w:fill="auto"/>
            <w:noWrap/>
            <w:vAlign w:val="bottom"/>
            <w:hideMark/>
          </w:tcPr>
          <w:p w14:paraId="5591186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6,8</w:t>
            </w:r>
          </w:p>
        </w:tc>
        <w:tc>
          <w:tcPr>
            <w:tcW w:w="464" w:type="pct"/>
            <w:tcBorders>
              <w:top w:val="nil"/>
              <w:left w:val="nil"/>
              <w:bottom w:val="nil"/>
              <w:right w:val="nil"/>
            </w:tcBorders>
            <w:shd w:val="clear" w:color="auto" w:fill="auto"/>
            <w:noWrap/>
            <w:vAlign w:val="bottom"/>
            <w:hideMark/>
          </w:tcPr>
          <w:p w14:paraId="3A62138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12,0</w:t>
            </w:r>
          </w:p>
        </w:tc>
        <w:tc>
          <w:tcPr>
            <w:tcW w:w="464" w:type="pct"/>
            <w:tcBorders>
              <w:top w:val="nil"/>
              <w:left w:val="nil"/>
              <w:bottom w:val="nil"/>
              <w:right w:val="nil"/>
            </w:tcBorders>
            <w:shd w:val="clear" w:color="auto" w:fill="auto"/>
            <w:noWrap/>
            <w:vAlign w:val="bottom"/>
            <w:hideMark/>
          </w:tcPr>
          <w:p w14:paraId="5F94731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12,0</w:t>
            </w:r>
          </w:p>
        </w:tc>
        <w:tc>
          <w:tcPr>
            <w:tcW w:w="464" w:type="pct"/>
            <w:tcBorders>
              <w:top w:val="nil"/>
              <w:left w:val="nil"/>
              <w:bottom w:val="nil"/>
              <w:right w:val="nil"/>
            </w:tcBorders>
            <w:shd w:val="clear" w:color="auto" w:fill="auto"/>
            <w:noWrap/>
            <w:vAlign w:val="bottom"/>
            <w:hideMark/>
          </w:tcPr>
          <w:p w14:paraId="5D10310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11,8</w:t>
            </w:r>
          </w:p>
        </w:tc>
        <w:tc>
          <w:tcPr>
            <w:tcW w:w="461" w:type="pct"/>
            <w:tcBorders>
              <w:top w:val="nil"/>
              <w:left w:val="nil"/>
              <w:bottom w:val="nil"/>
              <w:right w:val="nil"/>
            </w:tcBorders>
            <w:shd w:val="clear" w:color="auto" w:fill="auto"/>
            <w:noWrap/>
            <w:vAlign w:val="bottom"/>
            <w:hideMark/>
          </w:tcPr>
          <w:p w14:paraId="5135435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12,0</w:t>
            </w:r>
          </w:p>
        </w:tc>
      </w:tr>
      <w:tr w:rsidR="001579BE" w:rsidRPr="006A71C3" w14:paraId="5FFCC0D6" w14:textId="77777777" w:rsidTr="00377237">
        <w:trPr>
          <w:trHeight w:val="310"/>
        </w:trPr>
        <w:tc>
          <w:tcPr>
            <w:tcW w:w="229" w:type="pct"/>
            <w:tcBorders>
              <w:top w:val="nil"/>
              <w:left w:val="nil"/>
              <w:bottom w:val="nil"/>
              <w:right w:val="nil"/>
            </w:tcBorders>
            <w:shd w:val="clear" w:color="auto" w:fill="auto"/>
            <w:noWrap/>
            <w:vAlign w:val="bottom"/>
            <w:hideMark/>
          </w:tcPr>
          <w:p w14:paraId="01575C4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w:t>
            </w:r>
          </w:p>
        </w:tc>
        <w:tc>
          <w:tcPr>
            <w:tcW w:w="934" w:type="pct"/>
            <w:tcBorders>
              <w:top w:val="nil"/>
              <w:left w:val="nil"/>
              <w:bottom w:val="nil"/>
              <w:right w:val="nil"/>
            </w:tcBorders>
            <w:shd w:val="clear" w:color="auto" w:fill="auto"/>
            <w:noWrap/>
            <w:vAlign w:val="bottom"/>
            <w:hideMark/>
          </w:tcPr>
          <w:p w14:paraId="0F7BED62"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Nigeria</w:t>
            </w:r>
          </w:p>
        </w:tc>
        <w:tc>
          <w:tcPr>
            <w:tcW w:w="397" w:type="pct"/>
            <w:tcBorders>
              <w:top w:val="nil"/>
              <w:left w:val="nil"/>
              <w:bottom w:val="nil"/>
              <w:right w:val="nil"/>
            </w:tcBorders>
            <w:shd w:val="clear" w:color="auto" w:fill="auto"/>
            <w:noWrap/>
            <w:vAlign w:val="bottom"/>
            <w:hideMark/>
          </w:tcPr>
          <w:p w14:paraId="204E770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w:t>
            </w:r>
          </w:p>
        </w:tc>
        <w:tc>
          <w:tcPr>
            <w:tcW w:w="397" w:type="pct"/>
            <w:tcBorders>
              <w:top w:val="nil"/>
              <w:left w:val="nil"/>
              <w:bottom w:val="nil"/>
              <w:right w:val="nil"/>
            </w:tcBorders>
            <w:shd w:val="clear" w:color="auto" w:fill="auto"/>
            <w:noWrap/>
            <w:vAlign w:val="bottom"/>
            <w:hideMark/>
          </w:tcPr>
          <w:p w14:paraId="7D3A511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1,7</w:t>
            </w:r>
          </w:p>
        </w:tc>
        <w:tc>
          <w:tcPr>
            <w:tcW w:w="397" w:type="pct"/>
            <w:tcBorders>
              <w:top w:val="nil"/>
              <w:left w:val="nil"/>
              <w:bottom w:val="nil"/>
              <w:right w:val="nil"/>
            </w:tcBorders>
            <w:shd w:val="clear" w:color="auto" w:fill="auto"/>
            <w:noWrap/>
            <w:vAlign w:val="bottom"/>
            <w:hideMark/>
          </w:tcPr>
          <w:p w14:paraId="4146420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5,8</w:t>
            </w:r>
          </w:p>
        </w:tc>
        <w:tc>
          <w:tcPr>
            <w:tcW w:w="397" w:type="pct"/>
            <w:tcBorders>
              <w:top w:val="nil"/>
              <w:left w:val="nil"/>
              <w:bottom w:val="nil"/>
              <w:right w:val="nil"/>
            </w:tcBorders>
            <w:shd w:val="clear" w:color="auto" w:fill="auto"/>
            <w:noWrap/>
            <w:vAlign w:val="bottom"/>
            <w:hideMark/>
          </w:tcPr>
          <w:p w14:paraId="3F60C8A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4,0</w:t>
            </w:r>
          </w:p>
        </w:tc>
        <w:tc>
          <w:tcPr>
            <w:tcW w:w="397" w:type="pct"/>
            <w:tcBorders>
              <w:top w:val="nil"/>
              <w:left w:val="nil"/>
              <w:bottom w:val="nil"/>
              <w:right w:val="nil"/>
            </w:tcBorders>
            <w:shd w:val="clear" w:color="auto" w:fill="auto"/>
            <w:noWrap/>
            <w:vAlign w:val="bottom"/>
            <w:hideMark/>
          </w:tcPr>
          <w:p w14:paraId="7EFED05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7,7</w:t>
            </w:r>
          </w:p>
        </w:tc>
        <w:tc>
          <w:tcPr>
            <w:tcW w:w="464" w:type="pct"/>
            <w:tcBorders>
              <w:top w:val="nil"/>
              <w:left w:val="nil"/>
              <w:bottom w:val="nil"/>
              <w:right w:val="nil"/>
            </w:tcBorders>
            <w:shd w:val="clear" w:color="auto" w:fill="auto"/>
            <w:noWrap/>
            <w:vAlign w:val="bottom"/>
            <w:hideMark/>
          </w:tcPr>
          <w:p w14:paraId="108C58E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11,0</w:t>
            </w:r>
          </w:p>
        </w:tc>
        <w:tc>
          <w:tcPr>
            <w:tcW w:w="464" w:type="pct"/>
            <w:tcBorders>
              <w:top w:val="nil"/>
              <w:left w:val="nil"/>
              <w:bottom w:val="nil"/>
              <w:right w:val="nil"/>
            </w:tcBorders>
            <w:shd w:val="clear" w:color="auto" w:fill="auto"/>
            <w:noWrap/>
            <w:vAlign w:val="bottom"/>
            <w:hideMark/>
          </w:tcPr>
          <w:p w14:paraId="733A622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11,0</w:t>
            </w:r>
          </w:p>
        </w:tc>
        <w:tc>
          <w:tcPr>
            <w:tcW w:w="464" w:type="pct"/>
            <w:tcBorders>
              <w:top w:val="nil"/>
              <w:left w:val="nil"/>
              <w:bottom w:val="nil"/>
              <w:right w:val="nil"/>
            </w:tcBorders>
            <w:shd w:val="clear" w:color="auto" w:fill="auto"/>
            <w:noWrap/>
            <w:vAlign w:val="bottom"/>
            <w:hideMark/>
          </w:tcPr>
          <w:p w14:paraId="21D4C87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10,0</w:t>
            </w:r>
          </w:p>
        </w:tc>
        <w:tc>
          <w:tcPr>
            <w:tcW w:w="461" w:type="pct"/>
            <w:tcBorders>
              <w:top w:val="nil"/>
              <w:left w:val="nil"/>
              <w:bottom w:val="nil"/>
              <w:right w:val="nil"/>
            </w:tcBorders>
            <w:shd w:val="clear" w:color="auto" w:fill="auto"/>
            <w:noWrap/>
            <w:vAlign w:val="bottom"/>
            <w:hideMark/>
          </w:tcPr>
          <w:p w14:paraId="7B1B439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11,0</w:t>
            </w:r>
          </w:p>
        </w:tc>
      </w:tr>
      <w:tr w:rsidR="001579BE" w:rsidRPr="006A71C3" w14:paraId="347F4326" w14:textId="77777777" w:rsidTr="00377237">
        <w:trPr>
          <w:trHeight w:val="310"/>
        </w:trPr>
        <w:tc>
          <w:tcPr>
            <w:tcW w:w="229" w:type="pct"/>
            <w:tcBorders>
              <w:top w:val="nil"/>
              <w:left w:val="nil"/>
              <w:bottom w:val="nil"/>
              <w:right w:val="nil"/>
            </w:tcBorders>
            <w:shd w:val="clear" w:color="auto" w:fill="auto"/>
            <w:noWrap/>
            <w:vAlign w:val="bottom"/>
            <w:hideMark/>
          </w:tcPr>
          <w:p w14:paraId="7E7EA89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5C1649F9"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Otros</w:t>
            </w:r>
          </w:p>
        </w:tc>
        <w:tc>
          <w:tcPr>
            <w:tcW w:w="397" w:type="pct"/>
            <w:tcBorders>
              <w:top w:val="nil"/>
              <w:left w:val="nil"/>
              <w:bottom w:val="nil"/>
              <w:right w:val="nil"/>
            </w:tcBorders>
            <w:shd w:val="clear" w:color="auto" w:fill="auto"/>
            <w:noWrap/>
            <w:vAlign w:val="bottom"/>
            <w:hideMark/>
          </w:tcPr>
          <w:p w14:paraId="5E20BA6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57,4</w:t>
            </w:r>
          </w:p>
        </w:tc>
        <w:tc>
          <w:tcPr>
            <w:tcW w:w="397" w:type="pct"/>
            <w:tcBorders>
              <w:top w:val="nil"/>
              <w:left w:val="nil"/>
              <w:bottom w:val="nil"/>
              <w:right w:val="nil"/>
            </w:tcBorders>
            <w:shd w:val="clear" w:color="auto" w:fill="auto"/>
            <w:noWrap/>
            <w:vAlign w:val="bottom"/>
            <w:hideMark/>
          </w:tcPr>
          <w:p w14:paraId="289B3525"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76,7</w:t>
            </w:r>
          </w:p>
        </w:tc>
        <w:tc>
          <w:tcPr>
            <w:tcW w:w="397" w:type="pct"/>
            <w:tcBorders>
              <w:top w:val="nil"/>
              <w:left w:val="nil"/>
              <w:bottom w:val="nil"/>
              <w:right w:val="nil"/>
            </w:tcBorders>
            <w:shd w:val="clear" w:color="auto" w:fill="auto"/>
            <w:noWrap/>
            <w:vAlign w:val="bottom"/>
            <w:hideMark/>
          </w:tcPr>
          <w:p w14:paraId="6552835D"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71,2</w:t>
            </w:r>
          </w:p>
        </w:tc>
        <w:tc>
          <w:tcPr>
            <w:tcW w:w="397" w:type="pct"/>
            <w:tcBorders>
              <w:top w:val="nil"/>
              <w:left w:val="nil"/>
              <w:bottom w:val="nil"/>
              <w:right w:val="nil"/>
            </w:tcBorders>
            <w:shd w:val="clear" w:color="auto" w:fill="auto"/>
            <w:noWrap/>
            <w:vAlign w:val="bottom"/>
            <w:hideMark/>
          </w:tcPr>
          <w:p w14:paraId="29866618"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64,7</w:t>
            </w:r>
          </w:p>
        </w:tc>
        <w:tc>
          <w:tcPr>
            <w:tcW w:w="397" w:type="pct"/>
            <w:tcBorders>
              <w:top w:val="nil"/>
              <w:left w:val="nil"/>
              <w:bottom w:val="nil"/>
              <w:right w:val="nil"/>
            </w:tcBorders>
            <w:shd w:val="clear" w:color="auto" w:fill="auto"/>
            <w:noWrap/>
            <w:vAlign w:val="bottom"/>
            <w:hideMark/>
          </w:tcPr>
          <w:p w14:paraId="2407825C"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106,7</w:t>
            </w:r>
          </w:p>
        </w:tc>
        <w:tc>
          <w:tcPr>
            <w:tcW w:w="464" w:type="pct"/>
            <w:tcBorders>
              <w:top w:val="nil"/>
              <w:left w:val="nil"/>
              <w:bottom w:val="nil"/>
              <w:right w:val="nil"/>
            </w:tcBorders>
            <w:shd w:val="clear" w:color="auto" w:fill="auto"/>
            <w:noWrap/>
            <w:vAlign w:val="bottom"/>
            <w:hideMark/>
          </w:tcPr>
          <w:p w14:paraId="4F20BC84"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138,0</w:t>
            </w:r>
          </w:p>
        </w:tc>
        <w:tc>
          <w:tcPr>
            <w:tcW w:w="464" w:type="pct"/>
            <w:tcBorders>
              <w:top w:val="nil"/>
              <w:left w:val="nil"/>
              <w:bottom w:val="nil"/>
              <w:right w:val="nil"/>
            </w:tcBorders>
            <w:shd w:val="clear" w:color="auto" w:fill="auto"/>
            <w:noWrap/>
            <w:vAlign w:val="bottom"/>
            <w:hideMark/>
          </w:tcPr>
          <w:p w14:paraId="35ECFD87"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134,3</w:t>
            </w:r>
          </w:p>
        </w:tc>
        <w:tc>
          <w:tcPr>
            <w:tcW w:w="464" w:type="pct"/>
            <w:tcBorders>
              <w:top w:val="nil"/>
              <w:left w:val="nil"/>
              <w:bottom w:val="nil"/>
              <w:right w:val="nil"/>
            </w:tcBorders>
            <w:shd w:val="clear" w:color="auto" w:fill="auto"/>
            <w:noWrap/>
            <w:vAlign w:val="bottom"/>
            <w:hideMark/>
          </w:tcPr>
          <w:p w14:paraId="5FC6FB4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140,7</w:t>
            </w:r>
          </w:p>
        </w:tc>
        <w:tc>
          <w:tcPr>
            <w:tcW w:w="461" w:type="pct"/>
            <w:tcBorders>
              <w:top w:val="nil"/>
              <w:left w:val="nil"/>
              <w:bottom w:val="nil"/>
              <w:right w:val="nil"/>
            </w:tcBorders>
            <w:shd w:val="clear" w:color="auto" w:fill="auto"/>
            <w:noWrap/>
            <w:vAlign w:val="bottom"/>
            <w:hideMark/>
          </w:tcPr>
          <w:p w14:paraId="6FA1FD4C"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141,4</w:t>
            </w:r>
          </w:p>
        </w:tc>
      </w:tr>
      <w:tr w:rsidR="001579BE" w:rsidRPr="006A71C3" w14:paraId="1CD72BA8" w14:textId="77777777" w:rsidTr="00377237">
        <w:trPr>
          <w:trHeight w:val="310"/>
        </w:trPr>
        <w:tc>
          <w:tcPr>
            <w:tcW w:w="229" w:type="pct"/>
            <w:tcBorders>
              <w:top w:val="nil"/>
              <w:left w:val="nil"/>
              <w:bottom w:val="nil"/>
              <w:right w:val="nil"/>
            </w:tcBorders>
            <w:shd w:val="clear" w:color="auto" w:fill="auto"/>
            <w:noWrap/>
            <w:vAlign w:val="bottom"/>
            <w:hideMark/>
          </w:tcPr>
          <w:p w14:paraId="113FCA1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single" w:sz="4" w:space="0" w:color="auto"/>
              <w:right w:val="nil"/>
            </w:tcBorders>
            <w:shd w:val="clear" w:color="auto" w:fill="auto"/>
            <w:noWrap/>
            <w:vAlign w:val="bottom"/>
            <w:hideMark/>
          </w:tcPr>
          <w:p w14:paraId="5737D008"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Mundo</w:t>
            </w:r>
          </w:p>
        </w:tc>
        <w:tc>
          <w:tcPr>
            <w:tcW w:w="397" w:type="pct"/>
            <w:tcBorders>
              <w:top w:val="nil"/>
              <w:left w:val="nil"/>
              <w:bottom w:val="single" w:sz="4" w:space="0" w:color="auto"/>
              <w:right w:val="nil"/>
            </w:tcBorders>
            <w:shd w:val="clear" w:color="auto" w:fill="auto"/>
            <w:noWrap/>
            <w:vAlign w:val="bottom"/>
            <w:hideMark/>
          </w:tcPr>
          <w:p w14:paraId="1334A54A"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268,1</w:t>
            </w:r>
          </w:p>
        </w:tc>
        <w:tc>
          <w:tcPr>
            <w:tcW w:w="397" w:type="pct"/>
            <w:tcBorders>
              <w:top w:val="nil"/>
              <w:left w:val="nil"/>
              <w:bottom w:val="single" w:sz="4" w:space="0" w:color="auto"/>
              <w:right w:val="nil"/>
            </w:tcBorders>
            <w:shd w:val="clear" w:color="auto" w:fill="auto"/>
            <w:noWrap/>
            <w:vAlign w:val="bottom"/>
            <w:hideMark/>
          </w:tcPr>
          <w:p w14:paraId="65B5CE50"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408,7</w:t>
            </w:r>
          </w:p>
        </w:tc>
        <w:tc>
          <w:tcPr>
            <w:tcW w:w="397" w:type="pct"/>
            <w:tcBorders>
              <w:top w:val="nil"/>
              <w:left w:val="nil"/>
              <w:bottom w:val="single" w:sz="4" w:space="0" w:color="auto"/>
              <w:right w:val="nil"/>
            </w:tcBorders>
            <w:shd w:val="clear" w:color="auto" w:fill="auto"/>
            <w:noWrap/>
            <w:vAlign w:val="bottom"/>
            <w:hideMark/>
          </w:tcPr>
          <w:p w14:paraId="0AB8C96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481,8</w:t>
            </w:r>
          </w:p>
        </w:tc>
        <w:tc>
          <w:tcPr>
            <w:tcW w:w="397" w:type="pct"/>
            <w:tcBorders>
              <w:top w:val="nil"/>
              <w:left w:val="nil"/>
              <w:bottom w:val="single" w:sz="4" w:space="0" w:color="auto"/>
              <w:right w:val="nil"/>
            </w:tcBorders>
            <w:shd w:val="clear" w:color="auto" w:fill="auto"/>
            <w:noWrap/>
            <w:vAlign w:val="bottom"/>
            <w:hideMark/>
          </w:tcPr>
          <w:p w14:paraId="6E123A7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591,5</w:t>
            </w:r>
          </w:p>
        </w:tc>
        <w:tc>
          <w:tcPr>
            <w:tcW w:w="397" w:type="pct"/>
            <w:tcBorders>
              <w:top w:val="nil"/>
              <w:left w:val="nil"/>
              <w:bottom w:val="single" w:sz="4" w:space="0" w:color="auto"/>
              <w:right w:val="nil"/>
            </w:tcBorders>
            <w:shd w:val="clear" w:color="auto" w:fill="auto"/>
            <w:noWrap/>
            <w:vAlign w:val="bottom"/>
            <w:hideMark/>
          </w:tcPr>
          <w:p w14:paraId="4C5907B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849,5</w:t>
            </w:r>
          </w:p>
        </w:tc>
        <w:tc>
          <w:tcPr>
            <w:tcW w:w="464" w:type="pct"/>
            <w:tcBorders>
              <w:top w:val="nil"/>
              <w:left w:val="nil"/>
              <w:bottom w:val="single" w:sz="4" w:space="0" w:color="auto"/>
              <w:right w:val="nil"/>
            </w:tcBorders>
            <w:shd w:val="clear" w:color="auto" w:fill="auto"/>
            <w:noWrap/>
            <w:vAlign w:val="bottom"/>
            <w:hideMark/>
          </w:tcPr>
          <w:p w14:paraId="0E89213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1127,1</w:t>
            </w:r>
          </w:p>
        </w:tc>
        <w:tc>
          <w:tcPr>
            <w:tcW w:w="464" w:type="pct"/>
            <w:tcBorders>
              <w:top w:val="nil"/>
              <w:left w:val="nil"/>
              <w:bottom w:val="single" w:sz="4" w:space="0" w:color="auto"/>
              <w:right w:val="nil"/>
            </w:tcBorders>
            <w:shd w:val="clear" w:color="auto" w:fill="auto"/>
            <w:noWrap/>
            <w:vAlign w:val="bottom"/>
            <w:hideMark/>
          </w:tcPr>
          <w:p w14:paraId="3DCCF86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1118,6</w:t>
            </w:r>
          </w:p>
        </w:tc>
        <w:tc>
          <w:tcPr>
            <w:tcW w:w="464" w:type="pct"/>
            <w:tcBorders>
              <w:top w:val="nil"/>
              <w:left w:val="nil"/>
              <w:bottom w:val="single" w:sz="4" w:space="0" w:color="auto"/>
              <w:right w:val="nil"/>
            </w:tcBorders>
            <w:shd w:val="clear" w:color="auto" w:fill="auto"/>
            <w:noWrap/>
            <w:vAlign w:val="bottom"/>
            <w:hideMark/>
          </w:tcPr>
          <w:p w14:paraId="7B61653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1115,5</w:t>
            </w:r>
          </w:p>
        </w:tc>
        <w:tc>
          <w:tcPr>
            <w:tcW w:w="461" w:type="pct"/>
            <w:tcBorders>
              <w:top w:val="nil"/>
              <w:left w:val="nil"/>
              <w:bottom w:val="single" w:sz="4" w:space="0" w:color="auto"/>
              <w:right w:val="nil"/>
            </w:tcBorders>
            <w:shd w:val="clear" w:color="auto" w:fill="auto"/>
            <w:noWrap/>
            <w:vAlign w:val="bottom"/>
            <w:hideMark/>
          </w:tcPr>
          <w:p w14:paraId="627425B3"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1198,2</w:t>
            </w:r>
          </w:p>
        </w:tc>
      </w:tr>
      <w:tr w:rsidR="001579BE" w:rsidRPr="006A71C3" w14:paraId="24EF0466" w14:textId="77777777" w:rsidTr="00377237">
        <w:trPr>
          <w:trHeight w:val="310"/>
        </w:trPr>
        <w:tc>
          <w:tcPr>
            <w:tcW w:w="229" w:type="pct"/>
            <w:tcBorders>
              <w:top w:val="nil"/>
              <w:left w:val="nil"/>
              <w:bottom w:val="nil"/>
              <w:right w:val="nil"/>
            </w:tcBorders>
            <w:shd w:val="clear" w:color="auto" w:fill="auto"/>
            <w:noWrap/>
            <w:vAlign w:val="bottom"/>
            <w:hideMark/>
          </w:tcPr>
          <w:p w14:paraId="05B2878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2D060210"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r w:rsidRPr="006A71C3">
              <w:rPr>
                <w:rFonts w:ascii="Times New Roman" w:eastAsia="Times New Roman" w:hAnsi="Times New Roman" w:cs="Times New Roman"/>
                <w:b/>
                <w:bCs/>
                <w:color w:val="000000"/>
                <w:sz w:val="20"/>
                <w:szCs w:val="20"/>
                <w:lang w:eastAsia="es-ES"/>
              </w:rPr>
              <w:t>Stocks</w:t>
            </w:r>
          </w:p>
        </w:tc>
        <w:tc>
          <w:tcPr>
            <w:tcW w:w="397" w:type="pct"/>
            <w:tcBorders>
              <w:top w:val="nil"/>
              <w:left w:val="nil"/>
              <w:bottom w:val="nil"/>
              <w:right w:val="nil"/>
            </w:tcBorders>
            <w:shd w:val="clear" w:color="auto" w:fill="auto"/>
            <w:noWrap/>
            <w:vAlign w:val="bottom"/>
            <w:hideMark/>
          </w:tcPr>
          <w:p w14:paraId="5A89E63E"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397" w:type="pct"/>
            <w:tcBorders>
              <w:top w:val="nil"/>
              <w:left w:val="nil"/>
              <w:bottom w:val="nil"/>
              <w:right w:val="nil"/>
            </w:tcBorders>
            <w:shd w:val="clear" w:color="auto" w:fill="auto"/>
            <w:noWrap/>
            <w:vAlign w:val="bottom"/>
            <w:hideMark/>
          </w:tcPr>
          <w:p w14:paraId="7752CED5"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3ED5BA50"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28596F7F"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0A172C36"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3607DBA0"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668151F4"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0A31ECC3"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1" w:type="pct"/>
            <w:tcBorders>
              <w:top w:val="nil"/>
              <w:left w:val="nil"/>
              <w:bottom w:val="nil"/>
              <w:right w:val="nil"/>
            </w:tcBorders>
            <w:shd w:val="clear" w:color="auto" w:fill="auto"/>
            <w:noWrap/>
            <w:vAlign w:val="bottom"/>
            <w:hideMark/>
          </w:tcPr>
          <w:p w14:paraId="3854B6A1"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r>
      <w:tr w:rsidR="001579BE" w:rsidRPr="006A71C3" w14:paraId="08E61CE7" w14:textId="77777777" w:rsidTr="00377237">
        <w:trPr>
          <w:trHeight w:val="310"/>
        </w:trPr>
        <w:tc>
          <w:tcPr>
            <w:tcW w:w="229" w:type="pct"/>
            <w:tcBorders>
              <w:top w:val="nil"/>
              <w:left w:val="nil"/>
              <w:bottom w:val="nil"/>
              <w:right w:val="nil"/>
            </w:tcBorders>
            <w:shd w:val="clear" w:color="auto" w:fill="auto"/>
            <w:noWrap/>
            <w:vAlign w:val="bottom"/>
            <w:hideMark/>
          </w:tcPr>
          <w:p w14:paraId="0088829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w:t>
            </w:r>
          </w:p>
        </w:tc>
        <w:tc>
          <w:tcPr>
            <w:tcW w:w="934" w:type="pct"/>
            <w:tcBorders>
              <w:top w:val="nil"/>
              <w:left w:val="nil"/>
              <w:bottom w:val="nil"/>
              <w:right w:val="nil"/>
            </w:tcBorders>
            <w:shd w:val="clear" w:color="auto" w:fill="auto"/>
            <w:noWrap/>
            <w:vAlign w:val="bottom"/>
            <w:hideMark/>
          </w:tcPr>
          <w:p w14:paraId="1006A3EA"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China</w:t>
            </w:r>
          </w:p>
        </w:tc>
        <w:tc>
          <w:tcPr>
            <w:tcW w:w="397" w:type="pct"/>
            <w:tcBorders>
              <w:top w:val="nil"/>
              <w:left w:val="nil"/>
              <w:bottom w:val="nil"/>
              <w:right w:val="nil"/>
            </w:tcBorders>
            <w:shd w:val="clear" w:color="auto" w:fill="auto"/>
            <w:noWrap/>
            <w:vAlign w:val="bottom"/>
            <w:hideMark/>
          </w:tcPr>
          <w:p w14:paraId="69CAFF4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8,9</w:t>
            </w:r>
          </w:p>
        </w:tc>
        <w:tc>
          <w:tcPr>
            <w:tcW w:w="397" w:type="pct"/>
            <w:tcBorders>
              <w:top w:val="nil"/>
              <w:left w:val="nil"/>
              <w:bottom w:val="nil"/>
              <w:right w:val="nil"/>
            </w:tcBorders>
            <w:shd w:val="clear" w:color="auto" w:fill="auto"/>
            <w:noWrap/>
            <w:vAlign w:val="bottom"/>
            <w:hideMark/>
          </w:tcPr>
          <w:p w14:paraId="2BB13AA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42,8</w:t>
            </w:r>
          </w:p>
        </w:tc>
        <w:tc>
          <w:tcPr>
            <w:tcW w:w="397" w:type="pct"/>
            <w:tcBorders>
              <w:top w:val="nil"/>
              <w:left w:val="nil"/>
              <w:bottom w:val="nil"/>
              <w:right w:val="nil"/>
            </w:tcBorders>
            <w:shd w:val="clear" w:color="auto" w:fill="auto"/>
            <w:noWrap/>
            <w:vAlign w:val="bottom"/>
            <w:hideMark/>
          </w:tcPr>
          <w:p w14:paraId="4922E1D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82,8</w:t>
            </w:r>
          </w:p>
        </w:tc>
        <w:tc>
          <w:tcPr>
            <w:tcW w:w="397" w:type="pct"/>
            <w:tcBorders>
              <w:top w:val="nil"/>
              <w:left w:val="nil"/>
              <w:bottom w:val="nil"/>
              <w:right w:val="nil"/>
            </w:tcBorders>
            <w:shd w:val="clear" w:color="auto" w:fill="auto"/>
            <w:noWrap/>
            <w:vAlign w:val="bottom"/>
            <w:hideMark/>
          </w:tcPr>
          <w:p w14:paraId="5A3EED8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102,4</w:t>
            </w:r>
          </w:p>
        </w:tc>
        <w:tc>
          <w:tcPr>
            <w:tcW w:w="397" w:type="pct"/>
            <w:tcBorders>
              <w:top w:val="nil"/>
              <w:left w:val="nil"/>
              <w:bottom w:val="nil"/>
              <w:right w:val="nil"/>
            </w:tcBorders>
            <w:shd w:val="clear" w:color="auto" w:fill="auto"/>
            <w:noWrap/>
            <w:vAlign w:val="bottom"/>
            <w:hideMark/>
          </w:tcPr>
          <w:p w14:paraId="3B2AB6D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43,2</w:t>
            </w:r>
          </w:p>
        </w:tc>
        <w:tc>
          <w:tcPr>
            <w:tcW w:w="464" w:type="pct"/>
            <w:tcBorders>
              <w:top w:val="nil"/>
              <w:left w:val="nil"/>
              <w:bottom w:val="nil"/>
              <w:right w:val="nil"/>
            </w:tcBorders>
            <w:shd w:val="clear" w:color="auto" w:fill="auto"/>
            <w:noWrap/>
            <w:vAlign w:val="bottom"/>
            <w:hideMark/>
          </w:tcPr>
          <w:p w14:paraId="70B4764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210,2</w:t>
            </w:r>
          </w:p>
        </w:tc>
        <w:tc>
          <w:tcPr>
            <w:tcW w:w="464" w:type="pct"/>
            <w:tcBorders>
              <w:top w:val="nil"/>
              <w:left w:val="nil"/>
              <w:bottom w:val="nil"/>
              <w:right w:val="nil"/>
            </w:tcBorders>
            <w:shd w:val="clear" w:color="auto" w:fill="auto"/>
            <w:noWrap/>
            <w:vAlign w:val="bottom"/>
            <w:hideMark/>
          </w:tcPr>
          <w:p w14:paraId="562A290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200,5</w:t>
            </w:r>
          </w:p>
        </w:tc>
        <w:tc>
          <w:tcPr>
            <w:tcW w:w="464" w:type="pct"/>
            <w:tcBorders>
              <w:top w:val="nil"/>
              <w:left w:val="nil"/>
              <w:bottom w:val="nil"/>
              <w:right w:val="nil"/>
            </w:tcBorders>
            <w:shd w:val="clear" w:color="auto" w:fill="auto"/>
            <w:noWrap/>
            <w:vAlign w:val="bottom"/>
            <w:hideMark/>
          </w:tcPr>
          <w:p w14:paraId="2A75DED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204,2</w:t>
            </w:r>
          </w:p>
        </w:tc>
        <w:tc>
          <w:tcPr>
            <w:tcW w:w="461" w:type="pct"/>
            <w:tcBorders>
              <w:top w:val="nil"/>
              <w:left w:val="nil"/>
              <w:bottom w:val="nil"/>
              <w:right w:val="nil"/>
            </w:tcBorders>
            <w:shd w:val="clear" w:color="auto" w:fill="auto"/>
            <w:noWrap/>
            <w:vAlign w:val="bottom"/>
            <w:hideMark/>
          </w:tcPr>
          <w:p w14:paraId="06F1E4E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209,2</w:t>
            </w:r>
          </w:p>
        </w:tc>
      </w:tr>
      <w:tr w:rsidR="001579BE" w:rsidRPr="006A71C3" w14:paraId="217D6DC0" w14:textId="77777777" w:rsidTr="00377237">
        <w:trPr>
          <w:trHeight w:val="310"/>
        </w:trPr>
        <w:tc>
          <w:tcPr>
            <w:tcW w:w="229" w:type="pct"/>
            <w:tcBorders>
              <w:top w:val="nil"/>
              <w:left w:val="nil"/>
              <w:bottom w:val="nil"/>
              <w:right w:val="nil"/>
            </w:tcBorders>
            <w:shd w:val="clear" w:color="auto" w:fill="auto"/>
            <w:noWrap/>
            <w:vAlign w:val="bottom"/>
            <w:hideMark/>
          </w:tcPr>
          <w:p w14:paraId="7EEF6DE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w:t>
            </w:r>
          </w:p>
        </w:tc>
        <w:tc>
          <w:tcPr>
            <w:tcW w:w="934" w:type="pct"/>
            <w:tcBorders>
              <w:top w:val="nil"/>
              <w:left w:val="nil"/>
              <w:bottom w:val="nil"/>
              <w:right w:val="nil"/>
            </w:tcBorders>
            <w:shd w:val="clear" w:color="auto" w:fill="auto"/>
            <w:noWrap/>
            <w:vAlign w:val="bottom"/>
            <w:hideMark/>
          </w:tcPr>
          <w:p w14:paraId="42575822"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Estados Unidos</w:t>
            </w:r>
          </w:p>
        </w:tc>
        <w:tc>
          <w:tcPr>
            <w:tcW w:w="397" w:type="pct"/>
            <w:tcBorders>
              <w:top w:val="nil"/>
              <w:left w:val="nil"/>
              <w:bottom w:val="nil"/>
              <w:right w:val="nil"/>
            </w:tcBorders>
            <w:shd w:val="clear" w:color="auto" w:fill="auto"/>
            <w:noWrap/>
            <w:vAlign w:val="bottom"/>
            <w:hideMark/>
          </w:tcPr>
          <w:p w14:paraId="2BDCF2E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16,8</w:t>
            </w:r>
          </w:p>
        </w:tc>
        <w:tc>
          <w:tcPr>
            <w:tcW w:w="397" w:type="pct"/>
            <w:tcBorders>
              <w:top w:val="nil"/>
              <w:left w:val="nil"/>
              <w:bottom w:val="nil"/>
              <w:right w:val="nil"/>
            </w:tcBorders>
            <w:shd w:val="clear" w:color="auto" w:fill="auto"/>
            <w:noWrap/>
            <w:vAlign w:val="bottom"/>
            <w:hideMark/>
          </w:tcPr>
          <w:p w14:paraId="565E9C7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35,4</w:t>
            </w:r>
          </w:p>
        </w:tc>
        <w:tc>
          <w:tcPr>
            <w:tcW w:w="397" w:type="pct"/>
            <w:tcBorders>
              <w:top w:val="nil"/>
              <w:left w:val="nil"/>
              <w:bottom w:val="nil"/>
              <w:right w:val="nil"/>
            </w:tcBorders>
            <w:shd w:val="clear" w:color="auto" w:fill="auto"/>
            <w:noWrap/>
            <w:vAlign w:val="bottom"/>
            <w:hideMark/>
          </w:tcPr>
          <w:p w14:paraId="06A595A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38,6</w:t>
            </w:r>
          </w:p>
        </w:tc>
        <w:tc>
          <w:tcPr>
            <w:tcW w:w="397" w:type="pct"/>
            <w:tcBorders>
              <w:top w:val="nil"/>
              <w:left w:val="nil"/>
              <w:bottom w:val="nil"/>
              <w:right w:val="nil"/>
            </w:tcBorders>
            <w:shd w:val="clear" w:color="auto" w:fill="auto"/>
            <w:noWrap/>
            <w:vAlign w:val="bottom"/>
            <w:hideMark/>
          </w:tcPr>
          <w:p w14:paraId="196B6E1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48,2</w:t>
            </w:r>
          </w:p>
        </w:tc>
        <w:tc>
          <w:tcPr>
            <w:tcW w:w="397" w:type="pct"/>
            <w:tcBorders>
              <w:top w:val="nil"/>
              <w:left w:val="nil"/>
              <w:bottom w:val="nil"/>
              <w:right w:val="nil"/>
            </w:tcBorders>
            <w:shd w:val="clear" w:color="auto" w:fill="auto"/>
            <w:noWrap/>
            <w:vAlign w:val="bottom"/>
            <w:hideMark/>
          </w:tcPr>
          <w:p w14:paraId="496ACE8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28,6</w:t>
            </w:r>
          </w:p>
        </w:tc>
        <w:tc>
          <w:tcPr>
            <w:tcW w:w="464" w:type="pct"/>
            <w:tcBorders>
              <w:top w:val="nil"/>
              <w:left w:val="nil"/>
              <w:bottom w:val="nil"/>
              <w:right w:val="nil"/>
            </w:tcBorders>
            <w:shd w:val="clear" w:color="auto" w:fill="auto"/>
            <w:noWrap/>
            <w:vAlign w:val="bottom"/>
            <w:hideMark/>
          </w:tcPr>
          <w:p w14:paraId="2181118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56,4</w:t>
            </w:r>
          </w:p>
        </w:tc>
        <w:tc>
          <w:tcPr>
            <w:tcW w:w="464" w:type="pct"/>
            <w:tcBorders>
              <w:top w:val="nil"/>
              <w:left w:val="nil"/>
              <w:bottom w:val="nil"/>
              <w:right w:val="nil"/>
            </w:tcBorders>
            <w:shd w:val="clear" w:color="auto" w:fill="auto"/>
            <w:noWrap/>
            <w:vAlign w:val="bottom"/>
            <w:hideMark/>
          </w:tcPr>
          <w:p w14:paraId="6F89C8F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48,8</w:t>
            </w:r>
          </w:p>
        </w:tc>
        <w:tc>
          <w:tcPr>
            <w:tcW w:w="464" w:type="pct"/>
            <w:tcBorders>
              <w:top w:val="nil"/>
              <w:left w:val="nil"/>
              <w:bottom w:val="nil"/>
              <w:right w:val="nil"/>
            </w:tcBorders>
            <w:shd w:val="clear" w:color="auto" w:fill="auto"/>
            <w:noWrap/>
            <w:vAlign w:val="bottom"/>
            <w:hideMark/>
          </w:tcPr>
          <w:p w14:paraId="13EEDD8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31,4</w:t>
            </w:r>
          </w:p>
        </w:tc>
        <w:tc>
          <w:tcPr>
            <w:tcW w:w="461" w:type="pct"/>
            <w:tcBorders>
              <w:top w:val="nil"/>
              <w:left w:val="nil"/>
              <w:bottom w:val="nil"/>
              <w:right w:val="nil"/>
            </w:tcBorders>
            <w:shd w:val="clear" w:color="auto" w:fill="auto"/>
            <w:noWrap/>
            <w:vAlign w:val="bottom"/>
            <w:hideMark/>
          </w:tcPr>
          <w:p w14:paraId="4DB485C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38,1</w:t>
            </w:r>
          </w:p>
        </w:tc>
      </w:tr>
      <w:tr w:rsidR="001579BE" w:rsidRPr="006A71C3" w14:paraId="37F49A9F" w14:textId="77777777" w:rsidTr="00377237">
        <w:trPr>
          <w:trHeight w:val="310"/>
        </w:trPr>
        <w:tc>
          <w:tcPr>
            <w:tcW w:w="229" w:type="pct"/>
            <w:tcBorders>
              <w:top w:val="nil"/>
              <w:left w:val="nil"/>
              <w:bottom w:val="nil"/>
              <w:right w:val="nil"/>
            </w:tcBorders>
            <w:shd w:val="clear" w:color="auto" w:fill="auto"/>
            <w:noWrap/>
            <w:vAlign w:val="bottom"/>
            <w:hideMark/>
          </w:tcPr>
          <w:p w14:paraId="63E830A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w:t>
            </w:r>
          </w:p>
        </w:tc>
        <w:tc>
          <w:tcPr>
            <w:tcW w:w="934" w:type="pct"/>
            <w:tcBorders>
              <w:top w:val="nil"/>
              <w:left w:val="nil"/>
              <w:bottom w:val="nil"/>
              <w:right w:val="nil"/>
            </w:tcBorders>
            <w:shd w:val="clear" w:color="auto" w:fill="auto"/>
            <w:noWrap/>
            <w:vAlign w:val="bottom"/>
            <w:hideMark/>
          </w:tcPr>
          <w:p w14:paraId="5D9F183C"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Brasil</w:t>
            </w:r>
          </w:p>
        </w:tc>
        <w:tc>
          <w:tcPr>
            <w:tcW w:w="397" w:type="pct"/>
            <w:tcBorders>
              <w:top w:val="nil"/>
              <w:left w:val="nil"/>
              <w:bottom w:val="nil"/>
              <w:right w:val="nil"/>
            </w:tcBorders>
            <w:shd w:val="clear" w:color="auto" w:fill="auto"/>
            <w:noWrap/>
            <w:vAlign w:val="bottom"/>
            <w:hideMark/>
          </w:tcPr>
          <w:p w14:paraId="3B719E0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2,2</w:t>
            </w:r>
          </w:p>
        </w:tc>
        <w:tc>
          <w:tcPr>
            <w:tcW w:w="397" w:type="pct"/>
            <w:tcBorders>
              <w:top w:val="nil"/>
              <w:left w:val="nil"/>
              <w:bottom w:val="nil"/>
              <w:right w:val="nil"/>
            </w:tcBorders>
            <w:shd w:val="clear" w:color="auto" w:fill="auto"/>
            <w:noWrap/>
            <w:vAlign w:val="bottom"/>
            <w:hideMark/>
          </w:tcPr>
          <w:p w14:paraId="10C8190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4,3</w:t>
            </w:r>
          </w:p>
        </w:tc>
        <w:tc>
          <w:tcPr>
            <w:tcW w:w="397" w:type="pct"/>
            <w:tcBorders>
              <w:top w:val="nil"/>
              <w:left w:val="nil"/>
              <w:bottom w:val="nil"/>
              <w:right w:val="nil"/>
            </w:tcBorders>
            <w:shd w:val="clear" w:color="auto" w:fill="auto"/>
            <w:noWrap/>
            <w:vAlign w:val="bottom"/>
            <w:hideMark/>
          </w:tcPr>
          <w:p w14:paraId="677615D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w:t>
            </w:r>
          </w:p>
        </w:tc>
        <w:tc>
          <w:tcPr>
            <w:tcW w:w="397" w:type="pct"/>
            <w:tcBorders>
              <w:top w:val="nil"/>
              <w:left w:val="nil"/>
              <w:bottom w:val="nil"/>
              <w:right w:val="nil"/>
            </w:tcBorders>
            <w:shd w:val="clear" w:color="auto" w:fill="auto"/>
            <w:noWrap/>
            <w:vAlign w:val="bottom"/>
            <w:hideMark/>
          </w:tcPr>
          <w:p w14:paraId="383188B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2,7</w:t>
            </w:r>
          </w:p>
        </w:tc>
        <w:tc>
          <w:tcPr>
            <w:tcW w:w="397" w:type="pct"/>
            <w:tcBorders>
              <w:top w:val="nil"/>
              <w:left w:val="nil"/>
              <w:bottom w:val="nil"/>
              <w:right w:val="nil"/>
            </w:tcBorders>
            <w:shd w:val="clear" w:color="auto" w:fill="auto"/>
            <w:noWrap/>
            <w:vAlign w:val="bottom"/>
            <w:hideMark/>
          </w:tcPr>
          <w:p w14:paraId="5F56AE9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6,3</w:t>
            </w:r>
          </w:p>
        </w:tc>
        <w:tc>
          <w:tcPr>
            <w:tcW w:w="464" w:type="pct"/>
            <w:tcBorders>
              <w:top w:val="nil"/>
              <w:left w:val="nil"/>
              <w:bottom w:val="nil"/>
              <w:right w:val="nil"/>
            </w:tcBorders>
            <w:shd w:val="clear" w:color="auto" w:fill="auto"/>
            <w:noWrap/>
            <w:vAlign w:val="bottom"/>
            <w:hideMark/>
          </w:tcPr>
          <w:p w14:paraId="1B75D0F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5,3</w:t>
            </w:r>
          </w:p>
        </w:tc>
        <w:tc>
          <w:tcPr>
            <w:tcW w:w="464" w:type="pct"/>
            <w:tcBorders>
              <w:top w:val="nil"/>
              <w:left w:val="nil"/>
              <w:bottom w:val="nil"/>
              <w:right w:val="nil"/>
            </w:tcBorders>
            <w:shd w:val="clear" w:color="auto" w:fill="auto"/>
            <w:noWrap/>
            <w:vAlign w:val="bottom"/>
            <w:hideMark/>
          </w:tcPr>
          <w:p w14:paraId="11DD9CD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5,2</w:t>
            </w:r>
          </w:p>
        </w:tc>
        <w:tc>
          <w:tcPr>
            <w:tcW w:w="464" w:type="pct"/>
            <w:tcBorders>
              <w:top w:val="nil"/>
              <w:left w:val="nil"/>
              <w:bottom w:val="nil"/>
              <w:right w:val="nil"/>
            </w:tcBorders>
            <w:shd w:val="clear" w:color="auto" w:fill="auto"/>
            <w:noWrap/>
            <w:vAlign w:val="bottom"/>
            <w:hideMark/>
          </w:tcPr>
          <w:p w14:paraId="7DD5F40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4,7</w:t>
            </w:r>
          </w:p>
        </w:tc>
        <w:tc>
          <w:tcPr>
            <w:tcW w:w="461" w:type="pct"/>
            <w:tcBorders>
              <w:top w:val="nil"/>
              <w:left w:val="nil"/>
              <w:bottom w:val="nil"/>
              <w:right w:val="nil"/>
            </w:tcBorders>
            <w:shd w:val="clear" w:color="auto" w:fill="auto"/>
            <w:noWrap/>
            <w:vAlign w:val="bottom"/>
            <w:hideMark/>
          </w:tcPr>
          <w:p w14:paraId="13FEFB1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8,4</w:t>
            </w:r>
          </w:p>
        </w:tc>
      </w:tr>
      <w:tr w:rsidR="001579BE" w:rsidRPr="006A71C3" w14:paraId="07A3A73A" w14:textId="77777777" w:rsidTr="00377237">
        <w:trPr>
          <w:trHeight w:val="310"/>
        </w:trPr>
        <w:tc>
          <w:tcPr>
            <w:tcW w:w="229" w:type="pct"/>
            <w:tcBorders>
              <w:top w:val="nil"/>
              <w:left w:val="nil"/>
              <w:bottom w:val="nil"/>
              <w:right w:val="nil"/>
            </w:tcBorders>
            <w:shd w:val="clear" w:color="auto" w:fill="auto"/>
            <w:noWrap/>
            <w:vAlign w:val="bottom"/>
            <w:hideMark/>
          </w:tcPr>
          <w:p w14:paraId="3DDC8EB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w:t>
            </w:r>
          </w:p>
        </w:tc>
        <w:tc>
          <w:tcPr>
            <w:tcW w:w="934" w:type="pct"/>
            <w:tcBorders>
              <w:top w:val="nil"/>
              <w:left w:val="nil"/>
              <w:bottom w:val="nil"/>
              <w:right w:val="nil"/>
            </w:tcBorders>
            <w:shd w:val="clear" w:color="auto" w:fill="auto"/>
            <w:noWrap/>
            <w:vAlign w:val="bottom"/>
            <w:hideMark/>
          </w:tcPr>
          <w:p w14:paraId="515CE5B7"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Unión Europea</w:t>
            </w:r>
          </w:p>
        </w:tc>
        <w:tc>
          <w:tcPr>
            <w:tcW w:w="397" w:type="pct"/>
            <w:tcBorders>
              <w:top w:val="nil"/>
              <w:left w:val="nil"/>
              <w:bottom w:val="nil"/>
              <w:right w:val="nil"/>
            </w:tcBorders>
            <w:shd w:val="clear" w:color="auto" w:fill="auto"/>
            <w:noWrap/>
            <w:vAlign w:val="bottom"/>
            <w:hideMark/>
          </w:tcPr>
          <w:p w14:paraId="73E57D6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2,2</w:t>
            </w:r>
          </w:p>
        </w:tc>
        <w:tc>
          <w:tcPr>
            <w:tcW w:w="397" w:type="pct"/>
            <w:tcBorders>
              <w:top w:val="nil"/>
              <w:left w:val="nil"/>
              <w:bottom w:val="nil"/>
              <w:right w:val="nil"/>
            </w:tcBorders>
            <w:shd w:val="clear" w:color="auto" w:fill="auto"/>
            <w:noWrap/>
            <w:vAlign w:val="bottom"/>
            <w:hideMark/>
          </w:tcPr>
          <w:p w14:paraId="46082BF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4,3</w:t>
            </w:r>
          </w:p>
        </w:tc>
        <w:tc>
          <w:tcPr>
            <w:tcW w:w="397" w:type="pct"/>
            <w:tcBorders>
              <w:top w:val="nil"/>
              <w:left w:val="nil"/>
              <w:bottom w:val="nil"/>
              <w:right w:val="nil"/>
            </w:tcBorders>
            <w:shd w:val="clear" w:color="auto" w:fill="auto"/>
            <w:noWrap/>
            <w:vAlign w:val="bottom"/>
            <w:hideMark/>
          </w:tcPr>
          <w:p w14:paraId="428C477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w:t>
            </w:r>
          </w:p>
        </w:tc>
        <w:tc>
          <w:tcPr>
            <w:tcW w:w="397" w:type="pct"/>
            <w:tcBorders>
              <w:top w:val="nil"/>
              <w:left w:val="nil"/>
              <w:bottom w:val="nil"/>
              <w:right w:val="nil"/>
            </w:tcBorders>
            <w:shd w:val="clear" w:color="auto" w:fill="auto"/>
            <w:noWrap/>
            <w:vAlign w:val="bottom"/>
            <w:hideMark/>
          </w:tcPr>
          <w:p w14:paraId="1A9EE08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3,2</w:t>
            </w:r>
          </w:p>
        </w:tc>
        <w:tc>
          <w:tcPr>
            <w:tcW w:w="397" w:type="pct"/>
            <w:tcBorders>
              <w:top w:val="nil"/>
              <w:left w:val="nil"/>
              <w:bottom w:val="nil"/>
              <w:right w:val="nil"/>
            </w:tcBorders>
            <w:shd w:val="clear" w:color="auto" w:fill="auto"/>
            <w:noWrap/>
            <w:vAlign w:val="bottom"/>
            <w:hideMark/>
          </w:tcPr>
          <w:p w14:paraId="5C17456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5,2</w:t>
            </w:r>
          </w:p>
        </w:tc>
        <w:tc>
          <w:tcPr>
            <w:tcW w:w="464" w:type="pct"/>
            <w:tcBorders>
              <w:top w:val="nil"/>
              <w:left w:val="nil"/>
              <w:bottom w:val="nil"/>
              <w:right w:val="nil"/>
            </w:tcBorders>
            <w:shd w:val="clear" w:color="auto" w:fill="auto"/>
            <w:noWrap/>
            <w:vAlign w:val="bottom"/>
            <w:hideMark/>
          </w:tcPr>
          <w:p w14:paraId="03CF1F8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7,6</w:t>
            </w:r>
          </w:p>
        </w:tc>
        <w:tc>
          <w:tcPr>
            <w:tcW w:w="464" w:type="pct"/>
            <w:tcBorders>
              <w:top w:val="nil"/>
              <w:left w:val="nil"/>
              <w:bottom w:val="nil"/>
              <w:right w:val="nil"/>
            </w:tcBorders>
            <w:shd w:val="clear" w:color="auto" w:fill="auto"/>
            <w:noWrap/>
            <w:vAlign w:val="bottom"/>
            <w:hideMark/>
          </w:tcPr>
          <w:p w14:paraId="3BF9F32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7,6</w:t>
            </w:r>
          </w:p>
        </w:tc>
        <w:tc>
          <w:tcPr>
            <w:tcW w:w="464" w:type="pct"/>
            <w:tcBorders>
              <w:top w:val="nil"/>
              <w:left w:val="nil"/>
              <w:bottom w:val="nil"/>
              <w:right w:val="nil"/>
            </w:tcBorders>
            <w:shd w:val="clear" w:color="auto" w:fill="auto"/>
            <w:noWrap/>
            <w:vAlign w:val="bottom"/>
            <w:hideMark/>
          </w:tcPr>
          <w:p w14:paraId="7EF13EC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6,9</w:t>
            </w:r>
          </w:p>
        </w:tc>
        <w:tc>
          <w:tcPr>
            <w:tcW w:w="461" w:type="pct"/>
            <w:tcBorders>
              <w:top w:val="nil"/>
              <w:left w:val="nil"/>
              <w:bottom w:val="nil"/>
              <w:right w:val="nil"/>
            </w:tcBorders>
            <w:shd w:val="clear" w:color="auto" w:fill="auto"/>
            <w:noWrap/>
            <w:vAlign w:val="bottom"/>
            <w:hideMark/>
          </w:tcPr>
          <w:p w14:paraId="080374C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7,3</w:t>
            </w:r>
          </w:p>
        </w:tc>
      </w:tr>
      <w:tr w:rsidR="001579BE" w:rsidRPr="006A71C3" w14:paraId="050C0DA8" w14:textId="77777777" w:rsidTr="00377237">
        <w:trPr>
          <w:trHeight w:val="310"/>
        </w:trPr>
        <w:tc>
          <w:tcPr>
            <w:tcW w:w="229" w:type="pct"/>
            <w:tcBorders>
              <w:top w:val="nil"/>
              <w:left w:val="nil"/>
              <w:bottom w:val="nil"/>
              <w:right w:val="nil"/>
            </w:tcBorders>
            <w:shd w:val="clear" w:color="auto" w:fill="auto"/>
            <w:noWrap/>
            <w:vAlign w:val="bottom"/>
            <w:hideMark/>
          </w:tcPr>
          <w:p w14:paraId="2C5300A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w:t>
            </w:r>
          </w:p>
        </w:tc>
        <w:tc>
          <w:tcPr>
            <w:tcW w:w="934" w:type="pct"/>
            <w:tcBorders>
              <w:top w:val="nil"/>
              <w:left w:val="nil"/>
              <w:bottom w:val="nil"/>
              <w:right w:val="nil"/>
            </w:tcBorders>
            <w:shd w:val="clear" w:color="auto" w:fill="auto"/>
            <w:noWrap/>
            <w:vAlign w:val="bottom"/>
            <w:hideMark/>
          </w:tcPr>
          <w:p w14:paraId="074C3945"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Sudáfrica</w:t>
            </w:r>
          </w:p>
        </w:tc>
        <w:tc>
          <w:tcPr>
            <w:tcW w:w="397" w:type="pct"/>
            <w:tcBorders>
              <w:top w:val="nil"/>
              <w:left w:val="nil"/>
              <w:bottom w:val="nil"/>
              <w:right w:val="nil"/>
            </w:tcBorders>
            <w:shd w:val="clear" w:color="auto" w:fill="auto"/>
            <w:noWrap/>
            <w:vAlign w:val="bottom"/>
            <w:hideMark/>
          </w:tcPr>
          <w:p w14:paraId="123DCD8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w:t>
            </w:r>
          </w:p>
        </w:tc>
        <w:tc>
          <w:tcPr>
            <w:tcW w:w="397" w:type="pct"/>
            <w:tcBorders>
              <w:top w:val="nil"/>
              <w:left w:val="nil"/>
              <w:bottom w:val="nil"/>
              <w:right w:val="nil"/>
            </w:tcBorders>
            <w:shd w:val="clear" w:color="auto" w:fill="auto"/>
            <w:noWrap/>
            <w:vAlign w:val="bottom"/>
            <w:hideMark/>
          </w:tcPr>
          <w:p w14:paraId="680390F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4,6</w:t>
            </w:r>
          </w:p>
        </w:tc>
        <w:tc>
          <w:tcPr>
            <w:tcW w:w="397" w:type="pct"/>
            <w:tcBorders>
              <w:top w:val="nil"/>
              <w:left w:val="nil"/>
              <w:bottom w:val="nil"/>
              <w:right w:val="nil"/>
            </w:tcBorders>
            <w:shd w:val="clear" w:color="auto" w:fill="auto"/>
            <w:noWrap/>
            <w:vAlign w:val="bottom"/>
            <w:hideMark/>
          </w:tcPr>
          <w:p w14:paraId="6BDDE99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w:t>
            </w:r>
          </w:p>
        </w:tc>
        <w:tc>
          <w:tcPr>
            <w:tcW w:w="397" w:type="pct"/>
            <w:tcBorders>
              <w:top w:val="nil"/>
              <w:left w:val="nil"/>
              <w:bottom w:val="nil"/>
              <w:right w:val="nil"/>
            </w:tcBorders>
            <w:shd w:val="clear" w:color="auto" w:fill="auto"/>
            <w:noWrap/>
            <w:vAlign w:val="bottom"/>
            <w:hideMark/>
          </w:tcPr>
          <w:p w14:paraId="3B56273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0,5</w:t>
            </w:r>
          </w:p>
        </w:tc>
        <w:tc>
          <w:tcPr>
            <w:tcW w:w="397" w:type="pct"/>
            <w:tcBorders>
              <w:top w:val="nil"/>
              <w:left w:val="nil"/>
              <w:bottom w:val="nil"/>
              <w:right w:val="nil"/>
            </w:tcBorders>
            <w:shd w:val="clear" w:color="auto" w:fill="auto"/>
            <w:noWrap/>
            <w:vAlign w:val="bottom"/>
            <w:hideMark/>
          </w:tcPr>
          <w:p w14:paraId="732BEE4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w:t>
            </w:r>
          </w:p>
        </w:tc>
        <w:tc>
          <w:tcPr>
            <w:tcW w:w="464" w:type="pct"/>
            <w:tcBorders>
              <w:top w:val="nil"/>
              <w:left w:val="nil"/>
              <w:bottom w:val="nil"/>
              <w:right w:val="nil"/>
            </w:tcBorders>
            <w:shd w:val="clear" w:color="auto" w:fill="auto"/>
            <w:noWrap/>
            <w:vAlign w:val="bottom"/>
            <w:hideMark/>
          </w:tcPr>
          <w:p w14:paraId="77601C0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w:t>
            </w:r>
          </w:p>
        </w:tc>
        <w:tc>
          <w:tcPr>
            <w:tcW w:w="464" w:type="pct"/>
            <w:tcBorders>
              <w:top w:val="nil"/>
              <w:left w:val="nil"/>
              <w:bottom w:val="nil"/>
              <w:right w:val="nil"/>
            </w:tcBorders>
            <w:shd w:val="clear" w:color="auto" w:fill="auto"/>
            <w:noWrap/>
            <w:vAlign w:val="bottom"/>
            <w:hideMark/>
          </w:tcPr>
          <w:p w14:paraId="3D2173B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2,1</w:t>
            </w:r>
          </w:p>
        </w:tc>
        <w:tc>
          <w:tcPr>
            <w:tcW w:w="464" w:type="pct"/>
            <w:tcBorders>
              <w:top w:val="nil"/>
              <w:left w:val="nil"/>
              <w:bottom w:val="nil"/>
              <w:right w:val="nil"/>
            </w:tcBorders>
            <w:shd w:val="clear" w:color="auto" w:fill="auto"/>
            <w:noWrap/>
            <w:vAlign w:val="bottom"/>
            <w:hideMark/>
          </w:tcPr>
          <w:p w14:paraId="4762297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w:t>
            </w:r>
          </w:p>
        </w:tc>
        <w:tc>
          <w:tcPr>
            <w:tcW w:w="461" w:type="pct"/>
            <w:tcBorders>
              <w:top w:val="nil"/>
              <w:left w:val="nil"/>
              <w:bottom w:val="nil"/>
              <w:right w:val="nil"/>
            </w:tcBorders>
            <w:shd w:val="clear" w:color="auto" w:fill="auto"/>
            <w:noWrap/>
            <w:vAlign w:val="bottom"/>
            <w:hideMark/>
          </w:tcPr>
          <w:p w14:paraId="1BDCEA0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3,3</w:t>
            </w:r>
          </w:p>
        </w:tc>
      </w:tr>
      <w:tr w:rsidR="001579BE" w:rsidRPr="006A71C3" w14:paraId="061A1176" w14:textId="77777777" w:rsidTr="00377237">
        <w:trPr>
          <w:trHeight w:val="310"/>
        </w:trPr>
        <w:tc>
          <w:tcPr>
            <w:tcW w:w="229" w:type="pct"/>
            <w:tcBorders>
              <w:top w:val="nil"/>
              <w:left w:val="nil"/>
              <w:bottom w:val="nil"/>
              <w:right w:val="nil"/>
            </w:tcBorders>
            <w:shd w:val="clear" w:color="auto" w:fill="auto"/>
            <w:noWrap/>
            <w:vAlign w:val="bottom"/>
            <w:hideMark/>
          </w:tcPr>
          <w:p w14:paraId="3A748F1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24A253E0"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Otros</w:t>
            </w:r>
          </w:p>
        </w:tc>
        <w:tc>
          <w:tcPr>
            <w:tcW w:w="397" w:type="pct"/>
            <w:tcBorders>
              <w:top w:val="nil"/>
              <w:left w:val="nil"/>
              <w:bottom w:val="nil"/>
              <w:right w:val="nil"/>
            </w:tcBorders>
            <w:shd w:val="clear" w:color="auto" w:fill="auto"/>
            <w:noWrap/>
            <w:vAlign w:val="bottom"/>
            <w:hideMark/>
          </w:tcPr>
          <w:p w14:paraId="02788F25"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4,3</w:t>
            </w:r>
          </w:p>
        </w:tc>
        <w:tc>
          <w:tcPr>
            <w:tcW w:w="397" w:type="pct"/>
            <w:tcBorders>
              <w:top w:val="nil"/>
              <w:left w:val="nil"/>
              <w:bottom w:val="nil"/>
              <w:right w:val="nil"/>
            </w:tcBorders>
            <w:shd w:val="clear" w:color="auto" w:fill="auto"/>
            <w:noWrap/>
            <w:vAlign w:val="bottom"/>
            <w:hideMark/>
          </w:tcPr>
          <w:p w14:paraId="66183EF4"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11,3</w:t>
            </w:r>
          </w:p>
        </w:tc>
        <w:tc>
          <w:tcPr>
            <w:tcW w:w="397" w:type="pct"/>
            <w:tcBorders>
              <w:top w:val="nil"/>
              <w:left w:val="nil"/>
              <w:bottom w:val="nil"/>
              <w:right w:val="nil"/>
            </w:tcBorders>
            <w:shd w:val="clear" w:color="auto" w:fill="auto"/>
            <w:noWrap/>
            <w:vAlign w:val="bottom"/>
            <w:hideMark/>
          </w:tcPr>
          <w:p w14:paraId="4B33FF8B"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16,1</w:t>
            </w:r>
          </w:p>
        </w:tc>
        <w:tc>
          <w:tcPr>
            <w:tcW w:w="397" w:type="pct"/>
            <w:tcBorders>
              <w:top w:val="nil"/>
              <w:left w:val="nil"/>
              <w:bottom w:val="nil"/>
              <w:right w:val="nil"/>
            </w:tcBorders>
            <w:shd w:val="clear" w:color="auto" w:fill="auto"/>
            <w:noWrap/>
            <w:vAlign w:val="bottom"/>
            <w:hideMark/>
          </w:tcPr>
          <w:p w14:paraId="24DF4D5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18,1</w:t>
            </w:r>
          </w:p>
        </w:tc>
        <w:tc>
          <w:tcPr>
            <w:tcW w:w="397" w:type="pct"/>
            <w:tcBorders>
              <w:top w:val="nil"/>
              <w:left w:val="nil"/>
              <w:bottom w:val="nil"/>
              <w:right w:val="nil"/>
            </w:tcBorders>
            <w:shd w:val="clear" w:color="auto" w:fill="auto"/>
            <w:noWrap/>
            <w:vAlign w:val="bottom"/>
            <w:hideMark/>
          </w:tcPr>
          <w:p w14:paraId="25A7C8C5"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30,9</w:t>
            </w:r>
          </w:p>
        </w:tc>
        <w:tc>
          <w:tcPr>
            <w:tcW w:w="464" w:type="pct"/>
            <w:tcBorders>
              <w:top w:val="nil"/>
              <w:left w:val="nil"/>
              <w:bottom w:val="nil"/>
              <w:right w:val="nil"/>
            </w:tcBorders>
            <w:shd w:val="clear" w:color="auto" w:fill="auto"/>
            <w:noWrap/>
            <w:vAlign w:val="bottom"/>
            <w:hideMark/>
          </w:tcPr>
          <w:p w14:paraId="30CDFB3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42,0</w:t>
            </w:r>
          </w:p>
        </w:tc>
        <w:tc>
          <w:tcPr>
            <w:tcW w:w="464" w:type="pct"/>
            <w:tcBorders>
              <w:top w:val="nil"/>
              <w:left w:val="nil"/>
              <w:bottom w:val="nil"/>
              <w:right w:val="nil"/>
            </w:tcBorders>
            <w:shd w:val="clear" w:color="auto" w:fill="auto"/>
            <w:noWrap/>
            <w:vAlign w:val="bottom"/>
            <w:hideMark/>
          </w:tcPr>
          <w:p w14:paraId="692A6788"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41,9</w:t>
            </w:r>
          </w:p>
        </w:tc>
        <w:tc>
          <w:tcPr>
            <w:tcW w:w="464" w:type="pct"/>
            <w:tcBorders>
              <w:top w:val="nil"/>
              <w:left w:val="nil"/>
              <w:bottom w:val="nil"/>
              <w:right w:val="nil"/>
            </w:tcBorders>
            <w:shd w:val="clear" w:color="auto" w:fill="auto"/>
            <w:noWrap/>
            <w:vAlign w:val="bottom"/>
            <w:hideMark/>
          </w:tcPr>
          <w:p w14:paraId="1AD2B95B"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39,9</w:t>
            </w:r>
          </w:p>
        </w:tc>
        <w:tc>
          <w:tcPr>
            <w:tcW w:w="461" w:type="pct"/>
            <w:tcBorders>
              <w:top w:val="nil"/>
              <w:left w:val="nil"/>
              <w:bottom w:val="nil"/>
              <w:right w:val="nil"/>
            </w:tcBorders>
            <w:shd w:val="clear" w:color="auto" w:fill="auto"/>
            <w:noWrap/>
            <w:vAlign w:val="bottom"/>
            <w:hideMark/>
          </w:tcPr>
          <w:p w14:paraId="211D8F95"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35,4</w:t>
            </w:r>
          </w:p>
        </w:tc>
      </w:tr>
      <w:tr w:rsidR="001579BE" w:rsidRPr="006A71C3" w14:paraId="4C202F2F" w14:textId="77777777" w:rsidTr="00377237">
        <w:trPr>
          <w:trHeight w:val="310"/>
        </w:trPr>
        <w:tc>
          <w:tcPr>
            <w:tcW w:w="229" w:type="pct"/>
            <w:tcBorders>
              <w:top w:val="nil"/>
              <w:left w:val="nil"/>
              <w:bottom w:val="nil"/>
              <w:right w:val="nil"/>
            </w:tcBorders>
            <w:shd w:val="clear" w:color="auto" w:fill="auto"/>
            <w:noWrap/>
            <w:vAlign w:val="bottom"/>
            <w:hideMark/>
          </w:tcPr>
          <w:p w14:paraId="311C968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single" w:sz="4" w:space="0" w:color="auto"/>
              <w:right w:val="nil"/>
            </w:tcBorders>
            <w:shd w:val="clear" w:color="auto" w:fill="auto"/>
            <w:noWrap/>
            <w:vAlign w:val="bottom"/>
            <w:hideMark/>
          </w:tcPr>
          <w:p w14:paraId="30C7E83A"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Mundo</w:t>
            </w:r>
          </w:p>
        </w:tc>
        <w:tc>
          <w:tcPr>
            <w:tcW w:w="397" w:type="pct"/>
            <w:tcBorders>
              <w:top w:val="nil"/>
              <w:left w:val="nil"/>
              <w:bottom w:val="single" w:sz="4" w:space="0" w:color="auto"/>
              <w:right w:val="nil"/>
            </w:tcBorders>
            <w:shd w:val="clear" w:color="auto" w:fill="auto"/>
            <w:noWrap/>
            <w:vAlign w:val="bottom"/>
            <w:hideMark/>
          </w:tcPr>
          <w:p w14:paraId="0024C67A"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36,1</w:t>
            </w:r>
          </w:p>
        </w:tc>
        <w:tc>
          <w:tcPr>
            <w:tcW w:w="397" w:type="pct"/>
            <w:tcBorders>
              <w:top w:val="nil"/>
              <w:left w:val="nil"/>
              <w:bottom w:val="single" w:sz="4" w:space="0" w:color="auto"/>
              <w:right w:val="nil"/>
            </w:tcBorders>
            <w:shd w:val="clear" w:color="auto" w:fill="auto"/>
            <w:noWrap/>
            <w:vAlign w:val="bottom"/>
            <w:hideMark/>
          </w:tcPr>
          <w:p w14:paraId="1DDEDBC9"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102,5</w:t>
            </w:r>
          </w:p>
        </w:tc>
        <w:tc>
          <w:tcPr>
            <w:tcW w:w="397" w:type="pct"/>
            <w:tcBorders>
              <w:top w:val="nil"/>
              <w:left w:val="nil"/>
              <w:bottom w:val="single" w:sz="4" w:space="0" w:color="auto"/>
              <w:right w:val="nil"/>
            </w:tcBorders>
            <w:shd w:val="clear" w:color="auto" w:fill="auto"/>
            <w:noWrap/>
            <w:vAlign w:val="bottom"/>
            <w:hideMark/>
          </w:tcPr>
          <w:p w14:paraId="09A280F8"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141,4</w:t>
            </w:r>
          </w:p>
        </w:tc>
        <w:tc>
          <w:tcPr>
            <w:tcW w:w="397" w:type="pct"/>
            <w:tcBorders>
              <w:top w:val="nil"/>
              <w:left w:val="nil"/>
              <w:bottom w:val="single" w:sz="4" w:space="0" w:color="auto"/>
              <w:right w:val="nil"/>
            </w:tcBorders>
            <w:shd w:val="clear" w:color="auto" w:fill="auto"/>
            <w:noWrap/>
            <w:vAlign w:val="bottom"/>
            <w:hideMark/>
          </w:tcPr>
          <w:p w14:paraId="3A3A6EE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175,1</w:t>
            </w:r>
          </w:p>
        </w:tc>
        <w:tc>
          <w:tcPr>
            <w:tcW w:w="397" w:type="pct"/>
            <w:tcBorders>
              <w:top w:val="nil"/>
              <w:left w:val="nil"/>
              <w:bottom w:val="single" w:sz="4" w:space="0" w:color="auto"/>
              <w:right w:val="nil"/>
            </w:tcBorders>
            <w:shd w:val="clear" w:color="auto" w:fill="auto"/>
            <w:noWrap/>
            <w:vAlign w:val="bottom"/>
            <w:hideMark/>
          </w:tcPr>
          <w:p w14:paraId="6EBC7DD6"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115,3</w:t>
            </w:r>
          </w:p>
        </w:tc>
        <w:tc>
          <w:tcPr>
            <w:tcW w:w="464" w:type="pct"/>
            <w:tcBorders>
              <w:top w:val="nil"/>
              <w:left w:val="nil"/>
              <w:bottom w:val="single" w:sz="4" w:space="0" w:color="auto"/>
              <w:right w:val="nil"/>
            </w:tcBorders>
            <w:shd w:val="clear" w:color="auto" w:fill="auto"/>
            <w:noWrap/>
            <w:vAlign w:val="bottom"/>
            <w:hideMark/>
          </w:tcPr>
          <w:p w14:paraId="50345B40"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322,6</w:t>
            </w:r>
          </w:p>
        </w:tc>
        <w:tc>
          <w:tcPr>
            <w:tcW w:w="464" w:type="pct"/>
            <w:tcBorders>
              <w:top w:val="nil"/>
              <w:left w:val="nil"/>
              <w:bottom w:val="single" w:sz="4" w:space="0" w:color="auto"/>
              <w:right w:val="nil"/>
            </w:tcBorders>
            <w:shd w:val="clear" w:color="auto" w:fill="auto"/>
            <w:noWrap/>
            <w:vAlign w:val="bottom"/>
            <w:hideMark/>
          </w:tcPr>
          <w:p w14:paraId="039D7E4B"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306,1</w:t>
            </w:r>
          </w:p>
        </w:tc>
        <w:tc>
          <w:tcPr>
            <w:tcW w:w="464" w:type="pct"/>
            <w:tcBorders>
              <w:top w:val="nil"/>
              <w:left w:val="nil"/>
              <w:bottom w:val="single" w:sz="4" w:space="0" w:color="auto"/>
              <w:right w:val="nil"/>
            </w:tcBorders>
            <w:shd w:val="clear" w:color="auto" w:fill="auto"/>
            <w:noWrap/>
            <w:vAlign w:val="bottom"/>
            <w:hideMark/>
          </w:tcPr>
          <w:p w14:paraId="4C02C72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290,0</w:t>
            </w:r>
          </w:p>
        </w:tc>
        <w:tc>
          <w:tcPr>
            <w:tcW w:w="461" w:type="pct"/>
            <w:tcBorders>
              <w:top w:val="nil"/>
              <w:left w:val="nil"/>
              <w:bottom w:val="single" w:sz="4" w:space="0" w:color="auto"/>
              <w:right w:val="nil"/>
            </w:tcBorders>
            <w:shd w:val="clear" w:color="auto" w:fill="auto"/>
            <w:noWrap/>
            <w:vAlign w:val="bottom"/>
            <w:hideMark/>
          </w:tcPr>
          <w:p w14:paraId="219E2C8F"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301,7</w:t>
            </w:r>
          </w:p>
        </w:tc>
      </w:tr>
      <w:tr w:rsidR="001579BE" w:rsidRPr="006A71C3" w14:paraId="6159A8C8" w14:textId="77777777" w:rsidTr="00377237">
        <w:trPr>
          <w:trHeight w:val="310"/>
        </w:trPr>
        <w:tc>
          <w:tcPr>
            <w:tcW w:w="229" w:type="pct"/>
            <w:tcBorders>
              <w:top w:val="nil"/>
              <w:left w:val="nil"/>
              <w:bottom w:val="nil"/>
              <w:right w:val="nil"/>
            </w:tcBorders>
            <w:shd w:val="clear" w:color="auto" w:fill="auto"/>
            <w:noWrap/>
            <w:vAlign w:val="bottom"/>
            <w:hideMark/>
          </w:tcPr>
          <w:p w14:paraId="09BEF19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7D48288A"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r w:rsidRPr="006A71C3">
              <w:rPr>
                <w:rFonts w:ascii="Times New Roman" w:eastAsia="Times New Roman" w:hAnsi="Times New Roman" w:cs="Times New Roman"/>
                <w:b/>
                <w:bCs/>
                <w:color w:val="000000"/>
                <w:sz w:val="20"/>
                <w:szCs w:val="20"/>
                <w:lang w:eastAsia="es-ES"/>
              </w:rPr>
              <w:t>Exportaciones</w:t>
            </w:r>
          </w:p>
        </w:tc>
        <w:tc>
          <w:tcPr>
            <w:tcW w:w="397" w:type="pct"/>
            <w:tcBorders>
              <w:top w:val="nil"/>
              <w:left w:val="nil"/>
              <w:bottom w:val="nil"/>
              <w:right w:val="nil"/>
            </w:tcBorders>
            <w:shd w:val="clear" w:color="auto" w:fill="auto"/>
            <w:noWrap/>
            <w:vAlign w:val="bottom"/>
            <w:hideMark/>
          </w:tcPr>
          <w:p w14:paraId="544836C9"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397" w:type="pct"/>
            <w:tcBorders>
              <w:top w:val="nil"/>
              <w:left w:val="nil"/>
              <w:bottom w:val="nil"/>
              <w:right w:val="nil"/>
            </w:tcBorders>
            <w:shd w:val="clear" w:color="auto" w:fill="auto"/>
            <w:noWrap/>
            <w:vAlign w:val="bottom"/>
            <w:hideMark/>
          </w:tcPr>
          <w:p w14:paraId="716A9236"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20780F9D"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38FBC663"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2DF6A154"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6997D36D"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0096FA7B"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3B13FA27"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1" w:type="pct"/>
            <w:tcBorders>
              <w:top w:val="nil"/>
              <w:left w:val="nil"/>
              <w:bottom w:val="nil"/>
              <w:right w:val="nil"/>
            </w:tcBorders>
            <w:shd w:val="clear" w:color="auto" w:fill="auto"/>
            <w:noWrap/>
            <w:vAlign w:val="bottom"/>
            <w:hideMark/>
          </w:tcPr>
          <w:p w14:paraId="0870903A"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r>
      <w:tr w:rsidR="001579BE" w:rsidRPr="006A71C3" w14:paraId="7E6511DB" w14:textId="77777777" w:rsidTr="00377237">
        <w:trPr>
          <w:trHeight w:val="310"/>
        </w:trPr>
        <w:tc>
          <w:tcPr>
            <w:tcW w:w="229" w:type="pct"/>
            <w:tcBorders>
              <w:top w:val="nil"/>
              <w:left w:val="nil"/>
              <w:bottom w:val="nil"/>
              <w:right w:val="nil"/>
            </w:tcBorders>
            <w:shd w:val="clear" w:color="auto" w:fill="auto"/>
            <w:noWrap/>
            <w:vAlign w:val="bottom"/>
            <w:hideMark/>
          </w:tcPr>
          <w:p w14:paraId="47ACE4D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1</w:t>
            </w:r>
          </w:p>
        </w:tc>
        <w:tc>
          <w:tcPr>
            <w:tcW w:w="934" w:type="pct"/>
            <w:tcBorders>
              <w:top w:val="nil"/>
              <w:left w:val="nil"/>
              <w:bottom w:val="nil"/>
              <w:right w:val="nil"/>
            </w:tcBorders>
            <w:shd w:val="clear" w:color="auto" w:fill="auto"/>
            <w:noWrap/>
            <w:vAlign w:val="bottom"/>
            <w:hideMark/>
          </w:tcPr>
          <w:p w14:paraId="4ED3B9F6"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Estados Unidos</w:t>
            </w:r>
          </w:p>
        </w:tc>
        <w:tc>
          <w:tcPr>
            <w:tcW w:w="397" w:type="pct"/>
            <w:tcBorders>
              <w:top w:val="nil"/>
              <w:left w:val="nil"/>
              <w:bottom w:val="nil"/>
              <w:right w:val="nil"/>
            </w:tcBorders>
            <w:shd w:val="clear" w:color="auto" w:fill="auto"/>
            <w:noWrap/>
            <w:vAlign w:val="bottom"/>
            <w:hideMark/>
          </w:tcPr>
          <w:p w14:paraId="2B91F28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12,9</w:t>
            </w:r>
          </w:p>
        </w:tc>
        <w:tc>
          <w:tcPr>
            <w:tcW w:w="397" w:type="pct"/>
            <w:tcBorders>
              <w:top w:val="nil"/>
              <w:left w:val="nil"/>
              <w:bottom w:val="nil"/>
              <w:right w:val="nil"/>
            </w:tcBorders>
            <w:shd w:val="clear" w:color="auto" w:fill="auto"/>
            <w:noWrap/>
            <w:vAlign w:val="bottom"/>
            <w:hideMark/>
          </w:tcPr>
          <w:p w14:paraId="1910F41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60,7</w:t>
            </w:r>
          </w:p>
        </w:tc>
        <w:tc>
          <w:tcPr>
            <w:tcW w:w="397" w:type="pct"/>
            <w:tcBorders>
              <w:top w:val="nil"/>
              <w:left w:val="nil"/>
              <w:bottom w:val="nil"/>
              <w:right w:val="nil"/>
            </w:tcBorders>
            <w:shd w:val="clear" w:color="auto" w:fill="auto"/>
            <w:noWrap/>
            <w:vAlign w:val="bottom"/>
            <w:hideMark/>
          </w:tcPr>
          <w:p w14:paraId="3A6FE24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43,9</w:t>
            </w:r>
          </w:p>
        </w:tc>
        <w:tc>
          <w:tcPr>
            <w:tcW w:w="397" w:type="pct"/>
            <w:tcBorders>
              <w:top w:val="nil"/>
              <w:left w:val="nil"/>
              <w:bottom w:val="nil"/>
              <w:right w:val="nil"/>
            </w:tcBorders>
            <w:shd w:val="clear" w:color="auto" w:fill="auto"/>
            <w:noWrap/>
            <w:vAlign w:val="bottom"/>
            <w:hideMark/>
          </w:tcPr>
          <w:p w14:paraId="714991A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49,3</w:t>
            </w:r>
          </w:p>
        </w:tc>
        <w:tc>
          <w:tcPr>
            <w:tcW w:w="397" w:type="pct"/>
            <w:tcBorders>
              <w:top w:val="nil"/>
              <w:left w:val="nil"/>
              <w:bottom w:val="nil"/>
              <w:right w:val="nil"/>
            </w:tcBorders>
            <w:shd w:val="clear" w:color="auto" w:fill="auto"/>
            <w:noWrap/>
            <w:vAlign w:val="bottom"/>
            <w:hideMark/>
          </w:tcPr>
          <w:p w14:paraId="2E6623F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46,5</w:t>
            </w:r>
          </w:p>
        </w:tc>
        <w:tc>
          <w:tcPr>
            <w:tcW w:w="464" w:type="pct"/>
            <w:tcBorders>
              <w:top w:val="nil"/>
              <w:left w:val="nil"/>
              <w:bottom w:val="nil"/>
              <w:right w:val="nil"/>
            </w:tcBorders>
            <w:shd w:val="clear" w:color="auto" w:fill="auto"/>
            <w:noWrap/>
            <w:vAlign w:val="bottom"/>
            <w:hideMark/>
          </w:tcPr>
          <w:p w14:paraId="1F7E824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52,5</w:t>
            </w:r>
          </w:p>
        </w:tc>
        <w:tc>
          <w:tcPr>
            <w:tcW w:w="464" w:type="pct"/>
            <w:tcBorders>
              <w:top w:val="nil"/>
              <w:left w:val="nil"/>
              <w:bottom w:val="nil"/>
              <w:right w:val="nil"/>
            </w:tcBorders>
            <w:shd w:val="clear" w:color="auto" w:fill="auto"/>
            <w:noWrap/>
            <w:vAlign w:val="bottom"/>
            <w:hideMark/>
          </w:tcPr>
          <w:p w14:paraId="5359164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45,1</w:t>
            </w:r>
          </w:p>
        </w:tc>
        <w:tc>
          <w:tcPr>
            <w:tcW w:w="464" w:type="pct"/>
            <w:tcBorders>
              <w:top w:val="nil"/>
              <w:left w:val="nil"/>
              <w:bottom w:val="nil"/>
              <w:right w:val="nil"/>
            </w:tcBorders>
            <w:shd w:val="clear" w:color="auto" w:fill="auto"/>
            <w:noWrap/>
            <w:vAlign w:val="bottom"/>
            <w:hideMark/>
          </w:tcPr>
          <w:p w14:paraId="1BB8103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69,9</w:t>
            </w:r>
          </w:p>
        </w:tc>
        <w:tc>
          <w:tcPr>
            <w:tcW w:w="461" w:type="pct"/>
            <w:tcBorders>
              <w:top w:val="nil"/>
              <w:left w:val="nil"/>
              <w:bottom w:val="nil"/>
              <w:right w:val="nil"/>
            </w:tcBorders>
            <w:shd w:val="clear" w:color="auto" w:fill="auto"/>
            <w:noWrap/>
            <w:vAlign w:val="bottom"/>
            <w:hideMark/>
          </w:tcPr>
          <w:p w14:paraId="7F51C0F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63,5</w:t>
            </w:r>
          </w:p>
        </w:tc>
      </w:tr>
      <w:tr w:rsidR="001579BE" w:rsidRPr="006A71C3" w14:paraId="20F468C9" w14:textId="77777777" w:rsidTr="00377237">
        <w:trPr>
          <w:trHeight w:val="310"/>
        </w:trPr>
        <w:tc>
          <w:tcPr>
            <w:tcW w:w="229" w:type="pct"/>
            <w:tcBorders>
              <w:top w:val="nil"/>
              <w:left w:val="nil"/>
              <w:bottom w:val="nil"/>
              <w:right w:val="nil"/>
            </w:tcBorders>
            <w:shd w:val="clear" w:color="auto" w:fill="auto"/>
            <w:noWrap/>
            <w:vAlign w:val="bottom"/>
            <w:hideMark/>
          </w:tcPr>
          <w:p w14:paraId="066AF31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2</w:t>
            </w:r>
          </w:p>
        </w:tc>
        <w:tc>
          <w:tcPr>
            <w:tcW w:w="934" w:type="pct"/>
            <w:tcBorders>
              <w:top w:val="nil"/>
              <w:left w:val="nil"/>
              <w:bottom w:val="nil"/>
              <w:right w:val="nil"/>
            </w:tcBorders>
            <w:shd w:val="clear" w:color="auto" w:fill="auto"/>
            <w:noWrap/>
            <w:vAlign w:val="bottom"/>
            <w:hideMark/>
          </w:tcPr>
          <w:p w14:paraId="4FFBE4C3"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Brasil</w:t>
            </w:r>
          </w:p>
        </w:tc>
        <w:tc>
          <w:tcPr>
            <w:tcW w:w="397" w:type="pct"/>
            <w:tcBorders>
              <w:top w:val="nil"/>
              <w:left w:val="nil"/>
              <w:bottom w:val="nil"/>
              <w:right w:val="nil"/>
            </w:tcBorders>
            <w:shd w:val="clear" w:color="auto" w:fill="auto"/>
            <w:noWrap/>
            <w:vAlign w:val="bottom"/>
            <w:hideMark/>
          </w:tcPr>
          <w:p w14:paraId="0D83E3E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0,9</w:t>
            </w:r>
          </w:p>
        </w:tc>
        <w:tc>
          <w:tcPr>
            <w:tcW w:w="397" w:type="pct"/>
            <w:tcBorders>
              <w:top w:val="nil"/>
              <w:left w:val="nil"/>
              <w:bottom w:val="nil"/>
              <w:right w:val="nil"/>
            </w:tcBorders>
            <w:shd w:val="clear" w:color="auto" w:fill="auto"/>
            <w:noWrap/>
            <w:vAlign w:val="bottom"/>
            <w:hideMark/>
          </w:tcPr>
          <w:p w14:paraId="17CB17A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0,0</w:t>
            </w:r>
          </w:p>
        </w:tc>
        <w:tc>
          <w:tcPr>
            <w:tcW w:w="397" w:type="pct"/>
            <w:tcBorders>
              <w:top w:val="nil"/>
              <w:left w:val="nil"/>
              <w:bottom w:val="nil"/>
              <w:right w:val="nil"/>
            </w:tcBorders>
            <w:shd w:val="clear" w:color="auto" w:fill="auto"/>
            <w:noWrap/>
            <w:vAlign w:val="bottom"/>
            <w:hideMark/>
          </w:tcPr>
          <w:p w14:paraId="6557D38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755B157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6,3</w:t>
            </w:r>
          </w:p>
        </w:tc>
        <w:tc>
          <w:tcPr>
            <w:tcW w:w="397" w:type="pct"/>
            <w:tcBorders>
              <w:top w:val="nil"/>
              <w:left w:val="nil"/>
              <w:bottom w:val="nil"/>
              <w:right w:val="nil"/>
            </w:tcBorders>
            <w:shd w:val="clear" w:color="auto" w:fill="auto"/>
            <w:noWrap/>
            <w:vAlign w:val="bottom"/>
            <w:hideMark/>
          </w:tcPr>
          <w:p w14:paraId="4254841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8,4</w:t>
            </w:r>
          </w:p>
        </w:tc>
        <w:tc>
          <w:tcPr>
            <w:tcW w:w="464" w:type="pct"/>
            <w:tcBorders>
              <w:top w:val="nil"/>
              <w:left w:val="nil"/>
              <w:bottom w:val="nil"/>
              <w:right w:val="nil"/>
            </w:tcBorders>
            <w:shd w:val="clear" w:color="auto" w:fill="auto"/>
            <w:noWrap/>
            <w:vAlign w:val="bottom"/>
            <w:hideMark/>
          </w:tcPr>
          <w:p w14:paraId="3F5CA0B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39,7</w:t>
            </w:r>
          </w:p>
        </w:tc>
        <w:tc>
          <w:tcPr>
            <w:tcW w:w="464" w:type="pct"/>
            <w:tcBorders>
              <w:top w:val="nil"/>
              <w:left w:val="nil"/>
              <w:bottom w:val="nil"/>
              <w:right w:val="nil"/>
            </w:tcBorders>
            <w:shd w:val="clear" w:color="auto" w:fill="auto"/>
            <w:noWrap/>
            <w:vAlign w:val="bottom"/>
            <w:hideMark/>
          </w:tcPr>
          <w:p w14:paraId="5F8DE94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35,2</w:t>
            </w:r>
          </w:p>
        </w:tc>
        <w:tc>
          <w:tcPr>
            <w:tcW w:w="464" w:type="pct"/>
            <w:tcBorders>
              <w:top w:val="nil"/>
              <w:left w:val="nil"/>
              <w:bottom w:val="nil"/>
              <w:right w:val="nil"/>
            </w:tcBorders>
            <w:shd w:val="clear" w:color="auto" w:fill="auto"/>
            <w:noWrap/>
            <w:vAlign w:val="bottom"/>
            <w:hideMark/>
          </w:tcPr>
          <w:p w14:paraId="623AA14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20,0</w:t>
            </w:r>
          </w:p>
        </w:tc>
        <w:tc>
          <w:tcPr>
            <w:tcW w:w="461" w:type="pct"/>
            <w:tcBorders>
              <w:top w:val="nil"/>
              <w:left w:val="nil"/>
              <w:bottom w:val="nil"/>
              <w:right w:val="nil"/>
            </w:tcBorders>
            <w:shd w:val="clear" w:color="auto" w:fill="auto"/>
            <w:noWrap/>
            <w:vAlign w:val="bottom"/>
            <w:hideMark/>
          </w:tcPr>
          <w:p w14:paraId="7E4B11B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43,0</w:t>
            </w:r>
          </w:p>
        </w:tc>
      </w:tr>
      <w:tr w:rsidR="001579BE" w:rsidRPr="006A71C3" w14:paraId="3E41CBEB" w14:textId="77777777" w:rsidTr="00377237">
        <w:trPr>
          <w:trHeight w:val="310"/>
        </w:trPr>
        <w:tc>
          <w:tcPr>
            <w:tcW w:w="229" w:type="pct"/>
            <w:tcBorders>
              <w:top w:val="nil"/>
              <w:left w:val="nil"/>
              <w:bottom w:val="nil"/>
              <w:right w:val="nil"/>
            </w:tcBorders>
            <w:shd w:val="clear" w:color="auto" w:fill="auto"/>
            <w:noWrap/>
            <w:vAlign w:val="bottom"/>
            <w:hideMark/>
          </w:tcPr>
          <w:p w14:paraId="5B64BAD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3</w:t>
            </w:r>
          </w:p>
        </w:tc>
        <w:tc>
          <w:tcPr>
            <w:tcW w:w="934" w:type="pct"/>
            <w:tcBorders>
              <w:top w:val="nil"/>
              <w:left w:val="nil"/>
              <w:bottom w:val="nil"/>
              <w:right w:val="nil"/>
            </w:tcBorders>
            <w:shd w:val="clear" w:color="auto" w:fill="auto"/>
            <w:noWrap/>
            <w:vAlign w:val="bottom"/>
            <w:hideMark/>
          </w:tcPr>
          <w:p w14:paraId="426193F1"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Argentina</w:t>
            </w:r>
          </w:p>
        </w:tc>
        <w:tc>
          <w:tcPr>
            <w:tcW w:w="397" w:type="pct"/>
            <w:tcBorders>
              <w:top w:val="nil"/>
              <w:left w:val="nil"/>
              <w:bottom w:val="nil"/>
              <w:right w:val="nil"/>
            </w:tcBorders>
            <w:shd w:val="clear" w:color="auto" w:fill="auto"/>
            <w:noWrap/>
            <w:vAlign w:val="bottom"/>
            <w:hideMark/>
          </w:tcPr>
          <w:p w14:paraId="34754E5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6,4</w:t>
            </w:r>
          </w:p>
        </w:tc>
        <w:tc>
          <w:tcPr>
            <w:tcW w:w="397" w:type="pct"/>
            <w:tcBorders>
              <w:top w:val="nil"/>
              <w:left w:val="nil"/>
              <w:bottom w:val="nil"/>
              <w:right w:val="nil"/>
            </w:tcBorders>
            <w:shd w:val="clear" w:color="auto" w:fill="auto"/>
            <w:noWrap/>
            <w:vAlign w:val="bottom"/>
            <w:hideMark/>
          </w:tcPr>
          <w:p w14:paraId="134BCFA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9,1</w:t>
            </w:r>
          </w:p>
        </w:tc>
        <w:tc>
          <w:tcPr>
            <w:tcW w:w="397" w:type="pct"/>
            <w:tcBorders>
              <w:top w:val="nil"/>
              <w:left w:val="nil"/>
              <w:bottom w:val="nil"/>
              <w:right w:val="nil"/>
            </w:tcBorders>
            <w:shd w:val="clear" w:color="auto" w:fill="auto"/>
            <w:noWrap/>
            <w:vAlign w:val="bottom"/>
            <w:hideMark/>
          </w:tcPr>
          <w:p w14:paraId="5E6AF8C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4,0</w:t>
            </w:r>
          </w:p>
        </w:tc>
        <w:tc>
          <w:tcPr>
            <w:tcW w:w="397" w:type="pct"/>
            <w:tcBorders>
              <w:top w:val="nil"/>
              <w:left w:val="nil"/>
              <w:bottom w:val="nil"/>
              <w:right w:val="nil"/>
            </w:tcBorders>
            <w:shd w:val="clear" w:color="auto" w:fill="auto"/>
            <w:noWrap/>
            <w:vAlign w:val="bottom"/>
            <w:hideMark/>
          </w:tcPr>
          <w:p w14:paraId="48D7282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9,7</w:t>
            </w:r>
          </w:p>
        </w:tc>
        <w:tc>
          <w:tcPr>
            <w:tcW w:w="397" w:type="pct"/>
            <w:tcBorders>
              <w:top w:val="nil"/>
              <w:left w:val="nil"/>
              <w:bottom w:val="nil"/>
              <w:right w:val="nil"/>
            </w:tcBorders>
            <w:shd w:val="clear" w:color="auto" w:fill="auto"/>
            <w:noWrap/>
            <w:vAlign w:val="bottom"/>
            <w:hideMark/>
          </w:tcPr>
          <w:p w14:paraId="012C916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16,3</w:t>
            </w:r>
          </w:p>
        </w:tc>
        <w:tc>
          <w:tcPr>
            <w:tcW w:w="464" w:type="pct"/>
            <w:tcBorders>
              <w:top w:val="nil"/>
              <w:left w:val="nil"/>
              <w:bottom w:val="nil"/>
              <w:right w:val="nil"/>
            </w:tcBorders>
            <w:shd w:val="clear" w:color="auto" w:fill="auto"/>
            <w:noWrap/>
            <w:vAlign w:val="bottom"/>
            <w:hideMark/>
          </w:tcPr>
          <w:p w14:paraId="25D1D99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37,2</w:t>
            </w:r>
          </w:p>
        </w:tc>
        <w:tc>
          <w:tcPr>
            <w:tcW w:w="464" w:type="pct"/>
            <w:tcBorders>
              <w:top w:val="nil"/>
              <w:left w:val="nil"/>
              <w:bottom w:val="nil"/>
              <w:right w:val="nil"/>
            </w:tcBorders>
            <w:shd w:val="clear" w:color="auto" w:fill="auto"/>
            <w:noWrap/>
            <w:vAlign w:val="bottom"/>
            <w:hideMark/>
          </w:tcPr>
          <w:p w14:paraId="7E95DEF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36,3</w:t>
            </w:r>
          </w:p>
        </w:tc>
        <w:tc>
          <w:tcPr>
            <w:tcW w:w="464" w:type="pct"/>
            <w:tcBorders>
              <w:top w:val="nil"/>
              <w:left w:val="nil"/>
              <w:bottom w:val="nil"/>
              <w:right w:val="nil"/>
            </w:tcBorders>
            <w:shd w:val="clear" w:color="auto" w:fill="auto"/>
            <w:noWrap/>
            <w:vAlign w:val="bottom"/>
            <w:hideMark/>
          </w:tcPr>
          <w:p w14:paraId="5697459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37,5</w:t>
            </w:r>
          </w:p>
        </w:tc>
        <w:tc>
          <w:tcPr>
            <w:tcW w:w="461" w:type="pct"/>
            <w:tcBorders>
              <w:top w:val="nil"/>
              <w:left w:val="nil"/>
              <w:bottom w:val="nil"/>
              <w:right w:val="nil"/>
            </w:tcBorders>
            <w:shd w:val="clear" w:color="auto" w:fill="auto"/>
            <w:noWrap/>
            <w:vAlign w:val="bottom"/>
            <w:hideMark/>
          </w:tcPr>
          <w:p w14:paraId="0454A4C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38,0</w:t>
            </w:r>
          </w:p>
        </w:tc>
      </w:tr>
      <w:tr w:rsidR="001579BE" w:rsidRPr="006A71C3" w14:paraId="70175042" w14:textId="77777777" w:rsidTr="00377237">
        <w:trPr>
          <w:trHeight w:val="310"/>
        </w:trPr>
        <w:tc>
          <w:tcPr>
            <w:tcW w:w="229" w:type="pct"/>
            <w:tcBorders>
              <w:top w:val="nil"/>
              <w:left w:val="nil"/>
              <w:bottom w:val="nil"/>
              <w:right w:val="nil"/>
            </w:tcBorders>
            <w:shd w:val="clear" w:color="auto" w:fill="auto"/>
            <w:noWrap/>
            <w:vAlign w:val="bottom"/>
            <w:hideMark/>
          </w:tcPr>
          <w:p w14:paraId="7D38D29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4</w:t>
            </w:r>
          </w:p>
        </w:tc>
        <w:tc>
          <w:tcPr>
            <w:tcW w:w="934" w:type="pct"/>
            <w:tcBorders>
              <w:top w:val="nil"/>
              <w:left w:val="nil"/>
              <w:bottom w:val="nil"/>
              <w:right w:val="nil"/>
            </w:tcBorders>
            <w:shd w:val="clear" w:color="auto" w:fill="auto"/>
            <w:noWrap/>
            <w:vAlign w:val="bottom"/>
            <w:hideMark/>
          </w:tcPr>
          <w:p w14:paraId="07F47528"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Ucrania</w:t>
            </w:r>
          </w:p>
        </w:tc>
        <w:tc>
          <w:tcPr>
            <w:tcW w:w="397" w:type="pct"/>
            <w:tcBorders>
              <w:top w:val="nil"/>
              <w:left w:val="nil"/>
              <w:bottom w:val="nil"/>
              <w:right w:val="nil"/>
            </w:tcBorders>
            <w:shd w:val="clear" w:color="auto" w:fill="auto"/>
            <w:noWrap/>
            <w:vAlign w:val="bottom"/>
            <w:hideMark/>
          </w:tcPr>
          <w:p w14:paraId="483F21E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390542E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19E3C46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0,4</w:t>
            </w:r>
          </w:p>
        </w:tc>
        <w:tc>
          <w:tcPr>
            <w:tcW w:w="397" w:type="pct"/>
            <w:tcBorders>
              <w:top w:val="nil"/>
              <w:left w:val="nil"/>
              <w:bottom w:val="nil"/>
              <w:right w:val="nil"/>
            </w:tcBorders>
            <w:shd w:val="clear" w:color="auto" w:fill="auto"/>
            <w:noWrap/>
            <w:vAlign w:val="bottom"/>
            <w:hideMark/>
          </w:tcPr>
          <w:p w14:paraId="51F15C6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0,4</w:t>
            </w:r>
          </w:p>
        </w:tc>
        <w:tc>
          <w:tcPr>
            <w:tcW w:w="397" w:type="pct"/>
            <w:tcBorders>
              <w:top w:val="nil"/>
              <w:left w:val="nil"/>
              <w:bottom w:val="nil"/>
              <w:right w:val="nil"/>
            </w:tcBorders>
            <w:shd w:val="clear" w:color="auto" w:fill="auto"/>
            <w:noWrap/>
            <w:vAlign w:val="bottom"/>
            <w:hideMark/>
          </w:tcPr>
          <w:p w14:paraId="3372F13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5,0</w:t>
            </w:r>
          </w:p>
        </w:tc>
        <w:tc>
          <w:tcPr>
            <w:tcW w:w="464" w:type="pct"/>
            <w:tcBorders>
              <w:top w:val="nil"/>
              <w:left w:val="nil"/>
              <w:bottom w:val="nil"/>
              <w:right w:val="nil"/>
            </w:tcBorders>
            <w:shd w:val="clear" w:color="auto" w:fill="auto"/>
            <w:noWrap/>
            <w:vAlign w:val="bottom"/>
            <w:hideMark/>
          </w:tcPr>
          <w:p w14:paraId="5B9C0F3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30,3</w:t>
            </w:r>
          </w:p>
        </w:tc>
        <w:tc>
          <w:tcPr>
            <w:tcW w:w="464" w:type="pct"/>
            <w:tcBorders>
              <w:top w:val="nil"/>
              <w:left w:val="nil"/>
              <w:bottom w:val="nil"/>
              <w:right w:val="nil"/>
            </w:tcBorders>
            <w:shd w:val="clear" w:color="auto" w:fill="auto"/>
            <w:noWrap/>
            <w:vAlign w:val="bottom"/>
            <w:hideMark/>
          </w:tcPr>
          <w:p w14:paraId="0CFF803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28,9</w:t>
            </w:r>
          </w:p>
        </w:tc>
        <w:tc>
          <w:tcPr>
            <w:tcW w:w="464" w:type="pct"/>
            <w:tcBorders>
              <w:top w:val="nil"/>
              <w:left w:val="nil"/>
              <w:bottom w:val="nil"/>
              <w:right w:val="nil"/>
            </w:tcBorders>
            <w:shd w:val="clear" w:color="auto" w:fill="auto"/>
            <w:noWrap/>
            <w:vAlign w:val="bottom"/>
            <w:hideMark/>
          </w:tcPr>
          <w:p w14:paraId="40E6F81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23,8</w:t>
            </w:r>
          </w:p>
        </w:tc>
        <w:tc>
          <w:tcPr>
            <w:tcW w:w="461" w:type="pct"/>
            <w:tcBorders>
              <w:top w:val="nil"/>
              <w:left w:val="nil"/>
              <w:bottom w:val="nil"/>
              <w:right w:val="nil"/>
            </w:tcBorders>
            <w:shd w:val="clear" w:color="auto" w:fill="auto"/>
            <w:noWrap/>
            <w:vAlign w:val="bottom"/>
            <w:hideMark/>
          </w:tcPr>
          <w:p w14:paraId="77C8DEC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31,5</w:t>
            </w:r>
          </w:p>
        </w:tc>
      </w:tr>
      <w:tr w:rsidR="001579BE" w:rsidRPr="006A71C3" w14:paraId="6038E70B" w14:textId="77777777" w:rsidTr="00377237">
        <w:trPr>
          <w:trHeight w:val="310"/>
        </w:trPr>
        <w:tc>
          <w:tcPr>
            <w:tcW w:w="229" w:type="pct"/>
            <w:tcBorders>
              <w:top w:val="nil"/>
              <w:left w:val="nil"/>
              <w:bottom w:val="nil"/>
              <w:right w:val="nil"/>
            </w:tcBorders>
            <w:shd w:val="clear" w:color="auto" w:fill="auto"/>
            <w:noWrap/>
            <w:vAlign w:val="bottom"/>
            <w:hideMark/>
          </w:tcPr>
          <w:p w14:paraId="496ED76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5</w:t>
            </w:r>
          </w:p>
        </w:tc>
        <w:tc>
          <w:tcPr>
            <w:tcW w:w="934" w:type="pct"/>
            <w:tcBorders>
              <w:top w:val="nil"/>
              <w:left w:val="nil"/>
              <w:bottom w:val="nil"/>
              <w:right w:val="nil"/>
            </w:tcBorders>
            <w:shd w:val="clear" w:color="auto" w:fill="auto"/>
            <w:noWrap/>
            <w:vAlign w:val="bottom"/>
            <w:hideMark/>
          </w:tcPr>
          <w:p w14:paraId="3C4A8C1F"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Rusia</w:t>
            </w:r>
          </w:p>
        </w:tc>
        <w:tc>
          <w:tcPr>
            <w:tcW w:w="397" w:type="pct"/>
            <w:tcBorders>
              <w:top w:val="nil"/>
              <w:left w:val="nil"/>
              <w:bottom w:val="nil"/>
              <w:right w:val="nil"/>
            </w:tcBorders>
            <w:shd w:val="clear" w:color="auto" w:fill="auto"/>
            <w:noWrap/>
            <w:vAlign w:val="bottom"/>
            <w:hideMark/>
          </w:tcPr>
          <w:p w14:paraId="12EE44D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59D40C8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36F16CC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0,4</w:t>
            </w:r>
          </w:p>
        </w:tc>
        <w:tc>
          <w:tcPr>
            <w:tcW w:w="397" w:type="pct"/>
            <w:tcBorders>
              <w:top w:val="nil"/>
              <w:left w:val="nil"/>
              <w:bottom w:val="nil"/>
              <w:right w:val="nil"/>
            </w:tcBorders>
            <w:shd w:val="clear" w:color="auto" w:fill="auto"/>
            <w:noWrap/>
            <w:vAlign w:val="bottom"/>
            <w:hideMark/>
          </w:tcPr>
          <w:p w14:paraId="66E646E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0,0</w:t>
            </w:r>
          </w:p>
        </w:tc>
        <w:tc>
          <w:tcPr>
            <w:tcW w:w="397" w:type="pct"/>
            <w:tcBorders>
              <w:top w:val="nil"/>
              <w:left w:val="nil"/>
              <w:bottom w:val="nil"/>
              <w:right w:val="nil"/>
            </w:tcBorders>
            <w:shd w:val="clear" w:color="auto" w:fill="auto"/>
            <w:noWrap/>
            <w:vAlign w:val="bottom"/>
            <w:hideMark/>
          </w:tcPr>
          <w:p w14:paraId="2B3A485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0,0</w:t>
            </w:r>
          </w:p>
        </w:tc>
        <w:tc>
          <w:tcPr>
            <w:tcW w:w="464" w:type="pct"/>
            <w:tcBorders>
              <w:top w:val="nil"/>
              <w:left w:val="nil"/>
              <w:bottom w:val="nil"/>
              <w:right w:val="nil"/>
            </w:tcBorders>
            <w:shd w:val="clear" w:color="auto" w:fill="auto"/>
            <w:noWrap/>
            <w:vAlign w:val="bottom"/>
            <w:hideMark/>
          </w:tcPr>
          <w:p w14:paraId="75F5C4D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w:t>
            </w:r>
          </w:p>
        </w:tc>
        <w:tc>
          <w:tcPr>
            <w:tcW w:w="464" w:type="pct"/>
            <w:tcBorders>
              <w:top w:val="nil"/>
              <w:left w:val="nil"/>
              <w:bottom w:val="nil"/>
              <w:right w:val="nil"/>
            </w:tcBorders>
            <w:shd w:val="clear" w:color="auto" w:fill="auto"/>
            <w:noWrap/>
            <w:vAlign w:val="bottom"/>
            <w:hideMark/>
          </w:tcPr>
          <w:p w14:paraId="708E1FE9"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4,1</w:t>
            </w:r>
          </w:p>
        </w:tc>
        <w:tc>
          <w:tcPr>
            <w:tcW w:w="464" w:type="pct"/>
            <w:tcBorders>
              <w:top w:val="nil"/>
              <w:left w:val="nil"/>
              <w:bottom w:val="nil"/>
              <w:right w:val="nil"/>
            </w:tcBorders>
            <w:shd w:val="clear" w:color="auto" w:fill="auto"/>
            <w:noWrap/>
            <w:vAlign w:val="bottom"/>
            <w:hideMark/>
          </w:tcPr>
          <w:p w14:paraId="176B0E6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3,9</w:t>
            </w:r>
          </w:p>
        </w:tc>
        <w:tc>
          <w:tcPr>
            <w:tcW w:w="461" w:type="pct"/>
            <w:tcBorders>
              <w:top w:val="nil"/>
              <w:left w:val="nil"/>
              <w:bottom w:val="nil"/>
              <w:right w:val="nil"/>
            </w:tcBorders>
            <w:shd w:val="clear" w:color="auto" w:fill="auto"/>
            <w:noWrap/>
            <w:vAlign w:val="bottom"/>
            <w:hideMark/>
          </w:tcPr>
          <w:p w14:paraId="011365E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4,5</w:t>
            </w:r>
          </w:p>
        </w:tc>
      </w:tr>
      <w:tr w:rsidR="001579BE" w:rsidRPr="006A71C3" w14:paraId="57D28CBF" w14:textId="77777777" w:rsidTr="00377237">
        <w:trPr>
          <w:trHeight w:val="310"/>
        </w:trPr>
        <w:tc>
          <w:tcPr>
            <w:tcW w:w="229" w:type="pct"/>
            <w:tcBorders>
              <w:top w:val="nil"/>
              <w:left w:val="nil"/>
              <w:bottom w:val="nil"/>
              <w:right w:val="nil"/>
            </w:tcBorders>
            <w:shd w:val="clear" w:color="auto" w:fill="auto"/>
            <w:noWrap/>
            <w:vAlign w:val="bottom"/>
            <w:hideMark/>
          </w:tcPr>
          <w:p w14:paraId="02047D9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6</w:t>
            </w:r>
          </w:p>
        </w:tc>
        <w:tc>
          <w:tcPr>
            <w:tcW w:w="934" w:type="pct"/>
            <w:tcBorders>
              <w:top w:val="nil"/>
              <w:left w:val="nil"/>
              <w:bottom w:val="nil"/>
              <w:right w:val="nil"/>
            </w:tcBorders>
            <w:shd w:val="clear" w:color="auto" w:fill="auto"/>
            <w:noWrap/>
            <w:vAlign w:val="bottom"/>
            <w:hideMark/>
          </w:tcPr>
          <w:p w14:paraId="0152108D"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Unión Europea</w:t>
            </w:r>
          </w:p>
        </w:tc>
        <w:tc>
          <w:tcPr>
            <w:tcW w:w="397" w:type="pct"/>
            <w:tcBorders>
              <w:top w:val="nil"/>
              <w:left w:val="nil"/>
              <w:bottom w:val="nil"/>
              <w:right w:val="nil"/>
            </w:tcBorders>
            <w:shd w:val="clear" w:color="auto" w:fill="auto"/>
            <w:noWrap/>
            <w:vAlign w:val="bottom"/>
            <w:hideMark/>
          </w:tcPr>
          <w:p w14:paraId="4451A1C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4,9</w:t>
            </w:r>
          </w:p>
        </w:tc>
        <w:tc>
          <w:tcPr>
            <w:tcW w:w="397" w:type="pct"/>
            <w:tcBorders>
              <w:top w:val="nil"/>
              <w:left w:val="nil"/>
              <w:bottom w:val="nil"/>
              <w:right w:val="nil"/>
            </w:tcBorders>
            <w:shd w:val="clear" w:color="auto" w:fill="auto"/>
            <w:noWrap/>
            <w:vAlign w:val="bottom"/>
            <w:hideMark/>
          </w:tcPr>
          <w:p w14:paraId="0AB834B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57CC218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0,2</w:t>
            </w:r>
          </w:p>
        </w:tc>
        <w:tc>
          <w:tcPr>
            <w:tcW w:w="397" w:type="pct"/>
            <w:tcBorders>
              <w:top w:val="nil"/>
              <w:left w:val="nil"/>
              <w:bottom w:val="nil"/>
              <w:right w:val="nil"/>
            </w:tcBorders>
            <w:shd w:val="clear" w:color="auto" w:fill="auto"/>
            <w:noWrap/>
            <w:vAlign w:val="bottom"/>
            <w:hideMark/>
          </w:tcPr>
          <w:p w14:paraId="4D2E52D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0,5</w:t>
            </w:r>
          </w:p>
        </w:tc>
        <w:tc>
          <w:tcPr>
            <w:tcW w:w="397" w:type="pct"/>
            <w:tcBorders>
              <w:top w:val="nil"/>
              <w:left w:val="nil"/>
              <w:bottom w:val="nil"/>
              <w:right w:val="nil"/>
            </w:tcBorders>
            <w:shd w:val="clear" w:color="auto" w:fill="auto"/>
            <w:noWrap/>
            <w:vAlign w:val="bottom"/>
            <w:hideMark/>
          </w:tcPr>
          <w:p w14:paraId="052BE68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w:t>
            </w:r>
          </w:p>
        </w:tc>
        <w:tc>
          <w:tcPr>
            <w:tcW w:w="464" w:type="pct"/>
            <w:tcBorders>
              <w:top w:val="nil"/>
              <w:left w:val="nil"/>
              <w:bottom w:val="nil"/>
              <w:right w:val="nil"/>
            </w:tcBorders>
            <w:shd w:val="clear" w:color="auto" w:fill="auto"/>
            <w:noWrap/>
            <w:vAlign w:val="bottom"/>
            <w:hideMark/>
          </w:tcPr>
          <w:p w14:paraId="0038AC2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4,3</w:t>
            </w:r>
          </w:p>
        </w:tc>
        <w:tc>
          <w:tcPr>
            <w:tcW w:w="464" w:type="pct"/>
            <w:tcBorders>
              <w:top w:val="nil"/>
              <w:left w:val="nil"/>
              <w:bottom w:val="nil"/>
              <w:right w:val="nil"/>
            </w:tcBorders>
            <w:shd w:val="clear" w:color="auto" w:fill="auto"/>
            <w:noWrap/>
            <w:vAlign w:val="bottom"/>
            <w:hideMark/>
          </w:tcPr>
          <w:p w14:paraId="19303FF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5,4</w:t>
            </w:r>
          </w:p>
        </w:tc>
        <w:tc>
          <w:tcPr>
            <w:tcW w:w="464" w:type="pct"/>
            <w:tcBorders>
              <w:top w:val="nil"/>
              <w:left w:val="nil"/>
              <w:bottom w:val="nil"/>
              <w:right w:val="nil"/>
            </w:tcBorders>
            <w:shd w:val="clear" w:color="auto" w:fill="auto"/>
            <w:noWrap/>
            <w:vAlign w:val="bottom"/>
            <w:hideMark/>
          </w:tcPr>
          <w:p w14:paraId="6B128F4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3,4</w:t>
            </w:r>
          </w:p>
        </w:tc>
        <w:tc>
          <w:tcPr>
            <w:tcW w:w="461" w:type="pct"/>
            <w:tcBorders>
              <w:top w:val="nil"/>
              <w:left w:val="nil"/>
              <w:bottom w:val="nil"/>
              <w:right w:val="nil"/>
            </w:tcBorders>
            <w:shd w:val="clear" w:color="auto" w:fill="auto"/>
            <w:noWrap/>
            <w:vAlign w:val="bottom"/>
            <w:hideMark/>
          </w:tcPr>
          <w:p w14:paraId="420F162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4,1</w:t>
            </w:r>
          </w:p>
        </w:tc>
      </w:tr>
      <w:tr w:rsidR="001579BE" w:rsidRPr="006A71C3" w14:paraId="627947C6" w14:textId="77777777" w:rsidTr="00377237">
        <w:trPr>
          <w:trHeight w:val="310"/>
        </w:trPr>
        <w:tc>
          <w:tcPr>
            <w:tcW w:w="229" w:type="pct"/>
            <w:tcBorders>
              <w:top w:val="nil"/>
              <w:left w:val="nil"/>
              <w:bottom w:val="nil"/>
              <w:right w:val="nil"/>
            </w:tcBorders>
            <w:shd w:val="clear" w:color="auto" w:fill="auto"/>
            <w:noWrap/>
            <w:vAlign w:val="bottom"/>
            <w:hideMark/>
          </w:tcPr>
          <w:p w14:paraId="436E516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7</w:t>
            </w:r>
          </w:p>
        </w:tc>
        <w:tc>
          <w:tcPr>
            <w:tcW w:w="934" w:type="pct"/>
            <w:tcBorders>
              <w:top w:val="nil"/>
              <w:left w:val="nil"/>
              <w:bottom w:val="nil"/>
              <w:right w:val="nil"/>
            </w:tcBorders>
            <w:shd w:val="clear" w:color="auto" w:fill="auto"/>
            <w:noWrap/>
            <w:vAlign w:val="bottom"/>
            <w:hideMark/>
          </w:tcPr>
          <w:p w14:paraId="7A35CA56"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Sudáfrica</w:t>
            </w:r>
          </w:p>
        </w:tc>
        <w:tc>
          <w:tcPr>
            <w:tcW w:w="397" w:type="pct"/>
            <w:tcBorders>
              <w:top w:val="nil"/>
              <w:left w:val="nil"/>
              <w:bottom w:val="nil"/>
              <w:right w:val="nil"/>
            </w:tcBorders>
            <w:shd w:val="clear" w:color="auto" w:fill="auto"/>
            <w:noWrap/>
            <w:vAlign w:val="bottom"/>
            <w:hideMark/>
          </w:tcPr>
          <w:p w14:paraId="7CA030F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2,6</w:t>
            </w:r>
          </w:p>
        </w:tc>
        <w:tc>
          <w:tcPr>
            <w:tcW w:w="397" w:type="pct"/>
            <w:tcBorders>
              <w:top w:val="nil"/>
              <w:left w:val="nil"/>
              <w:bottom w:val="nil"/>
              <w:right w:val="nil"/>
            </w:tcBorders>
            <w:shd w:val="clear" w:color="auto" w:fill="auto"/>
            <w:noWrap/>
            <w:vAlign w:val="bottom"/>
            <w:hideMark/>
          </w:tcPr>
          <w:p w14:paraId="28843B8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5,0</w:t>
            </w:r>
          </w:p>
        </w:tc>
        <w:tc>
          <w:tcPr>
            <w:tcW w:w="397" w:type="pct"/>
            <w:tcBorders>
              <w:top w:val="nil"/>
              <w:left w:val="nil"/>
              <w:bottom w:val="nil"/>
              <w:right w:val="nil"/>
            </w:tcBorders>
            <w:shd w:val="clear" w:color="auto" w:fill="auto"/>
            <w:noWrap/>
            <w:vAlign w:val="bottom"/>
            <w:hideMark/>
          </w:tcPr>
          <w:p w14:paraId="73ED110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0,9</w:t>
            </w:r>
          </w:p>
        </w:tc>
        <w:tc>
          <w:tcPr>
            <w:tcW w:w="397" w:type="pct"/>
            <w:tcBorders>
              <w:top w:val="nil"/>
              <w:left w:val="nil"/>
              <w:bottom w:val="nil"/>
              <w:right w:val="nil"/>
            </w:tcBorders>
            <w:shd w:val="clear" w:color="auto" w:fill="auto"/>
            <w:noWrap/>
            <w:vAlign w:val="bottom"/>
            <w:hideMark/>
          </w:tcPr>
          <w:p w14:paraId="68B3D31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w:t>
            </w:r>
          </w:p>
        </w:tc>
        <w:tc>
          <w:tcPr>
            <w:tcW w:w="397" w:type="pct"/>
            <w:tcBorders>
              <w:top w:val="nil"/>
              <w:left w:val="nil"/>
              <w:bottom w:val="nil"/>
              <w:right w:val="nil"/>
            </w:tcBorders>
            <w:shd w:val="clear" w:color="auto" w:fill="auto"/>
            <w:noWrap/>
            <w:vAlign w:val="bottom"/>
            <w:hideMark/>
          </w:tcPr>
          <w:p w14:paraId="55B73D7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2,4</w:t>
            </w:r>
          </w:p>
        </w:tc>
        <w:tc>
          <w:tcPr>
            <w:tcW w:w="464" w:type="pct"/>
            <w:tcBorders>
              <w:top w:val="nil"/>
              <w:left w:val="nil"/>
              <w:bottom w:val="nil"/>
              <w:right w:val="nil"/>
            </w:tcBorders>
            <w:shd w:val="clear" w:color="auto" w:fill="auto"/>
            <w:noWrap/>
            <w:vAlign w:val="bottom"/>
            <w:hideMark/>
          </w:tcPr>
          <w:p w14:paraId="71BE5CC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w:t>
            </w:r>
          </w:p>
        </w:tc>
        <w:tc>
          <w:tcPr>
            <w:tcW w:w="464" w:type="pct"/>
            <w:tcBorders>
              <w:top w:val="nil"/>
              <w:left w:val="nil"/>
              <w:bottom w:val="nil"/>
              <w:right w:val="nil"/>
            </w:tcBorders>
            <w:shd w:val="clear" w:color="auto" w:fill="auto"/>
            <w:noWrap/>
            <w:vAlign w:val="bottom"/>
            <w:hideMark/>
          </w:tcPr>
          <w:p w14:paraId="2EF9B72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2,5</w:t>
            </w:r>
          </w:p>
        </w:tc>
        <w:tc>
          <w:tcPr>
            <w:tcW w:w="464" w:type="pct"/>
            <w:tcBorders>
              <w:top w:val="nil"/>
              <w:left w:val="nil"/>
              <w:bottom w:val="nil"/>
              <w:right w:val="nil"/>
            </w:tcBorders>
            <w:shd w:val="clear" w:color="auto" w:fill="auto"/>
            <w:noWrap/>
            <w:vAlign w:val="bottom"/>
            <w:hideMark/>
          </w:tcPr>
          <w:p w14:paraId="3CF5097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3,2</w:t>
            </w:r>
          </w:p>
        </w:tc>
        <w:tc>
          <w:tcPr>
            <w:tcW w:w="461" w:type="pct"/>
            <w:tcBorders>
              <w:top w:val="nil"/>
              <w:left w:val="nil"/>
              <w:bottom w:val="nil"/>
              <w:right w:val="nil"/>
            </w:tcBorders>
            <w:shd w:val="clear" w:color="auto" w:fill="auto"/>
            <w:noWrap/>
            <w:vAlign w:val="bottom"/>
            <w:hideMark/>
          </w:tcPr>
          <w:p w14:paraId="1F783AE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3,2</w:t>
            </w:r>
          </w:p>
        </w:tc>
      </w:tr>
      <w:tr w:rsidR="001579BE" w:rsidRPr="006A71C3" w14:paraId="79569F9C" w14:textId="77777777" w:rsidTr="00377237">
        <w:trPr>
          <w:trHeight w:val="310"/>
        </w:trPr>
        <w:tc>
          <w:tcPr>
            <w:tcW w:w="229" w:type="pct"/>
            <w:tcBorders>
              <w:top w:val="nil"/>
              <w:left w:val="nil"/>
              <w:bottom w:val="nil"/>
              <w:right w:val="nil"/>
            </w:tcBorders>
            <w:shd w:val="clear" w:color="auto" w:fill="auto"/>
            <w:noWrap/>
            <w:vAlign w:val="bottom"/>
            <w:hideMark/>
          </w:tcPr>
          <w:p w14:paraId="61C3612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1F73EAEB"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Otros</w:t>
            </w:r>
          </w:p>
        </w:tc>
        <w:tc>
          <w:tcPr>
            <w:tcW w:w="397" w:type="pct"/>
            <w:tcBorders>
              <w:top w:val="nil"/>
              <w:left w:val="nil"/>
              <w:bottom w:val="nil"/>
              <w:right w:val="nil"/>
            </w:tcBorders>
            <w:shd w:val="clear" w:color="auto" w:fill="auto"/>
            <w:noWrap/>
            <w:vAlign w:val="bottom"/>
            <w:hideMark/>
          </w:tcPr>
          <w:p w14:paraId="3D07FE9B"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76BF53DA"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2500C058"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8,7</w:t>
            </w:r>
          </w:p>
        </w:tc>
        <w:tc>
          <w:tcPr>
            <w:tcW w:w="397" w:type="pct"/>
            <w:tcBorders>
              <w:top w:val="nil"/>
              <w:left w:val="nil"/>
              <w:bottom w:val="nil"/>
              <w:right w:val="nil"/>
            </w:tcBorders>
            <w:shd w:val="clear" w:color="auto" w:fill="auto"/>
            <w:noWrap/>
            <w:vAlign w:val="bottom"/>
            <w:hideMark/>
          </w:tcPr>
          <w:p w14:paraId="28DFA40C"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9,3</w:t>
            </w:r>
          </w:p>
        </w:tc>
        <w:tc>
          <w:tcPr>
            <w:tcW w:w="397" w:type="pct"/>
            <w:tcBorders>
              <w:top w:val="nil"/>
              <w:left w:val="nil"/>
              <w:bottom w:val="nil"/>
              <w:right w:val="nil"/>
            </w:tcBorders>
            <w:shd w:val="clear" w:color="auto" w:fill="auto"/>
            <w:noWrap/>
            <w:vAlign w:val="bottom"/>
            <w:hideMark/>
          </w:tcPr>
          <w:p w14:paraId="26A51D0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11,7</w:t>
            </w:r>
          </w:p>
        </w:tc>
        <w:tc>
          <w:tcPr>
            <w:tcW w:w="464" w:type="pct"/>
            <w:tcBorders>
              <w:top w:val="nil"/>
              <w:left w:val="nil"/>
              <w:bottom w:val="nil"/>
              <w:right w:val="nil"/>
            </w:tcBorders>
            <w:shd w:val="clear" w:color="auto" w:fill="auto"/>
            <w:noWrap/>
            <w:vAlign w:val="bottom"/>
            <w:hideMark/>
          </w:tcPr>
          <w:p w14:paraId="27585A82"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14,4</w:t>
            </w:r>
          </w:p>
        </w:tc>
        <w:tc>
          <w:tcPr>
            <w:tcW w:w="464" w:type="pct"/>
            <w:tcBorders>
              <w:top w:val="nil"/>
              <w:left w:val="nil"/>
              <w:bottom w:val="nil"/>
              <w:right w:val="nil"/>
            </w:tcBorders>
            <w:shd w:val="clear" w:color="auto" w:fill="auto"/>
            <w:noWrap/>
            <w:vAlign w:val="bottom"/>
            <w:hideMark/>
          </w:tcPr>
          <w:p w14:paraId="0394FE74"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14,9</w:t>
            </w:r>
          </w:p>
        </w:tc>
        <w:tc>
          <w:tcPr>
            <w:tcW w:w="464" w:type="pct"/>
            <w:tcBorders>
              <w:top w:val="nil"/>
              <w:left w:val="nil"/>
              <w:bottom w:val="nil"/>
              <w:right w:val="nil"/>
            </w:tcBorders>
            <w:shd w:val="clear" w:color="auto" w:fill="auto"/>
            <w:noWrap/>
            <w:vAlign w:val="bottom"/>
            <w:hideMark/>
          </w:tcPr>
          <w:p w14:paraId="05F257B9"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16,3</w:t>
            </w:r>
          </w:p>
        </w:tc>
        <w:tc>
          <w:tcPr>
            <w:tcW w:w="461" w:type="pct"/>
            <w:tcBorders>
              <w:top w:val="nil"/>
              <w:left w:val="nil"/>
              <w:bottom w:val="nil"/>
              <w:right w:val="nil"/>
            </w:tcBorders>
            <w:shd w:val="clear" w:color="auto" w:fill="auto"/>
            <w:noWrap/>
            <w:vAlign w:val="bottom"/>
            <w:hideMark/>
          </w:tcPr>
          <w:p w14:paraId="3D1C14CC"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14,1</w:t>
            </w:r>
          </w:p>
        </w:tc>
      </w:tr>
      <w:tr w:rsidR="001579BE" w:rsidRPr="006A71C3" w14:paraId="6AD3F568" w14:textId="77777777" w:rsidTr="00377237">
        <w:trPr>
          <w:trHeight w:val="310"/>
        </w:trPr>
        <w:tc>
          <w:tcPr>
            <w:tcW w:w="229" w:type="pct"/>
            <w:tcBorders>
              <w:top w:val="nil"/>
              <w:left w:val="nil"/>
              <w:bottom w:val="nil"/>
              <w:right w:val="nil"/>
            </w:tcBorders>
            <w:shd w:val="clear" w:color="auto" w:fill="auto"/>
            <w:noWrap/>
            <w:vAlign w:val="bottom"/>
            <w:hideMark/>
          </w:tcPr>
          <w:p w14:paraId="0B362B2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single" w:sz="4" w:space="0" w:color="auto"/>
              <w:right w:val="nil"/>
            </w:tcBorders>
            <w:shd w:val="clear" w:color="auto" w:fill="auto"/>
            <w:noWrap/>
            <w:vAlign w:val="bottom"/>
            <w:hideMark/>
          </w:tcPr>
          <w:p w14:paraId="3821ED81"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Mundo</w:t>
            </w:r>
          </w:p>
        </w:tc>
        <w:tc>
          <w:tcPr>
            <w:tcW w:w="397" w:type="pct"/>
            <w:tcBorders>
              <w:top w:val="nil"/>
              <w:left w:val="nil"/>
              <w:bottom w:val="single" w:sz="4" w:space="0" w:color="auto"/>
              <w:right w:val="nil"/>
            </w:tcBorders>
            <w:shd w:val="clear" w:color="auto" w:fill="auto"/>
            <w:noWrap/>
            <w:vAlign w:val="bottom"/>
            <w:hideMark/>
          </w:tcPr>
          <w:p w14:paraId="08A13726"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32,2</w:t>
            </w:r>
          </w:p>
        </w:tc>
        <w:tc>
          <w:tcPr>
            <w:tcW w:w="397" w:type="pct"/>
            <w:tcBorders>
              <w:top w:val="nil"/>
              <w:left w:val="nil"/>
              <w:bottom w:val="single" w:sz="4" w:space="0" w:color="auto"/>
              <w:right w:val="nil"/>
            </w:tcBorders>
            <w:shd w:val="clear" w:color="auto" w:fill="auto"/>
            <w:noWrap/>
            <w:vAlign w:val="bottom"/>
            <w:hideMark/>
          </w:tcPr>
          <w:p w14:paraId="2BCD52A5"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80,3</w:t>
            </w:r>
          </w:p>
        </w:tc>
        <w:tc>
          <w:tcPr>
            <w:tcW w:w="397" w:type="pct"/>
            <w:tcBorders>
              <w:top w:val="nil"/>
              <w:left w:val="nil"/>
              <w:bottom w:val="single" w:sz="4" w:space="0" w:color="auto"/>
              <w:right w:val="nil"/>
            </w:tcBorders>
            <w:shd w:val="clear" w:color="auto" w:fill="auto"/>
            <w:noWrap/>
            <w:vAlign w:val="bottom"/>
            <w:hideMark/>
          </w:tcPr>
          <w:p w14:paraId="7EE8535D"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58,4</w:t>
            </w:r>
          </w:p>
        </w:tc>
        <w:tc>
          <w:tcPr>
            <w:tcW w:w="397" w:type="pct"/>
            <w:tcBorders>
              <w:top w:val="nil"/>
              <w:left w:val="nil"/>
              <w:bottom w:val="single" w:sz="4" w:space="0" w:color="auto"/>
              <w:right w:val="nil"/>
            </w:tcBorders>
            <w:shd w:val="clear" w:color="auto" w:fill="auto"/>
            <w:noWrap/>
            <w:vAlign w:val="bottom"/>
            <w:hideMark/>
          </w:tcPr>
          <w:p w14:paraId="31D3054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76,7</w:t>
            </w:r>
          </w:p>
        </w:tc>
        <w:tc>
          <w:tcPr>
            <w:tcW w:w="397" w:type="pct"/>
            <w:tcBorders>
              <w:top w:val="nil"/>
              <w:left w:val="nil"/>
              <w:bottom w:val="single" w:sz="4" w:space="0" w:color="auto"/>
              <w:right w:val="nil"/>
            </w:tcBorders>
            <w:shd w:val="clear" w:color="auto" w:fill="auto"/>
            <w:noWrap/>
            <w:vAlign w:val="bottom"/>
            <w:hideMark/>
          </w:tcPr>
          <w:p w14:paraId="077F582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91,6</w:t>
            </w:r>
          </w:p>
        </w:tc>
        <w:tc>
          <w:tcPr>
            <w:tcW w:w="464" w:type="pct"/>
            <w:tcBorders>
              <w:top w:val="nil"/>
              <w:left w:val="nil"/>
              <w:bottom w:val="single" w:sz="4" w:space="0" w:color="auto"/>
              <w:right w:val="nil"/>
            </w:tcBorders>
            <w:shd w:val="clear" w:color="auto" w:fill="auto"/>
            <w:noWrap/>
            <w:vAlign w:val="bottom"/>
            <w:hideMark/>
          </w:tcPr>
          <w:p w14:paraId="3B66A43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182,6</w:t>
            </w:r>
          </w:p>
        </w:tc>
        <w:tc>
          <w:tcPr>
            <w:tcW w:w="464" w:type="pct"/>
            <w:tcBorders>
              <w:top w:val="nil"/>
              <w:left w:val="nil"/>
              <w:bottom w:val="single" w:sz="4" w:space="0" w:color="auto"/>
              <w:right w:val="nil"/>
            </w:tcBorders>
            <w:shd w:val="clear" w:color="auto" w:fill="auto"/>
            <w:noWrap/>
            <w:vAlign w:val="bottom"/>
            <w:hideMark/>
          </w:tcPr>
          <w:p w14:paraId="6BB5D094"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172,4</w:t>
            </w:r>
          </w:p>
        </w:tc>
        <w:tc>
          <w:tcPr>
            <w:tcW w:w="464" w:type="pct"/>
            <w:tcBorders>
              <w:top w:val="nil"/>
              <w:left w:val="nil"/>
              <w:bottom w:val="single" w:sz="4" w:space="0" w:color="auto"/>
              <w:right w:val="nil"/>
            </w:tcBorders>
            <w:shd w:val="clear" w:color="auto" w:fill="auto"/>
            <w:noWrap/>
            <w:vAlign w:val="bottom"/>
            <w:hideMark/>
          </w:tcPr>
          <w:p w14:paraId="390FA35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178,0</w:t>
            </w:r>
          </w:p>
        </w:tc>
        <w:tc>
          <w:tcPr>
            <w:tcW w:w="461" w:type="pct"/>
            <w:tcBorders>
              <w:top w:val="nil"/>
              <w:left w:val="nil"/>
              <w:bottom w:val="single" w:sz="4" w:space="0" w:color="auto"/>
              <w:right w:val="nil"/>
            </w:tcBorders>
            <w:shd w:val="clear" w:color="auto" w:fill="auto"/>
            <w:noWrap/>
            <w:vAlign w:val="bottom"/>
            <w:hideMark/>
          </w:tcPr>
          <w:p w14:paraId="27FB32A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201,9</w:t>
            </w:r>
          </w:p>
        </w:tc>
      </w:tr>
    </w:tbl>
    <w:p w14:paraId="607A7976" w14:textId="77777777" w:rsidR="001579BE" w:rsidRDefault="001579BE" w:rsidP="001579BE">
      <w:r>
        <w:br w:type="page"/>
      </w:r>
    </w:p>
    <w:tbl>
      <w:tblPr>
        <w:tblW w:w="5000" w:type="pct"/>
        <w:tblCellMar>
          <w:left w:w="70" w:type="dxa"/>
          <w:right w:w="70" w:type="dxa"/>
        </w:tblCellMar>
        <w:tblLook w:val="04A0" w:firstRow="1" w:lastRow="0" w:firstColumn="1" w:lastColumn="0" w:noHBand="0" w:noVBand="1"/>
      </w:tblPr>
      <w:tblGrid>
        <w:gridCol w:w="390"/>
        <w:gridCol w:w="1590"/>
        <w:gridCol w:w="675"/>
        <w:gridCol w:w="675"/>
        <w:gridCol w:w="675"/>
        <w:gridCol w:w="675"/>
        <w:gridCol w:w="675"/>
        <w:gridCol w:w="789"/>
        <w:gridCol w:w="789"/>
        <w:gridCol w:w="789"/>
        <w:gridCol w:w="782"/>
      </w:tblGrid>
      <w:tr w:rsidR="001579BE" w:rsidRPr="006A71C3" w14:paraId="114E09AF" w14:textId="77777777" w:rsidTr="00377237">
        <w:trPr>
          <w:trHeight w:val="310"/>
        </w:trPr>
        <w:tc>
          <w:tcPr>
            <w:tcW w:w="229" w:type="pct"/>
            <w:tcBorders>
              <w:top w:val="nil"/>
              <w:left w:val="nil"/>
              <w:bottom w:val="nil"/>
              <w:right w:val="nil"/>
            </w:tcBorders>
            <w:shd w:val="clear" w:color="auto" w:fill="auto"/>
            <w:noWrap/>
            <w:vAlign w:val="bottom"/>
            <w:hideMark/>
          </w:tcPr>
          <w:p w14:paraId="5592863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71350BAE"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r w:rsidRPr="006A71C3">
              <w:rPr>
                <w:rFonts w:ascii="Times New Roman" w:eastAsia="Times New Roman" w:hAnsi="Times New Roman" w:cs="Times New Roman"/>
                <w:b/>
                <w:bCs/>
                <w:color w:val="000000"/>
                <w:sz w:val="20"/>
                <w:szCs w:val="20"/>
                <w:lang w:eastAsia="es-ES"/>
              </w:rPr>
              <w:t>Importaciones</w:t>
            </w:r>
          </w:p>
        </w:tc>
        <w:tc>
          <w:tcPr>
            <w:tcW w:w="397" w:type="pct"/>
            <w:tcBorders>
              <w:top w:val="nil"/>
              <w:left w:val="nil"/>
              <w:bottom w:val="nil"/>
              <w:right w:val="nil"/>
            </w:tcBorders>
            <w:shd w:val="clear" w:color="auto" w:fill="auto"/>
            <w:noWrap/>
            <w:vAlign w:val="bottom"/>
            <w:hideMark/>
          </w:tcPr>
          <w:p w14:paraId="1B0E0886" w14:textId="77777777" w:rsidR="001579BE" w:rsidRPr="006A71C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397" w:type="pct"/>
            <w:tcBorders>
              <w:top w:val="nil"/>
              <w:left w:val="nil"/>
              <w:bottom w:val="nil"/>
              <w:right w:val="nil"/>
            </w:tcBorders>
            <w:shd w:val="clear" w:color="auto" w:fill="auto"/>
            <w:noWrap/>
            <w:vAlign w:val="bottom"/>
            <w:hideMark/>
          </w:tcPr>
          <w:p w14:paraId="0469CF54"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6A438A67"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3C2176CC"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397" w:type="pct"/>
            <w:tcBorders>
              <w:top w:val="nil"/>
              <w:left w:val="nil"/>
              <w:bottom w:val="nil"/>
              <w:right w:val="nil"/>
            </w:tcBorders>
            <w:shd w:val="clear" w:color="auto" w:fill="auto"/>
            <w:noWrap/>
            <w:vAlign w:val="bottom"/>
            <w:hideMark/>
          </w:tcPr>
          <w:p w14:paraId="6AD740BB"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5EDB30DB"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19EE2331"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4" w:type="pct"/>
            <w:tcBorders>
              <w:top w:val="nil"/>
              <w:left w:val="nil"/>
              <w:bottom w:val="nil"/>
              <w:right w:val="nil"/>
            </w:tcBorders>
            <w:shd w:val="clear" w:color="auto" w:fill="auto"/>
            <w:noWrap/>
            <w:vAlign w:val="bottom"/>
            <w:hideMark/>
          </w:tcPr>
          <w:p w14:paraId="5FC8DC46"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c>
          <w:tcPr>
            <w:tcW w:w="461" w:type="pct"/>
            <w:tcBorders>
              <w:top w:val="nil"/>
              <w:left w:val="nil"/>
              <w:bottom w:val="nil"/>
              <w:right w:val="nil"/>
            </w:tcBorders>
            <w:shd w:val="clear" w:color="auto" w:fill="auto"/>
            <w:noWrap/>
            <w:vAlign w:val="bottom"/>
            <w:hideMark/>
          </w:tcPr>
          <w:p w14:paraId="37B76297" w14:textId="77777777" w:rsidR="001579BE" w:rsidRPr="006A71C3" w:rsidRDefault="001579BE" w:rsidP="00377237">
            <w:pPr>
              <w:spacing w:after="0" w:line="240" w:lineRule="auto"/>
              <w:jc w:val="right"/>
              <w:rPr>
                <w:rFonts w:ascii="Times New Roman" w:eastAsia="Times New Roman" w:hAnsi="Times New Roman" w:cs="Times New Roman"/>
                <w:sz w:val="20"/>
                <w:szCs w:val="20"/>
                <w:lang w:eastAsia="es-ES"/>
              </w:rPr>
            </w:pPr>
          </w:p>
        </w:tc>
      </w:tr>
      <w:tr w:rsidR="001579BE" w:rsidRPr="006A71C3" w14:paraId="2E813CF3" w14:textId="77777777" w:rsidTr="00377237">
        <w:trPr>
          <w:trHeight w:val="310"/>
        </w:trPr>
        <w:tc>
          <w:tcPr>
            <w:tcW w:w="229" w:type="pct"/>
            <w:tcBorders>
              <w:top w:val="nil"/>
              <w:left w:val="nil"/>
              <w:bottom w:val="nil"/>
              <w:right w:val="nil"/>
            </w:tcBorders>
            <w:shd w:val="clear" w:color="auto" w:fill="auto"/>
            <w:noWrap/>
            <w:vAlign w:val="bottom"/>
            <w:hideMark/>
          </w:tcPr>
          <w:p w14:paraId="79D6355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w:t>
            </w:r>
          </w:p>
        </w:tc>
        <w:tc>
          <w:tcPr>
            <w:tcW w:w="934" w:type="pct"/>
            <w:tcBorders>
              <w:top w:val="nil"/>
              <w:left w:val="nil"/>
              <w:bottom w:val="nil"/>
              <w:right w:val="nil"/>
            </w:tcBorders>
            <w:shd w:val="clear" w:color="auto" w:fill="auto"/>
            <w:noWrap/>
            <w:vAlign w:val="bottom"/>
            <w:hideMark/>
          </w:tcPr>
          <w:p w14:paraId="29C968B5"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China</w:t>
            </w:r>
          </w:p>
        </w:tc>
        <w:tc>
          <w:tcPr>
            <w:tcW w:w="397" w:type="pct"/>
            <w:tcBorders>
              <w:top w:val="nil"/>
              <w:left w:val="nil"/>
              <w:bottom w:val="nil"/>
              <w:right w:val="nil"/>
            </w:tcBorders>
            <w:shd w:val="clear" w:color="auto" w:fill="auto"/>
            <w:noWrap/>
            <w:vAlign w:val="bottom"/>
            <w:hideMark/>
          </w:tcPr>
          <w:p w14:paraId="2EC2A56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7C50E68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0,8</w:t>
            </w:r>
          </w:p>
        </w:tc>
        <w:tc>
          <w:tcPr>
            <w:tcW w:w="397" w:type="pct"/>
            <w:tcBorders>
              <w:top w:val="nil"/>
              <w:left w:val="nil"/>
              <w:bottom w:val="nil"/>
              <w:right w:val="nil"/>
            </w:tcBorders>
            <w:shd w:val="clear" w:color="auto" w:fill="auto"/>
            <w:noWrap/>
            <w:vAlign w:val="bottom"/>
            <w:hideMark/>
          </w:tcPr>
          <w:p w14:paraId="46A83E5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3F6BF76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2BFF10E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w:t>
            </w:r>
          </w:p>
        </w:tc>
        <w:tc>
          <w:tcPr>
            <w:tcW w:w="464" w:type="pct"/>
            <w:tcBorders>
              <w:top w:val="nil"/>
              <w:left w:val="nil"/>
              <w:bottom w:val="nil"/>
              <w:right w:val="nil"/>
            </w:tcBorders>
            <w:shd w:val="clear" w:color="auto" w:fill="auto"/>
            <w:noWrap/>
            <w:vAlign w:val="bottom"/>
            <w:hideMark/>
          </w:tcPr>
          <w:p w14:paraId="7338F3C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4,5</w:t>
            </w:r>
          </w:p>
        </w:tc>
        <w:tc>
          <w:tcPr>
            <w:tcW w:w="464" w:type="pct"/>
            <w:tcBorders>
              <w:top w:val="nil"/>
              <w:left w:val="nil"/>
              <w:bottom w:val="nil"/>
              <w:right w:val="nil"/>
            </w:tcBorders>
            <w:shd w:val="clear" w:color="auto" w:fill="auto"/>
            <w:noWrap/>
            <w:vAlign w:val="bottom"/>
            <w:hideMark/>
          </w:tcPr>
          <w:p w14:paraId="6AED863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7,6</w:t>
            </w:r>
          </w:p>
        </w:tc>
        <w:tc>
          <w:tcPr>
            <w:tcW w:w="464" w:type="pct"/>
            <w:tcBorders>
              <w:top w:val="nil"/>
              <w:left w:val="nil"/>
              <w:bottom w:val="nil"/>
              <w:right w:val="nil"/>
            </w:tcBorders>
            <w:shd w:val="clear" w:color="auto" w:fill="auto"/>
            <w:noWrap/>
            <w:vAlign w:val="bottom"/>
            <w:hideMark/>
          </w:tcPr>
          <w:p w14:paraId="3542D34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28,0</w:t>
            </w:r>
          </w:p>
        </w:tc>
        <w:tc>
          <w:tcPr>
            <w:tcW w:w="461" w:type="pct"/>
            <w:tcBorders>
              <w:top w:val="nil"/>
              <w:left w:val="nil"/>
              <w:bottom w:val="nil"/>
              <w:right w:val="nil"/>
            </w:tcBorders>
            <w:shd w:val="clear" w:color="auto" w:fill="auto"/>
            <w:noWrap/>
            <w:vAlign w:val="bottom"/>
            <w:hideMark/>
          </w:tcPr>
          <w:p w14:paraId="5FB143C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26,0</w:t>
            </w:r>
          </w:p>
        </w:tc>
      </w:tr>
      <w:tr w:rsidR="001579BE" w:rsidRPr="006A71C3" w14:paraId="0891AF77" w14:textId="77777777" w:rsidTr="00377237">
        <w:trPr>
          <w:trHeight w:val="310"/>
        </w:trPr>
        <w:tc>
          <w:tcPr>
            <w:tcW w:w="229" w:type="pct"/>
            <w:tcBorders>
              <w:top w:val="nil"/>
              <w:left w:val="nil"/>
              <w:bottom w:val="nil"/>
              <w:right w:val="nil"/>
            </w:tcBorders>
            <w:shd w:val="clear" w:color="auto" w:fill="auto"/>
            <w:noWrap/>
            <w:vAlign w:val="bottom"/>
            <w:hideMark/>
          </w:tcPr>
          <w:p w14:paraId="2F0BF71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w:t>
            </w:r>
          </w:p>
        </w:tc>
        <w:tc>
          <w:tcPr>
            <w:tcW w:w="934" w:type="pct"/>
            <w:tcBorders>
              <w:top w:val="nil"/>
              <w:left w:val="nil"/>
              <w:bottom w:val="nil"/>
              <w:right w:val="nil"/>
            </w:tcBorders>
            <w:shd w:val="clear" w:color="auto" w:fill="auto"/>
            <w:noWrap/>
            <w:vAlign w:val="bottom"/>
            <w:hideMark/>
          </w:tcPr>
          <w:p w14:paraId="79130BC3"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México</w:t>
            </w:r>
          </w:p>
        </w:tc>
        <w:tc>
          <w:tcPr>
            <w:tcW w:w="397" w:type="pct"/>
            <w:tcBorders>
              <w:top w:val="nil"/>
              <w:left w:val="nil"/>
              <w:bottom w:val="nil"/>
              <w:right w:val="nil"/>
            </w:tcBorders>
            <w:shd w:val="clear" w:color="auto" w:fill="auto"/>
            <w:noWrap/>
            <w:vAlign w:val="bottom"/>
            <w:hideMark/>
          </w:tcPr>
          <w:p w14:paraId="6AB732F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112A588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3,8</w:t>
            </w:r>
          </w:p>
        </w:tc>
        <w:tc>
          <w:tcPr>
            <w:tcW w:w="397" w:type="pct"/>
            <w:tcBorders>
              <w:top w:val="nil"/>
              <w:left w:val="nil"/>
              <w:bottom w:val="nil"/>
              <w:right w:val="nil"/>
            </w:tcBorders>
            <w:shd w:val="clear" w:color="auto" w:fill="auto"/>
            <w:noWrap/>
            <w:vAlign w:val="bottom"/>
            <w:hideMark/>
          </w:tcPr>
          <w:p w14:paraId="20936BD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1,9</w:t>
            </w:r>
          </w:p>
        </w:tc>
        <w:tc>
          <w:tcPr>
            <w:tcW w:w="397" w:type="pct"/>
            <w:tcBorders>
              <w:top w:val="nil"/>
              <w:left w:val="nil"/>
              <w:bottom w:val="nil"/>
              <w:right w:val="nil"/>
            </w:tcBorders>
            <w:shd w:val="clear" w:color="auto" w:fill="auto"/>
            <w:noWrap/>
            <w:vAlign w:val="bottom"/>
            <w:hideMark/>
          </w:tcPr>
          <w:p w14:paraId="529C07E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6,0</w:t>
            </w:r>
          </w:p>
        </w:tc>
        <w:tc>
          <w:tcPr>
            <w:tcW w:w="397" w:type="pct"/>
            <w:tcBorders>
              <w:top w:val="nil"/>
              <w:left w:val="nil"/>
              <w:bottom w:val="nil"/>
              <w:right w:val="nil"/>
            </w:tcBorders>
            <w:shd w:val="clear" w:color="auto" w:fill="auto"/>
            <w:noWrap/>
            <w:vAlign w:val="bottom"/>
            <w:hideMark/>
          </w:tcPr>
          <w:p w14:paraId="46E897C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8,3</w:t>
            </w:r>
          </w:p>
        </w:tc>
        <w:tc>
          <w:tcPr>
            <w:tcW w:w="464" w:type="pct"/>
            <w:tcBorders>
              <w:top w:val="nil"/>
              <w:left w:val="nil"/>
              <w:bottom w:val="nil"/>
              <w:right w:val="nil"/>
            </w:tcBorders>
            <w:shd w:val="clear" w:color="auto" w:fill="auto"/>
            <w:noWrap/>
            <w:vAlign w:val="bottom"/>
            <w:hideMark/>
          </w:tcPr>
          <w:p w14:paraId="6413FCE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16,7</w:t>
            </w:r>
          </w:p>
        </w:tc>
        <w:tc>
          <w:tcPr>
            <w:tcW w:w="464" w:type="pct"/>
            <w:tcBorders>
              <w:top w:val="nil"/>
              <w:left w:val="nil"/>
              <w:bottom w:val="nil"/>
              <w:right w:val="nil"/>
            </w:tcBorders>
            <w:shd w:val="clear" w:color="auto" w:fill="auto"/>
            <w:noWrap/>
            <w:vAlign w:val="bottom"/>
            <w:hideMark/>
          </w:tcPr>
          <w:p w14:paraId="6DDAA9B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16,5</w:t>
            </w:r>
          </w:p>
        </w:tc>
        <w:tc>
          <w:tcPr>
            <w:tcW w:w="464" w:type="pct"/>
            <w:tcBorders>
              <w:top w:val="nil"/>
              <w:left w:val="nil"/>
              <w:bottom w:val="nil"/>
              <w:right w:val="nil"/>
            </w:tcBorders>
            <w:shd w:val="clear" w:color="auto" w:fill="auto"/>
            <w:noWrap/>
            <w:vAlign w:val="bottom"/>
            <w:hideMark/>
          </w:tcPr>
          <w:p w14:paraId="78ADFCB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16,5</w:t>
            </w:r>
          </w:p>
        </w:tc>
        <w:tc>
          <w:tcPr>
            <w:tcW w:w="461" w:type="pct"/>
            <w:tcBorders>
              <w:top w:val="nil"/>
              <w:left w:val="nil"/>
              <w:bottom w:val="nil"/>
              <w:right w:val="nil"/>
            </w:tcBorders>
            <w:shd w:val="clear" w:color="auto" w:fill="auto"/>
            <w:noWrap/>
            <w:vAlign w:val="bottom"/>
            <w:hideMark/>
          </w:tcPr>
          <w:p w14:paraId="45C3EE1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17,0</w:t>
            </w:r>
          </w:p>
        </w:tc>
      </w:tr>
      <w:tr w:rsidR="001579BE" w:rsidRPr="006A71C3" w14:paraId="39B1307B" w14:textId="77777777" w:rsidTr="00377237">
        <w:trPr>
          <w:trHeight w:val="310"/>
        </w:trPr>
        <w:tc>
          <w:tcPr>
            <w:tcW w:w="229" w:type="pct"/>
            <w:tcBorders>
              <w:top w:val="nil"/>
              <w:left w:val="nil"/>
              <w:bottom w:val="nil"/>
              <w:right w:val="nil"/>
            </w:tcBorders>
            <w:shd w:val="clear" w:color="auto" w:fill="auto"/>
            <w:noWrap/>
            <w:vAlign w:val="bottom"/>
            <w:hideMark/>
          </w:tcPr>
          <w:p w14:paraId="58052A2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w:t>
            </w:r>
          </w:p>
        </w:tc>
        <w:tc>
          <w:tcPr>
            <w:tcW w:w="934" w:type="pct"/>
            <w:tcBorders>
              <w:top w:val="nil"/>
              <w:left w:val="nil"/>
              <w:bottom w:val="nil"/>
              <w:right w:val="nil"/>
            </w:tcBorders>
            <w:shd w:val="clear" w:color="auto" w:fill="auto"/>
            <w:noWrap/>
            <w:vAlign w:val="bottom"/>
            <w:hideMark/>
          </w:tcPr>
          <w:p w14:paraId="592F8777"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Japón</w:t>
            </w:r>
          </w:p>
        </w:tc>
        <w:tc>
          <w:tcPr>
            <w:tcW w:w="397" w:type="pct"/>
            <w:tcBorders>
              <w:top w:val="nil"/>
              <w:left w:val="nil"/>
              <w:bottom w:val="nil"/>
              <w:right w:val="nil"/>
            </w:tcBorders>
            <w:shd w:val="clear" w:color="auto" w:fill="auto"/>
            <w:noWrap/>
            <w:vAlign w:val="bottom"/>
            <w:hideMark/>
          </w:tcPr>
          <w:p w14:paraId="0F6CC3E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5,2</w:t>
            </w:r>
          </w:p>
        </w:tc>
        <w:tc>
          <w:tcPr>
            <w:tcW w:w="397" w:type="pct"/>
            <w:tcBorders>
              <w:top w:val="nil"/>
              <w:left w:val="nil"/>
              <w:bottom w:val="nil"/>
              <w:right w:val="nil"/>
            </w:tcBorders>
            <w:shd w:val="clear" w:color="auto" w:fill="auto"/>
            <w:noWrap/>
            <w:vAlign w:val="bottom"/>
            <w:hideMark/>
          </w:tcPr>
          <w:p w14:paraId="5AA3A54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14,0</w:t>
            </w:r>
          </w:p>
        </w:tc>
        <w:tc>
          <w:tcPr>
            <w:tcW w:w="397" w:type="pct"/>
            <w:tcBorders>
              <w:top w:val="nil"/>
              <w:left w:val="nil"/>
              <w:bottom w:val="nil"/>
              <w:right w:val="nil"/>
            </w:tcBorders>
            <w:shd w:val="clear" w:color="auto" w:fill="auto"/>
            <w:noWrap/>
            <w:vAlign w:val="bottom"/>
            <w:hideMark/>
          </w:tcPr>
          <w:p w14:paraId="53081EA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16,3</w:t>
            </w:r>
          </w:p>
        </w:tc>
        <w:tc>
          <w:tcPr>
            <w:tcW w:w="397" w:type="pct"/>
            <w:tcBorders>
              <w:top w:val="nil"/>
              <w:left w:val="nil"/>
              <w:bottom w:val="nil"/>
              <w:right w:val="nil"/>
            </w:tcBorders>
            <w:shd w:val="clear" w:color="auto" w:fill="auto"/>
            <w:noWrap/>
            <w:vAlign w:val="bottom"/>
            <w:hideMark/>
          </w:tcPr>
          <w:p w14:paraId="798DF88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16,3</w:t>
            </w:r>
          </w:p>
        </w:tc>
        <w:tc>
          <w:tcPr>
            <w:tcW w:w="397" w:type="pct"/>
            <w:tcBorders>
              <w:top w:val="nil"/>
              <w:left w:val="nil"/>
              <w:bottom w:val="nil"/>
              <w:right w:val="nil"/>
            </w:tcBorders>
            <w:shd w:val="clear" w:color="auto" w:fill="auto"/>
            <w:noWrap/>
            <w:vAlign w:val="bottom"/>
            <w:hideMark/>
          </w:tcPr>
          <w:p w14:paraId="5683AAB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15,6</w:t>
            </w:r>
          </w:p>
        </w:tc>
        <w:tc>
          <w:tcPr>
            <w:tcW w:w="464" w:type="pct"/>
            <w:tcBorders>
              <w:top w:val="nil"/>
              <w:left w:val="nil"/>
              <w:bottom w:val="nil"/>
              <w:right w:val="nil"/>
            </w:tcBorders>
            <w:shd w:val="clear" w:color="auto" w:fill="auto"/>
            <w:noWrap/>
            <w:vAlign w:val="bottom"/>
            <w:hideMark/>
          </w:tcPr>
          <w:p w14:paraId="1439AC9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16,1</w:t>
            </w:r>
          </w:p>
        </w:tc>
        <w:tc>
          <w:tcPr>
            <w:tcW w:w="464" w:type="pct"/>
            <w:tcBorders>
              <w:top w:val="nil"/>
              <w:left w:val="nil"/>
              <w:bottom w:val="nil"/>
              <w:right w:val="nil"/>
            </w:tcBorders>
            <w:shd w:val="clear" w:color="auto" w:fill="auto"/>
            <w:noWrap/>
            <w:vAlign w:val="bottom"/>
            <w:hideMark/>
          </w:tcPr>
          <w:p w14:paraId="039DE7F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15,9</w:t>
            </w:r>
          </w:p>
        </w:tc>
        <w:tc>
          <w:tcPr>
            <w:tcW w:w="464" w:type="pct"/>
            <w:tcBorders>
              <w:top w:val="nil"/>
              <w:left w:val="nil"/>
              <w:bottom w:val="nil"/>
              <w:right w:val="nil"/>
            </w:tcBorders>
            <w:shd w:val="clear" w:color="auto" w:fill="auto"/>
            <w:noWrap/>
            <w:vAlign w:val="bottom"/>
            <w:hideMark/>
          </w:tcPr>
          <w:p w14:paraId="5BD94F9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15,4</w:t>
            </w:r>
          </w:p>
        </w:tc>
        <w:tc>
          <w:tcPr>
            <w:tcW w:w="461" w:type="pct"/>
            <w:tcBorders>
              <w:top w:val="nil"/>
              <w:left w:val="nil"/>
              <w:bottom w:val="nil"/>
              <w:right w:val="nil"/>
            </w:tcBorders>
            <w:shd w:val="clear" w:color="auto" w:fill="auto"/>
            <w:noWrap/>
            <w:vAlign w:val="bottom"/>
            <w:hideMark/>
          </w:tcPr>
          <w:p w14:paraId="3ACF31A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15,6</w:t>
            </w:r>
          </w:p>
        </w:tc>
      </w:tr>
      <w:tr w:rsidR="001579BE" w:rsidRPr="006A71C3" w14:paraId="128EDEB7" w14:textId="77777777" w:rsidTr="00377237">
        <w:trPr>
          <w:trHeight w:val="310"/>
        </w:trPr>
        <w:tc>
          <w:tcPr>
            <w:tcW w:w="229" w:type="pct"/>
            <w:tcBorders>
              <w:top w:val="nil"/>
              <w:left w:val="nil"/>
              <w:bottom w:val="nil"/>
              <w:right w:val="nil"/>
            </w:tcBorders>
            <w:shd w:val="clear" w:color="auto" w:fill="auto"/>
            <w:noWrap/>
            <w:vAlign w:val="bottom"/>
            <w:hideMark/>
          </w:tcPr>
          <w:p w14:paraId="5D9DC3D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4</w:t>
            </w:r>
          </w:p>
        </w:tc>
        <w:tc>
          <w:tcPr>
            <w:tcW w:w="934" w:type="pct"/>
            <w:tcBorders>
              <w:top w:val="nil"/>
              <w:left w:val="nil"/>
              <w:bottom w:val="nil"/>
              <w:right w:val="nil"/>
            </w:tcBorders>
            <w:shd w:val="clear" w:color="auto" w:fill="auto"/>
            <w:noWrap/>
            <w:vAlign w:val="bottom"/>
            <w:hideMark/>
          </w:tcPr>
          <w:p w14:paraId="086ECAD4"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Unión Europea</w:t>
            </w:r>
          </w:p>
        </w:tc>
        <w:tc>
          <w:tcPr>
            <w:tcW w:w="397" w:type="pct"/>
            <w:tcBorders>
              <w:top w:val="nil"/>
              <w:left w:val="nil"/>
              <w:bottom w:val="nil"/>
              <w:right w:val="nil"/>
            </w:tcBorders>
            <w:shd w:val="clear" w:color="auto" w:fill="auto"/>
            <w:noWrap/>
            <w:vAlign w:val="bottom"/>
            <w:hideMark/>
          </w:tcPr>
          <w:p w14:paraId="1D67D19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18,0</w:t>
            </w:r>
          </w:p>
        </w:tc>
        <w:tc>
          <w:tcPr>
            <w:tcW w:w="397" w:type="pct"/>
            <w:tcBorders>
              <w:top w:val="nil"/>
              <w:left w:val="nil"/>
              <w:bottom w:val="nil"/>
              <w:right w:val="nil"/>
            </w:tcBorders>
            <w:shd w:val="clear" w:color="auto" w:fill="auto"/>
            <w:noWrap/>
            <w:vAlign w:val="bottom"/>
            <w:hideMark/>
          </w:tcPr>
          <w:p w14:paraId="32DFD4D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20,5</w:t>
            </w:r>
          </w:p>
        </w:tc>
        <w:tc>
          <w:tcPr>
            <w:tcW w:w="397" w:type="pct"/>
            <w:tcBorders>
              <w:top w:val="nil"/>
              <w:left w:val="nil"/>
              <w:bottom w:val="nil"/>
              <w:right w:val="nil"/>
            </w:tcBorders>
            <w:shd w:val="clear" w:color="auto" w:fill="auto"/>
            <w:noWrap/>
            <w:vAlign w:val="bottom"/>
            <w:hideMark/>
          </w:tcPr>
          <w:p w14:paraId="4FF4E6D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3,1</w:t>
            </w:r>
          </w:p>
        </w:tc>
        <w:tc>
          <w:tcPr>
            <w:tcW w:w="397" w:type="pct"/>
            <w:tcBorders>
              <w:top w:val="nil"/>
              <w:left w:val="nil"/>
              <w:bottom w:val="nil"/>
              <w:right w:val="nil"/>
            </w:tcBorders>
            <w:shd w:val="clear" w:color="auto" w:fill="auto"/>
            <w:noWrap/>
            <w:vAlign w:val="bottom"/>
            <w:hideMark/>
          </w:tcPr>
          <w:p w14:paraId="0147A7F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3,7</w:t>
            </w:r>
          </w:p>
        </w:tc>
        <w:tc>
          <w:tcPr>
            <w:tcW w:w="397" w:type="pct"/>
            <w:tcBorders>
              <w:top w:val="nil"/>
              <w:left w:val="nil"/>
              <w:bottom w:val="nil"/>
              <w:right w:val="nil"/>
            </w:tcBorders>
            <w:shd w:val="clear" w:color="auto" w:fill="auto"/>
            <w:noWrap/>
            <w:vAlign w:val="bottom"/>
            <w:hideMark/>
          </w:tcPr>
          <w:p w14:paraId="350244A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7,4</w:t>
            </w:r>
          </w:p>
        </w:tc>
        <w:tc>
          <w:tcPr>
            <w:tcW w:w="464" w:type="pct"/>
            <w:tcBorders>
              <w:top w:val="nil"/>
              <w:left w:val="nil"/>
              <w:bottom w:val="nil"/>
              <w:right w:val="nil"/>
            </w:tcBorders>
            <w:shd w:val="clear" w:color="auto" w:fill="auto"/>
            <w:noWrap/>
            <w:vAlign w:val="bottom"/>
            <w:hideMark/>
          </w:tcPr>
          <w:p w14:paraId="3310A9C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23,6</w:t>
            </w:r>
          </w:p>
        </w:tc>
        <w:tc>
          <w:tcPr>
            <w:tcW w:w="464" w:type="pct"/>
            <w:tcBorders>
              <w:top w:val="nil"/>
              <w:left w:val="nil"/>
              <w:bottom w:val="nil"/>
              <w:right w:val="nil"/>
            </w:tcBorders>
            <w:shd w:val="clear" w:color="auto" w:fill="auto"/>
            <w:noWrap/>
            <w:vAlign w:val="bottom"/>
            <w:hideMark/>
          </w:tcPr>
          <w:p w14:paraId="214E77A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17,4</w:t>
            </w:r>
          </w:p>
        </w:tc>
        <w:tc>
          <w:tcPr>
            <w:tcW w:w="464" w:type="pct"/>
            <w:tcBorders>
              <w:top w:val="nil"/>
              <w:left w:val="nil"/>
              <w:bottom w:val="nil"/>
              <w:right w:val="nil"/>
            </w:tcBorders>
            <w:shd w:val="clear" w:color="auto" w:fill="auto"/>
            <w:noWrap/>
            <w:vAlign w:val="bottom"/>
            <w:hideMark/>
          </w:tcPr>
          <w:p w14:paraId="5A51D60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14,2</w:t>
            </w:r>
          </w:p>
        </w:tc>
        <w:tc>
          <w:tcPr>
            <w:tcW w:w="461" w:type="pct"/>
            <w:tcBorders>
              <w:top w:val="nil"/>
              <w:left w:val="nil"/>
              <w:bottom w:val="nil"/>
              <w:right w:val="nil"/>
            </w:tcBorders>
            <w:shd w:val="clear" w:color="auto" w:fill="auto"/>
            <w:noWrap/>
            <w:vAlign w:val="bottom"/>
            <w:hideMark/>
          </w:tcPr>
          <w:p w14:paraId="108D29F2"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15,0</w:t>
            </w:r>
          </w:p>
        </w:tc>
      </w:tr>
      <w:tr w:rsidR="001579BE" w:rsidRPr="006A71C3" w14:paraId="71C4C8A7" w14:textId="77777777" w:rsidTr="00377237">
        <w:trPr>
          <w:trHeight w:val="310"/>
        </w:trPr>
        <w:tc>
          <w:tcPr>
            <w:tcW w:w="229" w:type="pct"/>
            <w:tcBorders>
              <w:top w:val="nil"/>
              <w:left w:val="nil"/>
              <w:bottom w:val="nil"/>
              <w:right w:val="nil"/>
            </w:tcBorders>
            <w:shd w:val="clear" w:color="auto" w:fill="auto"/>
            <w:noWrap/>
            <w:vAlign w:val="bottom"/>
            <w:hideMark/>
          </w:tcPr>
          <w:p w14:paraId="0E02D5F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w:t>
            </w:r>
          </w:p>
        </w:tc>
        <w:tc>
          <w:tcPr>
            <w:tcW w:w="934" w:type="pct"/>
            <w:tcBorders>
              <w:top w:val="nil"/>
              <w:left w:val="nil"/>
              <w:bottom w:val="nil"/>
              <w:right w:val="nil"/>
            </w:tcBorders>
            <w:shd w:val="clear" w:color="auto" w:fill="auto"/>
            <w:noWrap/>
            <w:vAlign w:val="bottom"/>
            <w:hideMark/>
          </w:tcPr>
          <w:p w14:paraId="1DD83E01"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Corea, Rep.</w:t>
            </w:r>
          </w:p>
        </w:tc>
        <w:tc>
          <w:tcPr>
            <w:tcW w:w="397" w:type="pct"/>
            <w:tcBorders>
              <w:top w:val="nil"/>
              <w:left w:val="nil"/>
              <w:bottom w:val="nil"/>
              <w:right w:val="nil"/>
            </w:tcBorders>
            <w:shd w:val="clear" w:color="auto" w:fill="auto"/>
            <w:noWrap/>
            <w:vAlign w:val="bottom"/>
            <w:hideMark/>
          </w:tcPr>
          <w:p w14:paraId="0BCF5FD8"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0,3</w:t>
            </w:r>
          </w:p>
        </w:tc>
        <w:tc>
          <w:tcPr>
            <w:tcW w:w="397" w:type="pct"/>
            <w:tcBorders>
              <w:top w:val="nil"/>
              <w:left w:val="nil"/>
              <w:bottom w:val="nil"/>
              <w:right w:val="nil"/>
            </w:tcBorders>
            <w:shd w:val="clear" w:color="auto" w:fill="auto"/>
            <w:noWrap/>
            <w:vAlign w:val="bottom"/>
            <w:hideMark/>
          </w:tcPr>
          <w:p w14:paraId="2D9C8CC7"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2,4</w:t>
            </w:r>
          </w:p>
        </w:tc>
        <w:tc>
          <w:tcPr>
            <w:tcW w:w="397" w:type="pct"/>
            <w:tcBorders>
              <w:top w:val="nil"/>
              <w:left w:val="nil"/>
              <w:bottom w:val="nil"/>
              <w:right w:val="nil"/>
            </w:tcBorders>
            <w:shd w:val="clear" w:color="auto" w:fill="auto"/>
            <w:noWrap/>
            <w:vAlign w:val="bottom"/>
            <w:hideMark/>
          </w:tcPr>
          <w:p w14:paraId="69D187AE"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5,6</w:t>
            </w:r>
          </w:p>
        </w:tc>
        <w:tc>
          <w:tcPr>
            <w:tcW w:w="397" w:type="pct"/>
            <w:tcBorders>
              <w:top w:val="nil"/>
              <w:left w:val="nil"/>
              <w:bottom w:val="nil"/>
              <w:right w:val="nil"/>
            </w:tcBorders>
            <w:shd w:val="clear" w:color="auto" w:fill="auto"/>
            <w:noWrap/>
            <w:vAlign w:val="bottom"/>
            <w:hideMark/>
          </w:tcPr>
          <w:p w14:paraId="264F12C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8,7</w:t>
            </w:r>
          </w:p>
        </w:tc>
        <w:tc>
          <w:tcPr>
            <w:tcW w:w="397" w:type="pct"/>
            <w:tcBorders>
              <w:top w:val="nil"/>
              <w:left w:val="nil"/>
              <w:bottom w:val="nil"/>
              <w:right w:val="nil"/>
            </w:tcBorders>
            <w:shd w:val="clear" w:color="auto" w:fill="auto"/>
            <w:noWrap/>
            <w:vAlign w:val="bottom"/>
            <w:hideMark/>
          </w:tcPr>
          <w:p w14:paraId="42910E3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8,1</w:t>
            </w:r>
          </w:p>
        </w:tc>
        <w:tc>
          <w:tcPr>
            <w:tcW w:w="464" w:type="pct"/>
            <w:tcBorders>
              <w:top w:val="nil"/>
              <w:left w:val="nil"/>
              <w:bottom w:val="nil"/>
              <w:right w:val="nil"/>
            </w:tcBorders>
            <w:shd w:val="clear" w:color="auto" w:fill="auto"/>
            <w:noWrap/>
            <w:vAlign w:val="bottom"/>
            <w:hideMark/>
          </w:tcPr>
          <w:p w14:paraId="51DB930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10,9</w:t>
            </w:r>
          </w:p>
        </w:tc>
        <w:tc>
          <w:tcPr>
            <w:tcW w:w="464" w:type="pct"/>
            <w:tcBorders>
              <w:top w:val="nil"/>
              <w:left w:val="nil"/>
              <w:bottom w:val="nil"/>
              <w:right w:val="nil"/>
            </w:tcBorders>
            <w:shd w:val="clear" w:color="auto" w:fill="auto"/>
            <w:noWrap/>
            <w:vAlign w:val="bottom"/>
            <w:hideMark/>
          </w:tcPr>
          <w:p w14:paraId="6FA5143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11,9</w:t>
            </w:r>
          </w:p>
        </w:tc>
        <w:tc>
          <w:tcPr>
            <w:tcW w:w="464" w:type="pct"/>
            <w:tcBorders>
              <w:top w:val="nil"/>
              <w:left w:val="nil"/>
              <w:bottom w:val="nil"/>
              <w:right w:val="nil"/>
            </w:tcBorders>
            <w:shd w:val="clear" w:color="auto" w:fill="auto"/>
            <w:noWrap/>
            <w:vAlign w:val="bottom"/>
            <w:hideMark/>
          </w:tcPr>
          <w:p w14:paraId="2B06630B"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11,5</w:t>
            </w:r>
          </w:p>
        </w:tc>
        <w:tc>
          <w:tcPr>
            <w:tcW w:w="461" w:type="pct"/>
            <w:tcBorders>
              <w:top w:val="nil"/>
              <w:left w:val="nil"/>
              <w:bottom w:val="nil"/>
              <w:right w:val="nil"/>
            </w:tcBorders>
            <w:shd w:val="clear" w:color="auto" w:fill="auto"/>
            <w:noWrap/>
            <w:vAlign w:val="bottom"/>
            <w:hideMark/>
          </w:tcPr>
          <w:p w14:paraId="2F1272A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11,5</w:t>
            </w:r>
          </w:p>
        </w:tc>
      </w:tr>
      <w:tr w:rsidR="001579BE" w:rsidRPr="006A71C3" w14:paraId="2E7A1218" w14:textId="77777777" w:rsidTr="00377237">
        <w:trPr>
          <w:trHeight w:val="310"/>
        </w:trPr>
        <w:tc>
          <w:tcPr>
            <w:tcW w:w="229" w:type="pct"/>
            <w:tcBorders>
              <w:top w:val="nil"/>
              <w:left w:val="nil"/>
              <w:bottom w:val="nil"/>
              <w:right w:val="nil"/>
            </w:tcBorders>
            <w:shd w:val="clear" w:color="auto" w:fill="auto"/>
            <w:noWrap/>
            <w:vAlign w:val="bottom"/>
            <w:hideMark/>
          </w:tcPr>
          <w:p w14:paraId="2552AF0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6</w:t>
            </w:r>
          </w:p>
        </w:tc>
        <w:tc>
          <w:tcPr>
            <w:tcW w:w="934" w:type="pct"/>
            <w:tcBorders>
              <w:top w:val="nil"/>
              <w:left w:val="nil"/>
              <w:bottom w:val="nil"/>
              <w:right w:val="nil"/>
            </w:tcBorders>
            <w:shd w:val="clear" w:color="auto" w:fill="auto"/>
            <w:noWrap/>
            <w:vAlign w:val="bottom"/>
            <w:hideMark/>
          </w:tcPr>
          <w:p w14:paraId="7011327F"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Egipto</w:t>
            </w:r>
          </w:p>
        </w:tc>
        <w:tc>
          <w:tcPr>
            <w:tcW w:w="397" w:type="pct"/>
            <w:tcBorders>
              <w:top w:val="nil"/>
              <w:left w:val="nil"/>
              <w:bottom w:val="nil"/>
              <w:right w:val="nil"/>
            </w:tcBorders>
            <w:shd w:val="clear" w:color="auto" w:fill="auto"/>
            <w:noWrap/>
            <w:vAlign w:val="bottom"/>
            <w:hideMark/>
          </w:tcPr>
          <w:p w14:paraId="5ECB309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3414E84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w:t>
            </w:r>
          </w:p>
        </w:tc>
        <w:tc>
          <w:tcPr>
            <w:tcW w:w="397" w:type="pct"/>
            <w:tcBorders>
              <w:top w:val="nil"/>
              <w:left w:val="nil"/>
              <w:bottom w:val="nil"/>
              <w:right w:val="nil"/>
            </w:tcBorders>
            <w:shd w:val="clear" w:color="auto" w:fill="auto"/>
            <w:noWrap/>
            <w:vAlign w:val="bottom"/>
            <w:hideMark/>
          </w:tcPr>
          <w:p w14:paraId="211ECAB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1,9</w:t>
            </w:r>
          </w:p>
        </w:tc>
        <w:tc>
          <w:tcPr>
            <w:tcW w:w="397" w:type="pct"/>
            <w:tcBorders>
              <w:top w:val="nil"/>
              <w:left w:val="nil"/>
              <w:bottom w:val="nil"/>
              <w:right w:val="nil"/>
            </w:tcBorders>
            <w:shd w:val="clear" w:color="auto" w:fill="auto"/>
            <w:noWrap/>
            <w:vAlign w:val="bottom"/>
            <w:hideMark/>
          </w:tcPr>
          <w:p w14:paraId="3552FAA3"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5,3</w:t>
            </w:r>
          </w:p>
        </w:tc>
        <w:tc>
          <w:tcPr>
            <w:tcW w:w="397" w:type="pct"/>
            <w:tcBorders>
              <w:top w:val="nil"/>
              <w:left w:val="nil"/>
              <w:bottom w:val="nil"/>
              <w:right w:val="nil"/>
            </w:tcBorders>
            <w:shd w:val="clear" w:color="auto" w:fill="auto"/>
            <w:noWrap/>
            <w:vAlign w:val="bottom"/>
            <w:hideMark/>
          </w:tcPr>
          <w:p w14:paraId="4B660F3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5,8</w:t>
            </w:r>
          </w:p>
        </w:tc>
        <w:tc>
          <w:tcPr>
            <w:tcW w:w="464" w:type="pct"/>
            <w:tcBorders>
              <w:top w:val="nil"/>
              <w:left w:val="nil"/>
              <w:bottom w:val="nil"/>
              <w:right w:val="nil"/>
            </w:tcBorders>
            <w:shd w:val="clear" w:color="auto" w:fill="auto"/>
            <w:noWrap/>
            <w:vAlign w:val="bottom"/>
            <w:hideMark/>
          </w:tcPr>
          <w:p w14:paraId="256370B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9,4</w:t>
            </w:r>
          </w:p>
        </w:tc>
        <w:tc>
          <w:tcPr>
            <w:tcW w:w="464" w:type="pct"/>
            <w:tcBorders>
              <w:top w:val="nil"/>
              <w:left w:val="nil"/>
              <w:bottom w:val="nil"/>
              <w:right w:val="nil"/>
            </w:tcBorders>
            <w:shd w:val="clear" w:color="auto" w:fill="auto"/>
            <w:noWrap/>
            <w:vAlign w:val="bottom"/>
            <w:hideMark/>
          </w:tcPr>
          <w:p w14:paraId="72E75F3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10,4</w:t>
            </w:r>
          </w:p>
        </w:tc>
        <w:tc>
          <w:tcPr>
            <w:tcW w:w="464" w:type="pct"/>
            <w:tcBorders>
              <w:top w:val="nil"/>
              <w:left w:val="nil"/>
              <w:bottom w:val="nil"/>
              <w:right w:val="nil"/>
            </w:tcBorders>
            <w:shd w:val="clear" w:color="auto" w:fill="auto"/>
            <w:noWrap/>
            <w:vAlign w:val="bottom"/>
            <w:hideMark/>
          </w:tcPr>
          <w:p w14:paraId="313B9E50"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9,6</w:t>
            </w:r>
          </w:p>
        </w:tc>
        <w:tc>
          <w:tcPr>
            <w:tcW w:w="461" w:type="pct"/>
            <w:tcBorders>
              <w:top w:val="nil"/>
              <w:left w:val="nil"/>
              <w:bottom w:val="nil"/>
              <w:right w:val="nil"/>
            </w:tcBorders>
            <w:shd w:val="clear" w:color="auto" w:fill="auto"/>
            <w:noWrap/>
            <w:vAlign w:val="bottom"/>
            <w:hideMark/>
          </w:tcPr>
          <w:p w14:paraId="57352FD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10,0</w:t>
            </w:r>
          </w:p>
        </w:tc>
      </w:tr>
      <w:tr w:rsidR="001579BE" w:rsidRPr="006A71C3" w14:paraId="5B16A071" w14:textId="77777777" w:rsidTr="00377237">
        <w:trPr>
          <w:trHeight w:val="310"/>
        </w:trPr>
        <w:tc>
          <w:tcPr>
            <w:tcW w:w="229" w:type="pct"/>
            <w:tcBorders>
              <w:top w:val="nil"/>
              <w:left w:val="nil"/>
              <w:bottom w:val="nil"/>
              <w:right w:val="nil"/>
            </w:tcBorders>
            <w:shd w:val="clear" w:color="auto" w:fill="auto"/>
            <w:noWrap/>
            <w:vAlign w:val="bottom"/>
            <w:hideMark/>
          </w:tcPr>
          <w:p w14:paraId="1C14F04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7</w:t>
            </w:r>
          </w:p>
        </w:tc>
        <w:tc>
          <w:tcPr>
            <w:tcW w:w="934" w:type="pct"/>
            <w:tcBorders>
              <w:top w:val="nil"/>
              <w:left w:val="nil"/>
              <w:bottom w:val="nil"/>
              <w:right w:val="nil"/>
            </w:tcBorders>
            <w:shd w:val="clear" w:color="auto" w:fill="auto"/>
            <w:noWrap/>
            <w:vAlign w:val="bottom"/>
            <w:hideMark/>
          </w:tcPr>
          <w:p w14:paraId="6A5260D4" w14:textId="77777777" w:rsidR="001579BE" w:rsidRPr="006A71C3" w:rsidRDefault="001579BE" w:rsidP="00377237">
            <w:pPr>
              <w:spacing w:after="0" w:line="240" w:lineRule="auto"/>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Vietnam</w:t>
            </w:r>
          </w:p>
        </w:tc>
        <w:tc>
          <w:tcPr>
            <w:tcW w:w="397" w:type="pct"/>
            <w:tcBorders>
              <w:top w:val="nil"/>
              <w:left w:val="nil"/>
              <w:bottom w:val="nil"/>
              <w:right w:val="nil"/>
            </w:tcBorders>
            <w:shd w:val="clear" w:color="auto" w:fill="auto"/>
            <w:noWrap/>
            <w:vAlign w:val="bottom"/>
            <w:hideMark/>
          </w:tcPr>
          <w:p w14:paraId="75599614"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08DF8125"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016A0FEF"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n/d</w:t>
            </w:r>
          </w:p>
        </w:tc>
        <w:tc>
          <w:tcPr>
            <w:tcW w:w="397" w:type="pct"/>
            <w:tcBorders>
              <w:top w:val="nil"/>
              <w:left w:val="nil"/>
              <w:bottom w:val="nil"/>
              <w:right w:val="nil"/>
            </w:tcBorders>
            <w:shd w:val="clear" w:color="auto" w:fill="auto"/>
            <w:noWrap/>
            <w:vAlign w:val="bottom"/>
            <w:hideMark/>
          </w:tcPr>
          <w:p w14:paraId="5CF1ECBC"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0,1</w:t>
            </w:r>
          </w:p>
        </w:tc>
        <w:tc>
          <w:tcPr>
            <w:tcW w:w="397" w:type="pct"/>
            <w:tcBorders>
              <w:top w:val="nil"/>
              <w:left w:val="nil"/>
              <w:bottom w:val="nil"/>
              <w:right w:val="nil"/>
            </w:tcBorders>
            <w:shd w:val="clear" w:color="auto" w:fill="auto"/>
            <w:noWrap/>
            <w:vAlign w:val="bottom"/>
            <w:hideMark/>
          </w:tcPr>
          <w:p w14:paraId="4813C8E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w:t>
            </w:r>
          </w:p>
        </w:tc>
        <w:tc>
          <w:tcPr>
            <w:tcW w:w="464" w:type="pct"/>
            <w:tcBorders>
              <w:top w:val="nil"/>
              <w:left w:val="nil"/>
              <w:bottom w:val="nil"/>
              <w:right w:val="nil"/>
            </w:tcBorders>
            <w:shd w:val="clear" w:color="auto" w:fill="auto"/>
            <w:noWrap/>
            <w:vAlign w:val="bottom"/>
            <w:hideMark/>
          </w:tcPr>
          <w:p w14:paraId="3A0E4A36"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10,1</w:t>
            </w:r>
          </w:p>
        </w:tc>
        <w:tc>
          <w:tcPr>
            <w:tcW w:w="464" w:type="pct"/>
            <w:tcBorders>
              <w:top w:val="nil"/>
              <w:left w:val="nil"/>
              <w:bottom w:val="nil"/>
              <w:right w:val="nil"/>
            </w:tcBorders>
            <w:shd w:val="clear" w:color="auto" w:fill="auto"/>
            <w:noWrap/>
            <w:vAlign w:val="bottom"/>
            <w:hideMark/>
          </w:tcPr>
          <w:p w14:paraId="5141D7B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10,6</w:t>
            </w:r>
          </w:p>
        </w:tc>
        <w:tc>
          <w:tcPr>
            <w:tcW w:w="464" w:type="pct"/>
            <w:tcBorders>
              <w:top w:val="nil"/>
              <w:left w:val="nil"/>
              <w:bottom w:val="nil"/>
              <w:right w:val="nil"/>
            </w:tcBorders>
            <w:shd w:val="clear" w:color="auto" w:fill="auto"/>
            <w:noWrap/>
            <w:vAlign w:val="bottom"/>
            <w:hideMark/>
          </w:tcPr>
          <w:p w14:paraId="65FDD9CD"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13,5</w:t>
            </w:r>
          </w:p>
        </w:tc>
        <w:tc>
          <w:tcPr>
            <w:tcW w:w="461" w:type="pct"/>
            <w:tcBorders>
              <w:top w:val="nil"/>
              <w:left w:val="nil"/>
              <w:bottom w:val="nil"/>
              <w:right w:val="nil"/>
            </w:tcBorders>
            <w:shd w:val="clear" w:color="auto" w:fill="auto"/>
            <w:noWrap/>
            <w:vAlign w:val="bottom"/>
            <w:hideMark/>
          </w:tcPr>
          <w:p w14:paraId="5699888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6A71C3">
              <w:rPr>
                <w:rFonts w:ascii="Times New Roman" w:eastAsia="Times New Roman" w:hAnsi="Times New Roman" w:cs="Times New Roman"/>
                <w:color w:val="000000"/>
                <w:sz w:val="20"/>
                <w:szCs w:val="20"/>
                <w:lang w:eastAsia="es-ES"/>
              </w:rPr>
              <w:t>10,0</w:t>
            </w:r>
          </w:p>
        </w:tc>
      </w:tr>
      <w:tr w:rsidR="001579BE" w:rsidRPr="006A71C3" w14:paraId="71B18E37" w14:textId="77777777" w:rsidTr="00377237">
        <w:trPr>
          <w:trHeight w:val="310"/>
        </w:trPr>
        <w:tc>
          <w:tcPr>
            <w:tcW w:w="229" w:type="pct"/>
            <w:tcBorders>
              <w:top w:val="nil"/>
              <w:left w:val="nil"/>
              <w:bottom w:val="nil"/>
              <w:right w:val="nil"/>
            </w:tcBorders>
            <w:shd w:val="clear" w:color="auto" w:fill="auto"/>
            <w:noWrap/>
            <w:vAlign w:val="bottom"/>
            <w:hideMark/>
          </w:tcPr>
          <w:p w14:paraId="0E15F841"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nil"/>
              <w:right w:val="nil"/>
            </w:tcBorders>
            <w:shd w:val="clear" w:color="auto" w:fill="auto"/>
            <w:noWrap/>
            <w:vAlign w:val="bottom"/>
            <w:hideMark/>
          </w:tcPr>
          <w:p w14:paraId="7BE189FC"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Otros</w:t>
            </w:r>
          </w:p>
        </w:tc>
        <w:tc>
          <w:tcPr>
            <w:tcW w:w="397" w:type="pct"/>
            <w:tcBorders>
              <w:top w:val="nil"/>
              <w:left w:val="nil"/>
              <w:bottom w:val="nil"/>
              <w:right w:val="nil"/>
            </w:tcBorders>
            <w:shd w:val="clear" w:color="auto" w:fill="auto"/>
            <w:noWrap/>
            <w:vAlign w:val="bottom"/>
            <w:hideMark/>
          </w:tcPr>
          <w:p w14:paraId="1677877A"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4,6</w:t>
            </w:r>
          </w:p>
        </w:tc>
        <w:tc>
          <w:tcPr>
            <w:tcW w:w="397" w:type="pct"/>
            <w:tcBorders>
              <w:top w:val="nil"/>
              <w:left w:val="nil"/>
              <w:bottom w:val="nil"/>
              <w:right w:val="nil"/>
            </w:tcBorders>
            <w:shd w:val="clear" w:color="auto" w:fill="auto"/>
            <w:noWrap/>
            <w:vAlign w:val="bottom"/>
            <w:hideMark/>
          </w:tcPr>
          <w:p w14:paraId="029521C6"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31,7</w:t>
            </w:r>
          </w:p>
        </w:tc>
        <w:tc>
          <w:tcPr>
            <w:tcW w:w="397" w:type="pct"/>
            <w:tcBorders>
              <w:top w:val="nil"/>
              <w:left w:val="nil"/>
              <w:bottom w:val="nil"/>
              <w:right w:val="nil"/>
            </w:tcBorders>
            <w:shd w:val="clear" w:color="auto" w:fill="auto"/>
            <w:noWrap/>
            <w:vAlign w:val="bottom"/>
            <w:hideMark/>
          </w:tcPr>
          <w:p w14:paraId="2E3D633A"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29,6</w:t>
            </w:r>
          </w:p>
        </w:tc>
        <w:tc>
          <w:tcPr>
            <w:tcW w:w="397" w:type="pct"/>
            <w:tcBorders>
              <w:top w:val="nil"/>
              <w:left w:val="nil"/>
              <w:bottom w:val="nil"/>
              <w:right w:val="nil"/>
            </w:tcBorders>
            <w:shd w:val="clear" w:color="auto" w:fill="auto"/>
            <w:noWrap/>
            <w:vAlign w:val="bottom"/>
            <w:hideMark/>
          </w:tcPr>
          <w:p w14:paraId="041467B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34,8</w:t>
            </w:r>
          </w:p>
        </w:tc>
        <w:tc>
          <w:tcPr>
            <w:tcW w:w="397" w:type="pct"/>
            <w:tcBorders>
              <w:top w:val="nil"/>
              <w:left w:val="nil"/>
              <w:bottom w:val="nil"/>
              <w:right w:val="nil"/>
            </w:tcBorders>
            <w:shd w:val="clear" w:color="auto" w:fill="auto"/>
            <w:noWrap/>
            <w:vAlign w:val="bottom"/>
            <w:hideMark/>
          </w:tcPr>
          <w:p w14:paraId="1DDA9D96"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46,0</w:t>
            </w:r>
          </w:p>
        </w:tc>
        <w:tc>
          <w:tcPr>
            <w:tcW w:w="464" w:type="pct"/>
            <w:tcBorders>
              <w:top w:val="nil"/>
              <w:left w:val="nil"/>
              <w:bottom w:val="nil"/>
              <w:right w:val="nil"/>
            </w:tcBorders>
            <w:shd w:val="clear" w:color="auto" w:fill="auto"/>
            <w:noWrap/>
            <w:vAlign w:val="bottom"/>
            <w:hideMark/>
          </w:tcPr>
          <w:p w14:paraId="66DC4461"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75,5</w:t>
            </w:r>
          </w:p>
        </w:tc>
        <w:tc>
          <w:tcPr>
            <w:tcW w:w="464" w:type="pct"/>
            <w:tcBorders>
              <w:top w:val="nil"/>
              <w:left w:val="nil"/>
              <w:bottom w:val="nil"/>
              <w:right w:val="nil"/>
            </w:tcBorders>
            <w:shd w:val="clear" w:color="auto" w:fill="auto"/>
            <w:noWrap/>
            <w:vAlign w:val="bottom"/>
            <w:hideMark/>
          </w:tcPr>
          <w:p w14:paraId="2B38229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77,3</w:t>
            </w:r>
          </w:p>
        </w:tc>
        <w:tc>
          <w:tcPr>
            <w:tcW w:w="464" w:type="pct"/>
            <w:tcBorders>
              <w:top w:val="nil"/>
              <w:left w:val="nil"/>
              <w:bottom w:val="nil"/>
              <w:right w:val="nil"/>
            </w:tcBorders>
            <w:shd w:val="clear" w:color="auto" w:fill="auto"/>
            <w:noWrap/>
            <w:vAlign w:val="bottom"/>
            <w:hideMark/>
          </w:tcPr>
          <w:p w14:paraId="2394D806"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77,7</w:t>
            </w:r>
          </w:p>
        </w:tc>
        <w:tc>
          <w:tcPr>
            <w:tcW w:w="461" w:type="pct"/>
            <w:tcBorders>
              <w:top w:val="nil"/>
              <w:left w:val="nil"/>
              <w:bottom w:val="nil"/>
              <w:right w:val="nil"/>
            </w:tcBorders>
            <w:shd w:val="clear" w:color="auto" w:fill="auto"/>
            <w:noWrap/>
            <w:vAlign w:val="bottom"/>
            <w:hideMark/>
          </w:tcPr>
          <w:p w14:paraId="203022B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78,7</w:t>
            </w:r>
          </w:p>
        </w:tc>
      </w:tr>
      <w:tr w:rsidR="001579BE" w:rsidRPr="006A71C3" w14:paraId="68C882F9" w14:textId="77777777" w:rsidTr="00377237">
        <w:trPr>
          <w:trHeight w:val="310"/>
        </w:trPr>
        <w:tc>
          <w:tcPr>
            <w:tcW w:w="229" w:type="pct"/>
            <w:tcBorders>
              <w:top w:val="nil"/>
              <w:left w:val="nil"/>
              <w:bottom w:val="nil"/>
              <w:right w:val="nil"/>
            </w:tcBorders>
            <w:shd w:val="clear" w:color="auto" w:fill="auto"/>
            <w:noWrap/>
            <w:vAlign w:val="bottom"/>
            <w:hideMark/>
          </w:tcPr>
          <w:p w14:paraId="43A9C0DA" w14:textId="77777777" w:rsidR="001579BE" w:rsidRPr="006A71C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34" w:type="pct"/>
            <w:tcBorders>
              <w:top w:val="nil"/>
              <w:left w:val="nil"/>
              <w:bottom w:val="single" w:sz="4" w:space="0" w:color="auto"/>
              <w:right w:val="nil"/>
            </w:tcBorders>
            <w:shd w:val="clear" w:color="auto" w:fill="auto"/>
            <w:noWrap/>
            <w:vAlign w:val="bottom"/>
            <w:hideMark/>
          </w:tcPr>
          <w:p w14:paraId="6258422F" w14:textId="77777777" w:rsidR="001579BE" w:rsidRPr="006A71C3" w:rsidRDefault="001579BE" w:rsidP="00377237">
            <w:pPr>
              <w:spacing w:after="0" w:line="240" w:lineRule="auto"/>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Mundo</w:t>
            </w:r>
          </w:p>
        </w:tc>
        <w:tc>
          <w:tcPr>
            <w:tcW w:w="397" w:type="pct"/>
            <w:tcBorders>
              <w:top w:val="nil"/>
              <w:left w:val="nil"/>
              <w:bottom w:val="single" w:sz="4" w:space="0" w:color="auto"/>
              <w:right w:val="nil"/>
            </w:tcBorders>
            <w:shd w:val="clear" w:color="auto" w:fill="auto"/>
            <w:noWrap/>
            <w:vAlign w:val="bottom"/>
            <w:hideMark/>
          </w:tcPr>
          <w:p w14:paraId="6EF000DA"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28,4</w:t>
            </w:r>
          </w:p>
        </w:tc>
        <w:tc>
          <w:tcPr>
            <w:tcW w:w="397" w:type="pct"/>
            <w:tcBorders>
              <w:top w:val="nil"/>
              <w:left w:val="nil"/>
              <w:bottom w:val="single" w:sz="4" w:space="0" w:color="auto"/>
              <w:right w:val="nil"/>
            </w:tcBorders>
            <w:shd w:val="clear" w:color="auto" w:fill="auto"/>
            <w:noWrap/>
            <w:vAlign w:val="bottom"/>
            <w:hideMark/>
          </w:tcPr>
          <w:p w14:paraId="085DAE19"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74,3</w:t>
            </w:r>
          </w:p>
        </w:tc>
        <w:tc>
          <w:tcPr>
            <w:tcW w:w="397" w:type="pct"/>
            <w:tcBorders>
              <w:top w:val="nil"/>
              <w:left w:val="nil"/>
              <w:bottom w:val="single" w:sz="4" w:space="0" w:color="auto"/>
              <w:right w:val="nil"/>
            </w:tcBorders>
            <w:shd w:val="clear" w:color="auto" w:fill="auto"/>
            <w:noWrap/>
            <w:vAlign w:val="bottom"/>
            <w:hideMark/>
          </w:tcPr>
          <w:p w14:paraId="0CECB526"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58,5</w:t>
            </w:r>
          </w:p>
        </w:tc>
        <w:tc>
          <w:tcPr>
            <w:tcW w:w="397" w:type="pct"/>
            <w:tcBorders>
              <w:top w:val="nil"/>
              <w:left w:val="nil"/>
              <w:bottom w:val="single" w:sz="4" w:space="0" w:color="auto"/>
              <w:right w:val="nil"/>
            </w:tcBorders>
            <w:shd w:val="clear" w:color="auto" w:fill="auto"/>
            <w:noWrap/>
            <w:vAlign w:val="bottom"/>
            <w:hideMark/>
          </w:tcPr>
          <w:p w14:paraId="6FEE31E4"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75,0</w:t>
            </w:r>
          </w:p>
        </w:tc>
        <w:tc>
          <w:tcPr>
            <w:tcW w:w="397" w:type="pct"/>
            <w:tcBorders>
              <w:top w:val="nil"/>
              <w:left w:val="nil"/>
              <w:bottom w:val="single" w:sz="4" w:space="0" w:color="auto"/>
              <w:right w:val="nil"/>
            </w:tcBorders>
            <w:shd w:val="clear" w:color="auto" w:fill="auto"/>
            <w:noWrap/>
            <w:vAlign w:val="bottom"/>
            <w:hideMark/>
          </w:tcPr>
          <w:p w14:paraId="1FFCF5C9"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93,4</w:t>
            </w:r>
          </w:p>
        </w:tc>
        <w:tc>
          <w:tcPr>
            <w:tcW w:w="464" w:type="pct"/>
            <w:tcBorders>
              <w:top w:val="nil"/>
              <w:left w:val="nil"/>
              <w:bottom w:val="single" w:sz="4" w:space="0" w:color="auto"/>
              <w:right w:val="nil"/>
            </w:tcBorders>
            <w:shd w:val="clear" w:color="auto" w:fill="auto"/>
            <w:noWrap/>
            <w:vAlign w:val="bottom"/>
            <w:hideMark/>
          </w:tcPr>
          <w:p w14:paraId="466DE088"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166,6</w:t>
            </w:r>
          </w:p>
        </w:tc>
        <w:tc>
          <w:tcPr>
            <w:tcW w:w="464" w:type="pct"/>
            <w:tcBorders>
              <w:top w:val="nil"/>
              <w:left w:val="nil"/>
              <w:bottom w:val="single" w:sz="4" w:space="0" w:color="auto"/>
              <w:right w:val="nil"/>
            </w:tcBorders>
            <w:shd w:val="clear" w:color="auto" w:fill="auto"/>
            <w:noWrap/>
            <w:vAlign w:val="bottom"/>
            <w:hideMark/>
          </w:tcPr>
          <w:p w14:paraId="004BAA4F"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167,6</w:t>
            </w:r>
          </w:p>
        </w:tc>
        <w:tc>
          <w:tcPr>
            <w:tcW w:w="464" w:type="pct"/>
            <w:tcBorders>
              <w:top w:val="nil"/>
              <w:left w:val="nil"/>
              <w:bottom w:val="single" w:sz="4" w:space="0" w:color="auto"/>
              <w:right w:val="nil"/>
            </w:tcBorders>
            <w:shd w:val="clear" w:color="auto" w:fill="auto"/>
            <w:noWrap/>
            <w:vAlign w:val="bottom"/>
            <w:hideMark/>
          </w:tcPr>
          <w:p w14:paraId="71D15790"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186,4</w:t>
            </w:r>
          </w:p>
        </w:tc>
        <w:tc>
          <w:tcPr>
            <w:tcW w:w="461" w:type="pct"/>
            <w:tcBorders>
              <w:top w:val="nil"/>
              <w:left w:val="nil"/>
              <w:bottom w:val="single" w:sz="4" w:space="0" w:color="auto"/>
              <w:right w:val="nil"/>
            </w:tcBorders>
            <w:shd w:val="clear" w:color="auto" w:fill="auto"/>
            <w:noWrap/>
            <w:vAlign w:val="bottom"/>
            <w:hideMark/>
          </w:tcPr>
          <w:p w14:paraId="0719185E" w14:textId="77777777" w:rsidR="001579BE" w:rsidRPr="006A71C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6A71C3">
              <w:rPr>
                <w:rFonts w:ascii="Times New Roman" w:eastAsia="Times New Roman" w:hAnsi="Times New Roman" w:cs="Times New Roman"/>
                <w:i/>
                <w:iCs/>
                <w:color w:val="000000"/>
                <w:sz w:val="20"/>
                <w:szCs w:val="20"/>
                <w:lang w:eastAsia="es-ES"/>
              </w:rPr>
              <w:t>183,8</w:t>
            </w:r>
          </w:p>
        </w:tc>
      </w:tr>
    </w:tbl>
    <w:p w14:paraId="6F556677" w14:textId="77777777" w:rsidR="001579BE" w:rsidRPr="006A71C3" w:rsidRDefault="001579BE" w:rsidP="001579BE"/>
    <w:p w14:paraId="3A48E588" w14:textId="77777777" w:rsidR="001579BE" w:rsidRPr="009F51ED" w:rsidRDefault="001579BE" w:rsidP="009F51ED">
      <w:pPr>
        <w:pStyle w:val="Ttulo3"/>
        <w:spacing w:line="360" w:lineRule="auto"/>
        <w:jc w:val="both"/>
        <w:rPr>
          <w:rFonts w:asciiTheme="majorBidi" w:hAnsiTheme="majorBidi"/>
          <w:b/>
          <w:bCs/>
          <w:color w:val="auto"/>
        </w:rPr>
      </w:pPr>
      <w:bookmarkStart w:id="68" w:name="_Toc137456626"/>
      <w:r w:rsidRPr="009F51ED">
        <w:rPr>
          <w:rFonts w:asciiTheme="majorBidi" w:hAnsiTheme="majorBidi"/>
          <w:b/>
          <w:bCs/>
          <w:color w:val="auto"/>
        </w:rPr>
        <w:t>Anexo II. Cifras de producción, stock, exportación e importación de trigo, en millones de toneladas métricas (Banco Mundial, 2021).</w:t>
      </w:r>
      <w:bookmarkEnd w:id="68"/>
    </w:p>
    <w:tbl>
      <w:tblPr>
        <w:tblW w:w="5000" w:type="pct"/>
        <w:tblCellMar>
          <w:left w:w="70" w:type="dxa"/>
          <w:right w:w="70" w:type="dxa"/>
        </w:tblCellMar>
        <w:tblLook w:val="04A0" w:firstRow="1" w:lastRow="0" w:firstColumn="1" w:lastColumn="0" w:noHBand="0" w:noVBand="1"/>
      </w:tblPr>
      <w:tblGrid>
        <w:gridCol w:w="408"/>
        <w:gridCol w:w="1679"/>
        <w:gridCol w:w="713"/>
        <w:gridCol w:w="713"/>
        <w:gridCol w:w="713"/>
        <w:gridCol w:w="713"/>
        <w:gridCol w:w="713"/>
        <w:gridCol w:w="713"/>
        <w:gridCol w:w="713"/>
        <w:gridCol w:w="713"/>
        <w:gridCol w:w="713"/>
      </w:tblGrid>
      <w:tr w:rsidR="001579BE" w:rsidRPr="00AB6853" w14:paraId="2F1E9864" w14:textId="77777777" w:rsidTr="00377237">
        <w:trPr>
          <w:trHeight w:val="310"/>
        </w:trPr>
        <w:tc>
          <w:tcPr>
            <w:tcW w:w="240" w:type="pct"/>
            <w:tcBorders>
              <w:top w:val="nil"/>
              <w:left w:val="nil"/>
              <w:bottom w:val="nil"/>
              <w:right w:val="nil"/>
            </w:tcBorders>
            <w:shd w:val="clear" w:color="auto" w:fill="auto"/>
            <w:noWrap/>
            <w:vAlign w:val="bottom"/>
            <w:hideMark/>
          </w:tcPr>
          <w:p w14:paraId="199A6774"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987" w:type="pct"/>
            <w:tcBorders>
              <w:top w:val="nil"/>
              <w:left w:val="nil"/>
              <w:bottom w:val="nil"/>
              <w:right w:val="nil"/>
            </w:tcBorders>
            <w:shd w:val="clear" w:color="auto" w:fill="auto"/>
            <w:noWrap/>
            <w:vAlign w:val="bottom"/>
            <w:hideMark/>
          </w:tcPr>
          <w:p w14:paraId="537F86D6" w14:textId="77777777" w:rsidR="001579BE" w:rsidRPr="00AB6853" w:rsidRDefault="001579BE" w:rsidP="00377237">
            <w:pPr>
              <w:spacing w:after="0" w:line="240" w:lineRule="auto"/>
              <w:jc w:val="center"/>
              <w:rPr>
                <w:rFonts w:ascii="Times New Roman" w:eastAsia="Times New Roman" w:hAnsi="Times New Roman" w:cs="Times New Roman"/>
                <w:color w:val="000000"/>
                <w:sz w:val="20"/>
                <w:szCs w:val="20"/>
                <w:lang w:eastAsia="es-ES"/>
              </w:rPr>
            </w:pPr>
          </w:p>
        </w:tc>
        <w:tc>
          <w:tcPr>
            <w:tcW w:w="419" w:type="pct"/>
            <w:tcBorders>
              <w:top w:val="nil"/>
              <w:left w:val="nil"/>
              <w:bottom w:val="nil"/>
              <w:right w:val="nil"/>
            </w:tcBorders>
            <w:shd w:val="clear" w:color="auto" w:fill="auto"/>
            <w:noWrap/>
            <w:vAlign w:val="bottom"/>
            <w:hideMark/>
          </w:tcPr>
          <w:p w14:paraId="5E649456"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1971</w:t>
            </w:r>
          </w:p>
        </w:tc>
        <w:tc>
          <w:tcPr>
            <w:tcW w:w="419" w:type="pct"/>
            <w:tcBorders>
              <w:top w:val="nil"/>
              <w:left w:val="nil"/>
              <w:bottom w:val="nil"/>
              <w:right w:val="nil"/>
            </w:tcBorders>
            <w:shd w:val="clear" w:color="auto" w:fill="auto"/>
            <w:noWrap/>
            <w:vAlign w:val="bottom"/>
            <w:hideMark/>
          </w:tcPr>
          <w:p w14:paraId="539B83DA"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1981</w:t>
            </w:r>
          </w:p>
        </w:tc>
        <w:tc>
          <w:tcPr>
            <w:tcW w:w="419" w:type="pct"/>
            <w:tcBorders>
              <w:top w:val="nil"/>
              <w:left w:val="nil"/>
              <w:bottom w:val="nil"/>
              <w:right w:val="nil"/>
            </w:tcBorders>
            <w:shd w:val="clear" w:color="auto" w:fill="auto"/>
            <w:noWrap/>
            <w:vAlign w:val="bottom"/>
            <w:hideMark/>
          </w:tcPr>
          <w:p w14:paraId="101E2F85"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1991</w:t>
            </w:r>
          </w:p>
        </w:tc>
        <w:tc>
          <w:tcPr>
            <w:tcW w:w="419" w:type="pct"/>
            <w:tcBorders>
              <w:top w:val="nil"/>
              <w:left w:val="nil"/>
              <w:bottom w:val="nil"/>
              <w:right w:val="nil"/>
            </w:tcBorders>
            <w:shd w:val="clear" w:color="auto" w:fill="auto"/>
            <w:noWrap/>
            <w:vAlign w:val="bottom"/>
            <w:hideMark/>
          </w:tcPr>
          <w:p w14:paraId="7111B550"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2001</w:t>
            </w:r>
          </w:p>
        </w:tc>
        <w:tc>
          <w:tcPr>
            <w:tcW w:w="419" w:type="pct"/>
            <w:tcBorders>
              <w:top w:val="nil"/>
              <w:left w:val="nil"/>
              <w:bottom w:val="nil"/>
              <w:right w:val="nil"/>
            </w:tcBorders>
            <w:shd w:val="clear" w:color="auto" w:fill="auto"/>
            <w:noWrap/>
            <w:vAlign w:val="bottom"/>
            <w:hideMark/>
          </w:tcPr>
          <w:p w14:paraId="4F65C083"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2011</w:t>
            </w:r>
          </w:p>
        </w:tc>
        <w:tc>
          <w:tcPr>
            <w:tcW w:w="419" w:type="pct"/>
            <w:tcBorders>
              <w:top w:val="nil"/>
              <w:left w:val="nil"/>
              <w:bottom w:val="nil"/>
              <w:right w:val="nil"/>
            </w:tcBorders>
            <w:shd w:val="clear" w:color="auto" w:fill="auto"/>
            <w:noWrap/>
            <w:vAlign w:val="bottom"/>
            <w:hideMark/>
          </w:tcPr>
          <w:p w14:paraId="0D974493"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2019</w:t>
            </w:r>
          </w:p>
        </w:tc>
        <w:tc>
          <w:tcPr>
            <w:tcW w:w="419" w:type="pct"/>
            <w:tcBorders>
              <w:top w:val="nil"/>
              <w:left w:val="nil"/>
              <w:bottom w:val="nil"/>
              <w:right w:val="nil"/>
            </w:tcBorders>
            <w:shd w:val="clear" w:color="auto" w:fill="auto"/>
            <w:noWrap/>
            <w:vAlign w:val="bottom"/>
            <w:hideMark/>
          </w:tcPr>
          <w:p w14:paraId="7F2E6CDA"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2020</w:t>
            </w:r>
          </w:p>
        </w:tc>
        <w:tc>
          <w:tcPr>
            <w:tcW w:w="419" w:type="pct"/>
            <w:tcBorders>
              <w:top w:val="nil"/>
              <w:left w:val="nil"/>
              <w:bottom w:val="nil"/>
              <w:right w:val="nil"/>
            </w:tcBorders>
            <w:shd w:val="clear" w:color="auto" w:fill="auto"/>
            <w:noWrap/>
            <w:vAlign w:val="bottom"/>
            <w:hideMark/>
          </w:tcPr>
          <w:p w14:paraId="3312E2E7"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2021</w:t>
            </w:r>
          </w:p>
        </w:tc>
        <w:tc>
          <w:tcPr>
            <w:tcW w:w="419" w:type="pct"/>
            <w:tcBorders>
              <w:top w:val="nil"/>
              <w:left w:val="nil"/>
              <w:bottom w:val="nil"/>
              <w:right w:val="nil"/>
            </w:tcBorders>
            <w:shd w:val="clear" w:color="auto" w:fill="auto"/>
            <w:noWrap/>
            <w:vAlign w:val="bottom"/>
            <w:hideMark/>
          </w:tcPr>
          <w:p w14:paraId="76978D8F" w14:textId="77777777" w:rsidR="001579BE" w:rsidRPr="00234E9D" w:rsidRDefault="001579BE" w:rsidP="00377237">
            <w:pPr>
              <w:spacing w:after="0" w:line="240" w:lineRule="auto"/>
              <w:jc w:val="center"/>
              <w:rPr>
                <w:rFonts w:ascii="Times New Roman" w:eastAsia="Times New Roman" w:hAnsi="Times New Roman" w:cs="Times New Roman"/>
                <w:b/>
                <w:bCs/>
                <w:color w:val="000000"/>
                <w:sz w:val="20"/>
                <w:szCs w:val="20"/>
                <w:lang w:eastAsia="es-ES"/>
              </w:rPr>
            </w:pPr>
            <w:r w:rsidRPr="00234E9D">
              <w:rPr>
                <w:rFonts w:asciiTheme="majorBidi" w:eastAsia="Times New Roman" w:hAnsiTheme="majorBidi" w:cstheme="majorBidi"/>
                <w:b/>
                <w:bCs/>
                <w:color w:val="000000"/>
                <w:sz w:val="20"/>
                <w:szCs w:val="20"/>
                <w:lang w:eastAsia="es-ES"/>
              </w:rPr>
              <w:t>2022</w:t>
            </w:r>
          </w:p>
        </w:tc>
      </w:tr>
      <w:tr w:rsidR="001579BE" w:rsidRPr="00AB6853" w14:paraId="1E6714BB" w14:textId="77777777" w:rsidTr="00377237">
        <w:trPr>
          <w:trHeight w:val="310"/>
        </w:trPr>
        <w:tc>
          <w:tcPr>
            <w:tcW w:w="240" w:type="pct"/>
            <w:tcBorders>
              <w:top w:val="nil"/>
              <w:left w:val="nil"/>
              <w:bottom w:val="nil"/>
              <w:right w:val="nil"/>
            </w:tcBorders>
            <w:shd w:val="clear" w:color="auto" w:fill="auto"/>
            <w:noWrap/>
            <w:vAlign w:val="bottom"/>
            <w:hideMark/>
          </w:tcPr>
          <w:p w14:paraId="43C90E78"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987" w:type="pct"/>
            <w:tcBorders>
              <w:top w:val="nil"/>
              <w:left w:val="nil"/>
              <w:bottom w:val="nil"/>
              <w:right w:val="nil"/>
            </w:tcBorders>
            <w:shd w:val="clear" w:color="auto" w:fill="auto"/>
            <w:noWrap/>
            <w:vAlign w:val="bottom"/>
            <w:hideMark/>
          </w:tcPr>
          <w:p w14:paraId="133CD8C7" w14:textId="77777777" w:rsidR="001579BE" w:rsidRPr="00AB6853" w:rsidRDefault="001579BE" w:rsidP="00377237">
            <w:pPr>
              <w:spacing w:after="0" w:line="240" w:lineRule="auto"/>
              <w:rPr>
                <w:rFonts w:ascii="Times New Roman" w:eastAsia="Times New Roman" w:hAnsi="Times New Roman" w:cs="Times New Roman"/>
                <w:b/>
                <w:bCs/>
                <w:color w:val="000000"/>
                <w:sz w:val="20"/>
                <w:szCs w:val="20"/>
                <w:lang w:eastAsia="es-ES"/>
              </w:rPr>
            </w:pPr>
            <w:r w:rsidRPr="00AB6853">
              <w:rPr>
                <w:rFonts w:ascii="Times New Roman" w:eastAsia="Times New Roman" w:hAnsi="Times New Roman" w:cs="Times New Roman"/>
                <w:b/>
                <w:bCs/>
                <w:color w:val="000000"/>
                <w:sz w:val="20"/>
                <w:szCs w:val="20"/>
                <w:lang w:eastAsia="es-ES"/>
              </w:rPr>
              <w:t>Producción</w:t>
            </w:r>
          </w:p>
        </w:tc>
        <w:tc>
          <w:tcPr>
            <w:tcW w:w="419" w:type="pct"/>
            <w:tcBorders>
              <w:top w:val="nil"/>
              <w:left w:val="nil"/>
              <w:bottom w:val="nil"/>
              <w:right w:val="nil"/>
            </w:tcBorders>
            <w:shd w:val="clear" w:color="auto" w:fill="auto"/>
            <w:noWrap/>
            <w:vAlign w:val="bottom"/>
            <w:hideMark/>
          </w:tcPr>
          <w:p w14:paraId="20551333" w14:textId="77777777" w:rsidR="001579BE" w:rsidRPr="00AB685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419" w:type="pct"/>
            <w:tcBorders>
              <w:top w:val="nil"/>
              <w:left w:val="nil"/>
              <w:bottom w:val="nil"/>
              <w:right w:val="nil"/>
            </w:tcBorders>
            <w:shd w:val="clear" w:color="auto" w:fill="auto"/>
            <w:noWrap/>
            <w:vAlign w:val="bottom"/>
            <w:hideMark/>
          </w:tcPr>
          <w:p w14:paraId="7ACE5B3F"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598F8A47"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72B8B283"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32A53AEF"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07D2B9AB"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3A299C9A"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6969A4B9"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14E132D0" w14:textId="77777777" w:rsidR="001579BE" w:rsidRPr="00AB6853" w:rsidRDefault="001579BE" w:rsidP="00377237">
            <w:pPr>
              <w:spacing w:after="0" w:line="240" w:lineRule="auto"/>
              <w:rPr>
                <w:rFonts w:ascii="Times New Roman" w:eastAsia="Times New Roman" w:hAnsi="Times New Roman" w:cs="Times New Roman"/>
                <w:sz w:val="20"/>
                <w:szCs w:val="20"/>
                <w:lang w:eastAsia="es-ES"/>
              </w:rPr>
            </w:pPr>
          </w:p>
        </w:tc>
      </w:tr>
      <w:tr w:rsidR="001579BE" w:rsidRPr="00AB6853" w14:paraId="625F87C0" w14:textId="77777777" w:rsidTr="00377237">
        <w:trPr>
          <w:trHeight w:val="310"/>
        </w:trPr>
        <w:tc>
          <w:tcPr>
            <w:tcW w:w="240" w:type="pct"/>
            <w:tcBorders>
              <w:top w:val="nil"/>
              <w:left w:val="nil"/>
              <w:bottom w:val="nil"/>
              <w:right w:val="nil"/>
            </w:tcBorders>
            <w:shd w:val="clear" w:color="auto" w:fill="auto"/>
            <w:noWrap/>
            <w:vAlign w:val="bottom"/>
            <w:hideMark/>
          </w:tcPr>
          <w:p w14:paraId="7393022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w:t>
            </w:r>
          </w:p>
        </w:tc>
        <w:tc>
          <w:tcPr>
            <w:tcW w:w="987" w:type="pct"/>
            <w:tcBorders>
              <w:top w:val="nil"/>
              <w:left w:val="nil"/>
              <w:bottom w:val="nil"/>
              <w:right w:val="nil"/>
            </w:tcBorders>
            <w:shd w:val="clear" w:color="auto" w:fill="auto"/>
            <w:noWrap/>
            <w:vAlign w:val="bottom"/>
            <w:hideMark/>
          </w:tcPr>
          <w:p w14:paraId="69C58EAB"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Unión Europea</w:t>
            </w:r>
          </w:p>
        </w:tc>
        <w:tc>
          <w:tcPr>
            <w:tcW w:w="419" w:type="pct"/>
            <w:tcBorders>
              <w:top w:val="nil"/>
              <w:left w:val="nil"/>
              <w:bottom w:val="nil"/>
              <w:right w:val="nil"/>
            </w:tcBorders>
            <w:shd w:val="clear" w:color="auto" w:fill="auto"/>
            <w:noWrap/>
            <w:vAlign w:val="bottom"/>
            <w:hideMark/>
          </w:tcPr>
          <w:p w14:paraId="5AFF188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45,6</w:t>
            </w:r>
          </w:p>
        </w:tc>
        <w:tc>
          <w:tcPr>
            <w:tcW w:w="419" w:type="pct"/>
            <w:tcBorders>
              <w:top w:val="nil"/>
              <w:left w:val="nil"/>
              <w:bottom w:val="nil"/>
              <w:right w:val="nil"/>
            </w:tcBorders>
            <w:shd w:val="clear" w:color="auto" w:fill="auto"/>
            <w:noWrap/>
            <w:vAlign w:val="bottom"/>
            <w:hideMark/>
          </w:tcPr>
          <w:p w14:paraId="075BD34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67,4</w:t>
            </w:r>
          </w:p>
        </w:tc>
        <w:tc>
          <w:tcPr>
            <w:tcW w:w="419" w:type="pct"/>
            <w:tcBorders>
              <w:top w:val="nil"/>
              <w:left w:val="nil"/>
              <w:bottom w:val="nil"/>
              <w:right w:val="nil"/>
            </w:tcBorders>
            <w:shd w:val="clear" w:color="auto" w:fill="auto"/>
            <w:noWrap/>
            <w:vAlign w:val="bottom"/>
            <w:hideMark/>
          </w:tcPr>
          <w:p w14:paraId="68C5DA8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89,1</w:t>
            </w:r>
          </w:p>
        </w:tc>
        <w:tc>
          <w:tcPr>
            <w:tcW w:w="419" w:type="pct"/>
            <w:tcBorders>
              <w:top w:val="nil"/>
              <w:left w:val="nil"/>
              <w:bottom w:val="nil"/>
              <w:right w:val="nil"/>
            </w:tcBorders>
            <w:shd w:val="clear" w:color="auto" w:fill="auto"/>
            <w:noWrap/>
            <w:vAlign w:val="bottom"/>
            <w:hideMark/>
          </w:tcPr>
          <w:p w14:paraId="095E728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132,7</w:t>
            </w:r>
          </w:p>
        </w:tc>
        <w:tc>
          <w:tcPr>
            <w:tcW w:w="419" w:type="pct"/>
            <w:tcBorders>
              <w:top w:val="nil"/>
              <w:left w:val="nil"/>
              <w:bottom w:val="nil"/>
              <w:right w:val="nil"/>
            </w:tcBorders>
            <w:shd w:val="clear" w:color="auto" w:fill="auto"/>
            <w:noWrap/>
            <w:vAlign w:val="bottom"/>
            <w:hideMark/>
          </w:tcPr>
          <w:p w14:paraId="075C389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136,7</w:t>
            </w:r>
          </w:p>
        </w:tc>
        <w:tc>
          <w:tcPr>
            <w:tcW w:w="419" w:type="pct"/>
            <w:tcBorders>
              <w:top w:val="nil"/>
              <w:left w:val="nil"/>
              <w:bottom w:val="nil"/>
              <w:right w:val="nil"/>
            </w:tcBorders>
            <w:shd w:val="clear" w:color="auto" w:fill="auto"/>
            <w:noWrap/>
            <w:vAlign w:val="bottom"/>
            <w:hideMark/>
          </w:tcPr>
          <w:p w14:paraId="77F42F1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123,1</w:t>
            </w:r>
          </w:p>
        </w:tc>
        <w:tc>
          <w:tcPr>
            <w:tcW w:w="419" w:type="pct"/>
            <w:tcBorders>
              <w:top w:val="nil"/>
              <w:left w:val="nil"/>
              <w:bottom w:val="nil"/>
              <w:right w:val="nil"/>
            </w:tcBorders>
            <w:shd w:val="clear" w:color="auto" w:fill="auto"/>
            <w:noWrap/>
            <w:vAlign w:val="bottom"/>
            <w:hideMark/>
          </w:tcPr>
          <w:p w14:paraId="6DBF08E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138,7</w:t>
            </w:r>
          </w:p>
        </w:tc>
        <w:tc>
          <w:tcPr>
            <w:tcW w:w="419" w:type="pct"/>
            <w:tcBorders>
              <w:top w:val="nil"/>
              <w:left w:val="nil"/>
              <w:bottom w:val="nil"/>
              <w:right w:val="nil"/>
            </w:tcBorders>
            <w:shd w:val="clear" w:color="auto" w:fill="auto"/>
            <w:noWrap/>
            <w:vAlign w:val="bottom"/>
            <w:hideMark/>
          </w:tcPr>
          <w:p w14:paraId="54C467E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126,0</w:t>
            </w:r>
          </w:p>
        </w:tc>
        <w:tc>
          <w:tcPr>
            <w:tcW w:w="419" w:type="pct"/>
            <w:tcBorders>
              <w:top w:val="nil"/>
              <w:left w:val="nil"/>
              <w:bottom w:val="nil"/>
              <w:right w:val="nil"/>
            </w:tcBorders>
            <w:shd w:val="clear" w:color="auto" w:fill="auto"/>
            <w:noWrap/>
            <w:vAlign w:val="bottom"/>
            <w:hideMark/>
          </w:tcPr>
          <w:p w14:paraId="0DD2930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139,4</w:t>
            </w:r>
          </w:p>
        </w:tc>
      </w:tr>
      <w:tr w:rsidR="001579BE" w:rsidRPr="00AB6853" w14:paraId="136F28B9" w14:textId="77777777" w:rsidTr="00377237">
        <w:trPr>
          <w:trHeight w:val="310"/>
        </w:trPr>
        <w:tc>
          <w:tcPr>
            <w:tcW w:w="240" w:type="pct"/>
            <w:tcBorders>
              <w:top w:val="nil"/>
              <w:left w:val="nil"/>
              <w:bottom w:val="nil"/>
              <w:right w:val="nil"/>
            </w:tcBorders>
            <w:shd w:val="clear" w:color="auto" w:fill="auto"/>
            <w:noWrap/>
            <w:vAlign w:val="bottom"/>
            <w:hideMark/>
          </w:tcPr>
          <w:p w14:paraId="05E7B58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w:t>
            </w:r>
          </w:p>
        </w:tc>
        <w:tc>
          <w:tcPr>
            <w:tcW w:w="987" w:type="pct"/>
            <w:tcBorders>
              <w:top w:val="nil"/>
              <w:left w:val="nil"/>
              <w:bottom w:val="nil"/>
              <w:right w:val="nil"/>
            </w:tcBorders>
            <w:shd w:val="clear" w:color="auto" w:fill="auto"/>
            <w:noWrap/>
            <w:vAlign w:val="bottom"/>
            <w:hideMark/>
          </w:tcPr>
          <w:p w14:paraId="252BE1A6"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China</w:t>
            </w:r>
          </w:p>
        </w:tc>
        <w:tc>
          <w:tcPr>
            <w:tcW w:w="419" w:type="pct"/>
            <w:tcBorders>
              <w:top w:val="nil"/>
              <w:left w:val="nil"/>
              <w:bottom w:val="nil"/>
              <w:right w:val="nil"/>
            </w:tcBorders>
            <w:shd w:val="clear" w:color="auto" w:fill="auto"/>
            <w:noWrap/>
            <w:vAlign w:val="bottom"/>
            <w:hideMark/>
          </w:tcPr>
          <w:p w14:paraId="1F7C5C7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29,2</w:t>
            </w:r>
          </w:p>
        </w:tc>
        <w:tc>
          <w:tcPr>
            <w:tcW w:w="419" w:type="pct"/>
            <w:tcBorders>
              <w:top w:val="nil"/>
              <w:left w:val="nil"/>
              <w:bottom w:val="nil"/>
              <w:right w:val="nil"/>
            </w:tcBorders>
            <w:shd w:val="clear" w:color="auto" w:fill="auto"/>
            <w:noWrap/>
            <w:vAlign w:val="bottom"/>
            <w:hideMark/>
          </w:tcPr>
          <w:p w14:paraId="00F4462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55,2</w:t>
            </w:r>
          </w:p>
        </w:tc>
        <w:tc>
          <w:tcPr>
            <w:tcW w:w="419" w:type="pct"/>
            <w:tcBorders>
              <w:top w:val="nil"/>
              <w:left w:val="nil"/>
              <w:bottom w:val="nil"/>
              <w:right w:val="nil"/>
            </w:tcBorders>
            <w:shd w:val="clear" w:color="auto" w:fill="auto"/>
            <w:noWrap/>
            <w:vAlign w:val="bottom"/>
            <w:hideMark/>
          </w:tcPr>
          <w:p w14:paraId="363428D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98,2</w:t>
            </w:r>
          </w:p>
        </w:tc>
        <w:tc>
          <w:tcPr>
            <w:tcW w:w="419" w:type="pct"/>
            <w:tcBorders>
              <w:top w:val="nil"/>
              <w:left w:val="nil"/>
              <w:bottom w:val="nil"/>
              <w:right w:val="nil"/>
            </w:tcBorders>
            <w:shd w:val="clear" w:color="auto" w:fill="auto"/>
            <w:noWrap/>
            <w:vAlign w:val="bottom"/>
            <w:hideMark/>
          </w:tcPr>
          <w:p w14:paraId="0A0FEF2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99,6</w:t>
            </w:r>
          </w:p>
        </w:tc>
        <w:tc>
          <w:tcPr>
            <w:tcW w:w="419" w:type="pct"/>
            <w:tcBorders>
              <w:top w:val="nil"/>
              <w:left w:val="nil"/>
              <w:bottom w:val="nil"/>
              <w:right w:val="nil"/>
            </w:tcBorders>
            <w:shd w:val="clear" w:color="auto" w:fill="auto"/>
            <w:noWrap/>
            <w:vAlign w:val="bottom"/>
            <w:hideMark/>
          </w:tcPr>
          <w:p w14:paraId="2056030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116,1</w:t>
            </w:r>
          </w:p>
        </w:tc>
        <w:tc>
          <w:tcPr>
            <w:tcW w:w="419" w:type="pct"/>
            <w:tcBorders>
              <w:top w:val="nil"/>
              <w:left w:val="nil"/>
              <w:bottom w:val="nil"/>
              <w:right w:val="nil"/>
            </w:tcBorders>
            <w:shd w:val="clear" w:color="auto" w:fill="auto"/>
            <w:noWrap/>
            <w:vAlign w:val="bottom"/>
            <w:hideMark/>
          </w:tcPr>
          <w:p w14:paraId="1EBE2FC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131,4</w:t>
            </w:r>
          </w:p>
        </w:tc>
        <w:tc>
          <w:tcPr>
            <w:tcW w:w="419" w:type="pct"/>
            <w:tcBorders>
              <w:top w:val="nil"/>
              <w:left w:val="nil"/>
              <w:bottom w:val="nil"/>
              <w:right w:val="nil"/>
            </w:tcBorders>
            <w:shd w:val="clear" w:color="auto" w:fill="auto"/>
            <w:noWrap/>
            <w:vAlign w:val="bottom"/>
            <w:hideMark/>
          </w:tcPr>
          <w:p w14:paraId="013BCD2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133,6</w:t>
            </w:r>
          </w:p>
        </w:tc>
        <w:tc>
          <w:tcPr>
            <w:tcW w:w="419" w:type="pct"/>
            <w:tcBorders>
              <w:top w:val="nil"/>
              <w:left w:val="nil"/>
              <w:bottom w:val="nil"/>
              <w:right w:val="nil"/>
            </w:tcBorders>
            <w:shd w:val="clear" w:color="auto" w:fill="auto"/>
            <w:noWrap/>
            <w:vAlign w:val="bottom"/>
            <w:hideMark/>
          </w:tcPr>
          <w:p w14:paraId="6E39D4D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134,3</w:t>
            </w:r>
          </w:p>
        </w:tc>
        <w:tc>
          <w:tcPr>
            <w:tcW w:w="419" w:type="pct"/>
            <w:tcBorders>
              <w:top w:val="nil"/>
              <w:left w:val="nil"/>
              <w:bottom w:val="nil"/>
              <w:right w:val="nil"/>
            </w:tcBorders>
            <w:shd w:val="clear" w:color="auto" w:fill="auto"/>
            <w:noWrap/>
            <w:vAlign w:val="bottom"/>
            <w:hideMark/>
          </w:tcPr>
          <w:p w14:paraId="3BA7122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136,9</w:t>
            </w:r>
          </w:p>
        </w:tc>
      </w:tr>
      <w:tr w:rsidR="001579BE" w:rsidRPr="00AB6853" w14:paraId="0B63F608" w14:textId="77777777" w:rsidTr="00377237">
        <w:trPr>
          <w:trHeight w:val="310"/>
        </w:trPr>
        <w:tc>
          <w:tcPr>
            <w:tcW w:w="240" w:type="pct"/>
            <w:tcBorders>
              <w:top w:val="nil"/>
              <w:left w:val="nil"/>
              <w:bottom w:val="nil"/>
              <w:right w:val="nil"/>
            </w:tcBorders>
            <w:shd w:val="clear" w:color="auto" w:fill="auto"/>
            <w:noWrap/>
            <w:vAlign w:val="bottom"/>
            <w:hideMark/>
          </w:tcPr>
          <w:p w14:paraId="2A7A058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w:t>
            </w:r>
          </w:p>
        </w:tc>
        <w:tc>
          <w:tcPr>
            <w:tcW w:w="987" w:type="pct"/>
            <w:tcBorders>
              <w:top w:val="nil"/>
              <w:left w:val="nil"/>
              <w:bottom w:val="nil"/>
              <w:right w:val="nil"/>
            </w:tcBorders>
            <w:shd w:val="clear" w:color="auto" w:fill="auto"/>
            <w:noWrap/>
            <w:vAlign w:val="bottom"/>
            <w:hideMark/>
          </w:tcPr>
          <w:p w14:paraId="26337226"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India</w:t>
            </w:r>
          </w:p>
        </w:tc>
        <w:tc>
          <w:tcPr>
            <w:tcW w:w="419" w:type="pct"/>
            <w:tcBorders>
              <w:top w:val="nil"/>
              <w:left w:val="nil"/>
              <w:bottom w:val="nil"/>
              <w:right w:val="nil"/>
            </w:tcBorders>
            <w:shd w:val="clear" w:color="auto" w:fill="auto"/>
            <w:noWrap/>
            <w:vAlign w:val="bottom"/>
            <w:hideMark/>
          </w:tcPr>
          <w:p w14:paraId="1EAEEEA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20,1</w:t>
            </w:r>
          </w:p>
        </w:tc>
        <w:tc>
          <w:tcPr>
            <w:tcW w:w="419" w:type="pct"/>
            <w:tcBorders>
              <w:top w:val="nil"/>
              <w:left w:val="nil"/>
              <w:bottom w:val="nil"/>
              <w:right w:val="nil"/>
            </w:tcBorders>
            <w:shd w:val="clear" w:color="auto" w:fill="auto"/>
            <w:noWrap/>
            <w:vAlign w:val="bottom"/>
            <w:hideMark/>
          </w:tcPr>
          <w:p w14:paraId="380738A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31,8</w:t>
            </w:r>
          </w:p>
        </w:tc>
        <w:tc>
          <w:tcPr>
            <w:tcW w:w="419" w:type="pct"/>
            <w:tcBorders>
              <w:top w:val="nil"/>
              <w:left w:val="nil"/>
              <w:bottom w:val="nil"/>
              <w:right w:val="nil"/>
            </w:tcBorders>
            <w:shd w:val="clear" w:color="auto" w:fill="auto"/>
            <w:noWrap/>
            <w:vAlign w:val="bottom"/>
            <w:hideMark/>
          </w:tcPr>
          <w:p w14:paraId="0814C49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49,9</w:t>
            </w:r>
          </w:p>
        </w:tc>
        <w:tc>
          <w:tcPr>
            <w:tcW w:w="419" w:type="pct"/>
            <w:tcBorders>
              <w:top w:val="nil"/>
              <w:left w:val="nil"/>
              <w:bottom w:val="nil"/>
              <w:right w:val="nil"/>
            </w:tcBorders>
            <w:shd w:val="clear" w:color="auto" w:fill="auto"/>
            <w:noWrap/>
            <w:vAlign w:val="bottom"/>
            <w:hideMark/>
          </w:tcPr>
          <w:p w14:paraId="1FC6CCF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76,4</w:t>
            </w:r>
          </w:p>
        </w:tc>
        <w:tc>
          <w:tcPr>
            <w:tcW w:w="419" w:type="pct"/>
            <w:tcBorders>
              <w:top w:val="nil"/>
              <w:left w:val="nil"/>
              <w:bottom w:val="nil"/>
              <w:right w:val="nil"/>
            </w:tcBorders>
            <w:shd w:val="clear" w:color="auto" w:fill="auto"/>
            <w:noWrap/>
            <w:vAlign w:val="bottom"/>
            <w:hideMark/>
          </w:tcPr>
          <w:p w14:paraId="28B2001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80,8</w:t>
            </w:r>
          </w:p>
        </w:tc>
        <w:tc>
          <w:tcPr>
            <w:tcW w:w="419" w:type="pct"/>
            <w:tcBorders>
              <w:top w:val="nil"/>
              <w:left w:val="nil"/>
              <w:bottom w:val="nil"/>
              <w:right w:val="nil"/>
            </w:tcBorders>
            <w:shd w:val="clear" w:color="auto" w:fill="auto"/>
            <w:noWrap/>
            <w:vAlign w:val="bottom"/>
            <w:hideMark/>
          </w:tcPr>
          <w:p w14:paraId="4FBA3C7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99,9</w:t>
            </w:r>
          </w:p>
        </w:tc>
        <w:tc>
          <w:tcPr>
            <w:tcW w:w="419" w:type="pct"/>
            <w:tcBorders>
              <w:top w:val="nil"/>
              <w:left w:val="nil"/>
              <w:bottom w:val="nil"/>
              <w:right w:val="nil"/>
            </w:tcBorders>
            <w:shd w:val="clear" w:color="auto" w:fill="auto"/>
            <w:noWrap/>
            <w:vAlign w:val="bottom"/>
            <w:hideMark/>
          </w:tcPr>
          <w:p w14:paraId="36AE46F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103,6</w:t>
            </w:r>
          </w:p>
        </w:tc>
        <w:tc>
          <w:tcPr>
            <w:tcW w:w="419" w:type="pct"/>
            <w:tcBorders>
              <w:top w:val="nil"/>
              <w:left w:val="nil"/>
              <w:bottom w:val="nil"/>
              <w:right w:val="nil"/>
            </w:tcBorders>
            <w:shd w:val="clear" w:color="auto" w:fill="auto"/>
            <w:noWrap/>
            <w:vAlign w:val="bottom"/>
            <w:hideMark/>
          </w:tcPr>
          <w:p w14:paraId="56E66D1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107,9</w:t>
            </w:r>
          </w:p>
        </w:tc>
        <w:tc>
          <w:tcPr>
            <w:tcW w:w="419" w:type="pct"/>
            <w:tcBorders>
              <w:top w:val="nil"/>
              <w:left w:val="nil"/>
              <w:bottom w:val="nil"/>
              <w:right w:val="nil"/>
            </w:tcBorders>
            <w:shd w:val="clear" w:color="auto" w:fill="auto"/>
            <w:noWrap/>
            <w:vAlign w:val="bottom"/>
            <w:hideMark/>
          </w:tcPr>
          <w:p w14:paraId="60F3FDF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109,5</w:t>
            </w:r>
          </w:p>
        </w:tc>
      </w:tr>
      <w:tr w:rsidR="001579BE" w:rsidRPr="00AB6853" w14:paraId="71B29ED5" w14:textId="77777777" w:rsidTr="00377237">
        <w:trPr>
          <w:trHeight w:val="310"/>
        </w:trPr>
        <w:tc>
          <w:tcPr>
            <w:tcW w:w="240" w:type="pct"/>
            <w:tcBorders>
              <w:top w:val="nil"/>
              <w:left w:val="nil"/>
              <w:bottom w:val="nil"/>
              <w:right w:val="nil"/>
            </w:tcBorders>
            <w:shd w:val="clear" w:color="auto" w:fill="auto"/>
            <w:noWrap/>
            <w:vAlign w:val="bottom"/>
            <w:hideMark/>
          </w:tcPr>
          <w:p w14:paraId="14E254F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w:t>
            </w:r>
          </w:p>
        </w:tc>
        <w:tc>
          <w:tcPr>
            <w:tcW w:w="987" w:type="pct"/>
            <w:tcBorders>
              <w:top w:val="nil"/>
              <w:left w:val="nil"/>
              <w:bottom w:val="nil"/>
              <w:right w:val="nil"/>
            </w:tcBorders>
            <w:shd w:val="clear" w:color="auto" w:fill="auto"/>
            <w:noWrap/>
            <w:vAlign w:val="bottom"/>
            <w:hideMark/>
          </w:tcPr>
          <w:p w14:paraId="49E178B1"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Rusia</w:t>
            </w:r>
          </w:p>
        </w:tc>
        <w:tc>
          <w:tcPr>
            <w:tcW w:w="419" w:type="pct"/>
            <w:tcBorders>
              <w:top w:val="nil"/>
              <w:left w:val="nil"/>
              <w:bottom w:val="nil"/>
              <w:right w:val="nil"/>
            </w:tcBorders>
            <w:shd w:val="clear" w:color="auto" w:fill="auto"/>
            <w:noWrap/>
            <w:vAlign w:val="bottom"/>
            <w:hideMark/>
          </w:tcPr>
          <w:p w14:paraId="69E001A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19" w:type="pct"/>
            <w:tcBorders>
              <w:top w:val="nil"/>
              <w:left w:val="nil"/>
              <w:bottom w:val="nil"/>
              <w:right w:val="nil"/>
            </w:tcBorders>
            <w:shd w:val="clear" w:color="auto" w:fill="auto"/>
            <w:noWrap/>
            <w:vAlign w:val="bottom"/>
            <w:hideMark/>
          </w:tcPr>
          <w:p w14:paraId="51AC5E5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19" w:type="pct"/>
            <w:tcBorders>
              <w:top w:val="nil"/>
              <w:left w:val="nil"/>
              <w:bottom w:val="nil"/>
              <w:right w:val="nil"/>
            </w:tcBorders>
            <w:shd w:val="clear" w:color="auto" w:fill="auto"/>
            <w:noWrap/>
            <w:vAlign w:val="bottom"/>
            <w:hideMark/>
          </w:tcPr>
          <w:p w14:paraId="5CAB7D4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49,6</w:t>
            </w:r>
          </w:p>
        </w:tc>
        <w:tc>
          <w:tcPr>
            <w:tcW w:w="419" w:type="pct"/>
            <w:tcBorders>
              <w:top w:val="nil"/>
              <w:left w:val="nil"/>
              <w:bottom w:val="nil"/>
              <w:right w:val="nil"/>
            </w:tcBorders>
            <w:shd w:val="clear" w:color="auto" w:fill="auto"/>
            <w:noWrap/>
            <w:vAlign w:val="bottom"/>
            <w:hideMark/>
          </w:tcPr>
          <w:p w14:paraId="39F0FE0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34,5</w:t>
            </w:r>
          </w:p>
        </w:tc>
        <w:tc>
          <w:tcPr>
            <w:tcW w:w="419" w:type="pct"/>
            <w:tcBorders>
              <w:top w:val="nil"/>
              <w:left w:val="nil"/>
              <w:bottom w:val="nil"/>
              <w:right w:val="nil"/>
            </w:tcBorders>
            <w:shd w:val="clear" w:color="auto" w:fill="auto"/>
            <w:noWrap/>
            <w:vAlign w:val="bottom"/>
            <w:hideMark/>
          </w:tcPr>
          <w:p w14:paraId="6D4F37F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41,5</w:t>
            </w:r>
          </w:p>
        </w:tc>
        <w:tc>
          <w:tcPr>
            <w:tcW w:w="419" w:type="pct"/>
            <w:tcBorders>
              <w:top w:val="nil"/>
              <w:left w:val="nil"/>
              <w:bottom w:val="nil"/>
              <w:right w:val="nil"/>
            </w:tcBorders>
            <w:shd w:val="clear" w:color="auto" w:fill="auto"/>
            <w:noWrap/>
            <w:vAlign w:val="bottom"/>
            <w:hideMark/>
          </w:tcPr>
          <w:p w14:paraId="13224F7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71,7</w:t>
            </w:r>
          </w:p>
        </w:tc>
        <w:tc>
          <w:tcPr>
            <w:tcW w:w="419" w:type="pct"/>
            <w:tcBorders>
              <w:top w:val="nil"/>
              <w:left w:val="nil"/>
              <w:bottom w:val="nil"/>
              <w:right w:val="nil"/>
            </w:tcBorders>
            <w:shd w:val="clear" w:color="auto" w:fill="auto"/>
            <w:noWrap/>
            <w:vAlign w:val="bottom"/>
            <w:hideMark/>
          </w:tcPr>
          <w:p w14:paraId="264ED77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73,6</w:t>
            </w:r>
          </w:p>
        </w:tc>
        <w:tc>
          <w:tcPr>
            <w:tcW w:w="419" w:type="pct"/>
            <w:tcBorders>
              <w:top w:val="nil"/>
              <w:left w:val="nil"/>
              <w:bottom w:val="nil"/>
              <w:right w:val="nil"/>
            </w:tcBorders>
            <w:shd w:val="clear" w:color="auto" w:fill="auto"/>
            <w:noWrap/>
            <w:vAlign w:val="bottom"/>
            <w:hideMark/>
          </w:tcPr>
          <w:p w14:paraId="39AC4D7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85,4</w:t>
            </w:r>
          </w:p>
        </w:tc>
        <w:tc>
          <w:tcPr>
            <w:tcW w:w="419" w:type="pct"/>
            <w:tcBorders>
              <w:top w:val="nil"/>
              <w:left w:val="nil"/>
              <w:bottom w:val="nil"/>
              <w:right w:val="nil"/>
            </w:tcBorders>
            <w:shd w:val="clear" w:color="auto" w:fill="auto"/>
            <w:noWrap/>
            <w:vAlign w:val="bottom"/>
            <w:hideMark/>
          </w:tcPr>
          <w:p w14:paraId="22249D4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72,5</w:t>
            </w:r>
          </w:p>
        </w:tc>
      </w:tr>
      <w:tr w:rsidR="001579BE" w:rsidRPr="00AB6853" w14:paraId="33E31E0F" w14:textId="77777777" w:rsidTr="00377237">
        <w:trPr>
          <w:trHeight w:val="310"/>
        </w:trPr>
        <w:tc>
          <w:tcPr>
            <w:tcW w:w="240" w:type="pct"/>
            <w:tcBorders>
              <w:top w:val="nil"/>
              <w:left w:val="nil"/>
              <w:bottom w:val="nil"/>
              <w:right w:val="nil"/>
            </w:tcBorders>
            <w:shd w:val="clear" w:color="auto" w:fill="auto"/>
            <w:noWrap/>
            <w:vAlign w:val="bottom"/>
            <w:hideMark/>
          </w:tcPr>
          <w:p w14:paraId="6C843CC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w:t>
            </w:r>
          </w:p>
        </w:tc>
        <w:tc>
          <w:tcPr>
            <w:tcW w:w="987" w:type="pct"/>
            <w:tcBorders>
              <w:top w:val="nil"/>
              <w:left w:val="nil"/>
              <w:bottom w:val="nil"/>
              <w:right w:val="nil"/>
            </w:tcBorders>
            <w:shd w:val="clear" w:color="auto" w:fill="auto"/>
            <w:noWrap/>
            <w:vAlign w:val="bottom"/>
            <w:hideMark/>
          </w:tcPr>
          <w:p w14:paraId="281B76D4"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Estados Unidos</w:t>
            </w:r>
          </w:p>
        </w:tc>
        <w:tc>
          <w:tcPr>
            <w:tcW w:w="419" w:type="pct"/>
            <w:tcBorders>
              <w:top w:val="nil"/>
              <w:left w:val="nil"/>
              <w:bottom w:val="nil"/>
              <w:right w:val="nil"/>
            </w:tcBorders>
            <w:shd w:val="clear" w:color="auto" w:fill="auto"/>
            <w:noWrap/>
            <w:vAlign w:val="bottom"/>
            <w:hideMark/>
          </w:tcPr>
          <w:p w14:paraId="40AA7E3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36,8</w:t>
            </w:r>
          </w:p>
        </w:tc>
        <w:tc>
          <w:tcPr>
            <w:tcW w:w="419" w:type="pct"/>
            <w:tcBorders>
              <w:top w:val="nil"/>
              <w:left w:val="nil"/>
              <w:bottom w:val="nil"/>
              <w:right w:val="nil"/>
            </w:tcBorders>
            <w:shd w:val="clear" w:color="auto" w:fill="auto"/>
            <w:noWrap/>
            <w:vAlign w:val="bottom"/>
            <w:hideMark/>
          </w:tcPr>
          <w:p w14:paraId="67B86CE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64,8</w:t>
            </w:r>
          </w:p>
        </w:tc>
        <w:tc>
          <w:tcPr>
            <w:tcW w:w="419" w:type="pct"/>
            <w:tcBorders>
              <w:top w:val="nil"/>
              <w:left w:val="nil"/>
              <w:bottom w:val="nil"/>
              <w:right w:val="nil"/>
            </w:tcBorders>
            <w:shd w:val="clear" w:color="auto" w:fill="auto"/>
            <w:noWrap/>
            <w:vAlign w:val="bottom"/>
            <w:hideMark/>
          </w:tcPr>
          <w:p w14:paraId="2936B5D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74,3</w:t>
            </w:r>
          </w:p>
        </w:tc>
        <w:tc>
          <w:tcPr>
            <w:tcW w:w="419" w:type="pct"/>
            <w:tcBorders>
              <w:top w:val="nil"/>
              <w:left w:val="nil"/>
              <w:bottom w:val="nil"/>
              <w:right w:val="nil"/>
            </w:tcBorders>
            <w:shd w:val="clear" w:color="auto" w:fill="auto"/>
            <w:noWrap/>
            <w:vAlign w:val="bottom"/>
            <w:hideMark/>
          </w:tcPr>
          <w:p w14:paraId="32EB678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60,6</w:t>
            </w:r>
          </w:p>
        </w:tc>
        <w:tc>
          <w:tcPr>
            <w:tcW w:w="419" w:type="pct"/>
            <w:tcBorders>
              <w:top w:val="nil"/>
              <w:left w:val="nil"/>
              <w:bottom w:val="nil"/>
              <w:right w:val="nil"/>
            </w:tcBorders>
            <w:shd w:val="clear" w:color="auto" w:fill="auto"/>
            <w:noWrap/>
            <w:vAlign w:val="bottom"/>
            <w:hideMark/>
          </w:tcPr>
          <w:p w14:paraId="0BEF7F2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58,9</w:t>
            </w:r>
          </w:p>
        </w:tc>
        <w:tc>
          <w:tcPr>
            <w:tcW w:w="419" w:type="pct"/>
            <w:tcBorders>
              <w:top w:val="nil"/>
              <w:left w:val="nil"/>
              <w:bottom w:val="nil"/>
              <w:right w:val="nil"/>
            </w:tcBorders>
            <w:shd w:val="clear" w:color="auto" w:fill="auto"/>
            <w:noWrap/>
            <w:vAlign w:val="bottom"/>
            <w:hideMark/>
          </w:tcPr>
          <w:p w14:paraId="7DED141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51,3</w:t>
            </w:r>
          </w:p>
        </w:tc>
        <w:tc>
          <w:tcPr>
            <w:tcW w:w="419" w:type="pct"/>
            <w:tcBorders>
              <w:top w:val="nil"/>
              <w:left w:val="nil"/>
              <w:bottom w:val="nil"/>
              <w:right w:val="nil"/>
            </w:tcBorders>
            <w:shd w:val="clear" w:color="auto" w:fill="auto"/>
            <w:noWrap/>
            <w:vAlign w:val="bottom"/>
            <w:hideMark/>
          </w:tcPr>
          <w:p w14:paraId="0B27AC6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52,6</w:t>
            </w:r>
          </w:p>
        </w:tc>
        <w:tc>
          <w:tcPr>
            <w:tcW w:w="419" w:type="pct"/>
            <w:tcBorders>
              <w:top w:val="nil"/>
              <w:left w:val="nil"/>
              <w:bottom w:val="nil"/>
              <w:right w:val="nil"/>
            </w:tcBorders>
            <w:shd w:val="clear" w:color="auto" w:fill="auto"/>
            <w:noWrap/>
            <w:vAlign w:val="bottom"/>
            <w:hideMark/>
          </w:tcPr>
          <w:p w14:paraId="0C0E291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49,8</w:t>
            </w:r>
          </w:p>
        </w:tc>
        <w:tc>
          <w:tcPr>
            <w:tcW w:w="419" w:type="pct"/>
            <w:tcBorders>
              <w:top w:val="nil"/>
              <w:left w:val="nil"/>
              <w:bottom w:val="nil"/>
              <w:right w:val="nil"/>
            </w:tcBorders>
            <w:shd w:val="clear" w:color="auto" w:fill="auto"/>
            <w:noWrap/>
            <w:vAlign w:val="bottom"/>
            <w:hideMark/>
          </w:tcPr>
          <w:p w14:paraId="164A1A6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44,8</w:t>
            </w:r>
          </w:p>
        </w:tc>
      </w:tr>
      <w:tr w:rsidR="001579BE" w:rsidRPr="00AB6853" w14:paraId="30FAFBF0" w14:textId="77777777" w:rsidTr="00377237">
        <w:trPr>
          <w:trHeight w:val="310"/>
        </w:trPr>
        <w:tc>
          <w:tcPr>
            <w:tcW w:w="240" w:type="pct"/>
            <w:tcBorders>
              <w:top w:val="nil"/>
              <w:left w:val="nil"/>
              <w:bottom w:val="nil"/>
              <w:right w:val="nil"/>
            </w:tcBorders>
            <w:shd w:val="clear" w:color="auto" w:fill="auto"/>
            <w:noWrap/>
            <w:vAlign w:val="bottom"/>
            <w:hideMark/>
          </w:tcPr>
          <w:p w14:paraId="2B04F3F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w:t>
            </w:r>
          </w:p>
        </w:tc>
        <w:tc>
          <w:tcPr>
            <w:tcW w:w="987" w:type="pct"/>
            <w:tcBorders>
              <w:top w:val="nil"/>
              <w:left w:val="nil"/>
              <w:bottom w:val="nil"/>
              <w:right w:val="nil"/>
            </w:tcBorders>
            <w:shd w:val="clear" w:color="auto" w:fill="auto"/>
            <w:noWrap/>
            <w:vAlign w:val="bottom"/>
            <w:hideMark/>
          </w:tcPr>
          <w:p w14:paraId="78107F14"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Ucrania</w:t>
            </w:r>
          </w:p>
        </w:tc>
        <w:tc>
          <w:tcPr>
            <w:tcW w:w="419" w:type="pct"/>
            <w:tcBorders>
              <w:top w:val="nil"/>
              <w:left w:val="nil"/>
              <w:bottom w:val="nil"/>
              <w:right w:val="nil"/>
            </w:tcBorders>
            <w:shd w:val="clear" w:color="auto" w:fill="auto"/>
            <w:noWrap/>
            <w:vAlign w:val="bottom"/>
            <w:hideMark/>
          </w:tcPr>
          <w:p w14:paraId="2BE82A7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19" w:type="pct"/>
            <w:tcBorders>
              <w:top w:val="nil"/>
              <w:left w:val="nil"/>
              <w:bottom w:val="nil"/>
              <w:right w:val="nil"/>
            </w:tcBorders>
            <w:shd w:val="clear" w:color="auto" w:fill="auto"/>
            <w:noWrap/>
            <w:vAlign w:val="bottom"/>
            <w:hideMark/>
          </w:tcPr>
          <w:p w14:paraId="04B2B99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19" w:type="pct"/>
            <w:tcBorders>
              <w:top w:val="nil"/>
              <w:left w:val="nil"/>
              <w:bottom w:val="nil"/>
              <w:right w:val="nil"/>
            </w:tcBorders>
            <w:shd w:val="clear" w:color="auto" w:fill="auto"/>
            <w:noWrap/>
            <w:vAlign w:val="bottom"/>
            <w:hideMark/>
          </w:tcPr>
          <w:p w14:paraId="5786372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30,4</w:t>
            </w:r>
          </w:p>
        </w:tc>
        <w:tc>
          <w:tcPr>
            <w:tcW w:w="419" w:type="pct"/>
            <w:tcBorders>
              <w:top w:val="nil"/>
              <w:left w:val="nil"/>
              <w:bottom w:val="nil"/>
              <w:right w:val="nil"/>
            </w:tcBorders>
            <w:shd w:val="clear" w:color="auto" w:fill="auto"/>
            <w:noWrap/>
            <w:vAlign w:val="bottom"/>
            <w:hideMark/>
          </w:tcPr>
          <w:p w14:paraId="52FE016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10,2</w:t>
            </w:r>
          </w:p>
        </w:tc>
        <w:tc>
          <w:tcPr>
            <w:tcW w:w="419" w:type="pct"/>
            <w:tcBorders>
              <w:top w:val="nil"/>
              <w:left w:val="nil"/>
              <w:bottom w:val="nil"/>
              <w:right w:val="nil"/>
            </w:tcBorders>
            <w:shd w:val="clear" w:color="auto" w:fill="auto"/>
            <w:noWrap/>
            <w:vAlign w:val="bottom"/>
            <w:hideMark/>
          </w:tcPr>
          <w:p w14:paraId="75895F8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16,8</w:t>
            </w:r>
          </w:p>
        </w:tc>
        <w:tc>
          <w:tcPr>
            <w:tcW w:w="419" w:type="pct"/>
            <w:tcBorders>
              <w:top w:val="nil"/>
              <w:left w:val="nil"/>
              <w:bottom w:val="nil"/>
              <w:right w:val="nil"/>
            </w:tcBorders>
            <w:shd w:val="clear" w:color="auto" w:fill="auto"/>
            <w:noWrap/>
            <w:vAlign w:val="bottom"/>
            <w:hideMark/>
          </w:tcPr>
          <w:p w14:paraId="3223A3D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25,1</w:t>
            </w:r>
          </w:p>
        </w:tc>
        <w:tc>
          <w:tcPr>
            <w:tcW w:w="419" w:type="pct"/>
            <w:tcBorders>
              <w:top w:val="nil"/>
              <w:left w:val="nil"/>
              <w:bottom w:val="nil"/>
              <w:right w:val="nil"/>
            </w:tcBorders>
            <w:shd w:val="clear" w:color="auto" w:fill="auto"/>
            <w:noWrap/>
            <w:vAlign w:val="bottom"/>
            <w:hideMark/>
          </w:tcPr>
          <w:p w14:paraId="1C50BC6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29,2</w:t>
            </w:r>
          </w:p>
        </w:tc>
        <w:tc>
          <w:tcPr>
            <w:tcW w:w="419" w:type="pct"/>
            <w:tcBorders>
              <w:top w:val="nil"/>
              <w:left w:val="nil"/>
              <w:bottom w:val="nil"/>
              <w:right w:val="nil"/>
            </w:tcBorders>
            <w:shd w:val="clear" w:color="auto" w:fill="auto"/>
            <w:noWrap/>
            <w:vAlign w:val="bottom"/>
            <w:hideMark/>
          </w:tcPr>
          <w:p w14:paraId="6057B03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25,4</w:t>
            </w:r>
          </w:p>
        </w:tc>
        <w:tc>
          <w:tcPr>
            <w:tcW w:w="419" w:type="pct"/>
            <w:tcBorders>
              <w:top w:val="nil"/>
              <w:left w:val="nil"/>
              <w:bottom w:val="nil"/>
              <w:right w:val="nil"/>
            </w:tcBorders>
            <w:shd w:val="clear" w:color="auto" w:fill="auto"/>
            <w:noWrap/>
            <w:vAlign w:val="bottom"/>
            <w:hideMark/>
          </w:tcPr>
          <w:p w14:paraId="1F0F820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33,0</w:t>
            </w:r>
          </w:p>
        </w:tc>
      </w:tr>
      <w:tr w:rsidR="001579BE" w:rsidRPr="00AB6853" w14:paraId="26B6831E" w14:textId="77777777" w:rsidTr="00377237">
        <w:trPr>
          <w:trHeight w:val="310"/>
        </w:trPr>
        <w:tc>
          <w:tcPr>
            <w:tcW w:w="240" w:type="pct"/>
            <w:tcBorders>
              <w:top w:val="nil"/>
              <w:left w:val="nil"/>
              <w:bottom w:val="nil"/>
              <w:right w:val="nil"/>
            </w:tcBorders>
            <w:shd w:val="clear" w:color="auto" w:fill="auto"/>
            <w:noWrap/>
            <w:vAlign w:val="bottom"/>
            <w:hideMark/>
          </w:tcPr>
          <w:p w14:paraId="279FFA0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w:t>
            </w:r>
          </w:p>
        </w:tc>
        <w:tc>
          <w:tcPr>
            <w:tcW w:w="987" w:type="pct"/>
            <w:tcBorders>
              <w:top w:val="nil"/>
              <w:left w:val="nil"/>
              <w:bottom w:val="nil"/>
              <w:right w:val="nil"/>
            </w:tcBorders>
            <w:shd w:val="clear" w:color="auto" w:fill="auto"/>
            <w:noWrap/>
            <w:vAlign w:val="bottom"/>
            <w:hideMark/>
          </w:tcPr>
          <w:p w14:paraId="3F47E890"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Australia</w:t>
            </w:r>
          </w:p>
        </w:tc>
        <w:tc>
          <w:tcPr>
            <w:tcW w:w="419" w:type="pct"/>
            <w:tcBorders>
              <w:top w:val="nil"/>
              <w:left w:val="nil"/>
              <w:bottom w:val="nil"/>
              <w:right w:val="nil"/>
            </w:tcBorders>
            <w:shd w:val="clear" w:color="auto" w:fill="auto"/>
            <w:noWrap/>
            <w:vAlign w:val="bottom"/>
            <w:hideMark/>
          </w:tcPr>
          <w:p w14:paraId="44B1A61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7,9</w:t>
            </w:r>
          </w:p>
        </w:tc>
        <w:tc>
          <w:tcPr>
            <w:tcW w:w="419" w:type="pct"/>
            <w:tcBorders>
              <w:top w:val="nil"/>
              <w:left w:val="nil"/>
              <w:bottom w:val="nil"/>
              <w:right w:val="nil"/>
            </w:tcBorders>
            <w:shd w:val="clear" w:color="auto" w:fill="auto"/>
            <w:noWrap/>
            <w:vAlign w:val="bottom"/>
            <w:hideMark/>
          </w:tcPr>
          <w:p w14:paraId="6E3EA38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10,9</w:t>
            </w:r>
          </w:p>
        </w:tc>
        <w:tc>
          <w:tcPr>
            <w:tcW w:w="419" w:type="pct"/>
            <w:tcBorders>
              <w:top w:val="nil"/>
              <w:left w:val="nil"/>
              <w:bottom w:val="nil"/>
              <w:right w:val="nil"/>
            </w:tcBorders>
            <w:shd w:val="clear" w:color="auto" w:fill="auto"/>
            <w:noWrap/>
            <w:vAlign w:val="bottom"/>
            <w:hideMark/>
          </w:tcPr>
          <w:p w14:paraId="7413D7E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15,1</w:t>
            </w:r>
          </w:p>
        </w:tc>
        <w:tc>
          <w:tcPr>
            <w:tcW w:w="419" w:type="pct"/>
            <w:tcBorders>
              <w:top w:val="nil"/>
              <w:left w:val="nil"/>
              <w:bottom w:val="nil"/>
              <w:right w:val="nil"/>
            </w:tcBorders>
            <w:shd w:val="clear" w:color="auto" w:fill="auto"/>
            <w:noWrap/>
            <w:vAlign w:val="bottom"/>
            <w:hideMark/>
          </w:tcPr>
          <w:p w14:paraId="384E370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22,1</w:t>
            </w:r>
          </w:p>
        </w:tc>
        <w:tc>
          <w:tcPr>
            <w:tcW w:w="419" w:type="pct"/>
            <w:tcBorders>
              <w:top w:val="nil"/>
              <w:left w:val="nil"/>
              <w:bottom w:val="nil"/>
              <w:right w:val="nil"/>
            </w:tcBorders>
            <w:shd w:val="clear" w:color="auto" w:fill="auto"/>
            <w:noWrap/>
            <w:vAlign w:val="bottom"/>
            <w:hideMark/>
          </w:tcPr>
          <w:p w14:paraId="2BA28C8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27,4</w:t>
            </w:r>
          </w:p>
        </w:tc>
        <w:tc>
          <w:tcPr>
            <w:tcW w:w="419" w:type="pct"/>
            <w:tcBorders>
              <w:top w:val="nil"/>
              <w:left w:val="nil"/>
              <w:bottom w:val="nil"/>
              <w:right w:val="nil"/>
            </w:tcBorders>
            <w:shd w:val="clear" w:color="auto" w:fill="auto"/>
            <w:noWrap/>
            <w:vAlign w:val="bottom"/>
            <w:hideMark/>
          </w:tcPr>
          <w:p w14:paraId="15F596E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17,6</w:t>
            </w:r>
          </w:p>
        </w:tc>
        <w:tc>
          <w:tcPr>
            <w:tcW w:w="419" w:type="pct"/>
            <w:tcBorders>
              <w:top w:val="nil"/>
              <w:left w:val="nil"/>
              <w:bottom w:val="nil"/>
              <w:right w:val="nil"/>
            </w:tcBorders>
            <w:shd w:val="clear" w:color="auto" w:fill="auto"/>
            <w:noWrap/>
            <w:vAlign w:val="bottom"/>
            <w:hideMark/>
          </w:tcPr>
          <w:p w14:paraId="09AA9B1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14,5</w:t>
            </w:r>
          </w:p>
        </w:tc>
        <w:tc>
          <w:tcPr>
            <w:tcW w:w="419" w:type="pct"/>
            <w:tcBorders>
              <w:top w:val="nil"/>
              <w:left w:val="nil"/>
              <w:bottom w:val="nil"/>
              <w:right w:val="nil"/>
            </w:tcBorders>
            <w:shd w:val="clear" w:color="auto" w:fill="auto"/>
            <w:noWrap/>
            <w:vAlign w:val="bottom"/>
            <w:hideMark/>
          </w:tcPr>
          <w:p w14:paraId="710CC1A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33,0</w:t>
            </w:r>
          </w:p>
        </w:tc>
        <w:tc>
          <w:tcPr>
            <w:tcW w:w="419" w:type="pct"/>
            <w:tcBorders>
              <w:top w:val="nil"/>
              <w:left w:val="nil"/>
              <w:bottom w:val="nil"/>
              <w:right w:val="nil"/>
            </w:tcBorders>
            <w:shd w:val="clear" w:color="auto" w:fill="auto"/>
            <w:noWrap/>
            <w:vAlign w:val="bottom"/>
            <w:hideMark/>
          </w:tcPr>
          <w:p w14:paraId="116D3C7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31,5</w:t>
            </w:r>
          </w:p>
        </w:tc>
      </w:tr>
      <w:tr w:rsidR="001579BE" w:rsidRPr="00AB6853" w14:paraId="6C915595" w14:textId="77777777" w:rsidTr="00377237">
        <w:trPr>
          <w:trHeight w:val="310"/>
        </w:trPr>
        <w:tc>
          <w:tcPr>
            <w:tcW w:w="240" w:type="pct"/>
            <w:tcBorders>
              <w:top w:val="nil"/>
              <w:left w:val="nil"/>
              <w:bottom w:val="nil"/>
              <w:right w:val="nil"/>
            </w:tcBorders>
            <w:shd w:val="clear" w:color="auto" w:fill="auto"/>
            <w:noWrap/>
            <w:vAlign w:val="bottom"/>
            <w:hideMark/>
          </w:tcPr>
          <w:p w14:paraId="42D0EB7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8</w:t>
            </w:r>
          </w:p>
        </w:tc>
        <w:tc>
          <w:tcPr>
            <w:tcW w:w="987" w:type="pct"/>
            <w:tcBorders>
              <w:top w:val="nil"/>
              <w:left w:val="nil"/>
              <w:bottom w:val="nil"/>
              <w:right w:val="nil"/>
            </w:tcBorders>
            <w:shd w:val="clear" w:color="auto" w:fill="auto"/>
            <w:noWrap/>
            <w:vAlign w:val="bottom"/>
            <w:hideMark/>
          </w:tcPr>
          <w:p w14:paraId="63E61EB4"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Pakistán</w:t>
            </w:r>
          </w:p>
        </w:tc>
        <w:tc>
          <w:tcPr>
            <w:tcW w:w="419" w:type="pct"/>
            <w:tcBorders>
              <w:top w:val="nil"/>
              <w:left w:val="nil"/>
              <w:bottom w:val="nil"/>
              <w:right w:val="nil"/>
            </w:tcBorders>
            <w:shd w:val="clear" w:color="auto" w:fill="auto"/>
            <w:noWrap/>
            <w:vAlign w:val="bottom"/>
            <w:hideMark/>
          </w:tcPr>
          <w:p w14:paraId="0E34BD8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7,3</w:t>
            </w:r>
          </w:p>
        </w:tc>
        <w:tc>
          <w:tcPr>
            <w:tcW w:w="419" w:type="pct"/>
            <w:tcBorders>
              <w:top w:val="nil"/>
              <w:left w:val="nil"/>
              <w:bottom w:val="nil"/>
              <w:right w:val="nil"/>
            </w:tcBorders>
            <w:shd w:val="clear" w:color="auto" w:fill="auto"/>
            <w:noWrap/>
            <w:vAlign w:val="bottom"/>
            <w:hideMark/>
          </w:tcPr>
          <w:p w14:paraId="1856B6B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10,9</w:t>
            </w:r>
          </w:p>
        </w:tc>
        <w:tc>
          <w:tcPr>
            <w:tcW w:w="419" w:type="pct"/>
            <w:tcBorders>
              <w:top w:val="nil"/>
              <w:left w:val="nil"/>
              <w:bottom w:val="nil"/>
              <w:right w:val="nil"/>
            </w:tcBorders>
            <w:shd w:val="clear" w:color="auto" w:fill="auto"/>
            <w:noWrap/>
            <w:vAlign w:val="bottom"/>
            <w:hideMark/>
          </w:tcPr>
          <w:p w14:paraId="51AD1EF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14,4</w:t>
            </w:r>
          </w:p>
        </w:tc>
        <w:tc>
          <w:tcPr>
            <w:tcW w:w="419" w:type="pct"/>
            <w:tcBorders>
              <w:top w:val="nil"/>
              <w:left w:val="nil"/>
              <w:bottom w:val="nil"/>
              <w:right w:val="nil"/>
            </w:tcBorders>
            <w:shd w:val="clear" w:color="auto" w:fill="auto"/>
            <w:noWrap/>
            <w:vAlign w:val="bottom"/>
            <w:hideMark/>
          </w:tcPr>
          <w:p w14:paraId="7989CD4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21,1</w:t>
            </w:r>
          </w:p>
        </w:tc>
        <w:tc>
          <w:tcPr>
            <w:tcW w:w="419" w:type="pct"/>
            <w:tcBorders>
              <w:top w:val="nil"/>
              <w:left w:val="nil"/>
              <w:bottom w:val="nil"/>
              <w:right w:val="nil"/>
            </w:tcBorders>
            <w:shd w:val="clear" w:color="auto" w:fill="auto"/>
            <w:noWrap/>
            <w:vAlign w:val="bottom"/>
            <w:hideMark/>
          </w:tcPr>
          <w:p w14:paraId="369638E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23,3</w:t>
            </w:r>
          </w:p>
        </w:tc>
        <w:tc>
          <w:tcPr>
            <w:tcW w:w="419" w:type="pct"/>
            <w:tcBorders>
              <w:top w:val="nil"/>
              <w:left w:val="nil"/>
              <w:bottom w:val="nil"/>
              <w:right w:val="nil"/>
            </w:tcBorders>
            <w:shd w:val="clear" w:color="auto" w:fill="auto"/>
            <w:noWrap/>
            <w:vAlign w:val="bottom"/>
            <w:hideMark/>
          </w:tcPr>
          <w:p w14:paraId="3C11AA4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25,1</w:t>
            </w:r>
          </w:p>
        </w:tc>
        <w:tc>
          <w:tcPr>
            <w:tcW w:w="419" w:type="pct"/>
            <w:tcBorders>
              <w:top w:val="nil"/>
              <w:left w:val="nil"/>
              <w:bottom w:val="nil"/>
              <w:right w:val="nil"/>
            </w:tcBorders>
            <w:shd w:val="clear" w:color="auto" w:fill="auto"/>
            <w:noWrap/>
            <w:vAlign w:val="bottom"/>
            <w:hideMark/>
          </w:tcPr>
          <w:p w14:paraId="0CBED7D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24,3</w:t>
            </w:r>
          </w:p>
        </w:tc>
        <w:tc>
          <w:tcPr>
            <w:tcW w:w="419" w:type="pct"/>
            <w:tcBorders>
              <w:top w:val="nil"/>
              <w:left w:val="nil"/>
              <w:bottom w:val="nil"/>
              <w:right w:val="nil"/>
            </w:tcBorders>
            <w:shd w:val="clear" w:color="auto" w:fill="auto"/>
            <w:noWrap/>
            <w:vAlign w:val="bottom"/>
            <w:hideMark/>
          </w:tcPr>
          <w:p w14:paraId="106A14D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24,9</w:t>
            </w:r>
          </w:p>
        </w:tc>
        <w:tc>
          <w:tcPr>
            <w:tcW w:w="419" w:type="pct"/>
            <w:tcBorders>
              <w:top w:val="nil"/>
              <w:left w:val="nil"/>
              <w:bottom w:val="nil"/>
              <w:right w:val="nil"/>
            </w:tcBorders>
            <w:shd w:val="clear" w:color="auto" w:fill="auto"/>
            <w:noWrap/>
            <w:vAlign w:val="bottom"/>
            <w:hideMark/>
          </w:tcPr>
          <w:p w14:paraId="50AF350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27,0</w:t>
            </w:r>
          </w:p>
        </w:tc>
      </w:tr>
      <w:tr w:rsidR="001579BE" w:rsidRPr="00AB6853" w14:paraId="0ED2785C" w14:textId="77777777" w:rsidTr="00377237">
        <w:trPr>
          <w:trHeight w:val="310"/>
        </w:trPr>
        <w:tc>
          <w:tcPr>
            <w:tcW w:w="240" w:type="pct"/>
            <w:tcBorders>
              <w:top w:val="nil"/>
              <w:left w:val="nil"/>
              <w:bottom w:val="nil"/>
              <w:right w:val="nil"/>
            </w:tcBorders>
            <w:shd w:val="clear" w:color="auto" w:fill="auto"/>
            <w:noWrap/>
            <w:vAlign w:val="bottom"/>
            <w:hideMark/>
          </w:tcPr>
          <w:p w14:paraId="1E8D166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w:t>
            </w:r>
          </w:p>
        </w:tc>
        <w:tc>
          <w:tcPr>
            <w:tcW w:w="987" w:type="pct"/>
            <w:tcBorders>
              <w:top w:val="nil"/>
              <w:left w:val="nil"/>
              <w:bottom w:val="nil"/>
              <w:right w:val="nil"/>
            </w:tcBorders>
            <w:shd w:val="clear" w:color="auto" w:fill="auto"/>
            <w:noWrap/>
            <w:vAlign w:val="bottom"/>
            <w:hideMark/>
          </w:tcPr>
          <w:p w14:paraId="25A0A51D"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Canadá</w:t>
            </w:r>
          </w:p>
        </w:tc>
        <w:tc>
          <w:tcPr>
            <w:tcW w:w="419" w:type="pct"/>
            <w:tcBorders>
              <w:top w:val="nil"/>
              <w:left w:val="nil"/>
              <w:bottom w:val="nil"/>
              <w:right w:val="nil"/>
            </w:tcBorders>
            <w:shd w:val="clear" w:color="auto" w:fill="auto"/>
            <w:noWrap/>
            <w:vAlign w:val="bottom"/>
            <w:hideMark/>
          </w:tcPr>
          <w:p w14:paraId="1EEB188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9,0</w:t>
            </w:r>
          </w:p>
        </w:tc>
        <w:tc>
          <w:tcPr>
            <w:tcW w:w="419" w:type="pct"/>
            <w:tcBorders>
              <w:top w:val="nil"/>
              <w:left w:val="nil"/>
              <w:bottom w:val="nil"/>
              <w:right w:val="nil"/>
            </w:tcBorders>
            <w:shd w:val="clear" w:color="auto" w:fill="auto"/>
            <w:noWrap/>
            <w:vAlign w:val="bottom"/>
            <w:hideMark/>
          </w:tcPr>
          <w:p w14:paraId="3C181E4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19,3</w:t>
            </w:r>
          </w:p>
        </w:tc>
        <w:tc>
          <w:tcPr>
            <w:tcW w:w="419" w:type="pct"/>
            <w:tcBorders>
              <w:top w:val="nil"/>
              <w:left w:val="nil"/>
              <w:bottom w:val="nil"/>
              <w:right w:val="nil"/>
            </w:tcBorders>
            <w:shd w:val="clear" w:color="auto" w:fill="auto"/>
            <w:noWrap/>
            <w:vAlign w:val="bottom"/>
            <w:hideMark/>
          </w:tcPr>
          <w:p w14:paraId="044F391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32,1</w:t>
            </w:r>
          </w:p>
        </w:tc>
        <w:tc>
          <w:tcPr>
            <w:tcW w:w="419" w:type="pct"/>
            <w:tcBorders>
              <w:top w:val="nil"/>
              <w:left w:val="nil"/>
              <w:bottom w:val="nil"/>
              <w:right w:val="nil"/>
            </w:tcBorders>
            <w:shd w:val="clear" w:color="auto" w:fill="auto"/>
            <w:noWrap/>
            <w:vAlign w:val="bottom"/>
            <w:hideMark/>
          </w:tcPr>
          <w:p w14:paraId="6E4E7F1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26,5</w:t>
            </w:r>
          </w:p>
        </w:tc>
        <w:tc>
          <w:tcPr>
            <w:tcW w:w="419" w:type="pct"/>
            <w:tcBorders>
              <w:top w:val="nil"/>
              <w:left w:val="nil"/>
              <w:bottom w:val="nil"/>
              <w:right w:val="nil"/>
            </w:tcBorders>
            <w:shd w:val="clear" w:color="auto" w:fill="auto"/>
            <w:noWrap/>
            <w:vAlign w:val="bottom"/>
            <w:hideMark/>
          </w:tcPr>
          <w:p w14:paraId="546DD39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23,3</w:t>
            </w:r>
          </w:p>
        </w:tc>
        <w:tc>
          <w:tcPr>
            <w:tcW w:w="419" w:type="pct"/>
            <w:tcBorders>
              <w:top w:val="nil"/>
              <w:left w:val="nil"/>
              <w:bottom w:val="nil"/>
              <w:right w:val="nil"/>
            </w:tcBorders>
            <w:shd w:val="clear" w:color="auto" w:fill="auto"/>
            <w:noWrap/>
            <w:vAlign w:val="bottom"/>
            <w:hideMark/>
          </w:tcPr>
          <w:p w14:paraId="145A4F9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32,4</w:t>
            </w:r>
          </w:p>
        </w:tc>
        <w:tc>
          <w:tcPr>
            <w:tcW w:w="419" w:type="pct"/>
            <w:tcBorders>
              <w:top w:val="nil"/>
              <w:left w:val="nil"/>
              <w:bottom w:val="nil"/>
              <w:right w:val="nil"/>
            </w:tcBorders>
            <w:shd w:val="clear" w:color="auto" w:fill="auto"/>
            <w:noWrap/>
            <w:vAlign w:val="bottom"/>
            <w:hideMark/>
          </w:tcPr>
          <w:p w14:paraId="67AC65F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32,7</w:t>
            </w:r>
          </w:p>
        </w:tc>
        <w:tc>
          <w:tcPr>
            <w:tcW w:w="419" w:type="pct"/>
            <w:tcBorders>
              <w:top w:val="nil"/>
              <w:left w:val="nil"/>
              <w:bottom w:val="nil"/>
              <w:right w:val="nil"/>
            </w:tcBorders>
            <w:shd w:val="clear" w:color="auto" w:fill="auto"/>
            <w:noWrap/>
            <w:vAlign w:val="bottom"/>
            <w:hideMark/>
          </w:tcPr>
          <w:p w14:paraId="5BD0963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35,2</w:t>
            </w:r>
          </w:p>
        </w:tc>
        <w:tc>
          <w:tcPr>
            <w:tcW w:w="419" w:type="pct"/>
            <w:tcBorders>
              <w:top w:val="nil"/>
              <w:left w:val="nil"/>
              <w:bottom w:val="nil"/>
              <w:right w:val="nil"/>
            </w:tcBorders>
            <w:shd w:val="clear" w:color="auto" w:fill="auto"/>
            <w:noWrap/>
            <w:vAlign w:val="bottom"/>
            <w:hideMark/>
          </w:tcPr>
          <w:p w14:paraId="6C1F7B8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21,0</w:t>
            </w:r>
          </w:p>
        </w:tc>
      </w:tr>
      <w:tr w:rsidR="001579BE" w:rsidRPr="00AB6853" w14:paraId="61E0E2E5" w14:textId="77777777" w:rsidTr="00377237">
        <w:trPr>
          <w:trHeight w:val="310"/>
        </w:trPr>
        <w:tc>
          <w:tcPr>
            <w:tcW w:w="240" w:type="pct"/>
            <w:tcBorders>
              <w:top w:val="nil"/>
              <w:left w:val="nil"/>
              <w:bottom w:val="nil"/>
              <w:right w:val="nil"/>
            </w:tcBorders>
            <w:shd w:val="clear" w:color="auto" w:fill="auto"/>
            <w:noWrap/>
            <w:vAlign w:val="bottom"/>
            <w:hideMark/>
          </w:tcPr>
          <w:p w14:paraId="3B60093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w:t>
            </w:r>
          </w:p>
        </w:tc>
        <w:tc>
          <w:tcPr>
            <w:tcW w:w="987" w:type="pct"/>
            <w:tcBorders>
              <w:top w:val="nil"/>
              <w:left w:val="nil"/>
              <w:bottom w:val="nil"/>
              <w:right w:val="nil"/>
            </w:tcBorders>
            <w:shd w:val="clear" w:color="auto" w:fill="auto"/>
            <w:noWrap/>
            <w:vAlign w:val="bottom"/>
            <w:hideMark/>
          </w:tcPr>
          <w:p w14:paraId="6E4E2166"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Argentina</w:t>
            </w:r>
          </w:p>
        </w:tc>
        <w:tc>
          <w:tcPr>
            <w:tcW w:w="419" w:type="pct"/>
            <w:tcBorders>
              <w:top w:val="nil"/>
              <w:left w:val="nil"/>
              <w:bottom w:val="nil"/>
              <w:right w:val="nil"/>
            </w:tcBorders>
            <w:shd w:val="clear" w:color="auto" w:fill="auto"/>
            <w:noWrap/>
            <w:vAlign w:val="bottom"/>
            <w:hideMark/>
          </w:tcPr>
          <w:p w14:paraId="46643C8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4,9</w:t>
            </w:r>
          </w:p>
        </w:tc>
        <w:tc>
          <w:tcPr>
            <w:tcW w:w="419" w:type="pct"/>
            <w:tcBorders>
              <w:top w:val="nil"/>
              <w:left w:val="nil"/>
              <w:bottom w:val="nil"/>
              <w:right w:val="nil"/>
            </w:tcBorders>
            <w:shd w:val="clear" w:color="auto" w:fill="auto"/>
            <w:noWrap/>
            <w:vAlign w:val="bottom"/>
            <w:hideMark/>
          </w:tcPr>
          <w:p w14:paraId="0E72748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7,8</w:t>
            </w:r>
          </w:p>
        </w:tc>
        <w:tc>
          <w:tcPr>
            <w:tcW w:w="419" w:type="pct"/>
            <w:tcBorders>
              <w:top w:val="nil"/>
              <w:left w:val="nil"/>
              <w:bottom w:val="nil"/>
              <w:right w:val="nil"/>
            </w:tcBorders>
            <w:shd w:val="clear" w:color="auto" w:fill="auto"/>
            <w:noWrap/>
            <w:vAlign w:val="bottom"/>
            <w:hideMark/>
          </w:tcPr>
          <w:p w14:paraId="57ED8AC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11,0</w:t>
            </w:r>
          </w:p>
        </w:tc>
        <w:tc>
          <w:tcPr>
            <w:tcW w:w="419" w:type="pct"/>
            <w:tcBorders>
              <w:top w:val="nil"/>
              <w:left w:val="nil"/>
              <w:bottom w:val="nil"/>
              <w:right w:val="nil"/>
            </w:tcBorders>
            <w:shd w:val="clear" w:color="auto" w:fill="auto"/>
            <w:noWrap/>
            <w:vAlign w:val="bottom"/>
            <w:hideMark/>
          </w:tcPr>
          <w:p w14:paraId="4EF1DA6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16,3</w:t>
            </w:r>
          </w:p>
        </w:tc>
        <w:tc>
          <w:tcPr>
            <w:tcW w:w="419" w:type="pct"/>
            <w:tcBorders>
              <w:top w:val="nil"/>
              <w:left w:val="nil"/>
              <w:bottom w:val="nil"/>
              <w:right w:val="nil"/>
            </w:tcBorders>
            <w:shd w:val="clear" w:color="auto" w:fill="auto"/>
            <w:noWrap/>
            <w:vAlign w:val="bottom"/>
            <w:hideMark/>
          </w:tcPr>
          <w:p w14:paraId="2F552AD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17,2</w:t>
            </w:r>
          </w:p>
        </w:tc>
        <w:tc>
          <w:tcPr>
            <w:tcW w:w="419" w:type="pct"/>
            <w:tcBorders>
              <w:top w:val="nil"/>
              <w:left w:val="nil"/>
              <w:bottom w:val="nil"/>
              <w:right w:val="nil"/>
            </w:tcBorders>
            <w:shd w:val="clear" w:color="auto" w:fill="auto"/>
            <w:noWrap/>
            <w:vAlign w:val="bottom"/>
            <w:hideMark/>
          </w:tcPr>
          <w:p w14:paraId="715855A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19,5</w:t>
            </w:r>
          </w:p>
        </w:tc>
        <w:tc>
          <w:tcPr>
            <w:tcW w:w="419" w:type="pct"/>
            <w:tcBorders>
              <w:top w:val="nil"/>
              <w:left w:val="nil"/>
              <w:bottom w:val="nil"/>
              <w:right w:val="nil"/>
            </w:tcBorders>
            <w:shd w:val="clear" w:color="auto" w:fill="auto"/>
            <w:noWrap/>
            <w:vAlign w:val="bottom"/>
            <w:hideMark/>
          </w:tcPr>
          <w:p w14:paraId="64DA338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19,8</w:t>
            </w:r>
          </w:p>
        </w:tc>
        <w:tc>
          <w:tcPr>
            <w:tcW w:w="419" w:type="pct"/>
            <w:tcBorders>
              <w:top w:val="nil"/>
              <w:left w:val="nil"/>
              <w:bottom w:val="nil"/>
              <w:right w:val="nil"/>
            </w:tcBorders>
            <w:shd w:val="clear" w:color="auto" w:fill="auto"/>
            <w:noWrap/>
            <w:vAlign w:val="bottom"/>
            <w:hideMark/>
          </w:tcPr>
          <w:p w14:paraId="21F73EF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17,6</w:t>
            </w:r>
          </w:p>
        </w:tc>
        <w:tc>
          <w:tcPr>
            <w:tcW w:w="419" w:type="pct"/>
            <w:tcBorders>
              <w:top w:val="nil"/>
              <w:left w:val="nil"/>
              <w:bottom w:val="nil"/>
              <w:right w:val="nil"/>
            </w:tcBorders>
            <w:shd w:val="clear" w:color="auto" w:fill="auto"/>
            <w:noWrap/>
            <w:vAlign w:val="bottom"/>
            <w:hideMark/>
          </w:tcPr>
          <w:p w14:paraId="25379F2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20,0</w:t>
            </w:r>
          </w:p>
        </w:tc>
      </w:tr>
      <w:tr w:rsidR="001579BE" w:rsidRPr="00AB6853" w14:paraId="7EE56D78" w14:textId="77777777" w:rsidTr="00377237">
        <w:trPr>
          <w:trHeight w:val="310"/>
        </w:trPr>
        <w:tc>
          <w:tcPr>
            <w:tcW w:w="240" w:type="pct"/>
            <w:tcBorders>
              <w:top w:val="nil"/>
              <w:left w:val="nil"/>
              <w:bottom w:val="nil"/>
              <w:right w:val="nil"/>
            </w:tcBorders>
            <w:shd w:val="clear" w:color="auto" w:fill="auto"/>
            <w:noWrap/>
            <w:vAlign w:val="bottom"/>
            <w:hideMark/>
          </w:tcPr>
          <w:p w14:paraId="0B6D5B9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w:t>
            </w:r>
          </w:p>
        </w:tc>
        <w:tc>
          <w:tcPr>
            <w:tcW w:w="987" w:type="pct"/>
            <w:tcBorders>
              <w:top w:val="nil"/>
              <w:left w:val="nil"/>
              <w:bottom w:val="nil"/>
              <w:right w:val="nil"/>
            </w:tcBorders>
            <w:shd w:val="clear" w:color="auto" w:fill="auto"/>
            <w:noWrap/>
            <w:vAlign w:val="bottom"/>
            <w:hideMark/>
          </w:tcPr>
          <w:p w14:paraId="7D5F4EA6"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Turquía</w:t>
            </w:r>
          </w:p>
        </w:tc>
        <w:tc>
          <w:tcPr>
            <w:tcW w:w="419" w:type="pct"/>
            <w:tcBorders>
              <w:top w:val="nil"/>
              <w:left w:val="nil"/>
              <w:bottom w:val="nil"/>
              <w:right w:val="nil"/>
            </w:tcBorders>
            <w:shd w:val="clear" w:color="auto" w:fill="auto"/>
            <w:noWrap/>
            <w:vAlign w:val="bottom"/>
            <w:hideMark/>
          </w:tcPr>
          <w:p w14:paraId="4C59293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8,0</w:t>
            </w:r>
          </w:p>
        </w:tc>
        <w:tc>
          <w:tcPr>
            <w:tcW w:w="419" w:type="pct"/>
            <w:tcBorders>
              <w:top w:val="nil"/>
              <w:left w:val="nil"/>
              <w:bottom w:val="nil"/>
              <w:right w:val="nil"/>
            </w:tcBorders>
            <w:shd w:val="clear" w:color="auto" w:fill="auto"/>
            <w:noWrap/>
            <w:vAlign w:val="bottom"/>
            <w:hideMark/>
          </w:tcPr>
          <w:p w14:paraId="139021F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13,0</w:t>
            </w:r>
          </w:p>
        </w:tc>
        <w:tc>
          <w:tcPr>
            <w:tcW w:w="419" w:type="pct"/>
            <w:tcBorders>
              <w:top w:val="nil"/>
              <w:left w:val="nil"/>
              <w:bottom w:val="nil"/>
              <w:right w:val="nil"/>
            </w:tcBorders>
            <w:shd w:val="clear" w:color="auto" w:fill="auto"/>
            <w:noWrap/>
            <w:vAlign w:val="bottom"/>
            <w:hideMark/>
          </w:tcPr>
          <w:p w14:paraId="1B72DC0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16,0</w:t>
            </w:r>
          </w:p>
        </w:tc>
        <w:tc>
          <w:tcPr>
            <w:tcW w:w="419" w:type="pct"/>
            <w:tcBorders>
              <w:top w:val="nil"/>
              <w:left w:val="nil"/>
              <w:bottom w:val="nil"/>
              <w:right w:val="nil"/>
            </w:tcBorders>
            <w:shd w:val="clear" w:color="auto" w:fill="auto"/>
            <w:noWrap/>
            <w:vAlign w:val="bottom"/>
            <w:hideMark/>
          </w:tcPr>
          <w:p w14:paraId="20703C0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18,0</w:t>
            </w:r>
          </w:p>
        </w:tc>
        <w:tc>
          <w:tcPr>
            <w:tcW w:w="419" w:type="pct"/>
            <w:tcBorders>
              <w:top w:val="nil"/>
              <w:left w:val="nil"/>
              <w:bottom w:val="nil"/>
              <w:right w:val="nil"/>
            </w:tcBorders>
            <w:shd w:val="clear" w:color="auto" w:fill="auto"/>
            <w:noWrap/>
            <w:vAlign w:val="bottom"/>
            <w:hideMark/>
          </w:tcPr>
          <w:p w14:paraId="0CBBD4E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17,0</w:t>
            </w:r>
          </w:p>
        </w:tc>
        <w:tc>
          <w:tcPr>
            <w:tcW w:w="419" w:type="pct"/>
            <w:tcBorders>
              <w:top w:val="nil"/>
              <w:left w:val="nil"/>
              <w:bottom w:val="nil"/>
              <w:right w:val="nil"/>
            </w:tcBorders>
            <w:shd w:val="clear" w:color="auto" w:fill="auto"/>
            <w:noWrap/>
            <w:vAlign w:val="bottom"/>
            <w:hideMark/>
          </w:tcPr>
          <w:p w14:paraId="1CE44FA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19,0</w:t>
            </w:r>
          </w:p>
        </w:tc>
        <w:tc>
          <w:tcPr>
            <w:tcW w:w="419" w:type="pct"/>
            <w:tcBorders>
              <w:top w:val="nil"/>
              <w:left w:val="nil"/>
              <w:bottom w:val="nil"/>
              <w:right w:val="nil"/>
            </w:tcBorders>
            <w:shd w:val="clear" w:color="auto" w:fill="auto"/>
            <w:noWrap/>
            <w:vAlign w:val="bottom"/>
            <w:hideMark/>
          </w:tcPr>
          <w:p w14:paraId="7DD0A56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17,5</w:t>
            </w:r>
          </w:p>
        </w:tc>
        <w:tc>
          <w:tcPr>
            <w:tcW w:w="419" w:type="pct"/>
            <w:tcBorders>
              <w:top w:val="nil"/>
              <w:left w:val="nil"/>
              <w:bottom w:val="nil"/>
              <w:right w:val="nil"/>
            </w:tcBorders>
            <w:shd w:val="clear" w:color="auto" w:fill="auto"/>
            <w:noWrap/>
            <w:vAlign w:val="bottom"/>
            <w:hideMark/>
          </w:tcPr>
          <w:p w14:paraId="4866B4F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18,3</w:t>
            </w:r>
          </w:p>
        </w:tc>
        <w:tc>
          <w:tcPr>
            <w:tcW w:w="419" w:type="pct"/>
            <w:tcBorders>
              <w:top w:val="nil"/>
              <w:left w:val="nil"/>
              <w:bottom w:val="nil"/>
              <w:right w:val="nil"/>
            </w:tcBorders>
            <w:shd w:val="clear" w:color="auto" w:fill="auto"/>
            <w:noWrap/>
            <w:vAlign w:val="bottom"/>
            <w:hideMark/>
          </w:tcPr>
          <w:p w14:paraId="273A33E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16,5</w:t>
            </w:r>
          </w:p>
        </w:tc>
      </w:tr>
      <w:tr w:rsidR="001579BE" w:rsidRPr="00AB6853" w14:paraId="13030AC9" w14:textId="77777777" w:rsidTr="00377237">
        <w:trPr>
          <w:trHeight w:val="310"/>
        </w:trPr>
        <w:tc>
          <w:tcPr>
            <w:tcW w:w="240" w:type="pct"/>
            <w:tcBorders>
              <w:top w:val="nil"/>
              <w:left w:val="nil"/>
              <w:bottom w:val="nil"/>
              <w:right w:val="nil"/>
            </w:tcBorders>
            <w:shd w:val="clear" w:color="auto" w:fill="auto"/>
            <w:noWrap/>
            <w:vAlign w:val="bottom"/>
            <w:hideMark/>
          </w:tcPr>
          <w:p w14:paraId="42A584E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87" w:type="pct"/>
            <w:tcBorders>
              <w:top w:val="nil"/>
              <w:left w:val="nil"/>
              <w:bottom w:val="nil"/>
              <w:right w:val="nil"/>
            </w:tcBorders>
            <w:shd w:val="clear" w:color="auto" w:fill="auto"/>
            <w:noWrap/>
            <w:vAlign w:val="bottom"/>
            <w:hideMark/>
          </w:tcPr>
          <w:p w14:paraId="62E8C345"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Otros</w:t>
            </w:r>
          </w:p>
        </w:tc>
        <w:tc>
          <w:tcPr>
            <w:tcW w:w="419" w:type="pct"/>
            <w:tcBorders>
              <w:top w:val="nil"/>
              <w:left w:val="nil"/>
              <w:bottom w:val="nil"/>
              <w:right w:val="nil"/>
            </w:tcBorders>
            <w:shd w:val="clear" w:color="auto" w:fill="auto"/>
            <w:noWrap/>
            <w:vAlign w:val="bottom"/>
            <w:hideMark/>
          </w:tcPr>
          <w:p w14:paraId="16982C19"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137,7</w:t>
            </w:r>
          </w:p>
        </w:tc>
        <w:tc>
          <w:tcPr>
            <w:tcW w:w="419" w:type="pct"/>
            <w:tcBorders>
              <w:top w:val="nil"/>
              <w:left w:val="nil"/>
              <w:bottom w:val="nil"/>
              <w:right w:val="nil"/>
            </w:tcBorders>
            <w:shd w:val="clear" w:color="auto" w:fill="auto"/>
            <w:noWrap/>
            <w:vAlign w:val="bottom"/>
            <w:hideMark/>
          </w:tcPr>
          <w:p w14:paraId="66E0827D"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154,9</w:t>
            </w:r>
          </w:p>
        </w:tc>
        <w:tc>
          <w:tcPr>
            <w:tcW w:w="419" w:type="pct"/>
            <w:tcBorders>
              <w:top w:val="nil"/>
              <w:left w:val="nil"/>
              <w:bottom w:val="nil"/>
              <w:right w:val="nil"/>
            </w:tcBorders>
            <w:shd w:val="clear" w:color="auto" w:fill="auto"/>
            <w:noWrap/>
            <w:vAlign w:val="bottom"/>
            <w:hideMark/>
          </w:tcPr>
          <w:p w14:paraId="4DFAD338"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108,8</w:t>
            </w:r>
          </w:p>
        </w:tc>
        <w:tc>
          <w:tcPr>
            <w:tcW w:w="419" w:type="pct"/>
            <w:tcBorders>
              <w:top w:val="nil"/>
              <w:left w:val="nil"/>
              <w:bottom w:val="nil"/>
              <w:right w:val="nil"/>
            </w:tcBorders>
            <w:shd w:val="clear" w:color="auto" w:fill="auto"/>
            <w:noWrap/>
            <w:vAlign w:val="bottom"/>
            <w:hideMark/>
          </w:tcPr>
          <w:p w14:paraId="2A85F512"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64,6</w:t>
            </w:r>
          </w:p>
        </w:tc>
        <w:tc>
          <w:tcPr>
            <w:tcW w:w="419" w:type="pct"/>
            <w:tcBorders>
              <w:top w:val="nil"/>
              <w:left w:val="nil"/>
              <w:bottom w:val="nil"/>
              <w:right w:val="nil"/>
            </w:tcBorders>
            <w:shd w:val="clear" w:color="auto" w:fill="auto"/>
            <w:noWrap/>
            <w:vAlign w:val="bottom"/>
            <w:hideMark/>
          </w:tcPr>
          <w:p w14:paraId="70177254"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91,6</w:t>
            </w:r>
          </w:p>
        </w:tc>
        <w:tc>
          <w:tcPr>
            <w:tcW w:w="419" w:type="pct"/>
            <w:tcBorders>
              <w:top w:val="nil"/>
              <w:left w:val="nil"/>
              <w:bottom w:val="nil"/>
              <w:right w:val="nil"/>
            </w:tcBorders>
            <w:shd w:val="clear" w:color="auto" w:fill="auto"/>
            <w:noWrap/>
            <w:vAlign w:val="bottom"/>
            <w:hideMark/>
          </w:tcPr>
          <w:p w14:paraId="4E89E299"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115,5</w:t>
            </w:r>
          </w:p>
        </w:tc>
        <w:tc>
          <w:tcPr>
            <w:tcW w:w="419" w:type="pct"/>
            <w:tcBorders>
              <w:top w:val="nil"/>
              <w:left w:val="nil"/>
              <w:bottom w:val="nil"/>
              <w:right w:val="nil"/>
            </w:tcBorders>
            <w:shd w:val="clear" w:color="auto" w:fill="auto"/>
            <w:noWrap/>
            <w:vAlign w:val="bottom"/>
            <w:hideMark/>
          </w:tcPr>
          <w:p w14:paraId="1AC6D895"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122,2</w:t>
            </w:r>
          </w:p>
        </w:tc>
        <w:tc>
          <w:tcPr>
            <w:tcW w:w="419" w:type="pct"/>
            <w:tcBorders>
              <w:top w:val="nil"/>
              <w:left w:val="nil"/>
              <w:bottom w:val="nil"/>
              <w:right w:val="nil"/>
            </w:tcBorders>
            <w:shd w:val="clear" w:color="auto" w:fill="auto"/>
            <w:noWrap/>
            <w:vAlign w:val="bottom"/>
            <w:hideMark/>
          </w:tcPr>
          <w:p w14:paraId="596F8D2A"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117,1</w:t>
            </w:r>
          </w:p>
        </w:tc>
        <w:tc>
          <w:tcPr>
            <w:tcW w:w="419" w:type="pct"/>
            <w:tcBorders>
              <w:top w:val="nil"/>
              <w:left w:val="nil"/>
              <w:bottom w:val="nil"/>
              <w:right w:val="nil"/>
            </w:tcBorders>
            <w:shd w:val="clear" w:color="auto" w:fill="auto"/>
            <w:noWrap/>
            <w:vAlign w:val="bottom"/>
            <w:hideMark/>
          </w:tcPr>
          <w:p w14:paraId="2787779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123,8</w:t>
            </w:r>
          </w:p>
        </w:tc>
      </w:tr>
      <w:tr w:rsidR="001579BE" w:rsidRPr="00AB6853" w14:paraId="76762603" w14:textId="77777777" w:rsidTr="00377237">
        <w:trPr>
          <w:trHeight w:val="310"/>
        </w:trPr>
        <w:tc>
          <w:tcPr>
            <w:tcW w:w="240" w:type="pct"/>
            <w:tcBorders>
              <w:top w:val="nil"/>
              <w:left w:val="nil"/>
              <w:bottom w:val="nil"/>
              <w:right w:val="nil"/>
            </w:tcBorders>
            <w:shd w:val="clear" w:color="auto" w:fill="auto"/>
            <w:noWrap/>
            <w:vAlign w:val="bottom"/>
            <w:hideMark/>
          </w:tcPr>
          <w:p w14:paraId="76C1865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87" w:type="pct"/>
            <w:tcBorders>
              <w:top w:val="nil"/>
              <w:left w:val="nil"/>
              <w:bottom w:val="single" w:sz="4" w:space="0" w:color="auto"/>
              <w:right w:val="nil"/>
            </w:tcBorders>
            <w:shd w:val="clear" w:color="auto" w:fill="auto"/>
            <w:noWrap/>
            <w:vAlign w:val="bottom"/>
            <w:hideMark/>
          </w:tcPr>
          <w:p w14:paraId="794B1F07"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Mundo</w:t>
            </w:r>
          </w:p>
        </w:tc>
        <w:tc>
          <w:tcPr>
            <w:tcW w:w="419" w:type="pct"/>
            <w:tcBorders>
              <w:top w:val="nil"/>
              <w:left w:val="nil"/>
              <w:bottom w:val="single" w:sz="4" w:space="0" w:color="auto"/>
              <w:right w:val="nil"/>
            </w:tcBorders>
            <w:shd w:val="clear" w:color="auto" w:fill="auto"/>
            <w:noWrap/>
            <w:vAlign w:val="bottom"/>
            <w:hideMark/>
          </w:tcPr>
          <w:p w14:paraId="51F23991"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306,5</w:t>
            </w:r>
          </w:p>
        </w:tc>
        <w:tc>
          <w:tcPr>
            <w:tcW w:w="419" w:type="pct"/>
            <w:tcBorders>
              <w:top w:val="nil"/>
              <w:left w:val="nil"/>
              <w:bottom w:val="single" w:sz="4" w:space="0" w:color="auto"/>
              <w:right w:val="nil"/>
            </w:tcBorders>
            <w:shd w:val="clear" w:color="auto" w:fill="auto"/>
            <w:noWrap/>
            <w:vAlign w:val="bottom"/>
            <w:hideMark/>
          </w:tcPr>
          <w:p w14:paraId="54974A6A"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435,9</w:t>
            </w:r>
          </w:p>
        </w:tc>
        <w:tc>
          <w:tcPr>
            <w:tcW w:w="419" w:type="pct"/>
            <w:tcBorders>
              <w:top w:val="nil"/>
              <w:left w:val="nil"/>
              <w:bottom w:val="single" w:sz="4" w:space="0" w:color="auto"/>
              <w:right w:val="nil"/>
            </w:tcBorders>
            <w:shd w:val="clear" w:color="auto" w:fill="auto"/>
            <w:noWrap/>
            <w:vAlign w:val="bottom"/>
            <w:hideMark/>
          </w:tcPr>
          <w:p w14:paraId="4B0E9D1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588,8</w:t>
            </w:r>
          </w:p>
        </w:tc>
        <w:tc>
          <w:tcPr>
            <w:tcW w:w="419" w:type="pct"/>
            <w:tcBorders>
              <w:top w:val="nil"/>
              <w:left w:val="nil"/>
              <w:bottom w:val="single" w:sz="4" w:space="0" w:color="auto"/>
              <w:right w:val="nil"/>
            </w:tcBorders>
            <w:shd w:val="clear" w:color="auto" w:fill="auto"/>
            <w:noWrap/>
            <w:vAlign w:val="bottom"/>
            <w:hideMark/>
          </w:tcPr>
          <w:p w14:paraId="0AACB035"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582,6</w:t>
            </w:r>
          </w:p>
        </w:tc>
        <w:tc>
          <w:tcPr>
            <w:tcW w:w="419" w:type="pct"/>
            <w:tcBorders>
              <w:top w:val="nil"/>
              <w:left w:val="nil"/>
              <w:bottom w:val="single" w:sz="4" w:space="0" w:color="auto"/>
              <w:right w:val="nil"/>
            </w:tcBorders>
            <w:shd w:val="clear" w:color="auto" w:fill="auto"/>
            <w:noWrap/>
            <w:vAlign w:val="bottom"/>
            <w:hideMark/>
          </w:tcPr>
          <w:p w14:paraId="1DF08D9D"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650,6</w:t>
            </w:r>
          </w:p>
        </w:tc>
        <w:tc>
          <w:tcPr>
            <w:tcW w:w="419" w:type="pct"/>
            <w:tcBorders>
              <w:top w:val="nil"/>
              <w:left w:val="nil"/>
              <w:bottom w:val="single" w:sz="4" w:space="0" w:color="auto"/>
              <w:right w:val="nil"/>
            </w:tcBorders>
            <w:shd w:val="clear" w:color="auto" w:fill="auto"/>
            <w:noWrap/>
            <w:vAlign w:val="bottom"/>
            <w:hideMark/>
          </w:tcPr>
          <w:p w14:paraId="307587E5"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731,5</w:t>
            </w:r>
          </w:p>
        </w:tc>
        <w:tc>
          <w:tcPr>
            <w:tcW w:w="419" w:type="pct"/>
            <w:tcBorders>
              <w:top w:val="nil"/>
              <w:left w:val="nil"/>
              <w:bottom w:val="single" w:sz="4" w:space="0" w:color="auto"/>
              <w:right w:val="nil"/>
            </w:tcBorders>
            <w:shd w:val="clear" w:color="auto" w:fill="auto"/>
            <w:noWrap/>
            <w:vAlign w:val="bottom"/>
            <w:hideMark/>
          </w:tcPr>
          <w:p w14:paraId="27EB171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762,3</w:t>
            </w:r>
          </w:p>
        </w:tc>
        <w:tc>
          <w:tcPr>
            <w:tcW w:w="419" w:type="pct"/>
            <w:tcBorders>
              <w:top w:val="nil"/>
              <w:left w:val="nil"/>
              <w:bottom w:val="single" w:sz="4" w:space="0" w:color="auto"/>
              <w:right w:val="nil"/>
            </w:tcBorders>
            <w:shd w:val="clear" w:color="auto" w:fill="auto"/>
            <w:noWrap/>
            <w:vAlign w:val="bottom"/>
            <w:hideMark/>
          </w:tcPr>
          <w:p w14:paraId="00E177FE"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774,7</w:t>
            </w:r>
          </w:p>
        </w:tc>
        <w:tc>
          <w:tcPr>
            <w:tcW w:w="419" w:type="pct"/>
            <w:tcBorders>
              <w:top w:val="nil"/>
              <w:left w:val="nil"/>
              <w:bottom w:val="single" w:sz="4" w:space="0" w:color="auto"/>
              <w:right w:val="nil"/>
            </w:tcBorders>
            <w:shd w:val="clear" w:color="auto" w:fill="auto"/>
            <w:noWrap/>
            <w:vAlign w:val="bottom"/>
            <w:hideMark/>
          </w:tcPr>
          <w:p w14:paraId="64C50C4F"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775,9</w:t>
            </w:r>
          </w:p>
        </w:tc>
      </w:tr>
      <w:tr w:rsidR="001579BE" w:rsidRPr="00AB6853" w14:paraId="2424C0D1" w14:textId="77777777" w:rsidTr="00377237">
        <w:trPr>
          <w:trHeight w:val="310"/>
        </w:trPr>
        <w:tc>
          <w:tcPr>
            <w:tcW w:w="240" w:type="pct"/>
            <w:tcBorders>
              <w:top w:val="nil"/>
              <w:left w:val="nil"/>
              <w:bottom w:val="nil"/>
              <w:right w:val="nil"/>
            </w:tcBorders>
            <w:shd w:val="clear" w:color="auto" w:fill="auto"/>
            <w:noWrap/>
            <w:vAlign w:val="bottom"/>
            <w:hideMark/>
          </w:tcPr>
          <w:p w14:paraId="2D9D3B4D"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87" w:type="pct"/>
            <w:tcBorders>
              <w:top w:val="nil"/>
              <w:left w:val="nil"/>
              <w:bottom w:val="nil"/>
              <w:right w:val="nil"/>
            </w:tcBorders>
            <w:shd w:val="clear" w:color="auto" w:fill="auto"/>
            <w:noWrap/>
            <w:vAlign w:val="bottom"/>
            <w:hideMark/>
          </w:tcPr>
          <w:p w14:paraId="03F8B658" w14:textId="77777777" w:rsidR="001579BE" w:rsidRPr="00AB6853" w:rsidRDefault="001579BE" w:rsidP="00377237">
            <w:pPr>
              <w:spacing w:after="0" w:line="240" w:lineRule="auto"/>
              <w:rPr>
                <w:rFonts w:ascii="Times New Roman" w:eastAsia="Times New Roman" w:hAnsi="Times New Roman" w:cs="Times New Roman"/>
                <w:b/>
                <w:bCs/>
                <w:color w:val="000000"/>
                <w:sz w:val="20"/>
                <w:szCs w:val="20"/>
                <w:lang w:eastAsia="es-ES"/>
              </w:rPr>
            </w:pPr>
            <w:r w:rsidRPr="00AB6853">
              <w:rPr>
                <w:rFonts w:ascii="Times New Roman" w:eastAsia="Times New Roman" w:hAnsi="Times New Roman" w:cs="Times New Roman"/>
                <w:b/>
                <w:bCs/>
                <w:color w:val="000000"/>
                <w:sz w:val="20"/>
                <w:szCs w:val="20"/>
                <w:lang w:eastAsia="es-ES"/>
              </w:rPr>
              <w:t>Stock</w:t>
            </w:r>
          </w:p>
        </w:tc>
        <w:tc>
          <w:tcPr>
            <w:tcW w:w="419" w:type="pct"/>
            <w:tcBorders>
              <w:top w:val="nil"/>
              <w:left w:val="nil"/>
              <w:bottom w:val="nil"/>
              <w:right w:val="nil"/>
            </w:tcBorders>
            <w:shd w:val="clear" w:color="auto" w:fill="auto"/>
            <w:noWrap/>
            <w:vAlign w:val="bottom"/>
            <w:hideMark/>
          </w:tcPr>
          <w:p w14:paraId="7777F860" w14:textId="77777777" w:rsidR="001579BE" w:rsidRPr="00AB685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419" w:type="pct"/>
            <w:tcBorders>
              <w:top w:val="nil"/>
              <w:left w:val="nil"/>
              <w:bottom w:val="nil"/>
              <w:right w:val="nil"/>
            </w:tcBorders>
            <w:shd w:val="clear" w:color="auto" w:fill="auto"/>
            <w:noWrap/>
            <w:vAlign w:val="bottom"/>
            <w:hideMark/>
          </w:tcPr>
          <w:p w14:paraId="508073BC"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6AE4CCA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419" w:type="pct"/>
            <w:tcBorders>
              <w:top w:val="nil"/>
              <w:left w:val="nil"/>
              <w:bottom w:val="nil"/>
              <w:right w:val="nil"/>
            </w:tcBorders>
            <w:shd w:val="clear" w:color="auto" w:fill="auto"/>
            <w:noWrap/>
            <w:vAlign w:val="bottom"/>
            <w:hideMark/>
          </w:tcPr>
          <w:p w14:paraId="668D4A2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419" w:type="pct"/>
            <w:tcBorders>
              <w:top w:val="nil"/>
              <w:left w:val="nil"/>
              <w:bottom w:val="nil"/>
              <w:right w:val="nil"/>
            </w:tcBorders>
            <w:shd w:val="clear" w:color="auto" w:fill="auto"/>
            <w:noWrap/>
            <w:vAlign w:val="bottom"/>
            <w:hideMark/>
          </w:tcPr>
          <w:p w14:paraId="5562F902"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50F7B411"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49C3D10F"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783800F7"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19" w:type="pct"/>
            <w:tcBorders>
              <w:top w:val="nil"/>
              <w:left w:val="nil"/>
              <w:bottom w:val="nil"/>
              <w:right w:val="nil"/>
            </w:tcBorders>
            <w:shd w:val="clear" w:color="auto" w:fill="auto"/>
            <w:noWrap/>
            <w:vAlign w:val="bottom"/>
            <w:hideMark/>
          </w:tcPr>
          <w:p w14:paraId="1789FFBD"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r>
      <w:tr w:rsidR="001579BE" w:rsidRPr="00AB6853" w14:paraId="30DDC049" w14:textId="77777777" w:rsidTr="00377237">
        <w:trPr>
          <w:trHeight w:val="310"/>
        </w:trPr>
        <w:tc>
          <w:tcPr>
            <w:tcW w:w="240" w:type="pct"/>
            <w:tcBorders>
              <w:top w:val="nil"/>
              <w:left w:val="nil"/>
              <w:bottom w:val="nil"/>
              <w:right w:val="nil"/>
            </w:tcBorders>
            <w:shd w:val="clear" w:color="auto" w:fill="auto"/>
            <w:noWrap/>
            <w:vAlign w:val="bottom"/>
            <w:hideMark/>
          </w:tcPr>
          <w:p w14:paraId="3105CC8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w:t>
            </w:r>
          </w:p>
        </w:tc>
        <w:tc>
          <w:tcPr>
            <w:tcW w:w="987" w:type="pct"/>
            <w:tcBorders>
              <w:top w:val="nil"/>
              <w:left w:val="nil"/>
              <w:bottom w:val="nil"/>
              <w:right w:val="nil"/>
            </w:tcBorders>
            <w:shd w:val="clear" w:color="auto" w:fill="auto"/>
            <w:noWrap/>
            <w:vAlign w:val="bottom"/>
            <w:hideMark/>
          </w:tcPr>
          <w:p w14:paraId="4683E5CE"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China</w:t>
            </w:r>
          </w:p>
        </w:tc>
        <w:tc>
          <w:tcPr>
            <w:tcW w:w="419" w:type="pct"/>
            <w:tcBorders>
              <w:top w:val="nil"/>
              <w:left w:val="nil"/>
              <w:bottom w:val="nil"/>
              <w:right w:val="nil"/>
            </w:tcBorders>
            <w:shd w:val="clear" w:color="auto" w:fill="auto"/>
            <w:noWrap/>
            <w:vAlign w:val="bottom"/>
            <w:hideMark/>
          </w:tcPr>
          <w:p w14:paraId="4D13E15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7,2</w:t>
            </w:r>
          </w:p>
        </w:tc>
        <w:tc>
          <w:tcPr>
            <w:tcW w:w="419" w:type="pct"/>
            <w:tcBorders>
              <w:top w:val="nil"/>
              <w:left w:val="nil"/>
              <w:bottom w:val="nil"/>
              <w:right w:val="nil"/>
            </w:tcBorders>
            <w:shd w:val="clear" w:color="auto" w:fill="auto"/>
            <w:noWrap/>
            <w:vAlign w:val="bottom"/>
            <w:hideMark/>
          </w:tcPr>
          <w:p w14:paraId="0EB951E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31,7</w:t>
            </w:r>
          </w:p>
        </w:tc>
        <w:tc>
          <w:tcPr>
            <w:tcW w:w="419" w:type="pct"/>
            <w:tcBorders>
              <w:top w:val="nil"/>
              <w:left w:val="nil"/>
              <w:bottom w:val="nil"/>
              <w:right w:val="nil"/>
            </w:tcBorders>
            <w:shd w:val="clear" w:color="auto" w:fill="auto"/>
            <w:noWrap/>
            <w:vAlign w:val="bottom"/>
            <w:hideMark/>
          </w:tcPr>
          <w:p w14:paraId="7686D4D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49,9</w:t>
            </w:r>
          </w:p>
        </w:tc>
        <w:tc>
          <w:tcPr>
            <w:tcW w:w="419" w:type="pct"/>
            <w:tcBorders>
              <w:top w:val="nil"/>
              <w:left w:val="nil"/>
              <w:bottom w:val="nil"/>
              <w:right w:val="nil"/>
            </w:tcBorders>
            <w:shd w:val="clear" w:color="auto" w:fill="auto"/>
            <w:noWrap/>
            <w:vAlign w:val="bottom"/>
            <w:hideMark/>
          </w:tcPr>
          <w:p w14:paraId="2DA02D7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91,9</w:t>
            </w:r>
          </w:p>
        </w:tc>
        <w:tc>
          <w:tcPr>
            <w:tcW w:w="419" w:type="pct"/>
            <w:tcBorders>
              <w:top w:val="nil"/>
              <w:left w:val="nil"/>
              <w:bottom w:val="nil"/>
              <w:right w:val="nil"/>
            </w:tcBorders>
            <w:shd w:val="clear" w:color="auto" w:fill="auto"/>
            <w:noWrap/>
            <w:vAlign w:val="bottom"/>
            <w:hideMark/>
          </w:tcPr>
          <w:p w14:paraId="74FD4E0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58,8</w:t>
            </w:r>
          </w:p>
        </w:tc>
        <w:tc>
          <w:tcPr>
            <w:tcW w:w="419" w:type="pct"/>
            <w:tcBorders>
              <w:top w:val="nil"/>
              <w:left w:val="nil"/>
              <w:bottom w:val="nil"/>
              <w:right w:val="nil"/>
            </w:tcBorders>
            <w:shd w:val="clear" w:color="auto" w:fill="auto"/>
            <w:noWrap/>
            <w:vAlign w:val="bottom"/>
            <w:hideMark/>
          </w:tcPr>
          <w:p w14:paraId="34A8336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138,1</w:t>
            </w:r>
          </w:p>
        </w:tc>
        <w:tc>
          <w:tcPr>
            <w:tcW w:w="419" w:type="pct"/>
            <w:tcBorders>
              <w:top w:val="nil"/>
              <w:left w:val="nil"/>
              <w:bottom w:val="nil"/>
              <w:right w:val="nil"/>
            </w:tcBorders>
            <w:shd w:val="clear" w:color="auto" w:fill="auto"/>
            <w:noWrap/>
            <w:vAlign w:val="bottom"/>
            <w:hideMark/>
          </w:tcPr>
          <w:p w14:paraId="33C982E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150,0</w:t>
            </w:r>
          </w:p>
        </w:tc>
        <w:tc>
          <w:tcPr>
            <w:tcW w:w="419" w:type="pct"/>
            <w:tcBorders>
              <w:top w:val="nil"/>
              <w:left w:val="nil"/>
              <w:bottom w:val="nil"/>
              <w:right w:val="nil"/>
            </w:tcBorders>
            <w:shd w:val="clear" w:color="auto" w:fill="auto"/>
            <w:noWrap/>
            <w:vAlign w:val="bottom"/>
            <w:hideMark/>
          </w:tcPr>
          <w:p w14:paraId="54AF115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144,1</w:t>
            </w:r>
          </w:p>
        </w:tc>
        <w:tc>
          <w:tcPr>
            <w:tcW w:w="419" w:type="pct"/>
            <w:tcBorders>
              <w:top w:val="nil"/>
              <w:left w:val="nil"/>
              <w:bottom w:val="nil"/>
              <w:right w:val="nil"/>
            </w:tcBorders>
            <w:shd w:val="clear" w:color="auto" w:fill="auto"/>
            <w:noWrap/>
            <w:vAlign w:val="bottom"/>
            <w:hideMark/>
          </w:tcPr>
          <w:p w14:paraId="5B38E60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141,0</w:t>
            </w:r>
          </w:p>
        </w:tc>
      </w:tr>
      <w:tr w:rsidR="001579BE" w:rsidRPr="00AB6853" w14:paraId="4BCB6FC0" w14:textId="77777777" w:rsidTr="00377237">
        <w:trPr>
          <w:trHeight w:val="310"/>
        </w:trPr>
        <w:tc>
          <w:tcPr>
            <w:tcW w:w="240" w:type="pct"/>
            <w:tcBorders>
              <w:top w:val="nil"/>
              <w:left w:val="nil"/>
              <w:bottom w:val="nil"/>
              <w:right w:val="nil"/>
            </w:tcBorders>
            <w:shd w:val="clear" w:color="auto" w:fill="auto"/>
            <w:noWrap/>
            <w:vAlign w:val="bottom"/>
            <w:hideMark/>
          </w:tcPr>
          <w:p w14:paraId="4626824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w:t>
            </w:r>
          </w:p>
        </w:tc>
        <w:tc>
          <w:tcPr>
            <w:tcW w:w="987" w:type="pct"/>
            <w:tcBorders>
              <w:top w:val="nil"/>
              <w:left w:val="nil"/>
              <w:bottom w:val="nil"/>
              <w:right w:val="nil"/>
            </w:tcBorders>
            <w:shd w:val="clear" w:color="auto" w:fill="auto"/>
            <w:noWrap/>
            <w:vAlign w:val="bottom"/>
            <w:hideMark/>
          </w:tcPr>
          <w:p w14:paraId="4E604B0F"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India</w:t>
            </w:r>
          </w:p>
        </w:tc>
        <w:tc>
          <w:tcPr>
            <w:tcW w:w="419" w:type="pct"/>
            <w:tcBorders>
              <w:top w:val="nil"/>
              <w:left w:val="nil"/>
              <w:bottom w:val="nil"/>
              <w:right w:val="nil"/>
            </w:tcBorders>
            <w:shd w:val="clear" w:color="auto" w:fill="auto"/>
            <w:noWrap/>
            <w:vAlign w:val="bottom"/>
            <w:hideMark/>
          </w:tcPr>
          <w:p w14:paraId="5F2C6EE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5,0</w:t>
            </w:r>
          </w:p>
        </w:tc>
        <w:tc>
          <w:tcPr>
            <w:tcW w:w="419" w:type="pct"/>
            <w:tcBorders>
              <w:top w:val="nil"/>
              <w:left w:val="nil"/>
              <w:bottom w:val="nil"/>
              <w:right w:val="nil"/>
            </w:tcBorders>
            <w:shd w:val="clear" w:color="auto" w:fill="auto"/>
            <w:noWrap/>
            <w:vAlign w:val="bottom"/>
            <w:hideMark/>
          </w:tcPr>
          <w:p w14:paraId="46A7F98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4,0</w:t>
            </w:r>
          </w:p>
        </w:tc>
        <w:tc>
          <w:tcPr>
            <w:tcW w:w="419" w:type="pct"/>
            <w:tcBorders>
              <w:top w:val="nil"/>
              <w:left w:val="nil"/>
              <w:bottom w:val="nil"/>
              <w:right w:val="nil"/>
            </w:tcBorders>
            <w:shd w:val="clear" w:color="auto" w:fill="auto"/>
            <w:noWrap/>
            <w:vAlign w:val="bottom"/>
            <w:hideMark/>
          </w:tcPr>
          <w:p w14:paraId="351B6BF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5,8</w:t>
            </w:r>
          </w:p>
        </w:tc>
        <w:tc>
          <w:tcPr>
            <w:tcW w:w="419" w:type="pct"/>
            <w:tcBorders>
              <w:top w:val="nil"/>
              <w:left w:val="nil"/>
              <w:bottom w:val="nil"/>
              <w:right w:val="nil"/>
            </w:tcBorders>
            <w:shd w:val="clear" w:color="auto" w:fill="auto"/>
            <w:noWrap/>
            <w:vAlign w:val="bottom"/>
            <w:hideMark/>
          </w:tcPr>
          <w:p w14:paraId="7809624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21,5</w:t>
            </w:r>
          </w:p>
        </w:tc>
        <w:tc>
          <w:tcPr>
            <w:tcW w:w="419" w:type="pct"/>
            <w:tcBorders>
              <w:top w:val="nil"/>
              <w:left w:val="nil"/>
              <w:bottom w:val="nil"/>
              <w:right w:val="nil"/>
            </w:tcBorders>
            <w:shd w:val="clear" w:color="auto" w:fill="auto"/>
            <w:noWrap/>
            <w:vAlign w:val="bottom"/>
            <w:hideMark/>
          </w:tcPr>
          <w:p w14:paraId="1B0C3A8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15,4</w:t>
            </w:r>
          </w:p>
        </w:tc>
        <w:tc>
          <w:tcPr>
            <w:tcW w:w="419" w:type="pct"/>
            <w:tcBorders>
              <w:top w:val="nil"/>
              <w:left w:val="nil"/>
              <w:bottom w:val="nil"/>
              <w:right w:val="nil"/>
            </w:tcBorders>
            <w:shd w:val="clear" w:color="auto" w:fill="auto"/>
            <w:noWrap/>
            <w:vAlign w:val="bottom"/>
            <w:hideMark/>
          </w:tcPr>
          <w:p w14:paraId="3F2EF75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17,0</w:t>
            </w:r>
          </w:p>
        </w:tc>
        <w:tc>
          <w:tcPr>
            <w:tcW w:w="419" w:type="pct"/>
            <w:tcBorders>
              <w:top w:val="nil"/>
              <w:left w:val="nil"/>
              <w:bottom w:val="nil"/>
              <w:right w:val="nil"/>
            </w:tcBorders>
            <w:shd w:val="clear" w:color="auto" w:fill="auto"/>
            <w:noWrap/>
            <w:vAlign w:val="bottom"/>
            <w:hideMark/>
          </w:tcPr>
          <w:p w14:paraId="07D355F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24,7</w:t>
            </w:r>
          </w:p>
        </w:tc>
        <w:tc>
          <w:tcPr>
            <w:tcW w:w="419" w:type="pct"/>
            <w:tcBorders>
              <w:top w:val="nil"/>
              <w:left w:val="nil"/>
              <w:bottom w:val="nil"/>
              <w:right w:val="nil"/>
            </w:tcBorders>
            <w:shd w:val="clear" w:color="auto" w:fill="auto"/>
            <w:noWrap/>
            <w:vAlign w:val="bottom"/>
            <w:hideMark/>
          </w:tcPr>
          <w:p w14:paraId="5196AA2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27,8</w:t>
            </w:r>
          </w:p>
        </w:tc>
        <w:tc>
          <w:tcPr>
            <w:tcW w:w="419" w:type="pct"/>
            <w:tcBorders>
              <w:top w:val="nil"/>
              <w:left w:val="nil"/>
              <w:bottom w:val="nil"/>
              <w:right w:val="nil"/>
            </w:tcBorders>
            <w:shd w:val="clear" w:color="auto" w:fill="auto"/>
            <w:noWrap/>
            <w:vAlign w:val="bottom"/>
            <w:hideMark/>
          </w:tcPr>
          <w:p w14:paraId="1C0A221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28,8</w:t>
            </w:r>
          </w:p>
        </w:tc>
      </w:tr>
      <w:tr w:rsidR="001579BE" w:rsidRPr="00AB6853" w14:paraId="5A1F566B" w14:textId="77777777" w:rsidTr="00377237">
        <w:trPr>
          <w:trHeight w:val="310"/>
        </w:trPr>
        <w:tc>
          <w:tcPr>
            <w:tcW w:w="240" w:type="pct"/>
            <w:tcBorders>
              <w:top w:val="nil"/>
              <w:left w:val="nil"/>
              <w:bottom w:val="nil"/>
              <w:right w:val="nil"/>
            </w:tcBorders>
            <w:shd w:val="clear" w:color="auto" w:fill="auto"/>
            <w:noWrap/>
            <w:vAlign w:val="bottom"/>
            <w:hideMark/>
          </w:tcPr>
          <w:p w14:paraId="568B01F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w:t>
            </w:r>
          </w:p>
        </w:tc>
        <w:tc>
          <w:tcPr>
            <w:tcW w:w="987" w:type="pct"/>
            <w:tcBorders>
              <w:top w:val="nil"/>
              <w:left w:val="nil"/>
              <w:bottom w:val="nil"/>
              <w:right w:val="nil"/>
            </w:tcBorders>
            <w:shd w:val="clear" w:color="auto" w:fill="auto"/>
            <w:noWrap/>
            <w:vAlign w:val="bottom"/>
            <w:hideMark/>
          </w:tcPr>
          <w:p w14:paraId="2DD6A204"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Estados Unidos</w:t>
            </w:r>
          </w:p>
        </w:tc>
        <w:tc>
          <w:tcPr>
            <w:tcW w:w="419" w:type="pct"/>
            <w:tcBorders>
              <w:top w:val="nil"/>
              <w:left w:val="nil"/>
              <w:bottom w:val="nil"/>
              <w:right w:val="nil"/>
            </w:tcBorders>
            <w:shd w:val="clear" w:color="auto" w:fill="auto"/>
            <w:noWrap/>
            <w:vAlign w:val="bottom"/>
            <w:hideMark/>
          </w:tcPr>
          <w:p w14:paraId="1E124C0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22,4</w:t>
            </w:r>
          </w:p>
        </w:tc>
        <w:tc>
          <w:tcPr>
            <w:tcW w:w="419" w:type="pct"/>
            <w:tcBorders>
              <w:top w:val="nil"/>
              <w:left w:val="nil"/>
              <w:bottom w:val="nil"/>
              <w:right w:val="nil"/>
            </w:tcBorders>
            <w:shd w:val="clear" w:color="auto" w:fill="auto"/>
            <w:noWrap/>
            <w:vAlign w:val="bottom"/>
            <w:hideMark/>
          </w:tcPr>
          <w:p w14:paraId="3EFB2A1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26,9</w:t>
            </w:r>
          </w:p>
        </w:tc>
        <w:tc>
          <w:tcPr>
            <w:tcW w:w="419" w:type="pct"/>
            <w:tcBorders>
              <w:top w:val="nil"/>
              <w:left w:val="nil"/>
              <w:bottom w:val="nil"/>
              <w:right w:val="nil"/>
            </w:tcBorders>
            <w:shd w:val="clear" w:color="auto" w:fill="auto"/>
            <w:noWrap/>
            <w:vAlign w:val="bottom"/>
            <w:hideMark/>
          </w:tcPr>
          <w:p w14:paraId="448B939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23,6</w:t>
            </w:r>
          </w:p>
        </w:tc>
        <w:tc>
          <w:tcPr>
            <w:tcW w:w="419" w:type="pct"/>
            <w:tcBorders>
              <w:top w:val="nil"/>
              <w:left w:val="nil"/>
              <w:bottom w:val="nil"/>
              <w:right w:val="nil"/>
            </w:tcBorders>
            <w:shd w:val="clear" w:color="auto" w:fill="auto"/>
            <w:noWrap/>
            <w:vAlign w:val="bottom"/>
            <w:hideMark/>
          </w:tcPr>
          <w:p w14:paraId="39AB029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23,8</w:t>
            </w:r>
          </w:p>
        </w:tc>
        <w:tc>
          <w:tcPr>
            <w:tcW w:w="419" w:type="pct"/>
            <w:tcBorders>
              <w:top w:val="nil"/>
              <w:left w:val="nil"/>
              <w:bottom w:val="nil"/>
              <w:right w:val="nil"/>
            </w:tcBorders>
            <w:shd w:val="clear" w:color="auto" w:fill="auto"/>
            <w:noWrap/>
            <w:vAlign w:val="bottom"/>
            <w:hideMark/>
          </w:tcPr>
          <w:p w14:paraId="709048A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23,5</w:t>
            </w:r>
          </w:p>
        </w:tc>
        <w:tc>
          <w:tcPr>
            <w:tcW w:w="419" w:type="pct"/>
            <w:tcBorders>
              <w:top w:val="nil"/>
              <w:left w:val="nil"/>
              <w:bottom w:val="nil"/>
              <w:right w:val="nil"/>
            </w:tcBorders>
            <w:shd w:val="clear" w:color="auto" w:fill="auto"/>
            <w:noWrap/>
            <w:vAlign w:val="bottom"/>
            <w:hideMark/>
          </w:tcPr>
          <w:p w14:paraId="6A40260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29,4</w:t>
            </w:r>
          </w:p>
        </w:tc>
        <w:tc>
          <w:tcPr>
            <w:tcW w:w="419" w:type="pct"/>
            <w:tcBorders>
              <w:top w:val="nil"/>
              <w:left w:val="nil"/>
              <w:bottom w:val="nil"/>
              <w:right w:val="nil"/>
            </w:tcBorders>
            <w:shd w:val="clear" w:color="auto" w:fill="auto"/>
            <w:noWrap/>
            <w:vAlign w:val="bottom"/>
            <w:hideMark/>
          </w:tcPr>
          <w:p w14:paraId="39FFC20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28,0</w:t>
            </w:r>
          </w:p>
        </w:tc>
        <w:tc>
          <w:tcPr>
            <w:tcW w:w="419" w:type="pct"/>
            <w:tcBorders>
              <w:top w:val="nil"/>
              <w:left w:val="nil"/>
              <w:bottom w:val="nil"/>
              <w:right w:val="nil"/>
            </w:tcBorders>
            <w:shd w:val="clear" w:color="auto" w:fill="auto"/>
            <w:noWrap/>
            <w:vAlign w:val="bottom"/>
            <w:hideMark/>
          </w:tcPr>
          <w:p w14:paraId="23C30DB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23,0</w:t>
            </w:r>
          </w:p>
        </w:tc>
        <w:tc>
          <w:tcPr>
            <w:tcW w:w="419" w:type="pct"/>
            <w:tcBorders>
              <w:top w:val="nil"/>
              <w:left w:val="nil"/>
              <w:bottom w:val="nil"/>
              <w:right w:val="nil"/>
            </w:tcBorders>
            <w:shd w:val="clear" w:color="auto" w:fill="auto"/>
            <w:noWrap/>
            <w:vAlign w:val="bottom"/>
            <w:hideMark/>
          </w:tcPr>
          <w:p w14:paraId="0CF2CFE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15,8</w:t>
            </w:r>
          </w:p>
        </w:tc>
      </w:tr>
      <w:tr w:rsidR="001579BE" w:rsidRPr="00AB6853" w14:paraId="27391D9A" w14:textId="77777777" w:rsidTr="00377237">
        <w:trPr>
          <w:trHeight w:val="310"/>
        </w:trPr>
        <w:tc>
          <w:tcPr>
            <w:tcW w:w="240" w:type="pct"/>
            <w:tcBorders>
              <w:top w:val="nil"/>
              <w:left w:val="nil"/>
              <w:bottom w:val="nil"/>
              <w:right w:val="nil"/>
            </w:tcBorders>
            <w:shd w:val="clear" w:color="auto" w:fill="auto"/>
            <w:noWrap/>
            <w:vAlign w:val="bottom"/>
            <w:hideMark/>
          </w:tcPr>
          <w:p w14:paraId="7F431DD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w:t>
            </w:r>
          </w:p>
        </w:tc>
        <w:tc>
          <w:tcPr>
            <w:tcW w:w="987" w:type="pct"/>
            <w:tcBorders>
              <w:top w:val="nil"/>
              <w:left w:val="nil"/>
              <w:bottom w:val="nil"/>
              <w:right w:val="nil"/>
            </w:tcBorders>
            <w:shd w:val="clear" w:color="auto" w:fill="auto"/>
            <w:noWrap/>
            <w:vAlign w:val="bottom"/>
            <w:hideMark/>
          </w:tcPr>
          <w:p w14:paraId="4CDD7CB4"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Unión Europea</w:t>
            </w:r>
          </w:p>
        </w:tc>
        <w:tc>
          <w:tcPr>
            <w:tcW w:w="419" w:type="pct"/>
            <w:tcBorders>
              <w:top w:val="nil"/>
              <w:left w:val="nil"/>
              <w:bottom w:val="nil"/>
              <w:right w:val="nil"/>
            </w:tcBorders>
            <w:shd w:val="clear" w:color="auto" w:fill="auto"/>
            <w:noWrap/>
            <w:vAlign w:val="bottom"/>
            <w:hideMark/>
          </w:tcPr>
          <w:p w14:paraId="6805E1E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7,2</w:t>
            </w:r>
          </w:p>
        </w:tc>
        <w:tc>
          <w:tcPr>
            <w:tcW w:w="419" w:type="pct"/>
            <w:tcBorders>
              <w:top w:val="nil"/>
              <w:left w:val="nil"/>
              <w:bottom w:val="nil"/>
              <w:right w:val="nil"/>
            </w:tcBorders>
            <w:shd w:val="clear" w:color="auto" w:fill="auto"/>
            <w:noWrap/>
            <w:vAlign w:val="bottom"/>
            <w:hideMark/>
          </w:tcPr>
          <w:p w14:paraId="44B9277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12,6</w:t>
            </w:r>
          </w:p>
        </w:tc>
        <w:tc>
          <w:tcPr>
            <w:tcW w:w="419" w:type="pct"/>
            <w:tcBorders>
              <w:top w:val="nil"/>
              <w:left w:val="nil"/>
              <w:bottom w:val="nil"/>
              <w:right w:val="nil"/>
            </w:tcBorders>
            <w:shd w:val="clear" w:color="auto" w:fill="auto"/>
            <w:noWrap/>
            <w:vAlign w:val="bottom"/>
            <w:hideMark/>
          </w:tcPr>
          <w:p w14:paraId="0E2B454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17,9</w:t>
            </w:r>
          </w:p>
        </w:tc>
        <w:tc>
          <w:tcPr>
            <w:tcW w:w="419" w:type="pct"/>
            <w:tcBorders>
              <w:top w:val="nil"/>
              <w:left w:val="nil"/>
              <w:bottom w:val="nil"/>
              <w:right w:val="nil"/>
            </w:tcBorders>
            <w:shd w:val="clear" w:color="auto" w:fill="auto"/>
            <w:noWrap/>
            <w:vAlign w:val="bottom"/>
            <w:hideMark/>
          </w:tcPr>
          <w:p w14:paraId="2D0CF70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17,9</w:t>
            </w:r>
          </w:p>
        </w:tc>
        <w:tc>
          <w:tcPr>
            <w:tcW w:w="419" w:type="pct"/>
            <w:tcBorders>
              <w:top w:val="nil"/>
              <w:left w:val="nil"/>
              <w:bottom w:val="nil"/>
              <w:right w:val="nil"/>
            </w:tcBorders>
            <w:shd w:val="clear" w:color="auto" w:fill="auto"/>
            <w:noWrap/>
            <w:vAlign w:val="bottom"/>
            <w:hideMark/>
          </w:tcPr>
          <w:p w14:paraId="656E942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13,5</w:t>
            </w:r>
          </w:p>
        </w:tc>
        <w:tc>
          <w:tcPr>
            <w:tcW w:w="419" w:type="pct"/>
            <w:tcBorders>
              <w:top w:val="nil"/>
              <w:left w:val="nil"/>
              <w:bottom w:val="nil"/>
              <w:right w:val="nil"/>
            </w:tcBorders>
            <w:shd w:val="clear" w:color="auto" w:fill="auto"/>
            <w:noWrap/>
            <w:vAlign w:val="bottom"/>
            <w:hideMark/>
          </w:tcPr>
          <w:p w14:paraId="5E365B4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15,8</w:t>
            </w:r>
          </w:p>
        </w:tc>
        <w:tc>
          <w:tcPr>
            <w:tcW w:w="419" w:type="pct"/>
            <w:tcBorders>
              <w:top w:val="nil"/>
              <w:left w:val="nil"/>
              <w:bottom w:val="nil"/>
              <w:right w:val="nil"/>
            </w:tcBorders>
            <w:shd w:val="clear" w:color="auto" w:fill="auto"/>
            <w:noWrap/>
            <w:vAlign w:val="bottom"/>
            <w:hideMark/>
          </w:tcPr>
          <w:p w14:paraId="6657CA9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12,6</w:t>
            </w:r>
          </w:p>
        </w:tc>
        <w:tc>
          <w:tcPr>
            <w:tcW w:w="419" w:type="pct"/>
            <w:tcBorders>
              <w:top w:val="nil"/>
              <w:left w:val="nil"/>
              <w:bottom w:val="nil"/>
              <w:right w:val="nil"/>
            </w:tcBorders>
            <w:shd w:val="clear" w:color="auto" w:fill="auto"/>
            <w:noWrap/>
            <w:vAlign w:val="bottom"/>
            <w:hideMark/>
          </w:tcPr>
          <w:p w14:paraId="5103037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10,0</w:t>
            </w:r>
          </w:p>
        </w:tc>
        <w:tc>
          <w:tcPr>
            <w:tcW w:w="419" w:type="pct"/>
            <w:tcBorders>
              <w:top w:val="nil"/>
              <w:left w:val="nil"/>
              <w:bottom w:val="nil"/>
              <w:right w:val="nil"/>
            </w:tcBorders>
            <w:shd w:val="clear" w:color="auto" w:fill="auto"/>
            <w:noWrap/>
            <w:vAlign w:val="bottom"/>
            <w:hideMark/>
          </w:tcPr>
          <w:p w14:paraId="7BA9414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10,7</w:t>
            </w:r>
          </w:p>
        </w:tc>
      </w:tr>
      <w:tr w:rsidR="001579BE" w:rsidRPr="00AB6853" w14:paraId="5ED2FEB7" w14:textId="77777777" w:rsidTr="00377237">
        <w:trPr>
          <w:trHeight w:val="310"/>
        </w:trPr>
        <w:tc>
          <w:tcPr>
            <w:tcW w:w="240" w:type="pct"/>
            <w:tcBorders>
              <w:top w:val="nil"/>
              <w:left w:val="nil"/>
              <w:bottom w:val="nil"/>
              <w:right w:val="nil"/>
            </w:tcBorders>
            <w:shd w:val="clear" w:color="auto" w:fill="auto"/>
            <w:noWrap/>
            <w:vAlign w:val="bottom"/>
            <w:hideMark/>
          </w:tcPr>
          <w:p w14:paraId="55315F6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w:t>
            </w:r>
          </w:p>
        </w:tc>
        <w:tc>
          <w:tcPr>
            <w:tcW w:w="987" w:type="pct"/>
            <w:tcBorders>
              <w:top w:val="nil"/>
              <w:left w:val="nil"/>
              <w:bottom w:val="nil"/>
              <w:right w:val="nil"/>
            </w:tcBorders>
            <w:shd w:val="clear" w:color="auto" w:fill="auto"/>
            <w:noWrap/>
            <w:vAlign w:val="bottom"/>
            <w:hideMark/>
          </w:tcPr>
          <w:p w14:paraId="6225F70A"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Rusia</w:t>
            </w:r>
          </w:p>
        </w:tc>
        <w:tc>
          <w:tcPr>
            <w:tcW w:w="419" w:type="pct"/>
            <w:tcBorders>
              <w:top w:val="nil"/>
              <w:left w:val="nil"/>
              <w:bottom w:val="nil"/>
              <w:right w:val="nil"/>
            </w:tcBorders>
            <w:shd w:val="clear" w:color="auto" w:fill="auto"/>
            <w:noWrap/>
            <w:vAlign w:val="bottom"/>
            <w:hideMark/>
          </w:tcPr>
          <w:p w14:paraId="658327C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7,2</w:t>
            </w:r>
          </w:p>
        </w:tc>
        <w:tc>
          <w:tcPr>
            <w:tcW w:w="419" w:type="pct"/>
            <w:tcBorders>
              <w:top w:val="nil"/>
              <w:left w:val="nil"/>
              <w:bottom w:val="nil"/>
              <w:right w:val="nil"/>
            </w:tcBorders>
            <w:shd w:val="clear" w:color="auto" w:fill="auto"/>
            <w:noWrap/>
            <w:vAlign w:val="bottom"/>
            <w:hideMark/>
          </w:tcPr>
          <w:p w14:paraId="739AD64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12,6</w:t>
            </w:r>
          </w:p>
        </w:tc>
        <w:tc>
          <w:tcPr>
            <w:tcW w:w="419" w:type="pct"/>
            <w:tcBorders>
              <w:top w:val="nil"/>
              <w:left w:val="nil"/>
              <w:bottom w:val="nil"/>
              <w:right w:val="nil"/>
            </w:tcBorders>
            <w:shd w:val="clear" w:color="auto" w:fill="auto"/>
            <w:noWrap/>
            <w:vAlign w:val="bottom"/>
            <w:hideMark/>
          </w:tcPr>
          <w:p w14:paraId="161AACA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17,9</w:t>
            </w:r>
          </w:p>
        </w:tc>
        <w:tc>
          <w:tcPr>
            <w:tcW w:w="419" w:type="pct"/>
            <w:tcBorders>
              <w:top w:val="nil"/>
              <w:left w:val="nil"/>
              <w:bottom w:val="nil"/>
              <w:right w:val="nil"/>
            </w:tcBorders>
            <w:shd w:val="clear" w:color="auto" w:fill="auto"/>
            <w:noWrap/>
            <w:vAlign w:val="bottom"/>
            <w:hideMark/>
          </w:tcPr>
          <w:p w14:paraId="185EFE5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w:t>
            </w:r>
          </w:p>
        </w:tc>
        <w:tc>
          <w:tcPr>
            <w:tcW w:w="419" w:type="pct"/>
            <w:tcBorders>
              <w:top w:val="nil"/>
              <w:left w:val="nil"/>
              <w:bottom w:val="nil"/>
              <w:right w:val="nil"/>
            </w:tcBorders>
            <w:shd w:val="clear" w:color="auto" w:fill="auto"/>
            <w:noWrap/>
            <w:vAlign w:val="bottom"/>
            <w:hideMark/>
          </w:tcPr>
          <w:p w14:paraId="0F50A18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13,7</w:t>
            </w:r>
          </w:p>
        </w:tc>
        <w:tc>
          <w:tcPr>
            <w:tcW w:w="419" w:type="pct"/>
            <w:tcBorders>
              <w:top w:val="nil"/>
              <w:left w:val="nil"/>
              <w:bottom w:val="nil"/>
              <w:right w:val="nil"/>
            </w:tcBorders>
            <w:shd w:val="clear" w:color="auto" w:fill="auto"/>
            <w:noWrap/>
            <w:vAlign w:val="bottom"/>
            <w:hideMark/>
          </w:tcPr>
          <w:p w14:paraId="23529CC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7,8</w:t>
            </w:r>
          </w:p>
        </w:tc>
        <w:tc>
          <w:tcPr>
            <w:tcW w:w="419" w:type="pct"/>
            <w:tcBorders>
              <w:top w:val="nil"/>
              <w:left w:val="nil"/>
              <w:bottom w:val="nil"/>
              <w:right w:val="nil"/>
            </w:tcBorders>
            <w:shd w:val="clear" w:color="auto" w:fill="auto"/>
            <w:noWrap/>
            <w:vAlign w:val="bottom"/>
            <w:hideMark/>
          </w:tcPr>
          <w:p w14:paraId="3355501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7,2</w:t>
            </w:r>
          </w:p>
        </w:tc>
        <w:tc>
          <w:tcPr>
            <w:tcW w:w="419" w:type="pct"/>
            <w:tcBorders>
              <w:top w:val="nil"/>
              <w:left w:val="nil"/>
              <w:bottom w:val="nil"/>
              <w:right w:val="nil"/>
            </w:tcBorders>
            <w:shd w:val="clear" w:color="auto" w:fill="auto"/>
            <w:noWrap/>
            <w:vAlign w:val="bottom"/>
            <w:hideMark/>
          </w:tcPr>
          <w:p w14:paraId="6AEF4FD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12,0</w:t>
            </w:r>
          </w:p>
        </w:tc>
        <w:tc>
          <w:tcPr>
            <w:tcW w:w="419" w:type="pct"/>
            <w:tcBorders>
              <w:top w:val="nil"/>
              <w:left w:val="nil"/>
              <w:bottom w:val="nil"/>
              <w:right w:val="nil"/>
            </w:tcBorders>
            <w:shd w:val="clear" w:color="auto" w:fill="auto"/>
            <w:noWrap/>
            <w:vAlign w:val="bottom"/>
            <w:hideMark/>
          </w:tcPr>
          <w:p w14:paraId="79D7974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9,5</w:t>
            </w:r>
          </w:p>
        </w:tc>
      </w:tr>
      <w:tr w:rsidR="001579BE" w:rsidRPr="00AB6853" w14:paraId="6D847A74" w14:textId="77777777" w:rsidTr="00377237">
        <w:trPr>
          <w:trHeight w:val="310"/>
        </w:trPr>
        <w:tc>
          <w:tcPr>
            <w:tcW w:w="240" w:type="pct"/>
            <w:tcBorders>
              <w:top w:val="nil"/>
              <w:left w:val="nil"/>
              <w:bottom w:val="nil"/>
              <w:right w:val="nil"/>
            </w:tcBorders>
            <w:shd w:val="clear" w:color="auto" w:fill="auto"/>
            <w:noWrap/>
            <w:vAlign w:val="bottom"/>
            <w:hideMark/>
          </w:tcPr>
          <w:p w14:paraId="5F82ABC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w:t>
            </w:r>
          </w:p>
        </w:tc>
        <w:tc>
          <w:tcPr>
            <w:tcW w:w="987" w:type="pct"/>
            <w:tcBorders>
              <w:top w:val="nil"/>
              <w:left w:val="nil"/>
              <w:bottom w:val="nil"/>
              <w:right w:val="nil"/>
            </w:tcBorders>
            <w:shd w:val="clear" w:color="auto" w:fill="auto"/>
            <w:noWrap/>
            <w:vAlign w:val="bottom"/>
            <w:hideMark/>
          </w:tcPr>
          <w:p w14:paraId="33054125"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Argelia</w:t>
            </w:r>
          </w:p>
        </w:tc>
        <w:tc>
          <w:tcPr>
            <w:tcW w:w="419" w:type="pct"/>
            <w:tcBorders>
              <w:top w:val="nil"/>
              <w:left w:val="nil"/>
              <w:bottom w:val="nil"/>
              <w:right w:val="nil"/>
            </w:tcBorders>
            <w:shd w:val="clear" w:color="auto" w:fill="auto"/>
            <w:noWrap/>
            <w:vAlign w:val="bottom"/>
            <w:hideMark/>
          </w:tcPr>
          <w:p w14:paraId="6BA0FD5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19" w:type="pct"/>
            <w:tcBorders>
              <w:top w:val="nil"/>
              <w:left w:val="nil"/>
              <w:bottom w:val="nil"/>
              <w:right w:val="nil"/>
            </w:tcBorders>
            <w:shd w:val="clear" w:color="auto" w:fill="auto"/>
            <w:noWrap/>
            <w:vAlign w:val="bottom"/>
            <w:hideMark/>
          </w:tcPr>
          <w:p w14:paraId="1A239E5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0,1</w:t>
            </w:r>
          </w:p>
        </w:tc>
        <w:tc>
          <w:tcPr>
            <w:tcW w:w="419" w:type="pct"/>
            <w:tcBorders>
              <w:top w:val="nil"/>
              <w:left w:val="nil"/>
              <w:bottom w:val="nil"/>
              <w:right w:val="nil"/>
            </w:tcBorders>
            <w:shd w:val="clear" w:color="auto" w:fill="auto"/>
            <w:noWrap/>
            <w:vAlign w:val="bottom"/>
            <w:hideMark/>
          </w:tcPr>
          <w:p w14:paraId="637F329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0,2</w:t>
            </w:r>
          </w:p>
        </w:tc>
        <w:tc>
          <w:tcPr>
            <w:tcW w:w="419" w:type="pct"/>
            <w:tcBorders>
              <w:top w:val="nil"/>
              <w:left w:val="nil"/>
              <w:bottom w:val="nil"/>
              <w:right w:val="nil"/>
            </w:tcBorders>
            <w:shd w:val="clear" w:color="auto" w:fill="auto"/>
            <w:noWrap/>
            <w:vAlign w:val="bottom"/>
            <w:hideMark/>
          </w:tcPr>
          <w:p w14:paraId="21C5D9A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w:t>
            </w:r>
          </w:p>
        </w:tc>
        <w:tc>
          <w:tcPr>
            <w:tcW w:w="419" w:type="pct"/>
            <w:tcBorders>
              <w:top w:val="nil"/>
              <w:left w:val="nil"/>
              <w:bottom w:val="nil"/>
              <w:right w:val="nil"/>
            </w:tcBorders>
            <w:shd w:val="clear" w:color="auto" w:fill="auto"/>
            <w:noWrap/>
            <w:vAlign w:val="bottom"/>
            <w:hideMark/>
          </w:tcPr>
          <w:p w14:paraId="3E3A9D2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3,0</w:t>
            </w:r>
          </w:p>
        </w:tc>
        <w:tc>
          <w:tcPr>
            <w:tcW w:w="419" w:type="pct"/>
            <w:tcBorders>
              <w:top w:val="nil"/>
              <w:left w:val="nil"/>
              <w:bottom w:val="nil"/>
              <w:right w:val="nil"/>
            </w:tcBorders>
            <w:shd w:val="clear" w:color="auto" w:fill="auto"/>
            <w:noWrap/>
            <w:vAlign w:val="bottom"/>
            <w:hideMark/>
          </w:tcPr>
          <w:p w14:paraId="69AAB1D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5,2</w:t>
            </w:r>
          </w:p>
        </w:tc>
        <w:tc>
          <w:tcPr>
            <w:tcW w:w="419" w:type="pct"/>
            <w:tcBorders>
              <w:top w:val="nil"/>
              <w:left w:val="nil"/>
              <w:bottom w:val="nil"/>
              <w:right w:val="nil"/>
            </w:tcBorders>
            <w:shd w:val="clear" w:color="auto" w:fill="auto"/>
            <w:noWrap/>
            <w:vAlign w:val="bottom"/>
            <w:hideMark/>
          </w:tcPr>
          <w:p w14:paraId="5475371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5,4</w:t>
            </w:r>
          </w:p>
        </w:tc>
        <w:tc>
          <w:tcPr>
            <w:tcW w:w="419" w:type="pct"/>
            <w:tcBorders>
              <w:top w:val="nil"/>
              <w:left w:val="nil"/>
              <w:bottom w:val="nil"/>
              <w:right w:val="nil"/>
            </w:tcBorders>
            <w:shd w:val="clear" w:color="auto" w:fill="auto"/>
            <w:noWrap/>
            <w:vAlign w:val="bottom"/>
            <w:hideMark/>
          </w:tcPr>
          <w:p w14:paraId="2FCF006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5,7</w:t>
            </w:r>
          </w:p>
        </w:tc>
        <w:tc>
          <w:tcPr>
            <w:tcW w:w="419" w:type="pct"/>
            <w:tcBorders>
              <w:top w:val="nil"/>
              <w:left w:val="nil"/>
              <w:bottom w:val="nil"/>
              <w:right w:val="nil"/>
            </w:tcBorders>
            <w:shd w:val="clear" w:color="auto" w:fill="auto"/>
            <w:noWrap/>
            <w:vAlign w:val="bottom"/>
            <w:hideMark/>
          </w:tcPr>
          <w:p w14:paraId="334EB50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5,0</w:t>
            </w:r>
          </w:p>
        </w:tc>
      </w:tr>
      <w:tr w:rsidR="001579BE" w:rsidRPr="00AB6853" w14:paraId="13ACDEC8" w14:textId="77777777" w:rsidTr="00377237">
        <w:trPr>
          <w:trHeight w:val="310"/>
        </w:trPr>
        <w:tc>
          <w:tcPr>
            <w:tcW w:w="240" w:type="pct"/>
            <w:tcBorders>
              <w:top w:val="nil"/>
              <w:left w:val="nil"/>
              <w:bottom w:val="nil"/>
              <w:right w:val="nil"/>
            </w:tcBorders>
            <w:shd w:val="clear" w:color="auto" w:fill="auto"/>
            <w:noWrap/>
            <w:vAlign w:val="bottom"/>
            <w:hideMark/>
          </w:tcPr>
          <w:p w14:paraId="0E5A9FF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w:t>
            </w:r>
          </w:p>
        </w:tc>
        <w:tc>
          <w:tcPr>
            <w:tcW w:w="987" w:type="pct"/>
            <w:tcBorders>
              <w:top w:val="nil"/>
              <w:left w:val="nil"/>
              <w:bottom w:val="nil"/>
              <w:right w:val="nil"/>
            </w:tcBorders>
            <w:shd w:val="clear" w:color="auto" w:fill="auto"/>
            <w:noWrap/>
            <w:vAlign w:val="bottom"/>
            <w:hideMark/>
          </w:tcPr>
          <w:p w14:paraId="45B788E4"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Pakistán</w:t>
            </w:r>
          </w:p>
        </w:tc>
        <w:tc>
          <w:tcPr>
            <w:tcW w:w="419" w:type="pct"/>
            <w:tcBorders>
              <w:top w:val="nil"/>
              <w:left w:val="nil"/>
              <w:bottom w:val="nil"/>
              <w:right w:val="nil"/>
            </w:tcBorders>
            <w:shd w:val="clear" w:color="auto" w:fill="auto"/>
            <w:noWrap/>
            <w:vAlign w:val="bottom"/>
            <w:hideMark/>
          </w:tcPr>
          <w:p w14:paraId="2D0B7B9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0,7</w:t>
            </w:r>
          </w:p>
        </w:tc>
        <w:tc>
          <w:tcPr>
            <w:tcW w:w="419" w:type="pct"/>
            <w:tcBorders>
              <w:top w:val="nil"/>
              <w:left w:val="nil"/>
              <w:bottom w:val="nil"/>
              <w:right w:val="nil"/>
            </w:tcBorders>
            <w:shd w:val="clear" w:color="auto" w:fill="auto"/>
            <w:noWrap/>
            <w:vAlign w:val="bottom"/>
            <w:hideMark/>
          </w:tcPr>
          <w:p w14:paraId="2C90B40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w:t>
            </w:r>
          </w:p>
        </w:tc>
        <w:tc>
          <w:tcPr>
            <w:tcW w:w="419" w:type="pct"/>
            <w:tcBorders>
              <w:top w:val="nil"/>
              <w:left w:val="nil"/>
              <w:bottom w:val="nil"/>
              <w:right w:val="nil"/>
            </w:tcBorders>
            <w:shd w:val="clear" w:color="auto" w:fill="auto"/>
            <w:noWrap/>
            <w:vAlign w:val="bottom"/>
            <w:hideMark/>
          </w:tcPr>
          <w:p w14:paraId="46586E6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w:t>
            </w:r>
          </w:p>
        </w:tc>
        <w:tc>
          <w:tcPr>
            <w:tcW w:w="419" w:type="pct"/>
            <w:tcBorders>
              <w:top w:val="nil"/>
              <w:left w:val="nil"/>
              <w:bottom w:val="nil"/>
              <w:right w:val="nil"/>
            </w:tcBorders>
            <w:shd w:val="clear" w:color="auto" w:fill="auto"/>
            <w:noWrap/>
            <w:vAlign w:val="bottom"/>
            <w:hideMark/>
          </w:tcPr>
          <w:p w14:paraId="498F4B4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3,6</w:t>
            </w:r>
          </w:p>
        </w:tc>
        <w:tc>
          <w:tcPr>
            <w:tcW w:w="419" w:type="pct"/>
            <w:tcBorders>
              <w:top w:val="nil"/>
              <w:left w:val="nil"/>
              <w:bottom w:val="nil"/>
              <w:right w:val="nil"/>
            </w:tcBorders>
            <w:shd w:val="clear" w:color="auto" w:fill="auto"/>
            <w:noWrap/>
            <w:vAlign w:val="bottom"/>
            <w:hideMark/>
          </w:tcPr>
          <w:p w14:paraId="19483DB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2,6</w:t>
            </w:r>
          </w:p>
        </w:tc>
        <w:tc>
          <w:tcPr>
            <w:tcW w:w="419" w:type="pct"/>
            <w:tcBorders>
              <w:top w:val="nil"/>
              <w:left w:val="nil"/>
              <w:bottom w:val="nil"/>
              <w:right w:val="nil"/>
            </w:tcBorders>
            <w:shd w:val="clear" w:color="auto" w:fill="auto"/>
            <w:noWrap/>
            <w:vAlign w:val="bottom"/>
            <w:hideMark/>
          </w:tcPr>
          <w:p w14:paraId="037525B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2,5</w:t>
            </w:r>
          </w:p>
        </w:tc>
        <w:tc>
          <w:tcPr>
            <w:tcW w:w="419" w:type="pct"/>
            <w:tcBorders>
              <w:top w:val="nil"/>
              <w:left w:val="nil"/>
              <w:bottom w:val="nil"/>
              <w:right w:val="nil"/>
            </w:tcBorders>
            <w:shd w:val="clear" w:color="auto" w:fill="auto"/>
            <w:noWrap/>
            <w:vAlign w:val="bottom"/>
            <w:hideMark/>
          </w:tcPr>
          <w:p w14:paraId="4033F3A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w:t>
            </w:r>
          </w:p>
        </w:tc>
        <w:tc>
          <w:tcPr>
            <w:tcW w:w="419" w:type="pct"/>
            <w:tcBorders>
              <w:top w:val="nil"/>
              <w:left w:val="nil"/>
              <w:bottom w:val="nil"/>
              <w:right w:val="nil"/>
            </w:tcBorders>
            <w:shd w:val="clear" w:color="auto" w:fill="auto"/>
            <w:noWrap/>
            <w:vAlign w:val="bottom"/>
            <w:hideMark/>
          </w:tcPr>
          <w:p w14:paraId="2418482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w:t>
            </w:r>
          </w:p>
        </w:tc>
        <w:tc>
          <w:tcPr>
            <w:tcW w:w="419" w:type="pct"/>
            <w:tcBorders>
              <w:top w:val="nil"/>
              <w:left w:val="nil"/>
              <w:bottom w:val="nil"/>
              <w:right w:val="nil"/>
            </w:tcBorders>
            <w:shd w:val="clear" w:color="auto" w:fill="auto"/>
            <w:noWrap/>
            <w:vAlign w:val="bottom"/>
            <w:hideMark/>
          </w:tcPr>
          <w:p w14:paraId="529405B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4,6</w:t>
            </w:r>
          </w:p>
        </w:tc>
      </w:tr>
      <w:tr w:rsidR="001579BE" w:rsidRPr="00AB6853" w14:paraId="67D6BF40" w14:textId="77777777" w:rsidTr="00377237">
        <w:trPr>
          <w:trHeight w:val="310"/>
        </w:trPr>
        <w:tc>
          <w:tcPr>
            <w:tcW w:w="240" w:type="pct"/>
            <w:tcBorders>
              <w:top w:val="nil"/>
              <w:left w:val="nil"/>
              <w:bottom w:val="nil"/>
              <w:right w:val="nil"/>
            </w:tcBorders>
            <w:shd w:val="clear" w:color="auto" w:fill="auto"/>
            <w:noWrap/>
            <w:vAlign w:val="bottom"/>
            <w:hideMark/>
          </w:tcPr>
          <w:p w14:paraId="69EB5E3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87" w:type="pct"/>
            <w:tcBorders>
              <w:top w:val="nil"/>
              <w:left w:val="nil"/>
              <w:bottom w:val="nil"/>
              <w:right w:val="nil"/>
            </w:tcBorders>
            <w:shd w:val="clear" w:color="auto" w:fill="auto"/>
            <w:noWrap/>
            <w:vAlign w:val="bottom"/>
            <w:hideMark/>
          </w:tcPr>
          <w:p w14:paraId="05897F35"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Otros</w:t>
            </w:r>
          </w:p>
        </w:tc>
        <w:tc>
          <w:tcPr>
            <w:tcW w:w="419" w:type="pct"/>
            <w:tcBorders>
              <w:top w:val="nil"/>
              <w:left w:val="nil"/>
              <w:bottom w:val="nil"/>
              <w:right w:val="nil"/>
            </w:tcBorders>
            <w:shd w:val="clear" w:color="auto" w:fill="auto"/>
            <w:noWrap/>
            <w:vAlign w:val="bottom"/>
            <w:hideMark/>
          </w:tcPr>
          <w:p w14:paraId="06E1BBF8"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30,9</w:t>
            </w:r>
          </w:p>
        </w:tc>
        <w:tc>
          <w:tcPr>
            <w:tcW w:w="419" w:type="pct"/>
            <w:tcBorders>
              <w:top w:val="nil"/>
              <w:left w:val="nil"/>
              <w:bottom w:val="nil"/>
              <w:right w:val="nil"/>
            </w:tcBorders>
            <w:shd w:val="clear" w:color="auto" w:fill="auto"/>
            <w:noWrap/>
            <w:vAlign w:val="bottom"/>
            <w:hideMark/>
          </w:tcPr>
          <w:p w14:paraId="1CF4D6E9"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23,7</w:t>
            </w:r>
          </w:p>
        </w:tc>
        <w:tc>
          <w:tcPr>
            <w:tcW w:w="419" w:type="pct"/>
            <w:tcBorders>
              <w:top w:val="nil"/>
              <w:left w:val="nil"/>
              <w:bottom w:val="nil"/>
              <w:right w:val="nil"/>
            </w:tcBorders>
            <w:shd w:val="clear" w:color="auto" w:fill="auto"/>
            <w:noWrap/>
            <w:vAlign w:val="bottom"/>
            <w:hideMark/>
          </w:tcPr>
          <w:p w14:paraId="77E57CD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52,6</w:t>
            </w:r>
          </w:p>
        </w:tc>
        <w:tc>
          <w:tcPr>
            <w:tcW w:w="419" w:type="pct"/>
            <w:tcBorders>
              <w:top w:val="nil"/>
              <w:left w:val="nil"/>
              <w:bottom w:val="nil"/>
              <w:right w:val="nil"/>
            </w:tcBorders>
            <w:shd w:val="clear" w:color="auto" w:fill="auto"/>
            <w:noWrap/>
            <w:vAlign w:val="bottom"/>
            <w:hideMark/>
          </w:tcPr>
          <w:p w14:paraId="39F40A6B"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44,1</w:t>
            </w:r>
          </w:p>
        </w:tc>
        <w:tc>
          <w:tcPr>
            <w:tcW w:w="419" w:type="pct"/>
            <w:tcBorders>
              <w:top w:val="nil"/>
              <w:left w:val="nil"/>
              <w:bottom w:val="nil"/>
              <w:right w:val="nil"/>
            </w:tcBorders>
            <w:shd w:val="clear" w:color="auto" w:fill="auto"/>
            <w:noWrap/>
            <w:vAlign w:val="bottom"/>
            <w:hideMark/>
          </w:tcPr>
          <w:p w14:paraId="62408682"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69,7</w:t>
            </w:r>
          </w:p>
        </w:tc>
        <w:tc>
          <w:tcPr>
            <w:tcW w:w="419" w:type="pct"/>
            <w:tcBorders>
              <w:top w:val="nil"/>
              <w:left w:val="nil"/>
              <w:bottom w:val="nil"/>
              <w:right w:val="nil"/>
            </w:tcBorders>
            <w:shd w:val="clear" w:color="auto" w:fill="auto"/>
            <w:noWrap/>
            <w:vAlign w:val="bottom"/>
            <w:hideMark/>
          </w:tcPr>
          <w:p w14:paraId="607508AF"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65,0</w:t>
            </w:r>
          </w:p>
        </w:tc>
        <w:tc>
          <w:tcPr>
            <w:tcW w:w="419" w:type="pct"/>
            <w:tcBorders>
              <w:top w:val="nil"/>
              <w:left w:val="nil"/>
              <w:bottom w:val="nil"/>
              <w:right w:val="nil"/>
            </w:tcBorders>
            <w:shd w:val="clear" w:color="auto" w:fill="auto"/>
            <w:noWrap/>
            <w:vAlign w:val="bottom"/>
            <w:hideMark/>
          </w:tcPr>
          <w:p w14:paraId="04DB0B27"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65,9</w:t>
            </w:r>
          </w:p>
        </w:tc>
        <w:tc>
          <w:tcPr>
            <w:tcW w:w="419" w:type="pct"/>
            <w:tcBorders>
              <w:top w:val="nil"/>
              <w:left w:val="nil"/>
              <w:bottom w:val="nil"/>
              <w:right w:val="nil"/>
            </w:tcBorders>
            <w:shd w:val="clear" w:color="auto" w:fill="auto"/>
            <w:noWrap/>
            <w:vAlign w:val="bottom"/>
            <w:hideMark/>
          </w:tcPr>
          <w:p w14:paraId="62478805"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62,9</w:t>
            </w:r>
          </w:p>
        </w:tc>
        <w:tc>
          <w:tcPr>
            <w:tcW w:w="419" w:type="pct"/>
            <w:tcBorders>
              <w:top w:val="nil"/>
              <w:left w:val="nil"/>
              <w:bottom w:val="nil"/>
              <w:right w:val="nil"/>
            </w:tcBorders>
            <w:shd w:val="clear" w:color="auto" w:fill="auto"/>
            <w:noWrap/>
            <w:vAlign w:val="bottom"/>
            <w:hideMark/>
          </w:tcPr>
          <w:p w14:paraId="6D3A122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61,7</w:t>
            </w:r>
          </w:p>
        </w:tc>
      </w:tr>
      <w:tr w:rsidR="001579BE" w:rsidRPr="00AB6853" w14:paraId="50F3320D" w14:textId="77777777" w:rsidTr="00377237">
        <w:trPr>
          <w:trHeight w:val="310"/>
        </w:trPr>
        <w:tc>
          <w:tcPr>
            <w:tcW w:w="240" w:type="pct"/>
            <w:tcBorders>
              <w:top w:val="nil"/>
              <w:left w:val="nil"/>
              <w:bottom w:val="nil"/>
              <w:right w:val="nil"/>
            </w:tcBorders>
            <w:shd w:val="clear" w:color="auto" w:fill="auto"/>
            <w:noWrap/>
            <w:vAlign w:val="bottom"/>
            <w:hideMark/>
          </w:tcPr>
          <w:p w14:paraId="3473E1E0"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87" w:type="pct"/>
            <w:tcBorders>
              <w:top w:val="nil"/>
              <w:left w:val="nil"/>
              <w:bottom w:val="single" w:sz="4" w:space="0" w:color="auto"/>
              <w:right w:val="nil"/>
            </w:tcBorders>
            <w:shd w:val="clear" w:color="auto" w:fill="auto"/>
            <w:noWrap/>
            <w:vAlign w:val="bottom"/>
            <w:hideMark/>
          </w:tcPr>
          <w:p w14:paraId="5CAD303B"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Mundo</w:t>
            </w:r>
          </w:p>
        </w:tc>
        <w:tc>
          <w:tcPr>
            <w:tcW w:w="419" w:type="pct"/>
            <w:tcBorders>
              <w:top w:val="nil"/>
              <w:left w:val="nil"/>
              <w:bottom w:val="single" w:sz="4" w:space="0" w:color="auto"/>
              <w:right w:val="nil"/>
            </w:tcBorders>
            <w:shd w:val="clear" w:color="auto" w:fill="auto"/>
            <w:noWrap/>
            <w:vAlign w:val="bottom"/>
            <w:hideMark/>
          </w:tcPr>
          <w:p w14:paraId="7B2029D0"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80,5</w:t>
            </w:r>
          </w:p>
        </w:tc>
        <w:tc>
          <w:tcPr>
            <w:tcW w:w="419" w:type="pct"/>
            <w:tcBorders>
              <w:top w:val="nil"/>
              <w:left w:val="nil"/>
              <w:bottom w:val="single" w:sz="4" w:space="0" w:color="auto"/>
              <w:right w:val="nil"/>
            </w:tcBorders>
            <w:shd w:val="clear" w:color="auto" w:fill="auto"/>
            <w:noWrap/>
            <w:vAlign w:val="bottom"/>
            <w:hideMark/>
          </w:tcPr>
          <w:p w14:paraId="1BF0FD5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112,6</w:t>
            </w:r>
          </w:p>
        </w:tc>
        <w:tc>
          <w:tcPr>
            <w:tcW w:w="419" w:type="pct"/>
            <w:tcBorders>
              <w:top w:val="nil"/>
              <w:left w:val="nil"/>
              <w:bottom w:val="single" w:sz="4" w:space="0" w:color="auto"/>
              <w:right w:val="nil"/>
            </w:tcBorders>
            <w:shd w:val="clear" w:color="auto" w:fill="auto"/>
            <w:noWrap/>
            <w:vAlign w:val="bottom"/>
            <w:hideMark/>
          </w:tcPr>
          <w:p w14:paraId="07348260"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170,9</w:t>
            </w:r>
          </w:p>
        </w:tc>
        <w:tc>
          <w:tcPr>
            <w:tcW w:w="419" w:type="pct"/>
            <w:tcBorders>
              <w:top w:val="nil"/>
              <w:left w:val="nil"/>
              <w:bottom w:val="single" w:sz="4" w:space="0" w:color="auto"/>
              <w:right w:val="nil"/>
            </w:tcBorders>
            <w:shd w:val="clear" w:color="auto" w:fill="auto"/>
            <w:noWrap/>
            <w:vAlign w:val="bottom"/>
            <w:hideMark/>
          </w:tcPr>
          <w:p w14:paraId="047A491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205,9</w:t>
            </w:r>
          </w:p>
        </w:tc>
        <w:tc>
          <w:tcPr>
            <w:tcW w:w="419" w:type="pct"/>
            <w:tcBorders>
              <w:top w:val="nil"/>
              <w:left w:val="nil"/>
              <w:bottom w:val="single" w:sz="4" w:space="0" w:color="auto"/>
              <w:right w:val="nil"/>
            </w:tcBorders>
            <w:shd w:val="clear" w:color="auto" w:fill="auto"/>
            <w:noWrap/>
            <w:vAlign w:val="bottom"/>
            <w:hideMark/>
          </w:tcPr>
          <w:p w14:paraId="62528AE9"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200,2</w:t>
            </w:r>
          </w:p>
        </w:tc>
        <w:tc>
          <w:tcPr>
            <w:tcW w:w="419" w:type="pct"/>
            <w:tcBorders>
              <w:top w:val="nil"/>
              <w:left w:val="nil"/>
              <w:bottom w:val="single" w:sz="4" w:space="0" w:color="auto"/>
              <w:right w:val="nil"/>
            </w:tcBorders>
            <w:shd w:val="clear" w:color="auto" w:fill="auto"/>
            <w:noWrap/>
            <w:vAlign w:val="bottom"/>
            <w:hideMark/>
          </w:tcPr>
          <w:p w14:paraId="13A7F62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280,8</w:t>
            </w:r>
          </w:p>
        </w:tc>
        <w:tc>
          <w:tcPr>
            <w:tcW w:w="419" w:type="pct"/>
            <w:tcBorders>
              <w:top w:val="nil"/>
              <w:left w:val="nil"/>
              <w:bottom w:val="single" w:sz="4" w:space="0" w:color="auto"/>
              <w:right w:val="nil"/>
            </w:tcBorders>
            <w:shd w:val="clear" w:color="auto" w:fill="auto"/>
            <w:noWrap/>
            <w:vAlign w:val="bottom"/>
            <w:hideMark/>
          </w:tcPr>
          <w:p w14:paraId="2D9AB9B1"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294,8</w:t>
            </w:r>
          </w:p>
        </w:tc>
        <w:tc>
          <w:tcPr>
            <w:tcW w:w="419" w:type="pct"/>
            <w:tcBorders>
              <w:top w:val="nil"/>
              <w:left w:val="nil"/>
              <w:bottom w:val="single" w:sz="4" w:space="0" w:color="auto"/>
              <w:right w:val="nil"/>
            </w:tcBorders>
            <w:shd w:val="clear" w:color="auto" w:fill="auto"/>
            <w:noWrap/>
            <w:vAlign w:val="bottom"/>
            <w:hideMark/>
          </w:tcPr>
          <w:p w14:paraId="23D28362"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288,4</w:t>
            </w:r>
          </w:p>
        </w:tc>
        <w:tc>
          <w:tcPr>
            <w:tcW w:w="419" w:type="pct"/>
            <w:tcBorders>
              <w:top w:val="nil"/>
              <w:left w:val="nil"/>
              <w:bottom w:val="single" w:sz="4" w:space="0" w:color="auto"/>
              <w:right w:val="nil"/>
            </w:tcBorders>
            <w:shd w:val="clear" w:color="auto" w:fill="auto"/>
            <w:noWrap/>
            <w:vAlign w:val="bottom"/>
            <w:hideMark/>
          </w:tcPr>
          <w:p w14:paraId="5E07166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277,2</w:t>
            </w:r>
          </w:p>
        </w:tc>
      </w:tr>
    </w:tbl>
    <w:p w14:paraId="1CD40540" w14:textId="77777777" w:rsidR="001579BE" w:rsidRDefault="001579BE" w:rsidP="001579BE">
      <w:r>
        <w:br w:type="page"/>
      </w:r>
    </w:p>
    <w:tbl>
      <w:tblPr>
        <w:tblW w:w="5000" w:type="pct"/>
        <w:tblCellMar>
          <w:left w:w="70" w:type="dxa"/>
          <w:right w:w="70" w:type="dxa"/>
        </w:tblCellMar>
        <w:tblLook w:val="04A0" w:firstRow="1" w:lastRow="0" w:firstColumn="1" w:lastColumn="0" w:noHBand="0" w:noVBand="1"/>
      </w:tblPr>
      <w:tblGrid>
        <w:gridCol w:w="292"/>
        <w:gridCol w:w="1690"/>
        <w:gridCol w:w="894"/>
        <w:gridCol w:w="597"/>
        <w:gridCol w:w="718"/>
        <w:gridCol w:w="718"/>
        <w:gridCol w:w="718"/>
        <w:gridCol w:w="718"/>
        <w:gridCol w:w="718"/>
        <w:gridCol w:w="718"/>
        <w:gridCol w:w="723"/>
      </w:tblGrid>
      <w:tr w:rsidR="001579BE" w:rsidRPr="00AB6853" w14:paraId="47F3A64B" w14:textId="77777777" w:rsidTr="00377237">
        <w:trPr>
          <w:trHeight w:val="310"/>
        </w:trPr>
        <w:tc>
          <w:tcPr>
            <w:tcW w:w="172" w:type="pct"/>
            <w:tcBorders>
              <w:top w:val="nil"/>
              <w:left w:val="nil"/>
              <w:bottom w:val="nil"/>
              <w:right w:val="nil"/>
            </w:tcBorders>
            <w:shd w:val="clear" w:color="auto" w:fill="auto"/>
            <w:noWrap/>
            <w:vAlign w:val="bottom"/>
            <w:hideMark/>
          </w:tcPr>
          <w:p w14:paraId="0CDA2AA4"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94" w:type="pct"/>
            <w:tcBorders>
              <w:top w:val="nil"/>
              <w:left w:val="nil"/>
              <w:bottom w:val="nil"/>
              <w:right w:val="nil"/>
            </w:tcBorders>
            <w:shd w:val="clear" w:color="auto" w:fill="auto"/>
            <w:noWrap/>
            <w:vAlign w:val="bottom"/>
            <w:hideMark/>
          </w:tcPr>
          <w:p w14:paraId="28A28682" w14:textId="77777777" w:rsidR="001579BE" w:rsidRPr="00AB6853" w:rsidRDefault="001579BE" w:rsidP="00377237">
            <w:pPr>
              <w:spacing w:after="0" w:line="240" w:lineRule="auto"/>
              <w:rPr>
                <w:rFonts w:ascii="Times New Roman" w:eastAsia="Times New Roman" w:hAnsi="Times New Roman" w:cs="Times New Roman"/>
                <w:b/>
                <w:bCs/>
                <w:color w:val="000000"/>
                <w:sz w:val="20"/>
                <w:szCs w:val="20"/>
                <w:lang w:eastAsia="es-ES"/>
              </w:rPr>
            </w:pPr>
            <w:r w:rsidRPr="00AB6853">
              <w:rPr>
                <w:rFonts w:ascii="Times New Roman" w:eastAsia="Times New Roman" w:hAnsi="Times New Roman" w:cs="Times New Roman"/>
                <w:b/>
                <w:bCs/>
                <w:color w:val="000000"/>
                <w:sz w:val="20"/>
                <w:szCs w:val="20"/>
                <w:lang w:eastAsia="es-ES"/>
              </w:rPr>
              <w:t>Exportaciones</w:t>
            </w:r>
          </w:p>
        </w:tc>
        <w:tc>
          <w:tcPr>
            <w:tcW w:w="526" w:type="pct"/>
            <w:tcBorders>
              <w:top w:val="nil"/>
              <w:left w:val="nil"/>
              <w:bottom w:val="nil"/>
              <w:right w:val="nil"/>
            </w:tcBorders>
            <w:shd w:val="clear" w:color="auto" w:fill="auto"/>
            <w:noWrap/>
            <w:vAlign w:val="bottom"/>
            <w:hideMark/>
          </w:tcPr>
          <w:p w14:paraId="7E0EF427" w14:textId="77777777" w:rsidR="001579BE" w:rsidRPr="00AB6853" w:rsidRDefault="001579BE" w:rsidP="00377237">
            <w:pPr>
              <w:spacing w:after="0" w:line="240" w:lineRule="auto"/>
              <w:rPr>
                <w:rFonts w:ascii="Times New Roman" w:eastAsia="Times New Roman" w:hAnsi="Times New Roman" w:cs="Times New Roman"/>
                <w:b/>
                <w:bCs/>
                <w:color w:val="000000"/>
                <w:sz w:val="20"/>
                <w:szCs w:val="20"/>
                <w:lang w:eastAsia="es-ES"/>
              </w:rPr>
            </w:pPr>
          </w:p>
        </w:tc>
        <w:tc>
          <w:tcPr>
            <w:tcW w:w="351" w:type="pct"/>
            <w:tcBorders>
              <w:top w:val="nil"/>
              <w:left w:val="nil"/>
              <w:bottom w:val="nil"/>
              <w:right w:val="nil"/>
            </w:tcBorders>
            <w:shd w:val="clear" w:color="auto" w:fill="auto"/>
            <w:noWrap/>
            <w:vAlign w:val="bottom"/>
            <w:hideMark/>
          </w:tcPr>
          <w:p w14:paraId="1EB96E96"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22" w:type="pct"/>
            <w:tcBorders>
              <w:top w:val="nil"/>
              <w:left w:val="nil"/>
              <w:bottom w:val="nil"/>
              <w:right w:val="nil"/>
            </w:tcBorders>
            <w:shd w:val="clear" w:color="auto" w:fill="auto"/>
            <w:noWrap/>
            <w:vAlign w:val="bottom"/>
            <w:hideMark/>
          </w:tcPr>
          <w:p w14:paraId="4AD4320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422" w:type="pct"/>
            <w:tcBorders>
              <w:top w:val="nil"/>
              <w:left w:val="nil"/>
              <w:bottom w:val="nil"/>
              <w:right w:val="nil"/>
            </w:tcBorders>
            <w:shd w:val="clear" w:color="auto" w:fill="auto"/>
            <w:noWrap/>
            <w:vAlign w:val="bottom"/>
            <w:hideMark/>
          </w:tcPr>
          <w:p w14:paraId="49911A7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422" w:type="pct"/>
            <w:tcBorders>
              <w:top w:val="nil"/>
              <w:left w:val="nil"/>
              <w:bottom w:val="nil"/>
              <w:right w:val="nil"/>
            </w:tcBorders>
            <w:shd w:val="clear" w:color="auto" w:fill="auto"/>
            <w:noWrap/>
            <w:vAlign w:val="bottom"/>
            <w:hideMark/>
          </w:tcPr>
          <w:p w14:paraId="5EB0A609"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22" w:type="pct"/>
            <w:tcBorders>
              <w:top w:val="nil"/>
              <w:left w:val="nil"/>
              <w:bottom w:val="nil"/>
              <w:right w:val="nil"/>
            </w:tcBorders>
            <w:shd w:val="clear" w:color="auto" w:fill="auto"/>
            <w:noWrap/>
            <w:vAlign w:val="bottom"/>
            <w:hideMark/>
          </w:tcPr>
          <w:p w14:paraId="39DE9591"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22" w:type="pct"/>
            <w:tcBorders>
              <w:top w:val="nil"/>
              <w:left w:val="nil"/>
              <w:bottom w:val="nil"/>
              <w:right w:val="nil"/>
            </w:tcBorders>
            <w:shd w:val="clear" w:color="auto" w:fill="auto"/>
            <w:noWrap/>
            <w:vAlign w:val="bottom"/>
            <w:hideMark/>
          </w:tcPr>
          <w:p w14:paraId="2B1C9D8A"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22" w:type="pct"/>
            <w:tcBorders>
              <w:top w:val="nil"/>
              <w:left w:val="nil"/>
              <w:bottom w:val="nil"/>
              <w:right w:val="nil"/>
            </w:tcBorders>
            <w:shd w:val="clear" w:color="auto" w:fill="auto"/>
            <w:noWrap/>
            <w:vAlign w:val="bottom"/>
            <w:hideMark/>
          </w:tcPr>
          <w:p w14:paraId="03D48403"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c>
          <w:tcPr>
            <w:tcW w:w="425" w:type="pct"/>
            <w:tcBorders>
              <w:top w:val="nil"/>
              <w:left w:val="nil"/>
              <w:bottom w:val="nil"/>
              <w:right w:val="nil"/>
            </w:tcBorders>
            <w:shd w:val="clear" w:color="auto" w:fill="auto"/>
            <w:noWrap/>
            <w:vAlign w:val="bottom"/>
            <w:hideMark/>
          </w:tcPr>
          <w:p w14:paraId="0AD92881" w14:textId="77777777" w:rsidR="001579BE" w:rsidRPr="00AB6853" w:rsidRDefault="001579BE" w:rsidP="00377237">
            <w:pPr>
              <w:spacing w:after="0" w:line="240" w:lineRule="auto"/>
              <w:jc w:val="right"/>
              <w:rPr>
                <w:rFonts w:ascii="Times New Roman" w:eastAsia="Times New Roman" w:hAnsi="Times New Roman" w:cs="Times New Roman"/>
                <w:sz w:val="20"/>
                <w:szCs w:val="20"/>
                <w:lang w:eastAsia="es-ES"/>
              </w:rPr>
            </w:pPr>
          </w:p>
        </w:tc>
      </w:tr>
      <w:tr w:rsidR="001579BE" w:rsidRPr="00AB6853" w14:paraId="7495F6CC" w14:textId="77777777" w:rsidTr="00377237">
        <w:trPr>
          <w:trHeight w:val="310"/>
        </w:trPr>
        <w:tc>
          <w:tcPr>
            <w:tcW w:w="172" w:type="pct"/>
            <w:tcBorders>
              <w:top w:val="nil"/>
              <w:left w:val="nil"/>
              <w:bottom w:val="nil"/>
              <w:right w:val="nil"/>
            </w:tcBorders>
            <w:shd w:val="clear" w:color="auto" w:fill="auto"/>
            <w:noWrap/>
            <w:vAlign w:val="bottom"/>
            <w:hideMark/>
          </w:tcPr>
          <w:p w14:paraId="693F656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w:t>
            </w:r>
          </w:p>
        </w:tc>
        <w:tc>
          <w:tcPr>
            <w:tcW w:w="994" w:type="pct"/>
            <w:tcBorders>
              <w:top w:val="nil"/>
              <w:left w:val="nil"/>
              <w:bottom w:val="nil"/>
              <w:right w:val="nil"/>
            </w:tcBorders>
            <w:shd w:val="clear" w:color="auto" w:fill="auto"/>
            <w:noWrap/>
            <w:vAlign w:val="bottom"/>
            <w:hideMark/>
          </w:tcPr>
          <w:p w14:paraId="40214E26"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Unión Europea</w:t>
            </w:r>
          </w:p>
        </w:tc>
        <w:tc>
          <w:tcPr>
            <w:tcW w:w="526" w:type="pct"/>
            <w:tcBorders>
              <w:top w:val="nil"/>
              <w:left w:val="nil"/>
              <w:bottom w:val="nil"/>
              <w:right w:val="nil"/>
            </w:tcBorders>
            <w:shd w:val="clear" w:color="auto" w:fill="auto"/>
            <w:noWrap/>
            <w:vAlign w:val="bottom"/>
            <w:hideMark/>
          </w:tcPr>
          <w:p w14:paraId="58BFD0B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6,2</w:t>
            </w:r>
          </w:p>
        </w:tc>
        <w:tc>
          <w:tcPr>
            <w:tcW w:w="351" w:type="pct"/>
            <w:tcBorders>
              <w:top w:val="nil"/>
              <w:left w:val="nil"/>
              <w:bottom w:val="nil"/>
              <w:right w:val="nil"/>
            </w:tcBorders>
            <w:shd w:val="clear" w:color="auto" w:fill="auto"/>
            <w:noWrap/>
            <w:vAlign w:val="bottom"/>
            <w:hideMark/>
          </w:tcPr>
          <w:p w14:paraId="51B6A5D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15,7</w:t>
            </w:r>
          </w:p>
        </w:tc>
        <w:tc>
          <w:tcPr>
            <w:tcW w:w="422" w:type="pct"/>
            <w:tcBorders>
              <w:top w:val="nil"/>
              <w:left w:val="nil"/>
              <w:bottom w:val="nil"/>
              <w:right w:val="nil"/>
            </w:tcBorders>
            <w:shd w:val="clear" w:color="auto" w:fill="auto"/>
            <w:noWrap/>
            <w:vAlign w:val="bottom"/>
            <w:hideMark/>
          </w:tcPr>
          <w:p w14:paraId="67050D2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22,2</w:t>
            </w:r>
          </w:p>
        </w:tc>
        <w:tc>
          <w:tcPr>
            <w:tcW w:w="422" w:type="pct"/>
            <w:tcBorders>
              <w:top w:val="nil"/>
              <w:left w:val="nil"/>
              <w:bottom w:val="nil"/>
              <w:right w:val="nil"/>
            </w:tcBorders>
            <w:shd w:val="clear" w:color="auto" w:fill="auto"/>
            <w:noWrap/>
            <w:vAlign w:val="bottom"/>
            <w:hideMark/>
          </w:tcPr>
          <w:p w14:paraId="47D5BDF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15,7</w:t>
            </w:r>
          </w:p>
        </w:tc>
        <w:tc>
          <w:tcPr>
            <w:tcW w:w="422" w:type="pct"/>
            <w:tcBorders>
              <w:top w:val="nil"/>
              <w:left w:val="nil"/>
              <w:bottom w:val="nil"/>
              <w:right w:val="nil"/>
            </w:tcBorders>
            <w:shd w:val="clear" w:color="auto" w:fill="auto"/>
            <w:noWrap/>
            <w:vAlign w:val="bottom"/>
            <w:hideMark/>
          </w:tcPr>
          <w:p w14:paraId="6DE6C80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23,1</w:t>
            </w:r>
          </w:p>
        </w:tc>
        <w:tc>
          <w:tcPr>
            <w:tcW w:w="422" w:type="pct"/>
            <w:tcBorders>
              <w:top w:val="nil"/>
              <w:left w:val="nil"/>
              <w:bottom w:val="nil"/>
              <w:right w:val="nil"/>
            </w:tcBorders>
            <w:shd w:val="clear" w:color="auto" w:fill="auto"/>
            <w:noWrap/>
            <w:vAlign w:val="bottom"/>
            <w:hideMark/>
          </w:tcPr>
          <w:p w14:paraId="4993F5E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24,7</w:t>
            </w:r>
          </w:p>
        </w:tc>
        <w:tc>
          <w:tcPr>
            <w:tcW w:w="422" w:type="pct"/>
            <w:tcBorders>
              <w:top w:val="nil"/>
              <w:left w:val="nil"/>
              <w:bottom w:val="nil"/>
              <w:right w:val="nil"/>
            </w:tcBorders>
            <w:shd w:val="clear" w:color="auto" w:fill="auto"/>
            <w:noWrap/>
            <w:vAlign w:val="bottom"/>
            <w:hideMark/>
          </w:tcPr>
          <w:p w14:paraId="4C4D7E7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39,8</w:t>
            </w:r>
          </w:p>
        </w:tc>
        <w:tc>
          <w:tcPr>
            <w:tcW w:w="422" w:type="pct"/>
            <w:tcBorders>
              <w:top w:val="nil"/>
              <w:left w:val="nil"/>
              <w:bottom w:val="nil"/>
              <w:right w:val="nil"/>
            </w:tcBorders>
            <w:shd w:val="clear" w:color="auto" w:fill="auto"/>
            <w:noWrap/>
            <w:vAlign w:val="bottom"/>
            <w:hideMark/>
          </w:tcPr>
          <w:p w14:paraId="53F8F25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29,7</w:t>
            </w:r>
          </w:p>
        </w:tc>
        <w:tc>
          <w:tcPr>
            <w:tcW w:w="425" w:type="pct"/>
            <w:tcBorders>
              <w:top w:val="nil"/>
              <w:left w:val="nil"/>
              <w:bottom w:val="nil"/>
              <w:right w:val="nil"/>
            </w:tcBorders>
            <w:shd w:val="clear" w:color="auto" w:fill="auto"/>
            <w:noWrap/>
            <w:vAlign w:val="bottom"/>
            <w:hideMark/>
          </w:tcPr>
          <w:p w14:paraId="107506E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35,5</w:t>
            </w:r>
          </w:p>
        </w:tc>
      </w:tr>
      <w:tr w:rsidR="001579BE" w:rsidRPr="00AB6853" w14:paraId="6801E83E" w14:textId="77777777" w:rsidTr="00377237">
        <w:trPr>
          <w:trHeight w:val="310"/>
        </w:trPr>
        <w:tc>
          <w:tcPr>
            <w:tcW w:w="172" w:type="pct"/>
            <w:tcBorders>
              <w:top w:val="nil"/>
              <w:left w:val="nil"/>
              <w:bottom w:val="nil"/>
              <w:right w:val="nil"/>
            </w:tcBorders>
            <w:shd w:val="clear" w:color="auto" w:fill="auto"/>
            <w:noWrap/>
            <w:vAlign w:val="bottom"/>
            <w:hideMark/>
          </w:tcPr>
          <w:p w14:paraId="3829E32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w:t>
            </w:r>
          </w:p>
        </w:tc>
        <w:tc>
          <w:tcPr>
            <w:tcW w:w="994" w:type="pct"/>
            <w:tcBorders>
              <w:top w:val="nil"/>
              <w:left w:val="nil"/>
              <w:bottom w:val="nil"/>
              <w:right w:val="nil"/>
            </w:tcBorders>
            <w:shd w:val="clear" w:color="auto" w:fill="auto"/>
            <w:noWrap/>
            <w:vAlign w:val="bottom"/>
            <w:hideMark/>
          </w:tcPr>
          <w:p w14:paraId="39FB1592"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Rusia</w:t>
            </w:r>
          </w:p>
        </w:tc>
        <w:tc>
          <w:tcPr>
            <w:tcW w:w="526" w:type="pct"/>
            <w:tcBorders>
              <w:top w:val="nil"/>
              <w:left w:val="nil"/>
              <w:bottom w:val="nil"/>
              <w:right w:val="nil"/>
            </w:tcBorders>
            <w:shd w:val="clear" w:color="auto" w:fill="auto"/>
            <w:noWrap/>
            <w:vAlign w:val="bottom"/>
            <w:hideMark/>
          </w:tcPr>
          <w:p w14:paraId="70775EC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351" w:type="pct"/>
            <w:tcBorders>
              <w:top w:val="nil"/>
              <w:left w:val="nil"/>
              <w:bottom w:val="nil"/>
              <w:right w:val="nil"/>
            </w:tcBorders>
            <w:shd w:val="clear" w:color="auto" w:fill="auto"/>
            <w:noWrap/>
            <w:vAlign w:val="bottom"/>
            <w:hideMark/>
          </w:tcPr>
          <w:p w14:paraId="2E7CB35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22" w:type="pct"/>
            <w:tcBorders>
              <w:top w:val="nil"/>
              <w:left w:val="nil"/>
              <w:bottom w:val="nil"/>
              <w:right w:val="nil"/>
            </w:tcBorders>
            <w:shd w:val="clear" w:color="auto" w:fill="auto"/>
            <w:noWrap/>
            <w:vAlign w:val="bottom"/>
            <w:hideMark/>
          </w:tcPr>
          <w:p w14:paraId="00F9EF5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w:t>
            </w:r>
          </w:p>
        </w:tc>
        <w:tc>
          <w:tcPr>
            <w:tcW w:w="422" w:type="pct"/>
            <w:tcBorders>
              <w:top w:val="nil"/>
              <w:left w:val="nil"/>
              <w:bottom w:val="nil"/>
              <w:right w:val="nil"/>
            </w:tcBorders>
            <w:shd w:val="clear" w:color="auto" w:fill="auto"/>
            <w:noWrap/>
            <w:vAlign w:val="bottom"/>
            <w:hideMark/>
          </w:tcPr>
          <w:p w14:paraId="0F5FE6C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0,7</w:t>
            </w:r>
          </w:p>
        </w:tc>
        <w:tc>
          <w:tcPr>
            <w:tcW w:w="422" w:type="pct"/>
            <w:tcBorders>
              <w:top w:val="nil"/>
              <w:left w:val="nil"/>
              <w:bottom w:val="nil"/>
              <w:right w:val="nil"/>
            </w:tcBorders>
            <w:shd w:val="clear" w:color="auto" w:fill="auto"/>
            <w:noWrap/>
            <w:vAlign w:val="bottom"/>
            <w:hideMark/>
          </w:tcPr>
          <w:p w14:paraId="6D2511A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4,0</w:t>
            </w:r>
          </w:p>
        </w:tc>
        <w:tc>
          <w:tcPr>
            <w:tcW w:w="422" w:type="pct"/>
            <w:tcBorders>
              <w:top w:val="nil"/>
              <w:left w:val="nil"/>
              <w:bottom w:val="nil"/>
              <w:right w:val="nil"/>
            </w:tcBorders>
            <w:shd w:val="clear" w:color="auto" w:fill="auto"/>
            <w:noWrap/>
            <w:vAlign w:val="bottom"/>
            <w:hideMark/>
          </w:tcPr>
          <w:p w14:paraId="4223CD5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35,9</w:t>
            </w:r>
          </w:p>
        </w:tc>
        <w:tc>
          <w:tcPr>
            <w:tcW w:w="422" w:type="pct"/>
            <w:tcBorders>
              <w:top w:val="nil"/>
              <w:left w:val="nil"/>
              <w:bottom w:val="nil"/>
              <w:right w:val="nil"/>
            </w:tcBorders>
            <w:shd w:val="clear" w:color="auto" w:fill="auto"/>
            <w:noWrap/>
            <w:vAlign w:val="bottom"/>
            <w:hideMark/>
          </w:tcPr>
          <w:p w14:paraId="728A2AC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34,5</w:t>
            </w:r>
          </w:p>
        </w:tc>
        <w:tc>
          <w:tcPr>
            <w:tcW w:w="422" w:type="pct"/>
            <w:tcBorders>
              <w:top w:val="nil"/>
              <w:left w:val="nil"/>
              <w:bottom w:val="nil"/>
              <w:right w:val="nil"/>
            </w:tcBorders>
            <w:shd w:val="clear" w:color="auto" w:fill="auto"/>
            <w:noWrap/>
            <w:vAlign w:val="bottom"/>
            <w:hideMark/>
          </w:tcPr>
          <w:p w14:paraId="3998AEE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38,5</w:t>
            </w:r>
          </w:p>
        </w:tc>
        <w:tc>
          <w:tcPr>
            <w:tcW w:w="425" w:type="pct"/>
            <w:tcBorders>
              <w:top w:val="nil"/>
              <w:left w:val="nil"/>
              <w:bottom w:val="nil"/>
              <w:right w:val="nil"/>
            </w:tcBorders>
            <w:shd w:val="clear" w:color="auto" w:fill="auto"/>
            <w:noWrap/>
            <w:vAlign w:val="bottom"/>
            <w:hideMark/>
          </w:tcPr>
          <w:p w14:paraId="317B734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35,0</w:t>
            </w:r>
          </w:p>
        </w:tc>
      </w:tr>
      <w:tr w:rsidR="001579BE" w:rsidRPr="00AB6853" w14:paraId="0A0FE392" w14:textId="77777777" w:rsidTr="00377237">
        <w:trPr>
          <w:trHeight w:val="310"/>
        </w:trPr>
        <w:tc>
          <w:tcPr>
            <w:tcW w:w="172" w:type="pct"/>
            <w:tcBorders>
              <w:top w:val="nil"/>
              <w:left w:val="nil"/>
              <w:bottom w:val="nil"/>
              <w:right w:val="nil"/>
            </w:tcBorders>
            <w:shd w:val="clear" w:color="auto" w:fill="auto"/>
            <w:noWrap/>
            <w:vAlign w:val="bottom"/>
            <w:hideMark/>
          </w:tcPr>
          <w:p w14:paraId="2C378BF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w:t>
            </w:r>
          </w:p>
        </w:tc>
        <w:tc>
          <w:tcPr>
            <w:tcW w:w="994" w:type="pct"/>
            <w:tcBorders>
              <w:top w:val="nil"/>
              <w:left w:val="nil"/>
              <w:bottom w:val="nil"/>
              <w:right w:val="nil"/>
            </w:tcBorders>
            <w:shd w:val="clear" w:color="auto" w:fill="auto"/>
            <w:noWrap/>
            <w:vAlign w:val="bottom"/>
            <w:hideMark/>
          </w:tcPr>
          <w:p w14:paraId="6A0206E1"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Estados Unidos</w:t>
            </w:r>
          </w:p>
        </w:tc>
        <w:tc>
          <w:tcPr>
            <w:tcW w:w="526" w:type="pct"/>
            <w:tcBorders>
              <w:top w:val="nil"/>
              <w:left w:val="nil"/>
              <w:bottom w:val="nil"/>
              <w:right w:val="nil"/>
            </w:tcBorders>
            <w:shd w:val="clear" w:color="auto" w:fill="auto"/>
            <w:noWrap/>
            <w:vAlign w:val="bottom"/>
            <w:hideMark/>
          </w:tcPr>
          <w:p w14:paraId="6ACED8C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20,2</w:t>
            </w:r>
          </w:p>
        </w:tc>
        <w:tc>
          <w:tcPr>
            <w:tcW w:w="351" w:type="pct"/>
            <w:tcBorders>
              <w:top w:val="nil"/>
              <w:left w:val="nil"/>
              <w:bottom w:val="nil"/>
              <w:right w:val="nil"/>
            </w:tcBorders>
            <w:shd w:val="clear" w:color="auto" w:fill="auto"/>
            <w:noWrap/>
            <w:vAlign w:val="bottom"/>
            <w:hideMark/>
          </w:tcPr>
          <w:p w14:paraId="1C5E36F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41,2</w:t>
            </w:r>
          </w:p>
        </w:tc>
        <w:tc>
          <w:tcPr>
            <w:tcW w:w="422" w:type="pct"/>
            <w:tcBorders>
              <w:top w:val="nil"/>
              <w:left w:val="nil"/>
              <w:bottom w:val="nil"/>
              <w:right w:val="nil"/>
            </w:tcBorders>
            <w:shd w:val="clear" w:color="auto" w:fill="auto"/>
            <w:noWrap/>
            <w:vAlign w:val="bottom"/>
            <w:hideMark/>
          </w:tcPr>
          <w:p w14:paraId="6570377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29,1</w:t>
            </w:r>
          </w:p>
        </w:tc>
        <w:tc>
          <w:tcPr>
            <w:tcW w:w="422" w:type="pct"/>
            <w:tcBorders>
              <w:top w:val="nil"/>
              <w:left w:val="nil"/>
              <w:bottom w:val="nil"/>
              <w:right w:val="nil"/>
            </w:tcBorders>
            <w:shd w:val="clear" w:color="auto" w:fill="auto"/>
            <w:noWrap/>
            <w:vAlign w:val="bottom"/>
            <w:hideMark/>
          </w:tcPr>
          <w:p w14:paraId="1D0D9D5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28,9</w:t>
            </w:r>
          </w:p>
        </w:tc>
        <w:tc>
          <w:tcPr>
            <w:tcW w:w="422" w:type="pct"/>
            <w:tcBorders>
              <w:top w:val="nil"/>
              <w:left w:val="nil"/>
              <w:bottom w:val="nil"/>
              <w:right w:val="nil"/>
            </w:tcBorders>
            <w:shd w:val="clear" w:color="auto" w:fill="auto"/>
            <w:noWrap/>
            <w:vAlign w:val="bottom"/>
            <w:hideMark/>
          </w:tcPr>
          <w:p w14:paraId="2E5AC24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35,1</w:t>
            </w:r>
          </w:p>
        </w:tc>
        <w:tc>
          <w:tcPr>
            <w:tcW w:w="422" w:type="pct"/>
            <w:tcBorders>
              <w:top w:val="nil"/>
              <w:left w:val="nil"/>
              <w:bottom w:val="nil"/>
              <w:right w:val="nil"/>
            </w:tcBorders>
            <w:shd w:val="clear" w:color="auto" w:fill="auto"/>
            <w:noWrap/>
            <w:vAlign w:val="bottom"/>
            <w:hideMark/>
          </w:tcPr>
          <w:p w14:paraId="6ADC71F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25,5</w:t>
            </w:r>
          </w:p>
        </w:tc>
        <w:tc>
          <w:tcPr>
            <w:tcW w:w="422" w:type="pct"/>
            <w:tcBorders>
              <w:top w:val="nil"/>
              <w:left w:val="nil"/>
              <w:bottom w:val="nil"/>
              <w:right w:val="nil"/>
            </w:tcBorders>
            <w:shd w:val="clear" w:color="auto" w:fill="auto"/>
            <w:noWrap/>
            <w:vAlign w:val="bottom"/>
            <w:hideMark/>
          </w:tcPr>
          <w:p w14:paraId="260DE05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26,4</w:t>
            </w:r>
          </w:p>
        </w:tc>
        <w:tc>
          <w:tcPr>
            <w:tcW w:w="422" w:type="pct"/>
            <w:tcBorders>
              <w:top w:val="nil"/>
              <w:left w:val="nil"/>
              <w:bottom w:val="nil"/>
              <w:right w:val="nil"/>
            </w:tcBorders>
            <w:shd w:val="clear" w:color="auto" w:fill="auto"/>
            <w:noWrap/>
            <w:vAlign w:val="bottom"/>
            <w:hideMark/>
          </w:tcPr>
          <w:p w14:paraId="7D640C9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27,0</w:t>
            </w:r>
          </w:p>
        </w:tc>
        <w:tc>
          <w:tcPr>
            <w:tcW w:w="425" w:type="pct"/>
            <w:tcBorders>
              <w:top w:val="nil"/>
              <w:left w:val="nil"/>
              <w:bottom w:val="nil"/>
              <w:right w:val="nil"/>
            </w:tcBorders>
            <w:shd w:val="clear" w:color="auto" w:fill="auto"/>
            <w:noWrap/>
            <w:vAlign w:val="bottom"/>
            <w:hideMark/>
          </w:tcPr>
          <w:p w14:paraId="02441CC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23,8</w:t>
            </w:r>
          </w:p>
        </w:tc>
      </w:tr>
      <w:tr w:rsidR="001579BE" w:rsidRPr="00AB6853" w14:paraId="38671FEF" w14:textId="77777777" w:rsidTr="00377237">
        <w:trPr>
          <w:trHeight w:val="310"/>
        </w:trPr>
        <w:tc>
          <w:tcPr>
            <w:tcW w:w="172" w:type="pct"/>
            <w:tcBorders>
              <w:top w:val="nil"/>
              <w:left w:val="nil"/>
              <w:bottom w:val="nil"/>
              <w:right w:val="nil"/>
            </w:tcBorders>
            <w:shd w:val="clear" w:color="auto" w:fill="auto"/>
            <w:noWrap/>
            <w:vAlign w:val="bottom"/>
            <w:hideMark/>
          </w:tcPr>
          <w:p w14:paraId="1E9A082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w:t>
            </w:r>
          </w:p>
        </w:tc>
        <w:tc>
          <w:tcPr>
            <w:tcW w:w="994" w:type="pct"/>
            <w:tcBorders>
              <w:top w:val="nil"/>
              <w:left w:val="nil"/>
              <w:bottom w:val="nil"/>
              <w:right w:val="nil"/>
            </w:tcBorders>
            <w:shd w:val="clear" w:color="auto" w:fill="auto"/>
            <w:noWrap/>
            <w:vAlign w:val="bottom"/>
            <w:hideMark/>
          </w:tcPr>
          <w:p w14:paraId="16375571"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Australia</w:t>
            </w:r>
          </w:p>
        </w:tc>
        <w:tc>
          <w:tcPr>
            <w:tcW w:w="526" w:type="pct"/>
            <w:tcBorders>
              <w:top w:val="nil"/>
              <w:left w:val="nil"/>
              <w:bottom w:val="nil"/>
              <w:right w:val="nil"/>
            </w:tcBorders>
            <w:shd w:val="clear" w:color="auto" w:fill="auto"/>
            <w:noWrap/>
            <w:vAlign w:val="bottom"/>
            <w:hideMark/>
          </w:tcPr>
          <w:p w14:paraId="63D58AC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9,1</w:t>
            </w:r>
          </w:p>
        </w:tc>
        <w:tc>
          <w:tcPr>
            <w:tcW w:w="351" w:type="pct"/>
            <w:tcBorders>
              <w:top w:val="nil"/>
              <w:left w:val="nil"/>
              <w:bottom w:val="nil"/>
              <w:right w:val="nil"/>
            </w:tcBorders>
            <w:shd w:val="clear" w:color="auto" w:fill="auto"/>
            <w:noWrap/>
            <w:vAlign w:val="bottom"/>
            <w:hideMark/>
          </w:tcPr>
          <w:p w14:paraId="1239073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9,6</w:t>
            </w:r>
          </w:p>
        </w:tc>
        <w:tc>
          <w:tcPr>
            <w:tcW w:w="422" w:type="pct"/>
            <w:tcBorders>
              <w:top w:val="nil"/>
              <w:left w:val="nil"/>
              <w:bottom w:val="nil"/>
              <w:right w:val="nil"/>
            </w:tcBorders>
            <w:shd w:val="clear" w:color="auto" w:fill="auto"/>
            <w:noWrap/>
            <w:vAlign w:val="bottom"/>
            <w:hideMark/>
          </w:tcPr>
          <w:p w14:paraId="30D7675C"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11,8</w:t>
            </w:r>
          </w:p>
        </w:tc>
        <w:tc>
          <w:tcPr>
            <w:tcW w:w="422" w:type="pct"/>
            <w:tcBorders>
              <w:top w:val="nil"/>
              <w:left w:val="nil"/>
              <w:bottom w:val="nil"/>
              <w:right w:val="nil"/>
            </w:tcBorders>
            <w:shd w:val="clear" w:color="auto" w:fill="auto"/>
            <w:noWrap/>
            <w:vAlign w:val="bottom"/>
            <w:hideMark/>
          </w:tcPr>
          <w:p w14:paraId="52A4F0B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15,9</w:t>
            </w:r>
          </w:p>
        </w:tc>
        <w:tc>
          <w:tcPr>
            <w:tcW w:w="422" w:type="pct"/>
            <w:tcBorders>
              <w:top w:val="nil"/>
              <w:left w:val="nil"/>
              <w:bottom w:val="nil"/>
              <w:right w:val="nil"/>
            </w:tcBorders>
            <w:shd w:val="clear" w:color="auto" w:fill="auto"/>
            <w:noWrap/>
            <w:vAlign w:val="bottom"/>
            <w:hideMark/>
          </w:tcPr>
          <w:p w14:paraId="1CB464F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18,6</w:t>
            </w:r>
          </w:p>
        </w:tc>
        <w:tc>
          <w:tcPr>
            <w:tcW w:w="422" w:type="pct"/>
            <w:tcBorders>
              <w:top w:val="nil"/>
              <w:left w:val="nil"/>
              <w:bottom w:val="nil"/>
              <w:right w:val="nil"/>
            </w:tcBorders>
            <w:shd w:val="clear" w:color="auto" w:fill="auto"/>
            <w:noWrap/>
            <w:vAlign w:val="bottom"/>
            <w:hideMark/>
          </w:tcPr>
          <w:p w14:paraId="4F923D8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9,0</w:t>
            </w:r>
          </w:p>
        </w:tc>
        <w:tc>
          <w:tcPr>
            <w:tcW w:w="422" w:type="pct"/>
            <w:tcBorders>
              <w:top w:val="nil"/>
              <w:left w:val="nil"/>
              <w:bottom w:val="nil"/>
              <w:right w:val="nil"/>
            </w:tcBorders>
            <w:shd w:val="clear" w:color="auto" w:fill="auto"/>
            <w:noWrap/>
            <w:vAlign w:val="bottom"/>
            <w:hideMark/>
          </w:tcPr>
          <w:p w14:paraId="38506B0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9,1</w:t>
            </w:r>
          </w:p>
        </w:tc>
        <w:tc>
          <w:tcPr>
            <w:tcW w:w="422" w:type="pct"/>
            <w:tcBorders>
              <w:top w:val="nil"/>
              <w:left w:val="nil"/>
              <w:bottom w:val="nil"/>
              <w:right w:val="nil"/>
            </w:tcBorders>
            <w:shd w:val="clear" w:color="auto" w:fill="auto"/>
            <w:noWrap/>
            <w:vAlign w:val="bottom"/>
            <w:hideMark/>
          </w:tcPr>
          <w:p w14:paraId="00267104"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24,0</w:t>
            </w:r>
          </w:p>
        </w:tc>
        <w:tc>
          <w:tcPr>
            <w:tcW w:w="425" w:type="pct"/>
            <w:tcBorders>
              <w:top w:val="nil"/>
              <w:left w:val="nil"/>
              <w:bottom w:val="nil"/>
              <w:right w:val="nil"/>
            </w:tcBorders>
            <w:shd w:val="clear" w:color="auto" w:fill="auto"/>
            <w:noWrap/>
            <w:vAlign w:val="bottom"/>
            <w:hideMark/>
          </w:tcPr>
          <w:p w14:paraId="5DCA63E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23,5</w:t>
            </w:r>
          </w:p>
        </w:tc>
      </w:tr>
      <w:tr w:rsidR="001579BE" w:rsidRPr="00AB6853" w14:paraId="46C4CEC1" w14:textId="77777777" w:rsidTr="00377237">
        <w:trPr>
          <w:trHeight w:val="310"/>
        </w:trPr>
        <w:tc>
          <w:tcPr>
            <w:tcW w:w="172" w:type="pct"/>
            <w:tcBorders>
              <w:top w:val="nil"/>
              <w:left w:val="nil"/>
              <w:bottom w:val="nil"/>
              <w:right w:val="nil"/>
            </w:tcBorders>
            <w:shd w:val="clear" w:color="auto" w:fill="auto"/>
            <w:noWrap/>
            <w:vAlign w:val="bottom"/>
            <w:hideMark/>
          </w:tcPr>
          <w:p w14:paraId="6740F09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w:t>
            </w:r>
          </w:p>
        </w:tc>
        <w:tc>
          <w:tcPr>
            <w:tcW w:w="994" w:type="pct"/>
            <w:tcBorders>
              <w:top w:val="nil"/>
              <w:left w:val="nil"/>
              <w:bottom w:val="nil"/>
              <w:right w:val="nil"/>
            </w:tcBorders>
            <w:shd w:val="clear" w:color="auto" w:fill="auto"/>
            <w:noWrap/>
            <w:vAlign w:val="bottom"/>
            <w:hideMark/>
          </w:tcPr>
          <w:p w14:paraId="415A7F63"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Ucrania</w:t>
            </w:r>
          </w:p>
        </w:tc>
        <w:tc>
          <w:tcPr>
            <w:tcW w:w="526" w:type="pct"/>
            <w:tcBorders>
              <w:top w:val="nil"/>
              <w:left w:val="nil"/>
              <w:bottom w:val="nil"/>
              <w:right w:val="nil"/>
            </w:tcBorders>
            <w:shd w:val="clear" w:color="auto" w:fill="auto"/>
            <w:noWrap/>
            <w:vAlign w:val="bottom"/>
            <w:hideMark/>
          </w:tcPr>
          <w:p w14:paraId="47D5CB1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351" w:type="pct"/>
            <w:tcBorders>
              <w:top w:val="nil"/>
              <w:left w:val="nil"/>
              <w:bottom w:val="nil"/>
              <w:right w:val="nil"/>
            </w:tcBorders>
            <w:shd w:val="clear" w:color="auto" w:fill="auto"/>
            <w:noWrap/>
            <w:vAlign w:val="bottom"/>
            <w:hideMark/>
          </w:tcPr>
          <w:p w14:paraId="6FDCE7D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n/d</w:t>
            </w:r>
          </w:p>
        </w:tc>
        <w:tc>
          <w:tcPr>
            <w:tcW w:w="422" w:type="pct"/>
            <w:tcBorders>
              <w:top w:val="nil"/>
              <w:left w:val="nil"/>
              <w:bottom w:val="nil"/>
              <w:right w:val="nil"/>
            </w:tcBorders>
            <w:shd w:val="clear" w:color="auto" w:fill="auto"/>
            <w:noWrap/>
            <w:vAlign w:val="bottom"/>
            <w:hideMark/>
          </w:tcPr>
          <w:p w14:paraId="08B68BE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2,0</w:t>
            </w:r>
          </w:p>
        </w:tc>
        <w:tc>
          <w:tcPr>
            <w:tcW w:w="422" w:type="pct"/>
            <w:tcBorders>
              <w:top w:val="nil"/>
              <w:left w:val="nil"/>
              <w:bottom w:val="nil"/>
              <w:right w:val="nil"/>
            </w:tcBorders>
            <w:shd w:val="clear" w:color="auto" w:fill="auto"/>
            <w:noWrap/>
            <w:vAlign w:val="bottom"/>
            <w:hideMark/>
          </w:tcPr>
          <w:p w14:paraId="5E2104E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0,1</w:t>
            </w:r>
          </w:p>
        </w:tc>
        <w:tc>
          <w:tcPr>
            <w:tcW w:w="422" w:type="pct"/>
            <w:tcBorders>
              <w:top w:val="nil"/>
              <w:left w:val="nil"/>
              <w:bottom w:val="nil"/>
              <w:right w:val="nil"/>
            </w:tcBorders>
            <w:shd w:val="clear" w:color="auto" w:fill="auto"/>
            <w:noWrap/>
            <w:vAlign w:val="bottom"/>
            <w:hideMark/>
          </w:tcPr>
          <w:p w14:paraId="33C5639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4,3</w:t>
            </w:r>
          </w:p>
        </w:tc>
        <w:tc>
          <w:tcPr>
            <w:tcW w:w="422" w:type="pct"/>
            <w:tcBorders>
              <w:top w:val="nil"/>
              <w:left w:val="nil"/>
              <w:bottom w:val="nil"/>
              <w:right w:val="nil"/>
            </w:tcBorders>
            <w:shd w:val="clear" w:color="auto" w:fill="auto"/>
            <w:noWrap/>
            <w:vAlign w:val="bottom"/>
            <w:hideMark/>
          </w:tcPr>
          <w:p w14:paraId="368B4E2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16,0</w:t>
            </w:r>
          </w:p>
        </w:tc>
        <w:tc>
          <w:tcPr>
            <w:tcW w:w="422" w:type="pct"/>
            <w:tcBorders>
              <w:top w:val="nil"/>
              <w:left w:val="nil"/>
              <w:bottom w:val="nil"/>
              <w:right w:val="nil"/>
            </w:tcBorders>
            <w:shd w:val="clear" w:color="auto" w:fill="auto"/>
            <w:noWrap/>
            <w:vAlign w:val="bottom"/>
            <w:hideMark/>
          </w:tcPr>
          <w:p w14:paraId="19414ED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21,0</w:t>
            </w:r>
          </w:p>
        </w:tc>
        <w:tc>
          <w:tcPr>
            <w:tcW w:w="422" w:type="pct"/>
            <w:tcBorders>
              <w:top w:val="nil"/>
              <w:left w:val="nil"/>
              <w:bottom w:val="nil"/>
              <w:right w:val="nil"/>
            </w:tcBorders>
            <w:shd w:val="clear" w:color="auto" w:fill="auto"/>
            <w:noWrap/>
            <w:vAlign w:val="bottom"/>
            <w:hideMark/>
          </w:tcPr>
          <w:p w14:paraId="797B25F6"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16,9</w:t>
            </w:r>
          </w:p>
        </w:tc>
        <w:tc>
          <w:tcPr>
            <w:tcW w:w="425" w:type="pct"/>
            <w:tcBorders>
              <w:top w:val="nil"/>
              <w:left w:val="nil"/>
              <w:bottom w:val="nil"/>
              <w:right w:val="nil"/>
            </w:tcBorders>
            <w:shd w:val="clear" w:color="auto" w:fill="auto"/>
            <w:noWrap/>
            <w:vAlign w:val="bottom"/>
            <w:hideMark/>
          </w:tcPr>
          <w:p w14:paraId="046C389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23,5</w:t>
            </w:r>
          </w:p>
        </w:tc>
      </w:tr>
      <w:tr w:rsidR="001579BE" w:rsidRPr="00AB6853" w14:paraId="6817F749" w14:textId="77777777" w:rsidTr="00377237">
        <w:trPr>
          <w:trHeight w:val="310"/>
        </w:trPr>
        <w:tc>
          <w:tcPr>
            <w:tcW w:w="172" w:type="pct"/>
            <w:tcBorders>
              <w:top w:val="nil"/>
              <w:left w:val="nil"/>
              <w:bottom w:val="nil"/>
              <w:right w:val="nil"/>
            </w:tcBorders>
            <w:shd w:val="clear" w:color="auto" w:fill="auto"/>
            <w:noWrap/>
            <w:vAlign w:val="bottom"/>
            <w:hideMark/>
          </w:tcPr>
          <w:p w14:paraId="073C954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6</w:t>
            </w:r>
          </w:p>
        </w:tc>
        <w:tc>
          <w:tcPr>
            <w:tcW w:w="994" w:type="pct"/>
            <w:tcBorders>
              <w:top w:val="nil"/>
              <w:left w:val="nil"/>
              <w:bottom w:val="nil"/>
              <w:right w:val="nil"/>
            </w:tcBorders>
            <w:shd w:val="clear" w:color="auto" w:fill="auto"/>
            <w:noWrap/>
            <w:vAlign w:val="bottom"/>
            <w:hideMark/>
          </w:tcPr>
          <w:p w14:paraId="3A37DCD3"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Canadá</w:t>
            </w:r>
          </w:p>
        </w:tc>
        <w:tc>
          <w:tcPr>
            <w:tcW w:w="526" w:type="pct"/>
            <w:tcBorders>
              <w:top w:val="nil"/>
              <w:left w:val="nil"/>
              <w:bottom w:val="nil"/>
              <w:right w:val="nil"/>
            </w:tcBorders>
            <w:shd w:val="clear" w:color="auto" w:fill="auto"/>
            <w:noWrap/>
            <w:vAlign w:val="bottom"/>
            <w:hideMark/>
          </w:tcPr>
          <w:p w14:paraId="0C1F533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11,8</w:t>
            </w:r>
          </w:p>
        </w:tc>
        <w:tc>
          <w:tcPr>
            <w:tcW w:w="351" w:type="pct"/>
            <w:tcBorders>
              <w:top w:val="nil"/>
              <w:left w:val="nil"/>
              <w:bottom w:val="nil"/>
              <w:right w:val="nil"/>
            </w:tcBorders>
            <w:shd w:val="clear" w:color="auto" w:fill="auto"/>
            <w:noWrap/>
            <w:vAlign w:val="bottom"/>
            <w:hideMark/>
          </w:tcPr>
          <w:p w14:paraId="28C7055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16,3</w:t>
            </w:r>
          </w:p>
        </w:tc>
        <w:tc>
          <w:tcPr>
            <w:tcW w:w="422" w:type="pct"/>
            <w:tcBorders>
              <w:top w:val="nil"/>
              <w:left w:val="nil"/>
              <w:bottom w:val="nil"/>
              <w:right w:val="nil"/>
            </w:tcBorders>
            <w:shd w:val="clear" w:color="auto" w:fill="auto"/>
            <w:noWrap/>
            <w:vAlign w:val="bottom"/>
            <w:hideMark/>
          </w:tcPr>
          <w:p w14:paraId="7623ED0F"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21,7</w:t>
            </w:r>
          </w:p>
        </w:tc>
        <w:tc>
          <w:tcPr>
            <w:tcW w:w="422" w:type="pct"/>
            <w:tcBorders>
              <w:top w:val="nil"/>
              <w:left w:val="nil"/>
              <w:bottom w:val="nil"/>
              <w:right w:val="nil"/>
            </w:tcBorders>
            <w:shd w:val="clear" w:color="auto" w:fill="auto"/>
            <w:noWrap/>
            <w:vAlign w:val="bottom"/>
            <w:hideMark/>
          </w:tcPr>
          <w:p w14:paraId="5B4A4338"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17,3</w:t>
            </w:r>
          </w:p>
        </w:tc>
        <w:tc>
          <w:tcPr>
            <w:tcW w:w="422" w:type="pct"/>
            <w:tcBorders>
              <w:top w:val="nil"/>
              <w:left w:val="nil"/>
              <w:bottom w:val="nil"/>
              <w:right w:val="nil"/>
            </w:tcBorders>
            <w:shd w:val="clear" w:color="auto" w:fill="auto"/>
            <w:noWrap/>
            <w:vAlign w:val="bottom"/>
            <w:hideMark/>
          </w:tcPr>
          <w:p w14:paraId="4B01B567"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16,6</w:t>
            </w:r>
          </w:p>
        </w:tc>
        <w:tc>
          <w:tcPr>
            <w:tcW w:w="422" w:type="pct"/>
            <w:tcBorders>
              <w:top w:val="nil"/>
              <w:left w:val="nil"/>
              <w:bottom w:val="nil"/>
              <w:right w:val="nil"/>
            </w:tcBorders>
            <w:shd w:val="clear" w:color="auto" w:fill="auto"/>
            <w:noWrap/>
            <w:vAlign w:val="bottom"/>
            <w:hideMark/>
          </w:tcPr>
          <w:p w14:paraId="1B99062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24,4</w:t>
            </w:r>
          </w:p>
        </w:tc>
        <w:tc>
          <w:tcPr>
            <w:tcW w:w="422" w:type="pct"/>
            <w:tcBorders>
              <w:top w:val="nil"/>
              <w:left w:val="nil"/>
              <w:bottom w:val="nil"/>
              <w:right w:val="nil"/>
            </w:tcBorders>
            <w:shd w:val="clear" w:color="auto" w:fill="auto"/>
            <w:noWrap/>
            <w:vAlign w:val="bottom"/>
            <w:hideMark/>
          </w:tcPr>
          <w:p w14:paraId="588D3EC3"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24,6</w:t>
            </w:r>
          </w:p>
        </w:tc>
        <w:tc>
          <w:tcPr>
            <w:tcW w:w="422" w:type="pct"/>
            <w:tcBorders>
              <w:top w:val="nil"/>
              <w:left w:val="nil"/>
              <w:bottom w:val="nil"/>
              <w:right w:val="nil"/>
            </w:tcBorders>
            <w:shd w:val="clear" w:color="auto" w:fill="auto"/>
            <w:noWrap/>
            <w:vAlign w:val="bottom"/>
            <w:hideMark/>
          </w:tcPr>
          <w:p w14:paraId="3DAD94B5"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26,4</w:t>
            </w:r>
          </w:p>
        </w:tc>
        <w:tc>
          <w:tcPr>
            <w:tcW w:w="425" w:type="pct"/>
            <w:tcBorders>
              <w:top w:val="nil"/>
              <w:left w:val="nil"/>
              <w:bottom w:val="nil"/>
              <w:right w:val="nil"/>
            </w:tcBorders>
            <w:shd w:val="clear" w:color="auto" w:fill="auto"/>
            <w:noWrap/>
            <w:vAlign w:val="bottom"/>
            <w:hideMark/>
          </w:tcPr>
          <w:p w14:paraId="472EC3B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15,0</w:t>
            </w:r>
          </w:p>
        </w:tc>
      </w:tr>
      <w:tr w:rsidR="001579BE" w:rsidRPr="00AB6853" w14:paraId="125E4612" w14:textId="77777777" w:rsidTr="00377237">
        <w:trPr>
          <w:trHeight w:val="310"/>
        </w:trPr>
        <w:tc>
          <w:tcPr>
            <w:tcW w:w="172" w:type="pct"/>
            <w:tcBorders>
              <w:top w:val="nil"/>
              <w:left w:val="nil"/>
              <w:bottom w:val="nil"/>
              <w:right w:val="nil"/>
            </w:tcBorders>
            <w:shd w:val="clear" w:color="auto" w:fill="auto"/>
            <w:noWrap/>
            <w:vAlign w:val="bottom"/>
            <w:hideMark/>
          </w:tcPr>
          <w:p w14:paraId="7A768C40"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7</w:t>
            </w:r>
          </w:p>
        </w:tc>
        <w:tc>
          <w:tcPr>
            <w:tcW w:w="994" w:type="pct"/>
            <w:tcBorders>
              <w:top w:val="nil"/>
              <w:left w:val="nil"/>
              <w:bottom w:val="nil"/>
              <w:right w:val="nil"/>
            </w:tcBorders>
            <w:shd w:val="clear" w:color="auto" w:fill="auto"/>
            <w:noWrap/>
            <w:vAlign w:val="bottom"/>
            <w:hideMark/>
          </w:tcPr>
          <w:p w14:paraId="30EF6032" w14:textId="77777777" w:rsidR="001579BE" w:rsidRPr="00AB6853" w:rsidRDefault="001579BE" w:rsidP="00377237">
            <w:pPr>
              <w:spacing w:after="0" w:line="240" w:lineRule="auto"/>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Argentina</w:t>
            </w:r>
          </w:p>
        </w:tc>
        <w:tc>
          <w:tcPr>
            <w:tcW w:w="526" w:type="pct"/>
            <w:tcBorders>
              <w:top w:val="nil"/>
              <w:left w:val="nil"/>
              <w:bottom w:val="nil"/>
              <w:right w:val="nil"/>
            </w:tcBorders>
            <w:shd w:val="clear" w:color="auto" w:fill="auto"/>
            <w:noWrap/>
            <w:vAlign w:val="bottom"/>
            <w:hideMark/>
          </w:tcPr>
          <w:p w14:paraId="6A4A3C32"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1,0</w:t>
            </w:r>
          </w:p>
        </w:tc>
        <w:tc>
          <w:tcPr>
            <w:tcW w:w="351" w:type="pct"/>
            <w:tcBorders>
              <w:top w:val="nil"/>
              <w:left w:val="nil"/>
              <w:bottom w:val="nil"/>
              <w:right w:val="nil"/>
            </w:tcBorders>
            <w:shd w:val="clear" w:color="auto" w:fill="auto"/>
            <w:noWrap/>
            <w:vAlign w:val="bottom"/>
            <w:hideMark/>
          </w:tcPr>
          <w:p w14:paraId="3CF448C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3,8</w:t>
            </w:r>
          </w:p>
        </w:tc>
        <w:tc>
          <w:tcPr>
            <w:tcW w:w="422" w:type="pct"/>
            <w:tcBorders>
              <w:top w:val="nil"/>
              <w:left w:val="nil"/>
              <w:bottom w:val="nil"/>
              <w:right w:val="nil"/>
            </w:tcBorders>
            <w:shd w:val="clear" w:color="auto" w:fill="auto"/>
            <w:noWrap/>
            <w:vAlign w:val="bottom"/>
            <w:hideMark/>
          </w:tcPr>
          <w:p w14:paraId="02996C8A"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5,6</w:t>
            </w:r>
          </w:p>
        </w:tc>
        <w:tc>
          <w:tcPr>
            <w:tcW w:w="422" w:type="pct"/>
            <w:tcBorders>
              <w:top w:val="nil"/>
              <w:left w:val="nil"/>
              <w:bottom w:val="nil"/>
              <w:right w:val="nil"/>
            </w:tcBorders>
            <w:shd w:val="clear" w:color="auto" w:fill="auto"/>
            <w:noWrap/>
            <w:vAlign w:val="bottom"/>
            <w:hideMark/>
          </w:tcPr>
          <w:p w14:paraId="52E5A6F9"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11,3</w:t>
            </w:r>
          </w:p>
        </w:tc>
        <w:tc>
          <w:tcPr>
            <w:tcW w:w="422" w:type="pct"/>
            <w:tcBorders>
              <w:top w:val="nil"/>
              <w:left w:val="nil"/>
              <w:bottom w:val="nil"/>
              <w:right w:val="nil"/>
            </w:tcBorders>
            <w:shd w:val="clear" w:color="auto" w:fill="auto"/>
            <w:noWrap/>
            <w:vAlign w:val="bottom"/>
            <w:hideMark/>
          </w:tcPr>
          <w:p w14:paraId="4F438B2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9,5</w:t>
            </w:r>
          </w:p>
        </w:tc>
        <w:tc>
          <w:tcPr>
            <w:tcW w:w="422" w:type="pct"/>
            <w:tcBorders>
              <w:top w:val="nil"/>
              <w:left w:val="nil"/>
              <w:bottom w:val="nil"/>
              <w:right w:val="nil"/>
            </w:tcBorders>
            <w:shd w:val="clear" w:color="auto" w:fill="auto"/>
            <w:noWrap/>
            <w:vAlign w:val="bottom"/>
            <w:hideMark/>
          </w:tcPr>
          <w:p w14:paraId="6D3F43B1"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12,2</w:t>
            </w:r>
          </w:p>
        </w:tc>
        <w:tc>
          <w:tcPr>
            <w:tcW w:w="422" w:type="pct"/>
            <w:tcBorders>
              <w:top w:val="nil"/>
              <w:left w:val="nil"/>
              <w:bottom w:val="nil"/>
              <w:right w:val="nil"/>
            </w:tcBorders>
            <w:shd w:val="clear" w:color="auto" w:fill="auto"/>
            <w:noWrap/>
            <w:vAlign w:val="bottom"/>
            <w:hideMark/>
          </w:tcPr>
          <w:p w14:paraId="2F14D14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12,8</w:t>
            </w:r>
          </w:p>
        </w:tc>
        <w:tc>
          <w:tcPr>
            <w:tcW w:w="422" w:type="pct"/>
            <w:tcBorders>
              <w:top w:val="nil"/>
              <w:left w:val="nil"/>
              <w:bottom w:val="nil"/>
              <w:right w:val="nil"/>
            </w:tcBorders>
            <w:shd w:val="clear" w:color="auto" w:fill="auto"/>
            <w:noWrap/>
            <w:vAlign w:val="bottom"/>
            <w:hideMark/>
          </w:tcPr>
          <w:p w14:paraId="4CADE49D"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11,0</w:t>
            </w:r>
          </w:p>
        </w:tc>
        <w:tc>
          <w:tcPr>
            <w:tcW w:w="425" w:type="pct"/>
            <w:tcBorders>
              <w:top w:val="nil"/>
              <w:left w:val="nil"/>
              <w:bottom w:val="nil"/>
              <w:right w:val="nil"/>
            </w:tcBorders>
            <w:shd w:val="clear" w:color="auto" w:fill="auto"/>
            <w:noWrap/>
            <w:vAlign w:val="bottom"/>
            <w:hideMark/>
          </w:tcPr>
          <w:p w14:paraId="462847FB"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AB6853">
              <w:rPr>
                <w:rFonts w:ascii="Times New Roman" w:eastAsia="Times New Roman" w:hAnsi="Times New Roman" w:cs="Times New Roman"/>
                <w:color w:val="000000"/>
                <w:sz w:val="20"/>
                <w:szCs w:val="20"/>
                <w:lang w:eastAsia="es-ES"/>
              </w:rPr>
              <w:t>13,5</w:t>
            </w:r>
          </w:p>
        </w:tc>
      </w:tr>
      <w:tr w:rsidR="001579BE" w:rsidRPr="00AB6853" w14:paraId="024E512B" w14:textId="77777777" w:rsidTr="00377237">
        <w:trPr>
          <w:trHeight w:val="310"/>
        </w:trPr>
        <w:tc>
          <w:tcPr>
            <w:tcW w:w="172" w:type="pct"/>
            <w:tcBorders>
              <w:top w:val="nil"/>
              <w:left w:val="nil"/>
              <w:bottom w:val="nil"/>
              <w:right w:val="nil"/>
            </w:tcBorders>
            <w:shd w:val="clear" w:color="auto" w:fill="auto"/>
            <w:noWrap/>
            <w:vAlign w:val="bottom"/>
            <w:hideMark/>
          </w:tcPr>
          <w:p w14:paraId="45B2EADE" w14:textId="77777777" w:rsidR="001579BE" w:rsidRPr="00AB6853" w:rsidRDefault="001579BE" w:rsidP="00377237">
            <w:pPr>
              <w:spacing w:after="0" w:line="240" w:lineRule="auto"/>
              <w:jc w:val="right"/>
              <w:rPr>
                <w:rFonts w:ascii="Times New Roman" w:eastAsia="Times New Roman" w:hAnsi="Times New Roman" w:cs="Times New Roman"/>
                <w:color w:val="000000"/>
                <w:sz w:val="20"/>
                <w:szCs w:val="20"/>
                <w:lang w:eastAsia="es-ES"/>
              </w:rPr>
            </w:pPr>
          </w:p>
        </w:tc>
        <w:tc>
          <w:tcPr>
            <w:tcW w:w="994" w:type="pct"/>
            <w:tcBorders>
              <w:top w:val="nil"/>
              <w:left w:val="nil"/>
              <w:right w:val="nil"/>
            </w:tcBorders>
            <w:shd w:val="clear" w:color="auto" w:fill="auto"/>
            <w:noWrap/>
            <w:vAlign w:val="bottom"/>
            <w:hideMark/>
          </w:tcPr>
          <w:p w14:paraId="7BE927AD"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Otros</w:t>
            </w:r>
          </w:p>
        </w:tc>
        <w:tc>
          <w:tcPr>
            <w:tcW w:w="526" w:type="pct"/>
            <w:tcBorders>
              <w:top w:val="nil"/>
              <w:left w:val="nil"/>
              <w:right w:val="nil"/>
            </w:tcBorders>
            <w:shd w:val="clear" w:color="auto" w:fill="auto"/>
            <w:noWrap/>
            <w:vAlign w:val="bottom"/>
            <w:hideMark/>
          </w:tcPr>
          <w:p w14:paraId="3AA420AB"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8,1</w:t>
            </w:r>
          </w:p>
        </w:tc>
        <w:tc>
          <w:tcPr>
            <w:tcW w:w="351" w:type="pct"/>
            <w:tcBorders>
              <w:top w:val="nil"/>
              <w:left w:val="nil"/>
              <w:right w:val="nil"/>
            </w:tcBorders>
            <w:shd w:val="clear" w:color="auto" w:fill="auto"/>
            <w:noWrap/>
            <w:vAlign w:val="bottom"/>
            <w:hideMark/>
          </w:tcPr>
          <w:p w14:paraId="45860DA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3,5</w:t>
            </w:r>
          </w:p>
        </w:tc>
        <w:tc>
          <w:tcPr>
            <w:tcW w:w="422" w:type="pct"/>
            <w:tcBorders>
              <w:top w:val="nil"/>
              <w:left w:val="nil"/>
              <w:right w:val="nil"/>
            </w:tcBorders>
            <w:shd w:val="clear" w:color="auto" w:fill="auto"/>
            <w:noWrap/>
            <w:vAlign w:val="bottom"/>
            <w:hideMark/>
          </w:tcPr>
          <w:p w14:paraId="42C75940"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10,2</w:t>
            </w:r>
          </w:p>
        </w:tc>
        <w:tc>
          <w:tcPr>
            <w:tcW w:w="422" w:type="pct"/>
            <w:tcBorders>
              <w:top w:val="nil"/>
              <w:left w:val="nil"/>
              <w:right w:val="nil"/>
            </w:tcBorders>
            <w:shd w:val="clear" w:color="auto" w:fill="auto"/>
            <w:noWrap/>
            <w:vAlign w:val="bottom"/>
            <w:hideMark/>
          </w:tcPr>
          <w:p w14:paraId="74B7B6F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11,2</w:t>
            </w:r>
          </w:p>
        </w:tc>
        <w:tc>
          <w:tcPr>
            <w:tcW w:w="422" w:type="pct"/>
            <w:tcBorders>
              <w:top w:val="nil"/>
              <w:left w:val="nil"/>
              <w:right w:val="nil"/>
            </w:tcBorders>
            <w:shd w:val="clear" w:color="auto" w:fill="auto"/>
            <w:noWrap/>
            <w:vAlign w:val="bottom"/>
            <w:hideMark/>
          </w:tcPr>
          <w:p w14:paraId="46F28C27"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21,9</w:t>
            </w:r>
          </w:p>
        </w:tc>
        <w:tc>
          <w:tcPr>
            <w:tcW w:w="422" w:type="pct"/>
            <w:tcBorders>
              <w:top w:val="nil"/>
              <w:left w:val="nil"/>
              <w:right w:val="nil"/>
            </w:tcBorders>
            <w:shd w:val="clear" w:color="auto" w:fill="auto"/>
            <w:noWrap/>
            <w:vAlign w:val="bottom"/>
            <w:hideMark/>
          </w:tcPr>
          <w:p w14:paraId="61F78204"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28,5</w:t>
            </w:r>
          </w:p>
        </w:tc>
        <w:tc>
          <w:tcPr>
            <w:tcW w:w="422" w:type="pct"/>
            <w:tcBorders>
              <w:top w:val="nil"/>
              <w:left w:val="nil"/>
              <w:right w:val="nil"/>
            </w:tcBorders>
            <w:shd w:val="clear" w:color="auto" w:fill="auto"/>
            <w:noWrap/>
            <w:vAlign w:val="bottom"/>
            <w:hideMark/>
          </w:tcPr>
          <w:p w14:paraId="6F43C917"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26,1</w:t>
            </w:r>
          </w:p>
        </w:tc>
        <w:tc>
          <w:tcPr>
            <w:tcW w:w="422" w:type="pct"/>
            <w:tcBorders>
              <w:top w:val="nil"/>
              <w:left w:val="nil"/>
              <w:right w:val="nil"/>
            </w:tcBorders>
            <w:shd w:val="clear" w:color="auto" w:fill="auto"/>
            <w:noWrap/>
            <w:vAlign w:val="bottom"/>
            <w:hideMark/>
          </w:tcPr>
          <w:p w14:paraId="168657F1"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27,8</w:t>
            </w:r>
          </w:p>
        </w:tc>
        <w:tc>
          <w:tcPr>
            <w:tcW w:w="425" w:type="pct"/>
            <w:tcBorders>
              <w:top w:val="nil"/>
              <w:left w:val="nil"/>
              <w:right w:val="nil"/>
            </w:tcBorders>
            <w:shd w:val="clear" w:color="auto" w:fill="auto"/>
            <w:noWrap/>
            <w:vAlign w:val="bottom"/>
            <w:hideMark/>
          </w:tcPr>
          <w:p w14:paraId="3AE8714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29,8</w:t>
            </w:r>
          </w:p>
        </w:tc>
      </w:tr>
      <w:tr w:rsidR="001579BE" w:rsidRPr="00AB6853" w14:paraId="0F100B9F" w14:textId="77777777" w:rsidTr="00377237">
        <w:trPr>
          <w:trHeight w:val="310"/>
        </w:trPr>
        <w:tc>
          <w:tcPr>
            <w:tcW w:w="172" w:type="pct"/>
            <w:tcBorders>
              <w:top w:val="nil"/>
              <w:left w:val="nil"/>
              <w:bottom w:val="nil"/>
              <w:right w:val="nil"/>
            </w:tcBorders>
            <w:shd w:val="clear" w:color="auto" w:fill="auto"/>
            <w:noWrap/>
            <w:vAlign w:val="bottom"/>
            <w:hideMark/>
          </w:tcPr>
          <w:p w14:paraId="118C7DB8"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94" w:type="pct"/>
            <w:tcBorders>
              <w:top w:val="nil"/>
              <w:left w:val="nil"/>
              <w:bottom w:val="single" w:sz="4" w:space="0" w:color="auto"/>
              <w:right w:val="nil"/>
            </w:tcBorders>
            <w:shd w:val="clear" w:color="auto" w:fill="auto"/>
            <w:noWrap/>
            <w:vAlign w:val="bottom"/>
            <w:hideMark/>
          </w:tcPr>
          <w:p w14:paraId="55BFBDEF"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Mundo</w:t>
            </w:r>
          </w:p>
        </w:tc>
        <w:tc>
          <w:tcPr>
            <w:tcW w:w="526" w:type="pct"/>
            <w:tcBorders>
              <w:top w:val="nil"/>
              <w:left w:val="nil"/>
              <w:bottom w:val="single" w:sz="4" w:space="0" w:color="auto"/>
              <w:right w:val="nil"/>
            </w:tcBorders>
            <w:shd w:val="clear" w:color="auto" w:fill="auto"/>
            <w:noWrap/>
            <w:vAlign w:val="bottom"/>
            <w:hideMark/>
          </w:tcPr>
          <w:p w14:paraId="37E64C3F"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56,5</w:t>
            </w:r>
          </w:p>
        </w:tc>
        <w:tc>
          <w:tcPr>
            <w:tcW w:w="351" w:type="pct"/>
            <w:tcBorders>
              <w:top w:val="nil"/>
              <w:left w:val="nil"/>
              <w:bottom w:val="single" w:sz="4" w:space="0" w:color="auto"/>
              <w:right w:val="nil"/>
            </w:tcBorders>
            <w:shd w:val="clear" w:color="auto" w:fill="auto"/>
            <w:noWrap/>
            <w:vAlign w:val="bottom"/>
            <w:hideMark/>
          </w:tcPr>
          <w:p w14:paraId="1907DF3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90,1</w:t>
            </w:r>
          </w:p>
        </w:tc>
        <w:tc>
          <w:tcPr>
            <w:tcW w:w="422" w:type="pct"/>
            <w:tcBorders>
              <w:top w:val="nil"/>
              <w:left w:val="nil"/>
              <w:bottom w:val="single" w:sz="4" w:space="0" w:color="auto"/>
              <w:right w:val="nil"/>
            </w:tcBorders>
            <w:shd w:val="clear" w:color="auto" w:fill="auto"/>
            <w:noWrap/>
            <w:vAlign w:val="bottom"/>
            <w:hideMark/>
          </w:tcPr>
          <w:p w14:paraId="5E0BCC2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103,8</w:t>
            </w:r>
          </w:p>
        </w:tc>
        <w:tc>
          <w:tcPr>
            <w:tcW w:w="422" w:type="pct"/>
            <w:tcBorders>
              <w:top w:val="nil"/>
              <w:left w:val="nil"/>
              <w:bottom w:val="single" w:sz="4" w:space="0" w:color="auto"/>
              <w:right w:val="nil"/>
            </w:tcBorders>
            <w:shd w:val="clear" w:color="auto" w:fill="auto"/>
            <w:noWrap/>
            <w:vAlign w:val="bottom"/>
            <w:hideMark/>
          </w:tcPr>
          <w:p w14:paraId="05A4A9DA"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101,2</w:t>
            </w:r>
          </w:p>
        </w:tc>
        <w:tc>
          <w:tcPr>
            <w:tcW w:w="422" w:type="pct"/>
            <w:tcBorders>
              <w:top w:val="nil"/>
              <w:left w:val="nil"/>
              <w:bottom w:val="single" w:sz="4" w:space="0" w:color="auto"/>
              <w:right w:val="nil"/>
            </w:tcBorders>
            <w:shd w:val="clear" w:color="auto" w:fill="auto"/>
            <w:noWrap/>
            <w:vAlign w:val="bottom"/>
            <w:hideMark/>
          </w:tcPr>
          <w:p w14:paraId="1914B8F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133,0</w:t>
            </w:r>
          </w:p>
        </w:tc>
        <w:tc>
          <w:tcPr>
            <w:tcW w:w="422" w:type="pct"/>
            <w:tcBorders>
              <w:top w:val="nil"/>
              <w:left w:val="nil"/>
              <w:bottom w:val="single" w:sz="4" w:space="0" w:color="auto"/>
              <w:right w:val="nil"/>
            </w:tcBorders>
            <w:shd w:val="clear" w:color="auto" w:fill="auto"/>
            <w:noWrap/>
            <w:vAlign w:val="bottom"/>
            <w:hideMark/>
          </w:tcPr>
          <w:p w14:paraId="4B0861A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176,2</w:t>
            </w:r>
          </w:p>
        </w:tc>
        <w:tc>
          <w:tcPr>
            <w:tcW w:w="422" w:type="pct"/>
            <w:tcBorders>
              <w:top w:val="nil"/>
              <w:left w:val="nil"/>
              <w:bottom w:val="single" w:sz="4" w:space="0" w:color="auto"/>
              <w:right w:val="nil"/>
            </w:tcBorders>
            <w:shd w:val="clear" w:color="auto" w:fill="auto"/>
            <w:noWrap/>
            <w:vAlign w:val="bottom"/>
            <w:hideMark/>
          </w:tcPr>
          <w:p w14:paraId="1B97048F"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194,3</w:t>
            </w:r>
          </w:p>
        </w:tc>
        <w:tc>
          <w:tcPr>
            <w:tcW w:w="422" w:type="pct"/>
            <w:tcBorders>
              <w:top w:val="nil"/>
              <w:left w:val="nil"/>
              <w:bottom w:val="single" w:sz="4" w:space="0" w:color="auto"/>
              <w:right w:val="nil"/>
            </w:tcBorders>
            <w:shd w:val="clear" w:color="auto" w:fill="auto"/>
            <w:noWrap/>
            <w:vAlign w:val="bottom"/>
            <w:hideMark/>
          </w:tcPr>
          <w:p w14:paraId="0B96A0F8"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201,3</w:t>
            </w:r>
          </w:p>
        </w:tc>
        <w:tc>
          <w:tcPr>
            <w:tcW w:w="425" w:type="pct"/>
            <w:tcBorders>
              <w:top w:val="nil"/>
              <w:left w:val="nil"/>
              <w:bottom w:val="single" w:sz="4" w:space="0" w:color="auto"/>
              <w:right w:val="nil"/>
            </w:tcBorders>
            <w:shd w:val="clear" w:color="auto" w:fill="auto"/>
            <w:noWrap/>
            <w:vAlign w:val="bottom"/>
            <w:hideMark/>
          </w:tcPr>
          <w:p w14:paraId="2CA9F45B"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199,6</w:t>
            </w:r>
          </w:p>
        </w:tc>
      </w:tr>
      <w:tr w:rsidR="001579BE" w:rsidRPr="00AB6853" w14:paraId="73CE3551" w14:textId="77777777" w:rsidTr="00377237">
        <w:trPr>
          <w:trHeight w:val="310"/>
        </w:trPr>
        <w:tc>
          <w:tcPr>
            <w:tcW w:w="172" w:type="pct"/>
            <w:tcBorders>
              <w:top w:val="nil"/>
              <w:left w:val="nil"/>
              <w:bottom w:val="nil"/>
              <w:right w:val="nil"/>
            </w:tcBorders>
            <w:shd w:val="clear" w:color="auto" w:fill="auto"/>
            <w:noWrap/>
            <w:vAlign w:val="bottom"/>
            <w:hideMark/>
          </w:tcPr>
          <w:p w14:paraId="759A8DF4"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234E9D">
              <w:rPr>
                <w:rFonts w:ascii="Times New Roman" w:eastAsia="Times New Roman" w:hAnsi="Times New Roman" w:cs="Times New Roman"/>
                <w:i/>
                <w:iCs/>
                <w:color w:val="000000"/>
                <w:sz w:val="20"/>
                <w:szCs w:val="20"/>
                <w:lang w:eastAsia="es-ES"/>
              </w:rPr>
              <w:br w:type="page"/>
            </w:r>
          </w:p>
        </w:tc>
        <w:tc>
          <w:tcPr>
            <w:tcW w:w="994" w:type="pct"/>
            <w:tcBorders>
              <w:top w:val="single" w:sz="4" w:space="0" w:color="auto"/>
              <w:left w:val="nil"/>
              <w:right w:val="nil"/>
            </w:tcBorders>
            <w:shd w:val="clear" w:color="auto" w:fill="auto"/>
            <w:noWrap/>
            <w:vAlign w:val="bottom"/>
            <w:hideMark/>
          </w:tcPr>
          <w:p w14:paraId="4544B683" w14:textId="77777777" w:rsidR="001579BE" w:rsidRPr="00234E9D" w:rsidRDefault="001579BE" w:rsidP="00377237">
            <w:pPr>
              <w:spacing w:after="0" w:line="240" w:lineRule="auto"/>
              <w:rPr>
                <w:rFonts w:ascii="Times New Roman" w:eastAsia="Times New Roman" w:hAnsi="Times New Roman" w:cs="Times New Roman"/>
                <w:b/>
                <w:bCs/>
                <w:color w:val="000000"/>
                <w:sz w:val="20"/>
                <w:szCs w:val="20"/>
                <w:lang w:eastAsia="es-ES"/>
              </w:rPr>
            </w:pPr>
            <w:r w:rsidRPr="00234E9D">
              <w:rPr>
                <w:rFonts w:ascii="Times New Roman" w:eastAsia="Times New Roman" w:hAnsi="Times New Roman" w:cs="Times New Roman"/>
                <w:b/>
                <w:bCs/>
                <w:color w:val="000000"/>
                <w:sz w:val="20"/>
                <w:szCs w:val="20"/>
                <w:lang w:eastAsia="es-ES"/>
              </w:rPr>
              <w:t>Importaciones</w:t>
            </w:r>
          </w:p>
        </w:tc>
        <w:tc>
          <w:tcPr>
            <w:tcW w:w="526" w:type="pct"/>
            <w:tcBorders>
              <w:top w:val="single" w:sz="4" w:space="0" w:color="auto"/>
              <w:left w:val="nil"/>
              <w:right w:val="nil"/>
            </w:tcBorders>
            <w:shd w:val="clear" w:color="auto" w:fill="auto"/>
            <w:noWrap/>
            <w:vAlign w:val="bottom"/>
            <w:hideMark/>
          </w:tcPr>
          <w:p w14:paraId="781A9694"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351" w:type="pct"/>
            <w:tcBorders>
              <w:top w:val="single" w:sz="4" w:space="0" w:color="auto"/>
              <w:left w:val="nil"/>
              <w:right w:val="nil"/>
            </w:tcBorders>
            <w:shd w:val="clear" w:color="auto" w:fill="auto"/>
            <w:noWrap/>
            <w:vAlign w:val="bottom"/>
            <w:hideMark/>
          </w:tcPr>
          <w:p w14:paraId="2F0FA78C"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2" w:type="pct"/>
            <w:tcBorders>
              <w:top w:val="single" w:sz="4" w:space="0" w:color="auto"/>
              <w:left w:val="nil"/>
              <w:right w:val="nil"/>
            </w:tcBorders>
            <w:shd w:val="clear" w:color="auto" w:fill="auto"/>
            <w:noWrap/>
            <w:vAlign w:val="bottom"/>
            <w:hideMark/>
          </w:tcPr>
          <w:p w14:paraId="069B8266"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2" w:type="pct"/>
            <w:tcBorders>
              <w:top w:val="single" w:sz="4" w:space="0" w:color="auto"/>
              <w:left w:val="nil"/>
              <w:right w:val="nil"/>
            </w:tcBorders>
            <w:shd w:val="clear" w:color="auto" w:fill="auto"/>
            <w:noWrap/>
            <w:vAlign w:val="bottom"/>
            <w:hideMark/>
          </w:tcPr>
          <w:p w14:paraId="16E6430C"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2" w:type="pct"/>
            <w:tcBorders>
              <w:top w:val="single" w:sz="4" w:space="0" w:color="auto"/>
              <w:left w:val="nil"/>
              <w:right w:val="nil"/>
            </w:tcBorders>
            <w:shd w:val="clear" w:color="auto" w:fill="auto"/>
            <w:noWrap/>
            <w:vAlign w:val="bottom"/>
            <w:hideMark/>
          </w:tcPr>
          <w:p w14:paraId="1AA6DB7C"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2" w:type="pct"/>
            <w:tcBorders>
              <w:top w:val="single" w:sz="4" w:space="0" w:color="auto"/>
              <w:left w:val="nil"/>
              <w:right w:val="nil"/>
            </w:tcBorders>
            <w:shd w:val="clear" w:color="auto" w:fill="auto"/>
            <w:noWrap/>
            <w:vAlign w:val="bottom"/>
            <w:hideMark/>
          </w:tcPr>
          <w:p w14:paraId="0E3ED966"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2" w:type="pct"/>
            <w:tcBorders>
              <w:top w:val="single" w:sz="4" w:space="0" w:color="auto"/>
              <w:left w:val="nil"/>
              <w:right w:val="nil"/>
            </w:tcBorders>
            <w:shd w:val="clear" w:color="auto" w:fill="auto"/>
            <w:noWrap/>
            <w:vAlign w:val="bottom"/>
            <w:hideMark/>
          </w:tcPr>
          <w:p w14:paraId="1C26DE1F"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2" w:type="pct"/>
            <w:tcBorders>
              <w:top w:val="single" w:sz="4" w:space="0" w:color="auto"/>
              <w:left w:val="nil"/>
              <w:right w:val="nil"/>
            </w:tcBorders>
            <w:shd w:val="clear" w:color="auto" w:fill="auto"/>
            <w:noWrap/>
            <w:vAlign w:val="bottom"/>
            <w:hideMark/>
          </w:tcPr>
          <w:p w14:paraId="1A240A5B"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425" w:type="pct"/>
            <w:tcBorders>
              <w:top w:val="single" w:sz="4" w:space="0" w:color="auto"/>
              <w:left w:val="nil"/>
              <w:right w:val="nil"/>
            </w:tcBorders>
            <w:shd w:val="clear" w:color="auto" w:fill="auto"/>
            <w:noWrap/>
            <w:vAlign w:val="bottom"/>
            <w:hideMark/>
          </w:tcPr>
          <w:p w14:paraId="73ADF649"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r>
      <w:tr w:rsidR="001579BE" w:rsidRPr="00AB6853" w14:paraId="6D666D2E" w14:textId="77777777" w:rsidTr="00377237">
        <w:trPr>
          <w:trHeight w:val="310"/>
        </w:trPr>
        <w:tc>
          <w:tcPr>
            <w:tcW w:w="172" w:type="pct"/>
            <w:tcBorders>
              <w:top w:val="nil"/>
              <w:left w:val="nil"/>
              <w:bottom w:val="nil"/>
              <w:right w:val="nil"/>
            </w:tcBorders>
            <w:shd w:val="clear" w:color="auto" w:fill="auto"/>
            <w:noWrap/>
            <w:vAlign w:val="bottom"/>
            <w:hideMark/>
          </w:tcPr>
          <w:p w14:paraId="48E06CB8"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w:t>
            </w:r>
          </w:p>
        </w:tc>
        <w:tc>
          <w:tcPr>
            <w:tcW w:w="994" w:type="pct"/>
            <w:tcBorders>
              <w:top w:val="nil"/>
              <w:left w:val="nil"/>
              <w:right w:val="nil"/>
            </w:tcBorders>
            <w:shd w:val="clear" w:color="auto" w:fill="auto"/>
            <w:noWrap/>
            <w:vAlign w:val="bottom"/>
            <w:hideMark/>
          </w:tcPr>
          <w:p w14:paraId="64B7B844"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Egipto</w:t>
            </w:r>
          </w:p>
        </w:tc>
        <w:tc>
          <w:tcPr>
            <w:tcW w:w="526" w:type="pct"/>
            <w:tcBorders>
              <w:top w:val="nil"/>
              <w:left w:val="nil"/>
              <w:right w:val="nil"/>
            </w:tcBorders>
            <w:shd w:val="clear" w:color="auto" w:fill="auto"/>
            <w:noWrap/>
            <w:vAlign w:val="bottom"/>
            <w:hideMark/>
          </w:tcPr>
          <w:p w14:paraId="7724F858"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2,8</w:t>
            </w:r>
          </w:p>
        </w:tc>
        <w:tc>
          <w:tcPr>
            <w:tcW w:w="351" w:type="pct"/>
            <w:tcBorders>
              <w:top w:val="nil"/>
              <w:left w:val="nil"/>
              <w:right w:val="nil"/>
            </w:tcBorders>
            <w:shd w:val="clear" w:color="auto" w:fill="auto"/>
            <w:noWrap/>
            <w:vAlign w:val="bottom"/>
            <w:hideMark/>
          </w:tcPr>
          <w:p w14:paraId="60583A88"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5,4</w:t>
            </w:r>
          </w:p>
        </w:tc>
        <w:tc>
          <w:tcPr>
            <w:tcW w:w="422" w:type="pct"/>
            <w:tcBorders>
              <w:top w:val="nil"/>
              <w:left w:val="nil"/>
              <w:right w:val="nil"/>
            </w:tcBorders>
            <w:shd w:val="clear" w:color="auto" w:fill="auto"/>
            <w:noWrap/>
            <w:vAlign w:val="bottom"/>
            <w:hideMark/>
          </w:tcPr>
          <w:p w14:paraId="33CA6945"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5,7</w:t>
            </w:r>
          </w:p>
        </w:tc>
        <w:tc>
          <w:tcPr>
            <w:tcW w:w="422" w:type="pct"/>
            <w:tcBorders>
              <w:top w:val="nil"/>
              <w:left w:val="nil"/>
              <w:right w:val="nil"/>
            </w:tcBorders>
            <w:shd w:val="clear" w:color="auto" w:fill="auto"/>
            <w:noWrap/>
            <w:vAlign w:val="bottom"/>
            <w:hideMark/>
          </w:tcPr>
          <w:p w14:paraId="77354B30"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6,1</w:t>
            </w:r>
          </w:p>
        </w:tc>
        <w:tc>
          <w:tcPr>
            <w:tcW w:w="422" w:type="pct"/>
            <w:tcBorders>
              <w:top w:val="nil"/>
              <w:left w:val="nil"/>
              <w:right w:val="nil"/>
            </w:tcBorders>
            <w:shd w:val="clear" w:color="auto" w:fill="auto"/>
            <w:noWrap/>
            <w:vAlign w:val="bottom"/>
            <w:hideMark/>
          </w:tcPr>
          <w:p w14:paraId="5292697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10,6</w:t>
            </w:r>
          </w:p>
        </w:tc>
        <w:tc>
          <w:tcPr>
            <w:tcW w:w="422" w:type="pct"/>
            <w:tcBorders>
              <w:top w:val="nil"/>
              <w:left w:val="nil"/>
              <w:right w:val="nil"/>
            </w:tcBorders>
            <w:shd w:val="clear" w:color="auto" w:fill="auto"/>
            <w:noWrap/>
            <w:vAlign w:val="bottom"/>
            <w:hideMark/>
          </w:tcPr>
          <w:p w14:paraId="55E421BD"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12,4</w:t>
            </w:r>
          </w:p>
        </w:tc>
        <w:tc>
          <w:tcPr>
            <w:tcW w:w="422" w:type="pct"/>
            <w:tcBorders>
              <w:top w:val="nil"/>
              <w:left w:val="nil"/>
              <w:right w:val="nil"/>
            </w:tcBorders>
            <w:shd w:val="clear" w:color="auto" w:fill="auto"/>
            <w:noWrap/>
            <w:vAlign w:val="bottom"/>
            <w:hideMark/>
          </w:tcPr>
          <w:p w14:paraId="2BEF3C0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12,8</w:t>
            </w:r>
          </w:p>
        </w:tc>
        <w:tc>
          <w:tcPr>
            <w:tcW w:w="422" w:type="pct"/>
            <w:tcBorders>
              <w:top w:val="nil"/>
              <w:left w:val="nil"/>
              <w:right w:val="nil"/>
            </w:tcBorders>
            <w:shd w:val="clear" w:color="auto" w:fill="auto"/>
            <w:noWrap/>
            <w:vAlign w:val="bottom"/>
            <w:hideMark/>
          </w:tcPr>
          <w:p w14:paraId="13DDE53B"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12,1</w:t>
            </w:r>
          </w:p>
        </w:tc>
        <w:tc>
          <w:tcPr>
            <w:tcW w:w="425" w:type="pct"/>
            <w:tcBorders>
              <w:top w:val="nil"/>
              <w:left w:val="nil"/>
              <w:right w:val="nil"/>
            </w:tcBorders>
            <w:shd w:val="clear" w:color="auto" w:fill="auto"/>
            <w:noWrap/>
            <w:vAlign w:val="bottom"/>
            <w:hideMark/>
          </w:tcPr>
          <w:p w14:paraId="42AFCD5E"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13,0</w:t>
            </w:r>
          </w:p>
        </w:tc>
      </w:tr>
      <w:tr w:rsidR="001579BE" w:rsidRPr="00AB6853" w14:paraId="5473DAB9" w14:textId="77777777" w:rsidTr="00377237">
        <w:trPr>
          <w:trHeight w:val="310"/>
        </w:trPr>
        <w:tc>
          <w:tcPr>
            <w:tcW w:w="172" w:type="pct"/>
            <w:tcBorders>
              <w:top w:val="nil"/>
              <w:left w:val="nil"/>
              <w:bottom w:val="nil"/>
              <w:right w:val="nil"/>
            </w:tcBorders>
            <w:shd w:val="clear" w:color="auto" w:fill="auto"/>
            <w:noWrap/>
            <w:vAlign w:val="bottom"/>
            <w:hideMark/>
          </w:tcPr>
          <w:p w14:paraId="0D777C58"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2</w:t>
            </w:r>
          </w:p>
        </w:tc>
        <w:tc>
          <w:tcPr>
            <w:tcW w:w="994" w:type="pct"/>
            <w:tcBorders>
              <w:top w:val="nil"/>
              <w:left w:val="nil"/>
              <w:right w:val="nil"/>
            </w:tcBorders>
            <w:shd w:val="clear" w:color="auto" w:fill="auto"/>
            <w:noWrap/>
            <w:vAlign w:val="bottom"/>
            <w:hideMark/>
          </w:tcPr>
          <w:p w14:paraId="3BE9EE8C"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Indonesia</w:t>
            </w:r>
          </w:p>
        </w:tc>
        <w:tc>
          <w:tcPr>
            <w:tcW w:w="526" w:type="pct"/>
            <w:tcBorders>
              <w:top w:val="nil"/>
              <w:left w:val="nil"/>
              <w:right w:val="nil"/>
            </w:tcBorders>
            <w:shd w:val="clear" w:color="auto" w:fill="auto"/>
            <w:noWrap/>
            <w:vAlign w:val="bottom"/>
            <w:hideMark/>
          </w:tcPr>
          <w:p w14:paraId="18713BA4"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0,5</w:t>
            </w:r>
          </w:p>
        </w:tc>
        <w:tc>
          <w:tcPr>
            <w:tcW w:w="351" w:type="pct"/>
            <w:tcBorders>
              <w:top w:val="nil"/>
              <w:left w:val="nil"/>
              <w:right w:val="nil"/>
            </w:tcBorders>
            <w:shd w:val="clear" w:color="auto" w:fill="auto"/>
            <w:noWrap/>
            <w:vAlign w:val="bottom"/>
            <w:hideMark/>
          </w:tcPr>
          <w:p w14:paraId="4B09C0B1"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1,2</w:t>
            </w:r>
          </w:p>
        </w:tc>
        <w:tc>
          <w:tcPr>
            <w:tcW w:w="422" w:type="pct"/>
            <w:tcBorders>
              <w:top w:val="nil"/>
              <w:left w:val="nil"/>
              <w:right w:val="nil"/>
            </w:tcBorders>
            <w:shd w:val="clear" w:color="auto" w:fill="auto"/>
            <w:noWrap/>
            <w:vAlign w:val="bottom"/>
            <w:hideMark/>
          </w:tcPr>
          <w:p w14:paraId="50323665"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2,0</w:t>
            </w:r>
          </w:p>
        </w:tc>
        <w:tc>
          <w:tcPr>
            <w:tcW w:w="422" w:type="pct"/>
            <w:tcBorders>
              <w:top w:val="nil"/>
              <w:left w:val="nil"/>
              <w:right w:val="nil"/>
            </w:tcBorders>
            <w:shd w:val="clear" w:color="auto" w:fill="auto"/>
            <w:noWrap/>
            <w:vAlign w:val="bottom"/>
            <w:hideMark/>
          </w:tcPr>
          <w:p w14:paraId="315D9057"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4,1</w:t>
            </w:r>
          </w:p>
        </w:tc>
        <w:tc>
          <w:tcPr>
            <w:tcW w:w="422" w:type="pct"/>
            <w:tcBorders>
              <w:top w:val="nil"/>
              <w:left w:val="nil"/>
              <w:right w:val="nil"/>
            </w:tcBorders>
            <w:shd w:val="clear" w:color="auto" w:fill="auto"/>
            <w:noWrap/>
            <w:vAlign w:val="bottom"/>
            <w:hideMark/>
          </w:tcPr>
          <w:p w14:paraId="6D7736AA"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6,6</w:t>
            </w:r>
          </w:p>
        </w:tc>
        <w:tc>
          <w:tcPr>
            <w:tcW w:w="422" w:type="pct"/>
            <w:tcBorders>
              <w:top w:val="nil"/>
              <w:left w:val="nil"/>
              <w:right w:val="nil"/>
            </w:tcBorders>
            <w:shd w:val="clear" w:color="auto" w:fill="auto"/>
            <w:noWrap/>
            <w:vAlign w:val="bottom"/>
            <w:hideMark/>
          </w:tcPr>
          <w:p w14:paraId="11790887"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10,9</w:t>
            </w:r>
          </w:p>
        </w:tc>
        <w:tc>
          <w:tcPr>
            <w:tcW w:w="422" w:type="pct"/>
            <w:tcBorders>
              <w:top w:val="nil"/>
              <w:left w:val="nil"/>
              <w:right w:val="nil"/>
            </w:tcBorders>
            <w:shd w:val="clear" w:color="auto" w:fill="auto"/>
            <w:noWrap/>
            <w:vAlign w:val="bottom"/>
            <w:hideMark/>
          </w:tcPr>
          <w:p w14:paraId="6B48E4C1"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10,6</w:t>
            </w:r>
          </w:p>
        </w:tc>
        <w:tc>
          <w:tcPr>
            <w:tcW w:w="422" w:type="pct"/>
            <w:tcBorders>
              <w:top w:val="nil"/>
              <w:left w:val="nil"/>
              <w:right w:val="nil"/>
            </w:tcBorders>
            <w:shd w:val="clear" w:color="auto" w:fill="auto"/>
            <w:noWrap/>
            <w:vAlign w:val="bottom"/>
            <w:hideMark/>
          </w:tcPr>
          <w:p w14:paraId="667CA56A"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10,5</w:t>
            </w:r>
          </w:p>
        </w:tc>
        <w:tc>
          <w:tcPr>
            <w:tcW w:w="425" w:type="pct"/>
            <w:tcBorders>
              <w:top w:val="nil"/>
              <w:left w:val="nil"/>
              <w:right w:val="nil"/>
            </w:tcBorders>
            <w:shd w:val="clear" w:color="auto" w:fill="auto"/>
            <w:noWrap/>
            <w:vAlign w:val="bottom"/>
            <w:hideMark/>
          </w:tcPr>
          <w:p w14:paraId="56E2C386"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10,4</w:t>
            </w:r>
          </w:p>
        </w:tc>
      </w:tr>
      <w:tr w:rsidR="001579BE" w:rsidRPr="00AB6853" w14:paraId="793BCCC1" w14:textId="77777777" w:rsidTr="00377237">
        <w:trPr>
          <w:trHeight w:val="310"/>
        </w:trPr>
        <w:tc>
          <w:tcPr>
            <w:tcW w:w="172" w:type="pct"/>
            <w:tcBorders>
              <w:top w:val="nil"/>
              <w:left w:val="nil"/>
              <w:bottom w:val="nil"/>
              <w:right w:val="nil"/>
            </w:tcBorders>
            <w:shd w:val="clear" w:color="auto" w:fill="auto"/>
            <w:noWrap/>
            <w:vAlign w:val="bottom"/>
            <w:hideMark/>
          </w:tcPr>
          <w:p w14:paraId="7B9ACC63"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3</w:t>
            </w:r>
          </w:p>
        </w:tc>
        <w:tc>
          <w:tcPr>
            <w:tcW w:w="994" w:type="pct"/>
            <w:tcBorders>
              <w:top w:val="nil"/>
              <w:left w:val="nil"/>
              <w:right w:val="nil"/>
            </w:tcBorders>
            <w:shd w:val="clear" w:color="auto" w:fill="auto"/>
            <w:noWrap/>
            <w:vAlign w:val="bottom"/>
            <w:hideMark/>
          </w:tcPr>
          <w:p w14:paraId="7C9FE25B"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China</w:t>
            </w:r>
          </w:p>
        </w:tc>
        <w:tc>
          <w:tcPr>
            <w:tcW w:w="526" w:type="pct"/>
            <w:tcBorders>
              <w:top w:val="nil"/>
              <w:left w:val="nil"/>
              <w:right w:val="nil"/>
            </w:tcBorders>
            <w:shd w:val="clear" w:color="auto" w:fill="auto"/>
            <w:noWrap/>
            <w:vAlign w:val="bottom"/>
            <w:hideMark/>
          </w:tcPr>
          <w:p w14:paraId="1CBBA895"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3,7</w:t>
            </w:r>
          </w:p>
        </w:tc>
        <w:tc>
          <w:tcPr>
            <w:tcW w:w="351" w:type="pct"/>
            <w:tcBorders>
              <w:top w:val="nil"/>
              <w:left w:val="nil"/>
              <w:right w:val="nil"/>
            </w:tcBorders>
            <w:shd w:val="clear" w:color="auto" w:fill="auto"/>
            <w:noWrap/>
            <w:vAlign w:val="bottom"/>
            <w:hideMark/>
          </w:tcPr>
          <w:p w14:paraId="663F28C7"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13,8</w:t>
            </w:r>
          </w:p>
        </w:tc>
        <w:tc>
          <w:tcPr>
            <w:tcW w:w="422" w:type="pct"/>
            <w:tcBorders>
              <w:top w:val="nil"/>
              <w:left w:val="nil"/>
              <w:right w:val="nil"/>
            </w:tcBorders>
            <w:shd w:val="clear" w:color="auto" w:fill="auto"/>
            <w:noWrap/>
            <w:vAlign w:val="bottom"/>
            <w:hideMark/>
          </w:tcPr>
          <w:p w14:paraId="200C5387"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9,4</w:t>
            </w:r>
          </w:p>
        </w:tc>
        <w:tc>
          <w:tcPr>
            <w:tcW w:w="422" w:type="pct"/>
            <w:tcBorders>
              <w:top w:val="nil"/>
              <w:left w:val="nil"/>
              <w:right w:val="nil"/>
            </w:tcBorders>
            <w:shd w:val="clear" w:color="auto" w:fill="auto"/>
            <w:noWrap/>
            <w:vAlign w:val="bottom"/>
            <w:hideMark/>
          </w:tcPr>
          <w:p w14:paraId="13ED37D7"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0,2</w:t>
            </w:r>
          </w:p>
        </w:tc>
        <w:tc>
          <w:tcPr>
            <w:tcW w:w="422" w:type="pct"/>
            <w:tcBorders>
              <w:top w:val="nil"/>
              <w:left w:val="nil"/>
              <w:right w:val="nil"/>
            </w:tcBorders>
            <w:shd w:val="clear" w:color="auto" w:fill="auto"/>
            <w:noWrap/>
            <w:vAlign w:val="bottom"/>
            <w:hideMark/>
          </w:tcPr>
          <w:p w14:paraId="0E83E5C3"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0,9</w:t>
            </w:r>
          </w:p>
        </w:tc>
        <w:tc>
          <w:tcPr>
            <w:tcW w:w="422" w:type="pct"/>
            <w:tcBorders>
              <w:top w:val="nil"/>
              <w:left w:val="nil"/>
              <w:right w:val="nil"/>
            </w:tcBorders>
            <w:shd w:val="clear" w:color="auto" w:fill="auto"/>
            <w:noWrap/>
            <w:vAlign w:val="bottom"/>
            <w:hideMark/>
          </w:tcPr>
          <w:p w14:paraId="75121538"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3,1</w:t>
            </w:r>
          </w:p>
        </w:tc>
        <w:tc>
          <w:tcPr>
            <w:tcW w:w="422" w:type="pct"/>
            <w:tcBorders>
              <w:top w:val="nil"/>
              <w:left w:val="nil"/>
              <w:right w:val="nil"/>
            </w:tcBorders>
            <w:shd w:val="clear" w:color="auto" w:fill="auto"/>
            <w:noWrap/>
            <w:vAlign w:val="bottom"/>
            <w:hideMark/>
          </w:tcPr>
          <w:p w14:paraId="51C50C10"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5,4</w:t>
            </w:r>
          </w:p>
        </w:tc>
        <w:tc>
          <w:tcPr>
            <w:tcW w:w="422" w:type="pct"/>
            <w:tcBorders>
              <w:top w:val="nil"/>
              <w:left w:val="nil"/>
              <w:right w:val="nil"/>
            </w:tcBorders>
            <w:shd w:val="clear" w:color="auto" w:fill="auto"/>
            <w:noWrap/>
            <w:vAlign w:val="bottom"/>
            <w:hideMark/>
          </w:tcPr>
          <w:p w14:paraId="0F6CB26F"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10,6</w:t>
            </w:r>
          </w:p>
        </w:tc>
        <w:tc>
          <w:tcPr>
            <w:tcW w:w="425" w:type="pct"/>
            <w:tcBorders>
              <w:top w:val="nil"/>
              <w:left w:val="nil"/>
              <w:right w:val="nil"/>
            </w:tcBorders>
            <w:shd w:val="clear" w:color="auto" w:fill="auto"/>
            <w:noWrap/>
            <w:vAlign w:val="bottom"/>
            <w:hideMark/>
          </w:tcPr>
          <w:p w14:paraId="58060006"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10,0</w:t>
            </w:r>
          </w:p>
        </w:tc>
      </w:tr>
      <w:tr w:rsidR="001579BE" w:rsidRPr="00AB6853" w14:paraId="6B1DE8F4" w14:textId="77777777" w:rsidTr="00377237">
        <w:trPr>
          <w:trHeight w:val="310"/>
        </w:trPr>
        <w:tc>
          <w:tcPr>
            <w:tcW w:w="172" w:type="pct"/>
            <w:tcBorders>
              <w:top w:val="nil"/>
              <w:left w:val="nil"/>
              <w:bottom w:val="nil"/>
              <w:right w:val="nil"/>
            </w:tcBorders>
            <w:shd w:val="clear" w:color="auto" w:fill="auto"/>
            <w:noWrap/>
            <w:vAlign w:val="bottom"/>
            <w:hideMark/>
          </w:tcPr>
          <w:p w14:paraId="062AFB8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4</w:t>
            </w:r>
          </w:p>
        </w:tc>
        <w:tc>
          <w:tcPr>
            <w:tcW w:w="994" w:type="pct"/>
            <w:tcBorders>
              <w:top w:val="nil"/>
              <w:left w:val="nil"/>
              <w:right w:val="nil"/>
            </w:tcBorders>
            <w:shd w:val="clear" w:color="auto" w:fill="auto"/>
            <w:noWrap/>
            <w:vAlign w:val="bottom"/>
            <w:hideMark/>
          </w:tcPr>
          <w:p w14:paraId="39FF5337"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Turquía</w:t>
            </w:r>
          </w:p>
        </w:tc>
        <w:tc>
          <w:tcPr>
            <w:tcW w:w="526" w:type="pct"/>
            <w:tcBorders>
              <w:top w:val="nil"/>
              <w:left w:val="nil"/>
              <w:right w:val="nil"/>
            </w:tcBorders>
            <w:shd w:val="clear" w:color="auto" w:fill="auto"/>
            <w:noWrap/>
            <w:vAlign w:val="bottom"/>
            <w:hideMark/>
          </w:tcPr>
          <w:p w14:paraId="1328262C"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0,9</w:t>
            </w:r>
          </w:p>
        </w:tc>
        <w:tc>
          <w:tcPr>
            <w:tcW w:w="351" w:type="pct"/>
            <w:tcBorders>
              <w:top w:val="nil"/>
              <w:left w:val="nil"/>
              <w:right w:val="nil"/>
            </w:tcBorders>
            <w:shd w:val="clear" w:color="auto" w:fill="auto"/>
            <w:noWrap/>
            <w:vAlign w:val="bottom"/>
            <w:hideMark/>
          </w:tcPr>
          <w:p w14:paraId="064D1A83"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0,0</w:t>
            </w:r>
          </w:p>
        </w:tc>
        <w:tc>
          <w:tcPr>
            <w:tcW w:w="422" w:type="pct"/>
            <w:tcBorders>
              <w:top w:val="nil"/>
              <w:left w:val="nil"/>
              <w:right w:val="nil"/>
            </w:tcBorders>
            <w:shd w:val="clear" w:color="auto" w:fill="auto"/>
            <w:noWrap/>
            <w:vAlign w:val="bottom"/>
            <w:hideMark/>
          </w:tcPr>
          <w:p w14:paraId="56FED3BA"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0,3</w:t>
            </w:r>
          </w:p>
        </w:tc>
        <w:tc>
          <w:tcPr>
            <w:tcW w:w="422" w:type="pct"/>
            <w:tcBorders>
              <w:top w:val="nil"/>
              <w:left w:val="nil"/>
              <w:right w:val="nil"/>
            </w:tcBorders>
            <w:shd w:val="clear" w:color="auto" w:fill="auto"/>
            <w:noWrap/>
            <w:vAlign w:val="bottom"/>
            <w:hideMark/>
          </w:tcPr>
          <w:p w14:paraId="090D72FF"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0,4</w:t>
            </w:r>
          </w:p>
        </w:tc>
        <w:tc>
          <w:tcPr>
            <w:tcW w:w="422" w:type="pct"/>
            <w:tcBorders>
              <w:top w:val="nil"/>
              <w:left w:val="nil"/>
              <w:right w:val="nil"/>
            </w:tcBorders>
            <w:shd w:val="clear" w:color="auto" w:fill="auto"/>
            <w:noWrap/>
            <w:vAlign w:val="bottom"/>
            <w:hideMark/>
          </w:tcPr>
          <w:p w14:paraId="64014DBE"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3,7</w:t>
            </w:r>
          </w:p>
        </w:tc>
        <w:tc>
          <w:tcPr>
            <w:tcW w:w="422" w:type="pct"/>
            <w:tcBorders>
              <w:top w:val="nil"/>
              <w:left w:val="nil"/>
              <w:right w:val="nil"/>
            </w:tcBorders>
            <w:shd w:val="clear" w:color="auto" w:fill="auto"/>
            <w:noWrap/>
            <w:vAlign w:val="bottom"/>
            <w:hideMark/>
          </w:tcPr>
          <w:p w14:paraId="21105934"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6,4</w:t>
            </w:r>
          </w:p>
        </w:tc>
        <w:tc>
          <w:tcPr>
            <w:tcW w:w="422" w:type="pct"/>
            <w:tcBorders>
              <w:top w:val="nil"/>
              <w:left w:val="nil"/>
              <w:right w:val="nil"/>
            </w:tcBorders>
            <w:shd w:val="clear" w:color="auto" w:fill="auto"/>
            <w:noWrap/>
            <w:vAlign w:val="bottom"/>
            <w:hideMark/>
          </w:tcPr>
          <w:p w14:paraId="0B3AD7F1"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10,9</w:t>
            </w:r>
          </w:p>
        </w:tc>
        <w:tc>
          <w:tcPr>
            <w:tcW w:w="422" w:type="pct"/>
            <w:tcBorders>
              <w:top w:val="nil"/>
              <w:left w:val="nil"/>
              <w:right w:val="nil"/>
            </w:tcBorders>
            <w:shd w:val="clear" w:color="auto" w:fill="auto"/>
            <w:noWrap/>
            <w:vAlign w:val="bottom"/>
            <w:hideMark/>
          </w:tcPr>
          <w:p w14:paraId="6B7AE6EE"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8,1</w:t>
            </w:r>
          </w:p>
        </w:tc>
        <w:tc>
          <w:tcPr>
            <w:tcW w:w="425" w:type="pct"/>
            <w:tcBorders>
              <w:top w:val="nil"/>
              <w:left w:val="nil"/>
              <w:right w:val="nil"/>
            </w:tcBorders>
            <w:shd w:val="clear" w:color="auto" w:fill="auto"/>
            <w:noWrap/>
            <w:vAlign w:val="bottom"/>
            <w:hideMark/>
          </w:tcPr>
          <w:p w14:paraId="64FA230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10,0</w:t>
            </w:r>
          </w:p>
        </w:tc>
      </w:tr>
      <w:tr w:rsidR="001579BE" w:rsidRPr="00AB6853" w14:paraId="23718A2E" w14:textId="77777777" w:rsidTr="00377237">
        <w:trPr>
          <w:trHeight w:val="310"/>
        </w:trPr>
        <w:tc>
          <w:tcPr>
            <w:tcW w:w="172" w:type="pct"/>
            <w:tcBorders>
              <w:top w:val="nil"/>
              <w:left w:val="nil"/>
              <w:bottom w:val="nil"/>
              <w:right w:val="nil"/>
            </w:tcBorders>
            <w:shd w:val="clear" w:color="auto" w:fill="auto"/>
            <w:noWrap/>
            <w:vAlign w:val="bottom"/>
            <w:hideMark/>
          </w:tcPr>
          <w:p w14:paraId="757EC1B0"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5</w:t>
            </w:r>
          </w:p>
        </w:tc>
        <w:tc>
          <w:tcPr>
            <w:tcW w:w="994" w:type="pct"/>
            <w:tcBorders>
              <w:top w:val="nil"/>
              <w:left w:val="nil"/>
              <w:right w:val="nil"/>
            </w:tcBorders>
            <w:shd w:val="clear" w:color="auto" w:fill="auto"/>
            <w:noWrap/>
            <w:vAlign w:val="bottom"/>
            <w:hideMark/>
          </w:tcPr>
          <w:p w14:paraId="1AD97041"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Bangladesh</w:t>
            </w:r>
          </w:p>
        </w:tc>
        <w:tc>
          <w:tcPr>
            <w:tcW w:w="526" w:type="pct"/>
            <w:tcBorders>
              <w:top w:val="nil"/>
              <w:left w:val="nil"/>
              <w:right w:val="nil"/>
            </w:tcBorders>
            <w:shd w:val="clear" w:color="auto" w:fill="auto"/>
            <w:noWrap/>
            <w:vAlign w:val="bottom"/>
            <w:hideMark/>
          </w:tcPr>
          <w:p w14:paraId="22B4361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0,0</w:t>
            </w:r>
          </w:p>
        </w:tc>
        <w:tc>
          <w:tcPr>
            <w:tcW w:w="351" w:type="pct"/>
            <w:tcBorders>
              <w:top w:val="nil"/>
              <w:left w:val="nil"/>
              <w:right w:val="nil"/>
            </w:tcBorders>
            <w:shd w:val="clear" w:color="auto" w:fill="auto"/>
            <w:noWrap/>
            <w:vAlign w:val="bottom"/>
            <w:hideMark/>
          </w:tcPr>
          <w:p w14:paraId="768B1CD0"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1,0</w:t>
            </w:r>
          </w:p>
        </w:tc>
        <w:tc>
          <w:tcPr>
            <w:tcW w:w="422" w:type="pct"/>
            <w:tcBorders>
              <w:top w:val="nil"/>
              <w:left w:val="nil"/>
              <w:right w:val="nil"/>
            </w:tcBorders>
            <w:shd w:val="clear" w:color="auto" w:fill="auto"/>
            <w:noWrap/>
            <w:vAlign w:val="bottom"/>
            <w:hideMark/>
          </w:tcPr>
          <w:p w14:paraId="51DD5451"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1,4</w:t>
            </w:r>
          </w:p>
        </w:tc>
        <w:tc>
          <w:tcPr>
            <w:tcW w:w="422" w:type="pct"/>
            <w:tcBorders>
              <w:top w:val="nil"/>
              <w:left w:val="nil"/>
              <w:right w:val="nil"/>
            </w:tcBorders>
            <w:shd w:val="clear" w:color="auto" w:fill="auto"/>
            <w:noWrap/>
            <w:vAlign w:val="bottom"/>
            <w:hideMark/>
          </w:tcPr>
          <w:p w14:paraId="32F891E6"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1,3</w:t>
            </w:r>
          </w:p>
        </w:tc>
        <w:tc>
          <w:tcPr>
            <w:tcW w:w="422" w:type="pct"/>
            <w:tcBorders>
              <w:top w:val="nil"/>
              <w:left w:val="nil"/>
              <w:right w:val="nil"/>
            </w:tcBorders>
            <w:shd w:val="clear" w:color="auto" w:fill="auto"/>
            <w:noWrap/>
            <w:vAlign w:val="bottom"/>
            <w:hideMark/>
          </w:tcPr>
          <w:p w14:paraId="050202AB"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4,0</w:t>
            </w:r>
          </w:p>
        </w:tc>
        <w:tc>
          <w:tcPr>
            <w:tcW w:w="422" w:type="pct"/>
            <w:tcBorders>
              <w:top w:val="nil"/>
              <w:left w:val="nil"/>
              <w:right w:val="nil"/>
            </w:tcBorders>
            <w:shd w:val="clear" w:color="auto" w:fill="auto"/>
            <w:noWrap/>
            <w:vAlign w:val="bottom"/>
            <w:hideMark/>
          </w:tcPr>
          <w:p w14:paraId="392D12FE"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5,1</w:t>
            </w:r>
          </w:p>
        </w:tc>
        <w:tc>
          <w:tcPr>
            <w:tcW w:w="422" w:type="pct"/>
            <w:tcBorders>
              <w:top w:val="nil"/>
              <w:left w:val="nil"/>
              <w:right w:val="nil"/>
            </w:tcBorders>
            <w:shd w:val="clear" w:color="auto" w:fill="auto"/>
            <w:noWrap/>
            <w:vAlign w:val="bottom"/>
            <w:hideMark/>
          </w:tcPr>
          <w:p w14:paraId="113E6EF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6,8</w:t>
            </w:r>
          </w:p>
        </w:tc>
        <w:tc>
          <w:tcPr>
            <w:tcW w:w="422" w:type="pct"/>
            <w:tcBorders>
              <w:top w:val="nil"/>
              <w:left w:val="nil"/>
              <w:right w:val="nil"/>
            </w:tcBorders>
            <w:shd w:val="clear" w:color="auto" w:fill="auto"/>
            <w:noWrap/>
            <w:vAlign w:val="bottom"/>
            <w:hideMark/>
          </w:tcPr>
          <w:p w14:paraId="2332F72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7,2</w:t>
            </w:r>
          </w:p>
        </w:tc>
        <w:tc>
          <w:tcPr>
            <w:tcW w:w="425" w:type="pct"/>
            <w:tcBorders>
              <w:top w:val="nil"/>
              <w:left w:val="nil"/>
              <w:right w:val="nil"/>
            </w:tcBorders>
            <w:shd w:val="clear" w:color="auto" w:fill="auto"/>
            <w:noWrap/>
            <w:vAlign w:val="bottom"/>
            <w:hideMark/>
          </w:tcPr>
          <w:p w14:paraId="753F962F"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7,4</w:t>
            </w:r>
          </w:p>
        </w:tc>
      </w:tr>
      <w:tr w:rsidR="001579BE" w:rsidRPr="00AB6853" w14:paraId="326E1D03" w14:textId="77777777" w:rsidTr="00377237">
        <w:trPr>
          <w:trHeight w:val="310"/>
        </w:trPr>
        <w:tc>
          <w:tcPr>
            <w:tcW w:w="172" w:type="pct"/>
            <w:tcBorders>
              <w:top w:val="nil"/>
              <w:left w:val="nil"/>
              <w:bottom w:val="nil"/>
              <w:right w:val="nil"/>
            </w:tcBorders>
            <w:shd w:val="clear" w:color="auto" w:fill="auto"/>
            <w:noWrap/>
            <w:vAlign w:val="bottom"/>
            <w:hideMark/>
          </w:tcPr>
          <w:p w14:paraId="55CEB8FD"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w:t>
            </w:r>
          </w:p>
        </w:tc>
        <w:tc>
          <w:tcPr>
            <w:tcW w:w="994" w:type="pct"/>
            <w:tcBorders>
              <w:top w:val="nil"/>
              <w:left w:val="nil"/>
              <w:right w:val="nil"/>
            </w:tcBorders>
            <w:shd w:val="clear" w:color="auto" w:fill="auto"/>
            <w:noWrap/>
            <w:vAlign w:val="bottom"/>
            <w:hideMark/>
          </w:tcPr>
          <w:p w14:paraId="769B972D"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Argelia</w:t>
            </w:r>
          </w:p>
        </w:tc>
        <w:tc>
          <w:tcPr>
            <w:tcW w:w="526" w:type="pct"/>
            <w:tcBorders>
              <w:top w:val="nil"/>
              <w:left w:val="nil"/>
              <w:right w:val="nil"/>
            </w:tcBorders>
            <w:shd w:val="clear" w:color="auto" w:fill="auto"/>
            <w:noWrap/>
            <w:vAlign w:val="bottom"/>
            <w:hideMark/>
          </w:tcPr>
          <w:p w14:paraId="4A038E4F"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0,6</w:t>
            </w:r>
          </w:p>
        </w:tc>
        <w:tc>
          <w:tcPr>
            <w:tcW w:w="351" w:type="pct"/>
            <w:tcBorders>
              <w:top w:val="nil"/>
              <w:left w:val="nil"/>
              <w:right w:val="nil"/>
            </w:tcBorders>
            <w:shd w:val="clear" w:color="auto" w:fill="auto"/>
            <w:noWrap/>
            <w:vAlign w:val="bottom"/>
            <w:hideMark/>
          </w:tcPr>
          <w:p w14:paraId="05775B5F"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2,3</w:t>
            </w:r>
          </w:p>
        </w:tc>
        <w:tc>
          <w:tcPr>
            <w:tcW w:w="422" w:type="pct"/>
            <w:tcBorders>
              <w:top w:val="nil"/>
              <w:left w:val="nil"/>
              <w:right w:val="nil"/>
            </w:tcBorders>
            <w:shd w:val="clear" w:color="auto" w:fill="auto"/>
            <w:noWrap/>
            <w:vAlign w:val="bottom"/>
            <w:hideMark/>
          </w:tcPr>
          <w:p w14:paraId="4EF909DA"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4,4</w:t>
            </w:r>
          </w:p>
        </w:tc>
        <w:tc>
          <w:tcPr>
            <w:tcW w:w="422" w:type="pct"/>
            <w:tcBorders>
              <w:top w:val="nil"/>
              <w:left w:val="nil"/>
              <w:right w:val="nil"/>
            </w:tcBorders>
            <w:shd w:val="clear" w:color="auto" w:fill="auto"/>
            <w:noWrap/>
            <w:vAlign w:val="bottom"/>
            <w:hideMark/>
          </w:tcPr>
          <w:p w14:paraId="42FBCED4"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5,6</w:t>
            </w:r>
          </w:p>
        </w:tc>
        <w:tc>
          <w:tcPr>
            <w:tcW w:w="422" w:type="pct"/>
            <w:tcBorders>
              <w:top w:val="nil"/>
              <w:left w:val="nil"/>
              <w:right w:val="nil"/>
            </w:tcBorders>
            <w:shd w:val="clear" w:color="auto" w:fill="auto"/>
            <w:noWrap/>
            <w:vAlign w:val="bottom"/>
            <w:hideMark/>
          </w:tcPr>
          <w:p w14:paraId="513A84AA"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6,5</w:t>
            </w:r>
          </w:p>
        </w:tc>
        <w:tc>
          <w:tcPr>
            <w:tcW w:w="422" w:type="pct"/>
            <w:tcBorders>
              <w:top w:val="nil"/>
              <w:left w:val="nil"/>
              <w:right w:val="nil"/>
            </w:tcBorders>
            <w:shd w:val="clear" w:color="auto" w:fill="auto"/>
            <w:noWrap/>
            <w:vAlign w:val="bottom"/>
            <w:hideMark/>
          </w:tcPr>
          <w:p w14:paraId="4D004BF1"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7,5</w:t>
            </w:r>
          </w:p>
        </w:tc>
        <w:tc>
          <w:tcPr>
            <w:tcW w:w="422" w:type="pct"/>
            <w:tcBorders>
              <w:top w:val="nil"/>
              <w:left w:val="nil"/>
              <w:right w:val="nil"/>
            </w:tcBorders>
            <w:shd w:val="clear" w:color="auto" w:fill="auto"/>
            <w:noWrap/>
            <w:vAlign w:val="bottom"/>
            <w:hideMark/>
          </w:tcPr>
          <w:p w14:paraId="1F6E42C1"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7,1</w:t>
            </w:r>
          </w:p>
        </w:tc>
        <w:tc>
          <w:tcPr>
            <w:tcW w:w="422" w:type="pct"/>
            <w:tcBorders>
              <w:top w:val="nil"/>
              <w:left w:val="nil"/>
              <w:right w:val="nil"/>
            </w:tcBorders>
            <w:shd w:val="clear" w:color="auto" w:fill="auto"/>
            <w:noWrap/>
            <w:vAlign w:val="bottom"/>
            <w:hideMark/>
          </w:tcPr>
          <w:p w14:paraId="6403B6A9"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7,7</w:t>
            </w:r>
          </w:p>
        </w:tc>
        <w:tc>
          <w:tcPr>
            <w:tcW w:w="425" w:type="pct"/>
            <w:tcBorders>
              <w:top w:val="nil"/>
              <w:left w:val="nil"/>
              <w:right w:val="nil"/>
            </w:tcBorders>
            <w:shd w:val="clear" w:color="auto" w:fill="auto"/>
            <w:noWrap/>
            <w:vAlign w:val="bottom"/>
            <w:hideMark/>
          </w:tcPr>
          <w:p w14:paraId="7D835558"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7,0</w:t>
            </w:r>
          </w:p>
        </w:tc>
      </w:tr>
      <w:tr w:rsidR="001579BE" w:rsidRPr="00AB6853" w14:paraId="1634E829" w14:textId="77777777" w:rsidTr="00377237">
        <w:trPr>
          <w:trHeight w:val="310"/>
        </w:trPr>
        <w:tc>
          <w:tcPr>
            <w:tcW w:w="172" w:type="pct"/>
            <w:tcBorders>
              <w:top w:val="nil"/>
              <w:left w:val="nil"/>
              <w:bottom w:val="nil"/>
              <w:right w:val="nil"/>
            </w:tcBorders>
            <w:shd w:val="clear" w:color="auto" w:fill="auto"/>
            <w:noWrap/>
            <w:vAlign w:val="bottom"/>
            <w:hideMark/>
          </w:tcPr>
          <w:p w14:paraId="455BC24C"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w:t>
            </w:r>
          </w:p>
        </w:tc>
        <w:tc>
          <w:tcPr>
            <w:tcW w:w="994" w:type="pct"/>
            <w:tcBorders>
              <w:top w:val="nil"/>
              <w:left w:val="nil"/>
              <w:right w:val="nil"/>
            </w:tcBorders>
            <w:shd w:val="clear" w:color="auto" w:fill="auto"/>
            <w:noWrap/>
            <w:vAlign w:val="bottom"/>
            <w:hideMark/>
          </w:tcPr>
          <w:p w14:paraId="6C39BF04" w14:textId="77777777" w:rsidR="001579BE" w:rsidRPr="00234E9D" w:rsidRDefault="001579BE" w:rsidP="00377237">
            <w:pPr>
              <w:spacing w:after="0" w:line="240" w:lineRule="auto"/>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Brasil</w:t>
            </w:r>
          </w:p>
        </w:tc>
        <w:tc>
          <w:tcPr>
            <w:tcW w:w="526" w:type="pct"/>
            <w:tcBorders>
              <w:top w:val="nil"/>
              <w:left w:val="nil"/>
              <w:right w:val="nil"/>
            </w:tcBorders>
            <w:shd w:val="clear" w:color="auto" w:fill="auto"/>
            <w:noWrap/>
            <w:vAlign w:val="bottom"/>
            <w:hideMark/>
          </w:tcPr>
          <w:p w14:paraId="7E61DB62"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1,7</w:t>
            </w:r>
          </w:p>
        </w:tc>
        <w:tc>
          <w:tcPr>
            <w:tcW w:w="351" w:type="pct"/>
            <w:tcBorders>
              <w:top w:val="nil"/>
              <w:left w:val="nil"/>
              <w:right w:val="nil"/>
            </w:tcBorders>
            <w:shd w:val="clear" w:color="auto" w:fill="auto"/>
            <w:noWrap/>
            <w:vAlign w:val="bottom"/>
            <w:hideMark/>
          </w:tcPr>
          <w:p w14:paraId="0B2A4434"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3,9</w:t>
            </w:r>
          </w:p>
        </w:tc>
        <w:tc>
          <w:tcPr>
            <w:tcW w:w="422" w:type="pct"/>
            <w:tcBorders>
              <w:top w:val="nil"/>
              <w:left w:val="nil"/>
              <w:right w:val="nil"/>
            </w:tcBorders>
            <w:shd w:val="clear" w:color="auto" w:fill="auto"/>
            <w:noWrap/>
            <w:vAlign w:val="bottom"/>
            <w:hideMark/>
          </w:tcPr>
          <w:p w14:paraId="6F872D45"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4,4</w:t>
            </w:r>
          </w:p>
        </w:tc>
        <w:tc>
          <w:tcPr>
            <w:tcW w:w="422" w:type="pct"/>
            <w:tcBorders>
              <w:top w:val="nil"/>
              <w:left w:val="nil"/>
              <w:right w:val="nil"/>
            </w:tcBorders>
            <w:shd w:val="clear" w:color="auto" w:fill="auto"/>
            <w:noWrap/>
            <w:vAlign w:val="bottom"/>
            <w:hideMark/>
          </w:tcPr>
          <w:p w14:paraId="2FE09A9E"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7,2</w:t>
            </w:r>
          </w:p>
        </w:tc>
        <w:tc>
          <w:tcPr>
            <w:tcW w:w="422" w:type="pct"/>
            <w:tcBorders>
              <w:top w:val="nil"/>
              <w:left w:val="nil"/>
              <w:right w:val="nil"/>
            </w:tcBorders>
            <w:shd w:val="clear" w:color="auto" w:fill="auto"/>
            <w:noWrap/>
            <w:vAlign w:val="bottom"/>
            <w:hideMark/>
          </w:tcPr>
          <w:p w14:paraId="56985E43"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6,7</w:t>
            </w:r>
          </w:p>
        </w:tc>
        <w:tc>
          <w:tcPr>
            <w:tcW w:w="422" w:type="pct"/>
            <w:tcBorders>
              <w:top w:val="nil"/>
              <w:left w:val="nil"/>
              <w:right w:val="nil"/>
            </w:tcBorders>
            <w:shd w:val="clear" w:color="auto" w:fill="auto"/>
            <w:noWrap/>
            <w:vAlign w:val="bottom"/>
            <w:hideMark/>
          </w:tcPr>
          <w:p w14:paraId="2E651964"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7,0</w:t>
            </w:r>
          </w:p>
        </w:tc>
        <w:tc>
          <w:tcPr>
            <w:tcW w:w="422" w:type="pct"/>
            <w:tcBorders>
              <w:top w:val="nil"/>
              <w:left w:val="nil"/>
              <w:right w:val="nil"/>
            </w:tcBorders>
            <w:shd w:val="clear" w:color="auto" w:fill="auto"/>
            <w:noWrap/>
            <w:vAlign w:val="bottom"/>
            <w:hideMark/>
          </w:tcPr>
          <w:p w14:paraId="778BDE20"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7,0</w:t>
            </w:r>
          </w:p>
        </w:tc>
        <w:tc>
          <w:tcPr>
            <w:tcW w:w="422" w:type="pct"/>
            <w:tcBorders>
              <w:top w:val="nil"/>
              <w:left w:val="nil"/>
              <w:right w:val="nil"/>
            </w:tcBorders>
            <w:shd w:val="clear" w:color="auto" w:fill="auto"/>
            <w:noWrap/>
            <w:vAlign w:val="bottom"/>
            <w:hideMark/>
          </w:tcPr>
          <w:p w14:paraId="4BD578CC"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6,5</w:t>
            </w:r>
          </w:p>
        </w:tc>
        <w:tc>
          <w:tcPr>
            <w:tcW w:w="425" w:type="pct"/>
            <w:tcBorders>
              <w:top w:val="nil"/>
              <w:left w:val="nil"/>
              <w:right w:val="nil"/>
            </w:tcBorders>
            <w:shd w:val="clear" w:color="auto" w:fill="auto"/>
            <w:noWrap/>
            <w:vAlign w:val="bottom"/>
            <w:hideMark/>
          </w:tcPr>
          <w:p w14:paraId="5787F7A9" w14:textId="77777777" w:rsidR="001579BE" w:rsidRPr="00234E9D"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234E9D">
              <w:rPr>
                <w:rFonts w:ascii="Times New Roman" w:eastAsia="Times New Roman" w:hAnsi="Times New Roman" w:cs="Times New Roman"/>
                <w:color w:val="000000"/>
                <w:sz w:val="20"/>
                <w:szCs w:val="20"/>
                <w:lang w:eastAsia="es-ES"/>
              </w:rPr>
              <w:t>6,5</w:t>
            </w:r>
          </w:p>
        </w:tc>
      </w:tr>
      <w:tr w:rsidR="001579BE" w:rsidRPr="00AB6853" w14:paraId="6F22A0BA" w14:textId="77777777" w:rsidTr="00377237">
        <w:trPr>
          <w:trHeight w:val="310"/>
        </w:trPr>
        <w:tc>
          <w:tcPr>
            <w:tcW w:w="172" w:type="pct"/>
            <w:tcBorders>
              <w:top w:val="nil"/>
              <w:left w:val="nil"/>
              <w:bottom w:val="nil"/>
              <w:right w:val="nil"/>
            </w:tcBorders>
            <w:shd w:val="clear" w:color="auto" w:fill="auto"/>
            <w:noWrap/>
            <w:vAlign w:val="bottom"/>
            <w:hideMark/>
          </w:tcPr>
          <w:p w14:paraId="06BB379A" w14:textId="77777777" w:rsidR="001579BE" w:rsidRPr="00234E9D"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94" w:type="pct"/>
            <w:tcBorders>
              <w:top w:val="nil"/>
              <w:left w:val="nil"/>
              <w:right w:val="nil"/>
            </w:tcBorders>
            <w:shd w:val="clear" w:color="auto" w:fill="auto"/>
            <w:noWrap/>
            <w:vAlign w:val="bottom"/>
            <w:hideMark/>
          </w:tcPr>
          <w:p w14:paraId="5750C617"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Otros</w:t>
            </w:r>
          </w:p>
        </w:tc>
        <w:tc>
          <w:tcPr>
            <w:tcW w:w="526" w:type="pct"/>
            <w:tcBorders>
              <w:top w:val="nil"/>
              <w:left w:val="nil"/>
              <w:right w:val="nil"/>
            </w:tcBorders>
            <w:shd w:val="clear" w:color="auto" w:fill="auto"/>
            <w:noWrap/>
            <w:vAlign w:val="bottom"/>
            <w:hideMark/>
          </w:tcPr>
          <w:p w14:paraId="50CC5492"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45,6</w:t>
            </w:r>
          </w:p>
        </w:tc>
        <w:tc>
          <w:tcPr>
            <w:tcW w:w="351" w:type="pct"/>
            <w:tcBorders>
              <w:top w:val="nil"/>
              <w:left w:val="nil"/>
              <w:right w:val="nil"/>
            </w:tcBorders>
            <w:shd w:val="clear" w:color="auto" w:fill="auto"/>
            <w:noWrap/>
            <w:vAlign w:val="bottom"/>
            <w:hideMark/>
          </w:tcPr>
          <w:p w14:paraId="49D53450"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61,9</w:t>
            </w:r>
          </w:p>
        </w:tc>
        <w:tc>
          <w:tcPr>
            <w:tcW w:w="422" w:type="pct"/>
            <w:tcBorders>
              <w:top w:val="nil"/>
              <w:left w:val="nil"/>
              <w:right w:val="nil"/>
            </w:tcBorders>
            <w:shd w:val="clear" w:color="auto" w:fill="auto"/>
            <w:noWrap/>
            <w:vAlign w:val="bottom"/>
            <w:hideMark/>
          </w:tcPr>
          <w:p w14:paraId="1344C1A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71,4</w:t>
            </w:r>
          </w:p>
        </w:tc>
        <w:tc>
          <w:tcPr>
            <w:tcW w:w="422" w:type="pct"/>
            <w:tcBorders>
              <w:top w:val="nil"/>
              <w:left w:val="nil"/>
              <w:right w:val="nil"/>
            </w:tcBorders>
            <w:shd w:val="clear" w:color="auto" w:fill="auto"/>
            <w:noWrap/>
            <w:vAlign w:val="bottom"/>
            <w:hideMark/>
          </w:tcPr>
          <w:p w14:paraId="4FC5B5F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74,5</w:t>
            </w:r>
          </w:p>
        </w:tc>
        <w:tc>
          <w:tcPr>
            <w:tcW w:w="422" w:type="pct"/>
            <w:tcBorders>
              <w:top w:val="nil"/>
              <w:left w:val="nil"/>
              <w:right w:val="nil"/>
            </w:tcBorders>
            <w:shd w:val="clear" w:color="auto" w:fill="auto"/>
            <w:noWrap/>
            <w:vAlign w:val="bottom"/>
            <w:hideMark/>
          </w:tcPr>
          <w:p w14:paraId="6EE21167"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92,9</w:t>
            </w:r>
          </w:p>
        </w:tc>
        <w:tc>
          <w:tcPr>
            <w:tcW w:w="422" w:type="pct"/>
            <w:tcBorders>
              <w:top w:val="nil"/>
              <w:left w:val="nil"/>
              <w:right w:val="nil"/>
            </w:tcBorders>
            <w:shd w:val="clear" w:color="auto" w:fill="auto"/>
            <w:noWrap/>
            <w:vAlign w:val="bottom"/>
            <w:hideMark/>
          </w:tcPr>
          <w:p w14:paraId="71C28C5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121,6</w:t>
            </w:r>
          </w:p>
        </w:tc>
        <w:tc>
          <w:tcPr>
            <w:tcW w:w="422" w:type="pct"/>
            <w:tcBorders>
              <w:top w:val="nil"/>
              <w:left w:val="nil"/>
              <w:right w:val="nil"/>
            </w:tcBorders>
            <w:shd w:val="clear" w:color="auto" w:fill="auto"/>
            <w:noWrap/>
            <w:vAlign w:val="bottom"/>
            <w:hideMark/>
          </w:tcPr>
          <w:p w14:paraId="4F8F8DA6"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126,8</w:t>
            </w:r>
          </w:p>
        </w:tc>
        <w:tc>
          <w:tcPr>
            <w:tcW w:w="422" w:type="pct"/>
            <w:tcBorders>
              <w:top w:val="nil"/>
              <w:left w:val="nil"/>
              <w:right w:val="nil"/>
            </w:tcBorders>
            <w:shd w:val="clear" w:color="auto" w:fill="auto"/>
            <w:noWrap/>
            <w:vAlign w:val="bottom"/>
            <w:hideMark/>
          </w:tcPr>
          <w:p w14:paraId="5139E641"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131,4</w:t>
            </w:r>
          </w:p>
        </w:tc>
        <w:tc>
          <w:tcPr>
            <w:tcW w:w="425" w:type="pct"/>
            <w:tcBorders>
              <w:top w:val="nil"/>
              <w:left w:val="nil"/>
              <w:right w:val="nil"/>
            </w:tcBorders>
            <w:shd w:val="clear" w:color="auto" w:fill="auto"/>
            <w:noWrap/>
            <w:vAlign w:val="bottom"/>
            <w:hideMark/>
          </w:tcPr>
          <w:p w14:paraId="35433A5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133,7</w:t>
            </w:r>
          </w:p>
        </w:tc>
      </w:tr>
      <w:tr w:rsidR="001579BE" w:rsidRPr="00AB6853" w14:paraId="26677BCE" w14:textId="77777777" w:rsidTr="00377237">
        <w:trPr>
          <w:trHeight w:val="310"/>
        </w:trPr>
        <w:tc>
          <w:tcPr>
            <w:tcW w:w="172" w:type="pct"/>
            <w:tcBorders>
              <w:top w:val="nil"/>
              <w:left w:val="nil"/>
              <w:bottom w:val="nil"/>
              <w:right w:val="nil"/>
            </w:tcBorders>
            <w:shd w:val="clear" w:color="auto" w:fill="auto"/>
            <w:noWrap/>
            <w:vAlign w:val="bottom"/>
            <w:hideMark/>
          </w:tcPr>
          <w:p w14:paraId="1E7D0073"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p>
        </w:tc>
        <w:tc>
          <w:tcPr>
            <w:tcW w:w="994" w:type="pct"/>
            <w:tcBorders>
              <w:left w:val="nil"/>
              <w:bottom w:val="single" w:sz="4" w:space="0" w:color="auto"/>
              <w:right w:val="nil"/>
            </w:tcBorders>
            <w:shd w:val="clear" w:color="auto" w:fill="auto"/>
            <w:noWrap/>
            <w:vAlign w:val="bottom"/>
            <w:hideMark/>
          </w:tcPr>
          <w:p w14:paraId="3C86FF70" w14:textId="77777777" w:rsidR="001579BE" w:rsidRPr="00AB6853" w:rsidRDefault="001579BE" w:rsidP="00377237">
            <w:pPr>
              <w:spacing w:after="0" w:line="240" w:lineRule="auto"/>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Mundo</w:t>
            </w:r>
          </w:p>
        </w:tc>
        <w:tc>
          <w:tcPr>
            <w:tcW w:w="526" w:type="pct"/>
            <w:tcBorders>
              <w:left w:val="nil"/>
              <w:bottom w:val="single" w:sz="4" w:space="0" w:color="auto"/>
              <w:right w:val="nil"/>
            </w:tcBorders>
            <w:shd w:val="clear" w:color="auto" w:fill="auto"/>
            <w:noWrap/>
            <w:vAlign w:val="bottom"/>
            <w:hideMark/>
          </w:tcPr>
          <w:p w14:paraId="2202465A"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55,8</w:t>
            </w:r>
          </w:p>
        </w:tc>
        <w:tc>
          <w:tcPr>
            <w:tcW w:w="351" w:type="pct"/>
            <w:tcBorders>
              <w:left w:val="nil"/>
              <w:bottom w:val="single" w:sz="4" w:space="0" w:color="auto"/>
              <w:right w:val="nil"/>
            </w:tcBorders>
            <w:shd w:val="clear" w:color="auto" w:fill="auto"/>
            <w:noWrap/>
            <w:vAlign w:val="bottom"/>
            <w:hideMark/>
          </w:tcPr>
          <w:p w14:paraId="4C51BC4B"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89,5</w:t>
            </w:r>
          </w:p>
        </w:tc>
        <w:tc>
          <w:tcPr>
            <w:tcW w:w="422" w:type="pct"/>
            <w:tcBorders>
              <w:left w:val="nil"/>
              <w:bottom w:val="single" w:sz="4" w:space="0" w:color="auto"/>
              <w:right w:val="nil"/>
            </w:tcBorders>
            <w:shd w:val="clear" w:color="auto" w:fill="auto"/>
            <w:noWrap/>
            <w:vAlign w:val="bottom"/>
            <w:hideMark/>
          </w:tcPr>
          <w:p w14:paraId="76B15BAA"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99,0</w:t>
            </w:r>
          </w:p>
        </w:tc>
        <w:tc>
          <w:tcPr>
            <w:tcW w:w="422" w:type="pct"/>
            <w:tcBorders>
              <w:left w:val="nil"/>
              <w:bottom w:val="single" w:sz="4" w:space="0" w:color="auto"/>
              <w:right w:val="nil"/>
            </w:tcBorders>
            <w:shd w:val="clear" w:color="auto" w:fill="auto"/>
            <w:noWrap/>
            <w:vAlign w:val="bottom"/>
            <w:hideMark/>
          </w:tcPr>
          <w:p w14:paraId="0D168179"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99,3</w:t>
            </w:r>
          </w:p>
        </w:tc>
        <w:tc>
          <w:tcPr>
            <w:tcW w:w="422" w:type="pct"/>
            <w:tcBorders>
              <w:left w:val="nil"/>
              <w:bottom w:val="single" w:sz="4" w:space="0" w:color="auto"/>
              <w:right w:val="nil"/>
            </w:tcBorders>
            <w:shd w:val="clear" w:color="auto" w:fill="auto"/>
            <w:noWrap/>
            <w:vAlign w:val="bottom"/>
            <w:hideMark/>
          </w:tcPr>
          <w:p w14:paraId="3371A40C"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131,9</w:t>
            </w:r>
          </w:p>
        </w:tc>
        <w:tc>
          <w:tcPr>
            <w:tcW w:w="422" w:type="pct"/>
            <w:tcBorders>
              <w:left w:val="nil"/>
              <w:bottom w:val="single" w:sz="4" w:space="0" w:color="auto"/>
              <w:right w:val="nil"/>
            </w:tcBorders>
            <w:shd w:val="clear" w:color="auto" w:fill="auto"/>
            <w:noWrap/>
            <w:vAlign w:val="bottom"/>
            <w:hideMark/>
          </w:tcPr>
          <w:p w14:paraId="29AF36D4"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174,0</w:t>
            </w:r>
          </w:p>
        </w:tc>
        <w:tc>
          <w:tcPr>
            <w:tcW w:w="422" w:type="pct"/>
            <w:tcBorders>
              <w:left w:val="nil"/>
              <w:bottom w:val="single" w:sz="4" w:space="0" w:color="auto"/>
              <w:right w:val="nil"/>
            </w:tcBorders>
            <w:shd w:val="clear" w:color="auto" w:fill="auto"/>
            <w:noWrap/>
            <w:vAlign w:val="bottom"/>
            <w:hideMark/>
          </w:tcPr>
          <w:p w14:paraId="41D72E05"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187,4</w:t>
            </w:r>
          </w:p>
        </w:tc>
        <w:tc>
          <w:tcPr>
            <w:tcW w:w="422" w:type="pct"/>
            <w:tcBorders>
              <w:left w:val="nil"/>
              <w:bottom w:val="single" w:sz="4" w:space="0" w:color="auto"/>
              <w:right w:val="nil"/>
            </w:tcBorders>
            <w:shd w:val="clear" w:color="auto" w:fill="auto"/>
            <w:noWrap/>
            <w:vAlign w:val="bottom"/>
            <w:hideMark/>
          </w:tcPr>
          <w:p w14:paraId="770D48D5"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194,1</w:t>
            </w:r>
          </w:p>
        </w:tc>
        <w:tc>
          <w:tcPr>
            <w:tcW w:w="425" w:type="pct"/>
            <w:tcBorders>
              <w:left w:val="nil"/>
              <w:bottom w:val="single" w:sz="4" w:space="0" w:color="auto"/>
              <w:right w:val="nil"/>
            </w:tcBorders>
            <w:shd w:val="clear" w:color="auto" w:fill="auto"/>
            <w:noWrap/>
            <w:vAlign w:val="bottom"/>
            <w:hideMark/>
          </w:tcPr>
          <w:p w14:paraId="53B01D79" w14:textId="77777777" w:rsidR="001579BE" w:rsidRPr="00AB6853" w:rsidRDefault="001579BE" w:rsidP="00377237">
            <w:pPr>
              <w:spacing w:after="0" w:line="240" w:lineRule="auto"/>
              <w:jc w:val="right"/>
              <w:rPr>
                <w:rFonts w:ascii="Times New Roman" w:eastAsia="Times New Roman" w:hAnsi="Times New Roman" w:cs="Times New Roman"/>
                <w:i/>
                <w:iCs/>
                <w:color w:val="000000"/>
                <w:sz w:val="20"/>
                <w:szCs w:val="20"/>
                <w:lang w:eastAsia="es-ES"/>
              </w:rPr>
            </w:pPr>
            <w:r w:rsidRPr="00AB6853">
              <w:rPr>
                <w:rFonts w:ascii="Times New Roman" w:eastAsia="Times New Roman" w:hAnsi="Times New Roman" w:cs="Times New Roman"/>
                <w:i/>
                <w:iCs/>
                <w:color w:val="000000"/>
                <w:sz w:val="20"/>
                <w:szCs w:val="20"/>
                <w:lang w:eastAsia="es-ES"/>
              </w:rPr>
              <w:t>198,0</w:t>
            </w:r>
          </w:p>
        </w:tc>
      </w:tr>
    </w:tbl>
    <w:p w14:paraId="6B05674C" w14:textId="77777777" w:rsidR="001579BE" w:rsidRDefault="001579BE" w:rsidP="001579BE"/>
    <w:p w14:paraId="4958CA2A" w14:textId="77777777" w:rsidR="001579BE" w:rsidRPr="009F51ED" w:rsidRDefault="001579BE" w:rsidP="009F51ED">
      <w:pPr>
        <w:pStyle w:val="Ttulo3"/>
        <w:spacing w:line="360" w:lineRule="auto"/>
        <w:jc w:val="both"/>
        <w:rPr>
          <w:rFonts w:asciiTheme="majorBidi" w:hAnsiTheme="majorBidi"/>
          <w:b/>
          <w:bCs/>
          <w:color w:val="auto"/>
        </w:rPr>
      </w:pPr>
      <w:bookmarkStart w:id="69" w:name="_Toc137456627"/>
      <w:r w:rsidRPr="009F51ED">
        <w:rPr>
          <w:rFonts w:asciiTheme="majorBidi" w:hAnsiTheme="majorBidi"/>
          <w:b/>
          <w:bCs/>
          <w:color w:val="auto"/>
        </w:rPr>
        <w:t>Anexo III. Dependencia de las exportaciones de trigo rusas y ucranianas, por países importadores, para el año 2021. Elaboración propia con datos de (FAOSTAT, 2022).</w:t>
      </w:r>
      <w:bookmarkEnd w:id="69"/>
    </w:p>
    <w:tbl>
      <w:tblPr>
        <w:tblW w:w="0" w:type="auto"/>
        <w:tblLayout w:type="fixed"/>
        <w:tblCellMar>
          <w:left w:w="70" w:type="dxa"/>
          <w:right w:w="70" w:type="dxa"/>
        </w:tblCellMar>
        <w:tblLook w:val="04A0" w:firstRow="1" w:lastRow="0" w:firstColumn="1" w:lastColumn="0" w:noHBand="0" w:noVBand="1"/>
      </w:tblPr>
      <w:tblGrid>
        <w:gridCol w:w="1444"/>
        <w:gridCol w:w="1108"/>
        <w:gridCol w:w="1417"/>
        <w:gridCol w:w="1701"/>
        <w:gridCol w:w="1560"/>
        <w:gridCol w:w="1274"/>
      </w:tblGrid>
      <w:tr w:rsidR="001579BE" w:rsidRPr="00A947EA" w14:paraId="27E1072C" w14:textId="77777777" w:rsidTr="00377237">
        <w:trPr>
          <w:trHeight w:val="320"/>
        </w:trPr>
        <w:tc>
          <w:tcPr>
            <w:tcW w:w="1444" w:type="dxa"/>
            <w:tcBorders>
              <w:top w:val="nil"/>
              <w:left w:val="nil"/>
              <w:bottom w:val="single" w:sz="8" w:space="0" w:color="auto"/>
              <w:right w:val="nil"/>
            </w:tcBorders>
            <w:shd w:val="clear" w:color="auto" w:fill="auto"/>
            <w:noWrap/>
            <w:hideMark/>
          </w:tcPr>
          <w:p w14:paraId="6E509B53"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País importador</w:t>
            </w:r>
          </w:p>
        </w:tc>
        <w:tc>
          <w:tcPr>
            <w:tcW w:w="1108" w:type="dxa"/>
            <w:tcBorders>
              <w:top w:val="nil"/>
              <w:left w:val="nil"/>
              <w:bottom w:val="single" w:sz="8" w:space="0" w:color="auto"/>
              <w:right w:val="nil"/>
            </w:tcBorders>
            <w:shd w:val="clear" w:color="auto" w:fill="auto"/>
            <w:noWrap/>
            <w:hideMark/>
          </w:tcPr>
          <w:p w14:paraId="2563B8D6"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País exportador</w:t>
            </w:r>
          </w:p>
        </w:tc>
        <w:tc>
          <w:tcPr>
            <w:tcW w:w="1417" w:type="dxa"/>
            <w:tcBorders>
              <w:top w:val="nil"/>
              <w:left w:val="nil"/>
              <w:bottom w:val="single" w:sz="8" w:space="0" w:color="auto"/>
              <w:right w:val="nil"/>
            </w:tcBorders>
            <w:shd w:val="clear" w:color="auto" w:fill="auto"/>
            <w:noWrap/>
            <w:vAlign w:val="center"/>
            <w:hideMark/>
          </w:tcPr>
          <w:p w14:paraId="7DB6C2FA"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Importaciones (t)</w:t>
            </w:r>
          </w:p>
        </w:tc>
        <w:tc>
          <w:tcPr>
            <w:tcW w:w="1701" w:type="dxa"/>
            <w:tcBorders>
              <w:top w:val="nil"/>
              <w:left w:val="nil"/>
              <w:bottom w:val="single" w:sz="8" w:space="0" w:color="auto"/>
              <w:right w:val="nil"/>
            </w:tcBorders>
            <w:shd w:val="clear" w:color="auto" w:fill="auto"/>
            <w:noWrap/>
            <w:vAlign w:val="center"/>
            <w:hideMark/>
          </w:tcPr>
          <w:p w14:paraId="6762FDD5"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Total importado (t)</w:t>
            </w:r>
          </w:p>
        </w:tc>
        <w:tc>
          <w:tcPr>
            <w:tcW w:w="1560" w:type="dxa"/>
            <w:tcBorders>
              <w:top w:val="nil"/>
              <w:left w:val="nil"/>
              <w:bottom w:val="single" w:sz="8" w:space="0" w:color="auto"/>
              <w:right w:val="nil"/>
            </w:tcBorders>
            <w:shd w:val="clear" w:color="auto" w:fill="auto"/>
            <w:noWrap/>
            <w:vAlign w:val="center"/>
            <w:hideMark/>
          </w:tcPr>
          <w:p w14:paraId="5BB0CEE3"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Dependencia del exportador</w:t>
            </w:r>
          </w:p>
        </w:tc>
        <w:tc>
          <w:tcPr>
            <w:tcW w:w="1274" w:type="dxa"/>
            <w:tcBorders>
              <w:top w:val="nil"/>
              <w:left w:val="nil"/>
              <w:bottom w:val="single" w:sz="8" w:space="0" w:color="auto"/>
              <w:right w:val="nil"/>
            </w:tcBorders>
            <w:shd w:val="clear" w:color="auto" w:fill="auto"/>
            <w:noWrap/>
            <w:vAlign w:val="bottom"/>
            <w:hideMark/>
          </w:tcPr>
          <w:p w14:paraId="28FDB3A2"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Dependencia total</w:t>
            </w:r>
          </w:p>
        </w:tc>
      </w:tr>
      <w:tr w:rsidR="001579BE" w:rsidRPr="00A947EA" w14:paraId="03CB56A3" w14:textId="77777777" w:rsidTr="00377237">
        <w:trPr>
          <w:trHeight w:val="310"/>
        </w:trPr>
        <w:tc>
          <w:tcPr>
            <w:tcW w:w="1444" w:type="dxa"/>
            <w:tcBorders>
              <w:top w:val="nil"/>
              <w:left w:val="nil"/>
              <w:bottom w:val="nil"/>
              <w:right w:val="nil"/>
            </w:tcBorders>
            <w:shd w:val="clear" w:color="auto" w:fill="auto"/>
            <w:noWrap/>
            <w:vAlign w:val="center"/>
            <w:hideMark/>
          </w:tcPr>
          <w:p w14:paraId="7EDCFB1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Albania</w:t>
            </w:r>
          </w:p>
        </w:tc>
        <w:tc>
          <w:tcPr>
            <w:tcW w:w="1108" w:type="dxa"/>
            <w:tcBorders>
              <w:top w:val="nil"/>
              <w:left w:val="nil"/>
              <w:bottom w:val="nil"/>
              <w:right w:val="nil"/>
            </w:tcBorders>
            <w:shd w:val="clear" w:color="auto" w:fill="auto"/>
            <w:noWrap/>
            <w:vAlign w:val="center"/>
            <w:hideMark/>
          </w:tcPr>
          <w:p w14:paraId="7E99DF4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018522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143.249</w:t>
            </w:r>
          </w:p>
        </w:tc>
        <w:tc>
          <w:tcPr>
            <w:tcW w:w="1701" w:type="dxa"/>
            <w:tcBorders>
              <w:top w:val="nil"/>
              <w:left w:val="nil"/>
              <w:bottom w:val="nil"/>
              <w:right w:val="nil"/>
            </w:tcBorders>
            <w:shd w:val="clear" w:color="auto" w:fill="auto"/>
            <w:noWrap/>
            <w:vAlign w:val="center"/>
            <w:hideMark/>
          </w:tcPr>
          <w:p w14:paraId="7013AF0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217.781</w:t>
            </w:r>
          </w:p>
        </w:tc>
        <w:tc>
          <w:tcPr>
            <w:tcW w:w="1560" w:type="dxa"/>
            <w:tcBorders>
              <w:top w:val="nil"/>
              <w:left w:val="nil"/>
              <w:bottom w:val="nil"/>
              <w:right w:val="nil"/>
            </w:tcBorders>
            <w:shd w:val="clear" w:color="auto" w:fill="auto"/>
            <w:noWrap/>
            <w:vAlign w:val="center"/>
            <w:hideMark/>
          </w:tcPr>
          <w:p w14:paraId="3E2D8C4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65,78%</w:t>
            </w:r>
          </w:p>
        </w:tc>
        <w:tc>
          <w:tcPr>
            <w:tcW w:w="1274" w:type="dxa"/>
            <w:vMerge w:val="restart"/>
            <w:tcBorders>
              <w:top w:val="nil"/>
              <w:left w:val="nil"/>
              <w:bottom w:val="single" w:sz="4" w:space="0" w:color="000000"/>
              <w:right w:val="nil"/>
            </w:tcBorders>
            <w:shd w:val="clear" w:color="auto" w:fill="auto"/>
            <w:noWrap/>
            <w:vAlign w:val="center"/>
            <w:hideMark/>
          </w:tcPr>
          <w:p w14:paraId="746C8F8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72,49%</w:t>
            </w:r>
          </w:p>
        </w:tc>
      </w:tr>
      <w:tr w:rsidR="001579BE" w:rsidRPr="00A947EA" w14:paraId="138AFF7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AC7530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Albania</w:t>
            </w:r>
          </w:p>
        </w:tc>
        <w:tc>
          <w:tcPr>
            <w:tcW w:w="1108" w:type="dxa"/>
            <w:tcBorders>
              <w:top w:val="nil"/>
              <w:left w:val="nil"/>
              <w:bottom w:val="single" w:sz="4" w:space="0" w:color="auto"/>
              <w:right w:val="nil"/>
            </w:tcBorders>
            <w:shd w:val="clear" w:color="auto" w:fill="auto"/>
            <w:noWrap/>
            <w:vAlign w:val="center"/>
            <w:hideMark/>
          </w:tcPr>
          <w:p w14:paraId="3BC8122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56D0BE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14.610</w:t>
            </w:r>
          </w:p>
        </w:tc>
        <w:tc>
          <w:tcPr>
            <w:tcW w:w="1701" w:type="dxa"/>
            <w:tcBorders>
              <w:top w:val="nil"/>
              <w:left w:val="nil"/>
              <w:bottom w:val="single" w:sz="4" w:space="0" w:color="auto"/>
              <w:right w:val="nil"/>
            </w:tcBorders>
            <w:shd w:val="clear" w:color="auto" w:fill="auto"/>
            <w:noWrap/>
            <w:vAlign w:val="center"/>
            <w:hideMark/>
          </w:tcPr>
          <w:p w14:paraId="436E7D6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217.781</w:t>
            </w:r>
          </w:p>
        </w:tc>
        <w:tc>
          <w:tcPr>
            <w:tcW w:w="1560" w:type="dxa"/>
            <w:tcBorders>
              <w:top w:val="nil"/>
              <w:left w:val="nil"/>
              <w:bottom w:val="single" w:sz="4" w:space="0" w:color="auto"/>
              <w:right w:val="nil"/>
            </w:tcBorders>
            <w:shd w:val="clear" w:color="auto" w:fill="auto"/>
            <w:noWrap/>
            <w:vAlign w:val="center"/>
            <w:hideMark/>
          </w:tcPr>
          <w:p w14:paraId="00CE96A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6,71%</w:t>
            </w:r>
          </w:p>
        </w:tc>
        <w:tc>
          <w:tcPr>
            <w:tcW w:w="1274" w:type="dxa"/>
            <w:vMerge/>
            <w:tcBorders>
              <w:top w:val="nil"/>
              <w:left w:val="nil"/>
              <w:bottom w:val="single" w:sz="4" w:space="0" w:color="000000"/>
              <w:right w:val="nil"/>
            </w:tcBorders>
            <w:vAlign w:val="center"/>
            <w:hideMark/>
          </w:tcPr>
          <w:p w14:paraId="1075D57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1F7BB6D" w14:textId="77777777" w:rsidTr="00377237">
        <w:trPr>
          <w:trHeight w:val="310"/>
        </w:trPr>
        <w:tc>
          <w:tcPr>
            <w:tcW w:w="1444" w:type="dxa"/>
            <w:tcBorders>
              <w:top w:val="nil"/>
              <w:left w:val="nil"/>
              <w:bottom w:val="nil"/>
              <w:right w:val="nil"/>
            </w:tcBorders>
            <w:shd w:val="clear" w:color="auto" w:fill="auto"/>
            <w:noWrap/>
            <w:vAlign w:val="center"/>
            <w:hideMark/>
          </w:tcPr>
          <w:p w14:paraId="56763C6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Argelia</w:t>
            </w:r>
          </w:p>
        </w:tc>
        <w:tc>
          <w:tcPr>
            <w:tcW w:w="1108" w:type="dxa"/>
            <w:tcBorders>
              <w:top w:val="nil"/>
              <w:left w:val="nil"/>
              <w:bottom w:val="nil"/>
              <w:right w:val="nil"/>
            </w:tcBorders>
            <w:shd w:val="clear" w:color="auto" w:fill="auto"/>
            <w:noWrap/>
            <w:vAlign w:val="center"/>
            <w:hideMark/>
          </w:tcPr>
          <w:p w14:paraId="10F8DD6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36538D3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329.885</w:t>
            </w:r>
          </w:p>
        </w:tc>
        <w:tc>
          <w:tcPr>
            <w:tcW w:w="1701" w:type="dxa"/>
            <w:tcBorders>
              <w:top w:val="nil"/>
              <w:left w:val="nil"/>
              <w:bottom w:val="nil"/>
              <w:right w:val="nil"/>
            </w:tcBorders>
            <w:shd w:val="clear" w:color="auto" w:fill="auto"/>
            <w:noWrap/>
            <w:vAlign w:val="center"/>
            <w:hideMark/>
          </w:tcPr>
          <w:p w14:paraId="3E5C6E8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8.025.246</w:t>
            </w:r>
          </w:p>
        </w:tc>
        <w:tc>
          <w:tcPr>
            <w:tcW w:w="1560" w:type="dxa"/>
            <w:tcBorders>
              <w:top w:val="nil"/>
              <w:left w:val="nil"/>
              <w:bottom w:val="nil"/>
              <w:right w:val="nil"/>
            </w:tcBorders>
            <w:shd w:val="clear" w:color="auto" w:fill="auto"/>
            <w:noWrap/>
            <w:vAlign w:val="center"/>
            <w:hideMark/>
          </w:tcPr>
          <w:p w14:paraId="7B09608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4,11%</w:t>
            </w:r>
          </w:p>
        </w:tc>
        <w:tc>
          <w:tcPr>
            <w:tcW w:w="1274" w:type="dxa"/>
            <w:vMerge w:val="restart"/>
            <w:tcBorders>
              <w:top w:val="nil"/>
              <w:left w:val="nil"/>
              <w:bottom w:val="single" w:sz="4" w:space="0" w:color="000000"/>
              <w:right w:val="nil"/>
            </w:tcBorders>
            <w:shd w:val="clear" w:color="auto" w:fill="auto"/>
            <w:noWrap/>
            <w:vAlign w:val="center"/>
            <w:hideMark/>
          </w:tcPr>
          <w:p w14:paraId="31C8DDF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5,43%</w:t>
            </w:r>
          </w:p>
        </w:tc>
      </w:tr>
      <w:tr w:rsidR="001579BE" w:rsidRPr="00A947EA" w14:paraId="6B84BBA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7DDF9A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Argelia</w:t>
            </w:r>
          </w:p>
        </w:tc>
        <w:tc>
          <w:tcPr>
            <w:tcW w:w="1108" w:type="dxa"/>
            <w:tcBorders>
              <w:top w:val="nil"/>
              <w:left w:val="nil"/>
              <w:bottom w:val="single" w:sz="4" w:space="0" w:color="auto"/>
              <w:right w:val="nil"/>
            </w:tcBorders>
            <w:shd w:val="clear" w:color="auto" w:fill="auto"/>
            <w:noWrap/>
            <w:vAlign w:val="center"/>
            <w:hideMark/>
          </w:tcPr>
          <w:p w14:paraId="39BF1FD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436217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105.574</w:t>
            </w:r>
          </w:p>
        </w:tc>
        <w:tc>
          <w:tcPr>
            <w:tcW w:w="1701" w:type="dxa"/>
            <w:tcBorders>
              <w:top w:val="nil"/>
              <w:left w:val="nil"/>
              <w:bottom w:val="single" w:sz="4" w:space="0" w:color="auto"/>
              <w:right w:val="nil"/>
            </w:tcBorders>
            <w:shd w:val="clear" w:color="auto" w:fill="auto"/>
            <w:noWrap/>
            <w:vAlign w:val="center"/>
            <w:hideMark/>
          </w:tcPr>
          <w:p w14:paraId="5BAFF88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8.025.246</w:t>
            </w:r>
          </w:p>
        </w:tc>
        <w:tc>
          <w:tcPr>
            <w:tcW w:w="1560" w:type="dxa"/>
            <w:tcBorders>
              <w:top w:val="nil"/>
              <w:left w:val="nil"/>
              <w:bottom w:val="single" w:sz="4" w:space="0" w:color="auto"/>
              <w:right w:val="nil"/>
            </w:tcBorders>
            <w:shd w:val="clear" w:color="auto" w:fill="auto"/>
            <w:noWrap/>
            <w:vAlign w:val="center"/>
            <w:hideMark/>
          </w:tcPr>
          <w:p w14:paraId="08DE226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1,32%</w:t>
            </w:r>
          </w:p>
        </w:tc>
        <w:tc>
          <w:tcPr>
            <w:tcW w:w="1274" w:type="dxa"/>
            <w:vMerge/>
            <w:tcBorders>
              <w:top w:val="nil"/>
              <w:left w:val="nil"/>
              <w:bottom w:val="single" w:sz="4" w:space="0" w:color="000000"/>
              <w:right w:val="nil"/>
            </w:tcBorders>
            <w:vAlign w:val="center"/>
            <w:hideMark/>
          </w:tcPr>
          <w:p w14:paraId="4CDA3DE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3A429C78" w14:textId="77777777" w:rsidTr="00377237">
        <w:trPr>
          <w:trHeight w:val="310"/>
        </w:trPr>
        <w:tc>
          <w:tcPr>
            <w:tcW w:w="1444" w:type="dxa"/>
            <w:tcBorders>
              <w:top w:val="nil"/>
              <w:left w:val="nil"/>
              <w:bottom w:val="nil"/>
              <w:right w:val="nil"/>
            </w:tcBorders>
            <w:shd w:val="clear" w:color="auto" w:fill="auto"/>
            <w:noWrap/>
            <w:vAlign w:val="center"/>
            <w:hideMark/>
          </w:tcPr>
          <w:p w14:paraId="5E1ECFA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Angola</w:t>
            </w:r>
          </w:p>
        </w:tc>
        <w:tc>
          <w:tcPr>
            <w:tcW w:w="1108" w:type="dxa"/>
            <w:tcBorders>
              <w:top w:val="nil"/>
              <w:left w:val="nil"/>
              <w:bottom w:val="nil"/>
              <w:right w:val="nil"/>
            </w:tcBorders>
            <w:shd w:val="clear" w:color="auto" w:fill="auto"/>
            <w:noWrap/>
            <w:vAlign w:val="center"/>
            <w:hideMark/>
          </w:tcPr>
          <w:p w14:paraId="5F10198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7B0E35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113.209</w:t>
            </w:r>
          </w:p>
        </w:tc>
        <w:tc>
          <w:tcPr>
            <w:tcW w:w="1701" w:type="dxa"/>
            <w:tcBorders>
              <w:top w:val="nil"/>
              <w:left w:val="nil"/>
              <w:bottom w:val="nil"/>
              <w:right w:val="nil"/>
            </w:tcBorders>
            <w:shd w:val="clear" w:color="auto" w:fill="auto"/>
            <w:noWrap/>
            <w:vAlign w:val="center"/>
            <w:hideMark/>
          </w:tcPr>
          <w:p w14:paraId="280DF4B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554.629</w:t>
            </w:r>
          </w:p>
        </w:tc>
        <w:tc>
          <w:tcPr>
            <w:tcW w:w="1560" w:type="dxa"/>
            <w:tcBorders>
              <w:top w:val="nil"/>
              <w:left w:val="nil"/>
              <w:bottom w:val="nil"/>
              <w:right w:val="nil"/>
            </w:tcBorders>
            <w:shd w:val="clear" w:color="auto" w:fill="auto"/>
            <w:noWrap/>
            <w:vAlign w:val="center"/>
            <w:hideMark/>
          </w:tcPr>
          <w:p w14:paraId="3A7108B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20,41%</w:t>
            </w:r>
          </w:p>
        </w:tc>
        <w:tc>
          <w:tcPr>
            <w:tcW w:w="1274" w:type="dxa"/>
            <w:vMerge w:val="restart"/>
            <w:tcBorders>
              <w:top w:val="nil"/>
              <w:left w:val="nil"/>
              <w:bottom w:val="single" w:sz="4" w:space="0" w:color="000000"/>
              <w:right w:val="nil"/>
            </w:tcBorders>
            <w:shd w:val="clear" w:color="auto" w:fill="auto"/>
            <w:noWrap/>
            <w:vAlign w:val="center"/>
            <w:hideMark/>
          </w:tcPr>
          <w:p w14:paraId="1D6802D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20,42%</w:t>
            </w:r>
          </w:p>
        </w:tc>
      </w:tr>
      <w:tr w:rsidR="001579BE" w:rsidRPr="00A947EA" w14:paraId="29AE734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8798CA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Angola</w:t>
            </w:r>
          </w:p>
        </w:tc>
        <w:tc>
          <w:tcPr>
            <w:tcW w:w="1108" w:type="dxa"/>
            <w:tcBorders>
              <w:top w:val="nil"/>
              <w:left w:val="nil"/>
              <w:bottom w:val="single" w:sz="4" w:space="0" w:color="auto"/>
              <w:right w:val="nil"/>
            </w:tcBorders>
            <w:shd w:val="clear" w:color="auto" w:fill="auto"/>
            <w:noWrap/>
            <w:vAlign w:val="center"/>
            <w:hideMark/>
          </w:tcPr>
          <w:p w14:paraId="5A167D9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BDD2BA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w:t>
            </w:r>
          </w:p>
        </w:tc>
        <w:tc>
          <w:tcPr>
            <w:tcW w:w="1701" w:type="dxa"/>
            <w:tcBorders>
              <w:top w:val="nil"/>
              <w:left w:val="nil"/>
              <w:bottom w:val="single" w:sz="4" w:space="0" w:color="auto"/>
              <w:right w:val="nil"/>
            </w:tcBorders>
            <w:shd w:val="clear" w:color="auto" w:fill="auto"/>
            <w:noWrap/>
            <w:vAlign w:val="center"/>
            <w:hideMark/>
          </w:tcPr>
          <w:p w14:paraId="5EDF792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554.629</w:t>
            </w:r>
          </w:p>
        </w:tc>
        <w:tc>
          <w:tcPr>
            <w:tcW w:w="1560" w:type="dxa"/>
            <w:tcBorders>
              <w:top w:val="nil"/>
              <w:left w:val="nil"/>
              <w:bottom w:val="single" w:sz="4" w:space="0" w:color="auto"/>
              <w:right w:val="nil"/>
            </w:tcBorders>
            <w:shd w:val="clear" w:color="auto" w:fill="auto"/>
            <w:noWrap/>
            <w:vAlign w:val="center"/>
            <w:hideMark/>
          </w:tcPr>
          <w:p w14:paraId="3E38D4A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tcBorders>
              <w:top w:val="nil"/>
              <w:left w:val="nil"/>
              <w:bottom w:val="single" w:sz="4" w:space="0" w:color="000000"/>
              <w:right w:val="nil"/>
            </w:tcBorders>
            <w:vAlign w:val="center"/>
            <w:hideMark/>
          </w:tcPr>
          <w:p w14:paraId="254380B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58010C6A"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4885EF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Armenia</w:t>
            </w:r>
          </w:p>
        </w:tc>
        <w:tc>
          <w:tcPr>
            <w:tcW w:w="1108" w:type="dxa"/>
            <w:tcBorders>
              <w:top w:val="nil"/>
              <w:left w:val="nil"/>
              <w:bottom w:val="single" w:sz="4" w:space="0" w:color="auto"/>
              <w:right w:val="nil"/>
            </w:tcBorders>
            <w:shd w:val="clear" w:color="auto" w:fill="auto"/>
            <w:noWrap/>
            <w:vAlign w:val="center"/>
            <w:hideMark/>
          </w:tcPr>
          <w:p w14:paraId="1EB078E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31B3F2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270.337</w:t>
            </w:r>
          </w:p>
        </w:tc>
        <w:tc>
          <w:tcPr>
            <w:tcW w:w="1701" w:type="dxa"/>
            <w:tcBorders>
              <w:top w:val="nil"/>
              <w:left w:val="nil"/>
              <w:bottom w:val="single" w:sz="4" w:space="0" w:color="auto"/>
              <w:right w:val="nil"/>
            </w:tcBorders>
            <w:shd w:val="clear" w:color="auto" w:fill="auto"/>
            <w:noWrap/>
            <w:vAlign w:val="center"/>
            <w:hideMark/>
          </w:tcPr>
          <w:p w14:paraId="7753E54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272.463</w:t>
            </w:r>
          </w:p>
        </w:tc>
        <w:tc>
          <w:tcPr>
            <w:tcW w:w="1560" w:type="dxa"/>
            <w:tcBorders>
              <w:top w:val="nil"/>
              <w:left w:val="nil"/>
              <w:bottom w:val="single" w:sz="4" w:space="0" w:color="auto"/>
              <w:right w:val="nil"/>
            </w:tcBorders>
            <w:shd w:val="clear" w:color="auto" w:fill="auto"/>
            <w:noWrap/>
            <w:vAlign w:val="center"/>
            <w:hideMark/>
          </w:tcPr>
          <w:p w14:paraId="688FFB0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99,22%</w:t>
            </w:r>
          </w:p>
        </w:tc>
        <w:tc>
          <w:tcPr>
            <w:tcW w:w="1274" w:type="dxa"/>
            <w:tcBorders>
              <w:top w:val="nil"/>
              <w:left w:val="nil"/>
              <w:bottom w:val="single" w:sz="4" w:space="0" w:color="auto"/>
              <w:right w:val="nil"/>
            </w:tcBorders>
            <w:shd w:val="clear" w:color="auto" w:fill="auto"/>
            <w:noWrap/>
            <w:vAlign w:val="center"/>
            <w:hideMark/>
          </w:tcPr>
          <w:p w14:paraId="769F4AA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99,22%</w:t>
            </w:r>
          </w:p>
        </w:tc>
      </w:tr>
      <w:tr w:rsidR="001579BE" w:rsidRPr="00A947EA" w14:paraId="06B5E4C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B462DA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Azerbaiyán</w:t>
            </w:r>
          </w:p>
        </w:tc>
        <w:tc>
          <w:tcPr>
            <w:tcW w:w="1108" w:type="dxa"/>
            <w:tcBorders>
              <w:top w:val="nil"/>
              <w:left w:val="nil"/>
              <w:bottom w:val="single" w:sz="4" w:space="0" w:color="auto"/>
              <w:right w:val="nil"/>
            </w:tcBorders>
            <w:shd w:val="clear" w:color="auto" w:fill="auto"/>
            <w:noWrap/>
            <w:vAlign w:val="center"/>
            <w:hideMark/>
          </w:tcPr>
          <w:p w14:paraId="0E513B4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5D5BD8B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1.094.236</w:t>
            </w:r>
          </w:p>
        </w:tc>
        <w:tc>
          <w:tcPr>
            <w:tcW w:w="1701" w:type="dxa"/>
            <w:tcBorders>
              <w:top w:val="nil"/>
              <w:left w:val="nil"/>
              <w:bottom w:val="single" w:sz="4" w:space="0" w:color="auto"/>
              <w:right w:val="nil"/>
            </w:tcBorders>
            <w:shd w:val="clear" w:color="auto" w:fill="auto"/>
            <w:noWrap/>
            <w:vAlign w:val="center"/>
            <w:hideMark/>
          </w:tcPr>
          <w:p w14:paraId="279536E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1.148.100</w:t>
            </w:r>
          </w:p>
        </w:tc>
        <w:tc>
          <w:tcPr>
            <w:tcW w:w="1560" w:type="dxa"/>
            <w:tcBorders>
              <w:top w:val="nil"/>
              <w:left w:val="nil"/>
              <w:bottom w:val="single" w:sz="4" w:space="0" w:color="auto"/>
              <w:right w:val="nil"/>
            </w:tcBorders>
            <w:shd w:val="clear" w:color="auto" w:fill="auto"/>
            <w:noWrap/>
            <w:vAlign w:val="center"/>
            <w:hideMark/>
          </w:tcPr>
          <w:p w14:paraId="2268EB2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95,31%</w:t>
            </w:r>
          </w:p>
        </w:tc>
        <w:tc>
          <w:tcPr>
            <w:tcW w:w="1274" w:type="dxa"/>
            <w:tcBorders>
              <w:top w:val="nil"/>
              <w:left w:val="nil"/>
              <w:bottom w:val="single" w:sz="4" w:space="0" w:color="auto"/>
              <w:right w:val="nil"/>
            </w:tcBorders>
            <w:shd w:val="clear" w:color="auto" w:fill="auto"/>
            <w:noWrap/>
            <w:vAlign w:val="center"/>
            <w:hideMark/>
          </w:tcPr>
          <w:p w14:paraId="2E1214D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95,31%</w:t>
            </w:r>
          </w:p>
        </w:tc>
      </w:tr>
      <w:tr w:rsidR="001579BE" w:rsidRPr="00A947EA" w14:paraId="27F4EE60" w14:textId="77777777" w:rsidTr="00377237">
        <w:trPr>
          <w:trHeight w:val="310"/>
        </w:trPr>
        <w:tc>
          <w:tcPr>
            <w:tcW w:w="1444" w:type="dxa"/>
            <w:tcBorders>
              <w:top w:val="nil"/>
              <w:left w:val="nil"/>
              <w:bottom w:val="nil"/>
              <w:right w:val="nil"/>
            </w:tcBorders>
            <w:shd w:val="clear" w:color="auto" w:fill="auto"/>
            <w:noWrap/>
            <w:vAlign w:val="center"/>
            <w:hideMark/>
          </w:tcPr>
          <w:p w14:paraId="0B1779D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Bangladesh</w:t>
            </w:r>
          </w:p>
        </w:tc>
        <w:tc>
          <w:tcPr>
            <w:tcW w:w="1108" w:type="dxa"/>
            <w:tcBorders>
              <w:top w:val="nil"/>
              <w:left w:val="nil"/>
              <w:bottom w:val="nil"/>
              <w:right w:val="nil"/>
            </w:tcBorders>
            <w:shd w:val="clear" w:color="auto" w:fill="auto"/>
            <w:noWrap/>
            <w:vAlign w:val="center"/>
            <w:hideMark/>
          </w:tcPr>
          <w:p w14:paraId="1EAB1AF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536E72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737.237</w:t>
            </w:r>
          </w:p>
        </w:tc>
        <w:tc>
          <w:tcPr>
            <w:tcW w:w="1701" w:type="dxa"/>
            <w:tcBorders>
              <w:top w:val="nil"/>
              <w:left w:val="nil"/>
              <w:bottom w:val="nil"/>
              <w:right w:val="nil"/>
            </w:tcBorders>
            <w:shd w:val="clear" w:color="auto" w:fill="auto"/>
            <w:noWrap/>
            <w:vAlign w:val="center"/>
            <w:hideMark/>
          </w:tcPr>
          <w:p w14:paraId="464E801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6.982.449</w:t>
            </w:r>
          </w:p>
        </w:tc>
        <w:tc>
          <w:tcPr>
            <w:tcW w:w="1560" w:type="dxa"/>
            <w:tcBorders>
              <w:top w:val="nil"/>
              <w:left w:val="nil"/>
              <w:bottom w:val="nil"/>
              <w:right w:val="nil"/>
            </w:tcBorders>
            <w:shd w:val="clear" w:color="auto" w:fill="auto"/>
            <w:noWrap/>
            <w:vAlign w:val="center"/>
            <w:hideMark/>
          </w:tcPr>
          <w:p w14:paraId="4C94995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10,56%</w:t>
            </w:r>
          </w:p>
        </w:tc>
        <w:tc>
          <w:tcPr>
            <w:tcW w:w="1274" w:type="dxa"/>
            <w:vMerge w:val="restart"/>
            <w:tcBorders>
              <w:top w:val="nil"/>
              <w:left w:val="nil"/>
              <w:bottom w:val="single" w:sz="4" w:space="0" w:color="000000"/>
              <w:right w:val="nil"/>
            </w:tcBorders>
            <w:shd w:val="clear" w:color="auto" w:fill="auto"/>
            <w:noWrap/>
            <w:vAlign w:val="center"/>
            <w:hideMark/>
          </w:tcPr>
          <w:p w14:paraId="7BCAA3A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22,18%</w:t>
            </w:r>
          </w:p>
        </w:tc>
      </w:tr>
      <w:tr w:rsidR="001579BE" w:rsidRPr="00A947EA" w14:paraId="6119915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A698F0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Bangladesh</w:t>
            </w:r>
          </w:p>
        </w:tc>
        <w:tc>
          <w:tcPr>
            <w:tcW w:w="1108" w:type="dxa"/>
            <w:tcBorders>
              <w:top w:val="nil"/>
              <w:left w:val="nil"/>
              <w:bottom w:val="single" w:sz="4" w:space="0" w:color="auto"/>
              <w:right w:val="nil"/>
            </w:tcBorders>
            <w:shd w:val="clear" w:color="auto" w:fill="auto"/>
            <w:noWrap/>
            <w:vAlign w:val="center"/>
            <w:hideMark/>
          </w:tcPr>
          <w:p w14:paraId="3EA1A5B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A5F15C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811.139</w:t>
            </w:r>
          </w:p>
        </w:tc>
        <w:tc>
          <w:tcPr>
            <w:tcW w:w="1701" w:type="dxa"/>
            <w:tcBorders>
              <w:top w:val="nil"/>
              <w:left w:val="nil"/>
              <w:bottom w:val="single" w:sz="4" w:space="0" w:color="auto"/>
              <w:right w:val="nil"/>
            </w:tcBorders>
            <w:shd w:val="clear" w:color="auto" w:fill="auto"/>
            <w:noWrap/>
            <w:vAlign w:val="center"/>
            <w:hideMark/>
          </w:tcPr>
          <w:p w14:paraId="0CD2506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6.982.449</w:t>
            </w:r>
          </w:p>
        </w:tc>
        <w:tc>
          <w:tcPr>
            <w:tcW w:w="1560" w:type="dxa"/>
            <w:tcBorders>
              <w:top w:val="nil"/>
              <w:left w:val="nil"/>
              <w:bottom w:val="single" w:sz="4" w:space="0" w:color="auto"/>
              <w:right w:val="nil"/>
            </w:tcBorders>
            <w:shd w:val="clear" w:color="auto" w:fill="auto"/>
            <w:noWrap/>
            <w:vAlign w:val="center"/>
            <w:hideMark/>
          </w:tcPr>
          <w:p w14:paraId="7B63373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11,62%</w:t>
            </w:r>
          </w:p>
        </w:tc>
        <w:tc>
          <w:tcPr>
            <w:tcW w:w="1274" w:type="dxa"/>
            <w:vMerge/>
            <w:tcBorders>
              <w:top w:val="nil"/>
              <w:left w:val="nil"/>
              <w:bottom w:val="single" w:sz="4" w:space="0" w:color="000000"/>
              <w:right w:val="nil"/>
            </w:tcBorders>
            <w:vAlign w:val="center"/>
            <w:hideMark/>
          </w:tcPr>
          <w:p w14:paraId="284B055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C297A11" w14:textId="77777777" w:rsidTr="00377237">
        <w:trPr>
          <w:trHeight w:val="310"/>
        </w:trPr>
        <w:tc>
          <w:tcPr>
            <w:tcW w:w="1444" w:type="dxa"/>
            <w:tcBorders>
              <w:top w:val="nil"/>
              <w:left w:val="nil"/>
              <w:bottom w:val="nil"/>
              <w:right w:val="nil"/>
            </w:tcBorders>
            <w:shd w:val="clear" w:color="auto" w:fill="auto"/>
            <w:noWrap/>
            <w:vAlign w:val="center"/>
            <w:hideMark/>
          </w:tcPr>
          <w:p w14:paraId="2CE94DD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Pr>
                <w:rFonts w:asciiTheme="majorBidi" w:eastAsia="Times New Roman" w:hAnsiTheme="majorBidi" w:cstheme="majorBidi"/>
                <w:color w:val="000000"/>
                <w:sz w:val="20"/>
                <w:szCs w:val="20"/>
                <w:lang w:eastAsia="es-ES"/>
              </w:rPr>
              <w:t>Bielorrusia</w:t>
            </w:r>
          </w:p>
        </w:tc>
        <w:tc>
          <w:tcPr>
            <w:tcW w:w="1108" w:type="dxa"/>
            <w:tcBorders>
              <w:top w:val="nil"/>
              <w:left w:val="nil"/>
              <w:bottom w:val="nil"/>
              <w:right w:val="nil"/>
            </w:tcBorders>
            <w:shd w:val="clear" w:color="auto" w:fill="auto"/>
            <w:noWrap/>
            <w:vAlign w:val="center"/>
            <w:hideMark/>
          </w:tcPr>
          <w:p w14:paraId="0D5BCA0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1563679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190.021</w:t>
            </w:r>
          </w:p>
        </w:tc>
        <w:tc>
          <w:tcPr>
            <w:tcW w:w="1701" w:type="dxa"/>
            <w:tcBorders>
              <w:top w:val="nil"/>
              <w:left w:val="nil"/>
              <w:bottom w:val="nil"/>
              <w:right w:val="nil"/>
            </w:tcBorders>
            <w:shd w:val="clear" w:color="auto" w:fill="auto"/>
            <w:noWrap/>
            <w:vAlign w:val="center"/>
            <w:hideMark/>
          </w:tcPr>
          <w:p w14:paraId="2189999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193.282</w:t>
            </w:r>
          </w:p>
        </w:tc>
        <w:tc>
          <w:tcPr>
            <w:tcW w:w="1560" w:type="dxa"/>
            <w:tcBorders>
              <w:top w:val="nil"/>
              <w:left w:val="nil"/>
              <w:bottom w:val="nil"/>
              <w:right w:val="nil"/>
            </w:tcBorders>
            <w:shd w:val="clear" w:color="auto" w:fill="auto"/>
            <w:noWrap/>
            <w:vAlign w:val="center"/>
            <w:hideMark/>
          </w:tcPr>
          <w:p w14:paraId="36D532B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98,31%</w:t>
            </w:r>
          </w:p>
        </w:tc>
        <w:tc>
          <w:tcPr>
            <w:tcW w:w="1274" w:type="dxa"/>
            <w:vMerge w:val="restart"/>
            <w:tcBorders>
              <w:top w:val="nil"/>
              <w:left w:val="nil"/>
              <w:bottom w:val="single" w:sz="4" w:space="0" w:color="000000"/>
              <w:right w:val="nil"/>
            </w:tcBorders>
            <w:shd w:val="clear" w:color="auto" w:fill="auto"/>
            <w:noWrap/>
            <w:vAlign w:val="center"/>
            <w:hideMark/>
          </w:tcPr>
          <w:p w14:paraId="2C080EB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98,45%</w:t>
            </w:r>
          </w:p>
        </w:tc>
      </w:tr>
      <w:tr w:rsidR="001579BE" w:rsidRPr="00A947EA" w14:paraId="1C62E758"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E3CB41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w:t>
            </w:r>
            <w:r>
              <w:rPr>
                <w:rFonts w:asciiTheme="majorBidi" w:eastAsia="Times New Roman" w:hAnsiTheme="majorBidi" w:cstheme="majorBidi"/>
                <w:color w:val="000000"/>
                <w:sz w:val="20"/>
                <w:szCs w:val="20"/>
                <w:lang w:eastAsia="es-ES"/>
              </w:rPr>
              <w:t>ielorrusia</w:t>
            </w:r>
          </w:p>
        </w:tc>
        <w:tc>
          <w:tcPr>
            <w:tcW w:w="1108" w:type="dxa"/>
            <w:tcBorders>
              <w:top w:val="nil"/>
              <w:left w:val="nil"/>
              <w:bottom w:val="single" w:sz="4" w:space="0" w:color="auto"/>
              <w:right w:val="nil"/>
            </w:tcBorders>
            <w:shd w:val="clear" w:color="auto" w:fill="auto"/>
            <w:noWrap/>
            <w:vAlign w:val="center"/>
            <w:hideMark/>
          </w:tcPr>
          <w:p w14:paraId="29D6C9D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00A79D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275</w:t>
            </w:r>
          </w:p>
        </w:tc>
        <w:tc>
          <w:tcPr>
            <w:tcW w:w="1701" w:type="dxa"/>
            <w:tcBorders>
              <w:top w:val="nil"/>
              <w:left w:val="nil"/>
              <w:bottom w:val="single" w:sz="4" w:space="0" w:color="auto"/>
              <w:right w:val="nil"/>
            </w:tcBorders>
            <w:shd w:val="clear" w:color="auto" w:fill="auto"/>
            <w:noWrap/>
            <w:vAlign w:val="center"/>
            <w:hideMark/>
          </w:tcPr>
          <w:p w14:paraId="1CF168E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193.282</w:t>
            </w:r>
          </w:p>
        </w:tc>
        <w:tc>
          <w:tcPr>
            <w:tcW w:w="1560" w:type="dxa"/>
            <w:tcBorders>
              <w:top w:val="nil"/>
              <w:left w:val="nil"/>
              <w:bottom w:val="single" w:sz="4" w:space="0" w:color="auto"/>
              <w:right w:val="nil"/>
            </w:tcBorders>
            <w:shd w:val="clear" w:color="auto" w:fill="auto"/>
            <w:noWrap/>
            <w:vAlign w:val="center"/>
            <w:hideMark/>
          </w:tcPr>
          <w:p w14:paraId="74513A8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0,14%</w:t>
            </w:r>
          </w:p>
        </w:tc>
        <w:tc>
          <w:tcPr>
            <w:tcW w:w="1274" w:type="dxa"/>
            <w:vMerge/>
            <w:tcBorders>
              <w:top w:val="nil"/>
              <w:left w:val="nil"/>
              <w:bottom w:val="single" w:sz="4" w:space="0" w:color="000000"/>
              <w:right w:val="nil"/>
            </w:tcBorders>
            <w:vAlign w:val="center"/>
            <w:hideMark/>
          </w:tcPr>
          <w:p w14:paraId="6B4049F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44F557B"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951E7A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Bélgica</w:t>
            </w:r>
          </w:p>
        </w:tc>
        <w:tc>
          <w:tcPr>
            <w:tcW w:w="1108" w:type="dxa"/>
            <w:tcBorders>
              <w:top w:val="nil"/>
              <w:left w:val="nil"/>
              <w:bottom w:val="single" w:sz="4" w:space="0" w:color="auto"/>
              <w:right w:val="nil"/>
            </w:tcBorders>
            <w:shd w:val="clear" w:color="auto" w:fill="auto"/>
            <w:noWrap/>
            <w:vAlign w:val="center"/>
            <w:hideMark/>
          </w:tcPr>
          <w:p w14:paraId="762F91A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9F2C9A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122E980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4.394.683</w:t>
            </w:r>
          </w:p>
        </w:tc>
        <w:tc>
          <w:tcPr>
            <w:tcW w:w="1560" w:type="dxa"/>
            <w:tcBorders>
              <w:top w:val="nil"/>
              <w:left w:val="nil"/>
              <w:bottom w:val="single" w:sz="4" w:space="0" w:color="auto"/>
              <w:right w:val="nil"/>
            </w:tcBorders>
            <w:shd w:val="clear" w:color="auto" w:fill="auto"/>
            <w:noWrap/>
            <w:vAlign w:val="center"/>
            <w:hideMark/>
          </w:tcPr>
          <w:p w14:paraId="208B43A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tcBorders>
              <w:top w:val="nil"/>
              <w:left w:val="nil"/>
              <w:bottom w:val="single" w:sz="4" w:space="0" w:color="auto"/>
              <w:right w:val="nil"/>
            </w:tcBorders>
            <w:shd w:val="clear" w:color="auto" w:fill="auto"/>
            <w:noWrap/>
            <w:vAlign w:val="center"/>
            <w:hideMark/>
          </w:tcPr>
          <w:p w14:paraId="19AE070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r>
      <w:tr w:rsidR="001579BE" w:rsidRPr="00A947EA" w14:paraId="338452C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28F184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Benín</w:t>
            </w:r>
          </w:p>
        </w:tc>
        <w:tc>
          <w:tcPr>
            <w:tcW w:w="1108" w:type="dxa"/>
            <w:tcBorders>
              <w:top w:val="nil"/>
              <w:left w:val="nil"/>
              <w:bottom w:val="single" w:sz="4" w:space="0" w:color="auto"/>
              <w:right w:val="nil"/>
            </w:tcBorders>
            <w:shd w:val="clear" w:color="auto" w:fill="auto"/>
            <w:noWrap/>
            <w:vAlign w:val="center"/>
            <w:hideMark/>
          </w:tcPr>
          <w:p w14:paraId="36A3A91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F9AF23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48.627</w:t>
            </w:r>
          </w:p>
        </w:tc>
        <w:tc>
          <w:tcPr>
            <w:tcW w:w="1701" w:type="dxa"/>
            <w:tcBorders>
              <w:top w:val="nil"/>
              <w:left w:val="nil"/>
              <w:bottom w:val="single" w:sz="4" w:space="0" w:color="auto"/>
              <w:right w:val="nil"/>
            </w:tcBorders>
            <w:shd w:val="clear" w:color="auto" w:fill="auto"/>
            <w:noWrap/>
            <w:vAlign w:val="center"/>
            <w:hideMark/>
          </w:tcPr>
          <w:p w14:paraId="364BAC9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55.104</w:t>
            </w:r>
          </w:p>
        </w:tc>
        <w:tc>
          <w:tcPr>
            <w:tcW w:w="1560" w:type="dxa"/>
            <w:tcBorders>
              <w:top w:val="nil"/>
              <w:left w:val="nil"/>
              <w:bottom w:val="single" w:sz="4" w:space="0" w:color="auto"/>
              <w:right w:val="nil"/>
            </w:tcBorders>
            <w:shd w:val="clear" w:color="auto" w:fill="auto"/>
            <w:noWrap/>
            <w:vAlign w:val="center"/>
            <w:hideMark/>
          </w:tcPr>
          <w:p w14:paraId="1028A03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88,25%</w:t>
            </w:r>
          </w:p>
        </w:tc>
        <w:tc>
          <w:tcPr>
            <w:tcW w:w="1274" w:type="dxa"/>
            <w:tcBorders>
              <w:top w:val="nil"/>
              <w:left w:val="nil"/>
              <w:bottom w:val="single" w:sz="4" w:space="0" w:color="auto"/>
              <w:right w:val="nil"/>
            </w:tcBorders>
            <w:shd w:val="clear" w:color="auto" w:fill="auto"/>
            <w:noWrap/>
            <w:vAlign w:val="center"/>
            <w:hideMark/>
          </w:tcPr>
          <w:p w14:paraId="0197B19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88,25%</w:t>
            </w:r>
          </w:p>
        </w:tc>
      </w:tr>
      <w:tr w:rsidR="001579BE" w:rsidRPr="00A947EA" w14:paraId="74311E28"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669931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Botsuana</w:t>
            </w:r>
          </w:p>
        </w:tc>
        <w:tc>
          <w:tcPr>
            <w:tcW w:w="1108" w:type="dxa"/>
            <w:tcBorders>
              <w:top w:val="nil"/>
              <w:left w:val="nil"/>
              <w:bottom w:val="single" w:sz="4" w:space="0" w:color="auto"/>
              <w:right w:val="nil"/>
            </w:tcBorders>
            <w:shd w:val="clear" w:color="auto" w:fill="auto"/>
            <w:noWrap/>
            <w:vAlign w:val="center"/>
            <w:hideMark/>
          </w:tcPr>
          <w:p w14:paraId="4B3C87B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6C2EB20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566</w:t>
            </w:r>
          </w:p>
        </w:tc>
        <w:tc>
          <w:tcPr>
            <w:tcW w:w="1701" w:type="dxa"/>
            <w:tcBorders>
              <w:top w:val="nil"/>
              <w:left w:val="nil"/>
              <w:bottom w:val="single" w:sz="4" w:space="0" w:color="auto"/>
              <w:right w:val="nil"/>
            </w:tcBorders>
            <w:shd w:val="clear" w:color="auto" w:fill="auto"/>
            <w:noWrap/>
            <w:vAlign w:val="center"/>
            <w:hideMark/>
          </w:tcPr>
          <w:p w14:paraId="56705B6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105.200</w:t>
            </w:r>
          </w:p>
        </w:tc>
        <w:tc>
          <w:tcPr>
            <w:tcW w:w="1560" w:type="dxa"/>
            <w:tcBorders>
              <w:top w:val="nil"/>
              <w:left w:val="nil"/>
              <w:bottom w:val="single" w:sz="4" w:space="0" w:color="auto"/>
              <w:right w:val="nil"/>
            </w:tcBorders>
            <w:shd w:val="clear" w:color="auto" w:fill="auto"/>
            <w:noWrap/>
            <w:vAlign w:val="center"/>
            <w:hideMark/>
          </w:tcPr>
          <w:p w14:paraId="2F6F8CB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0,54%</w:t>
            </w:r>
          </w:p>
        </w:tc>
        <w:tc>
          <w:tcPr>
            <w:tcW w:w="1274" w:type="dxa"/>
            <w:tcBorders>
              <w:top w:val="nil"/>
              <w:left w:val="nil"/>
              <w:bottom w:val="single" w:sz="4" w:space="0" w:color="auto"/>
              <w:right w:val="nil"/>
            </w:tcBorders>
            <w:shd w:val="clear" w:color="auto" w:fill="auto"/>
            <w:noWrap/>
            <w:vAlign w:val="center"/>
            <w:hideMark/>
          </w:tcPr>
          <w:p w14:paraId="6575D3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0,54%</w:t>
            </w:r>
          </w:p>
        </w:tc>
      </w:tr>
      <w:tr w:rsidR="001579BE" w:rsidRPr="00A947EA" w14:paraId="2F3CB9B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B5ED2D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Brasil</w:t>
            </w:r>
          </w:p>
        </w:tc>
        <w:tc>
          <w:tcPr>
            <w:tcW w:w="1108" w:type="dxa"/>
            <w:tcBorders>
              <w:top w:val="nil"/>
              <w:left w:val="nil"/>
              <w:bottom w:val="single" w:sz="4" w:space="0" w:color="auto"/>
              <w:right w:val="nil"/>
            </w:tcBorders>
            <w:shd w:val="clear" w:color="auto" w:fill="auto"/>
            <w:noWrap/>
            <w:vAlign w:val="center"/>
            <w:hideMark/>
          </w:tcPr>
          <w:p w14:paraId="1FCAD0E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2BC149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28.009</w:t>
            </w:r>
          </w:p>
        </w:tc>
        <w:tc>
          <w:tcPr>
            <w:tcW w:w="1701" w:type="dxa"/>
            <w:tcBorders>
              <w:top w:val="nil"/>
              <w:left w:val="nil"/>
              <w:bottom w:val="single" w:sz="4" w:space="0" w:color="auto"/>
              <w:right w:val="nil"/>
            </w:tcBorders>
            <w:shd w:val="clear" w:color="auto" w:fill="auto"/>
            <w:noWrap/>
            <w:vAlign w:val="center"/>
            <w:hideMark/>
          </w:tcPr>
          <w:p w14:paraId="446FB2D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6.225.073</w:t>
            </w:r>
          </w:p>
        </w:tc>
        <w:tc>
          <w:tcPr>
            <w:tcW w:w="1560" w:type="dxa"/>
            <w:tcBorders>
              <w:top w:val="nil"/>
              <w:left w:val="nil"/>
              <w:bottom w:val="single" w:sz="4" w:space="0" w:color="auto"/>
              <w:right w:val="nil"/>
            </w:tcBorders>
            <w:shd w:val="clear" w:color="auto" w:fill="auto"/>
            <w:noWrap/>
            <w:vAlign w:val="center"/>
            <w:hideMark/>
          </w:tcPr>
          <w:p w14:paraId="0C2B9EF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0,45%</w:t>
            </w:r>
          </w:p>
        </w:tc>
        <w:tc>
          <w:tcPr>
            <w:tcW w:w="1274" w:type="dxa"/>
            <w:tcBorders>
              <w:top w:val="nil"/>
              <w:left w:val="nil"/>
              <w:bottom w:val="single" w:sz="4" w:space="0" w:color="auto"/>
              <w:right w:val="nil"/>
            </w:tcBorders>
            <w:shd w:val="clear" w:color="auto" w:fill="auto"/>
            <w:noWrap/>
            <w:vAlign w:val="center"/>
            <w:hideMark/>
          </w:tcPr>
          <w:p w14:paraId="007F506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0,45%</w:t>
            </w:r>
          </w:p>
        </w:tc>
      </w:tr>
    </w:tbl>
    <w:p w14:paraId="1AB9A805" w14:textId="77777777" w:rsidR="009F51ED" w:rsidRDefault="009F51ED">
      <w:r>
        <w:br w:type="page"/>
      </w:r>
    </w:p>
    <w:tbl>
      <w:tblPr>
        <w:tblW w:w="0" w:type="auto"/>
        <w:tblLayout w:type="fixed"/>
        <w:tblCellMar>
          <w:left w:w="70" w:type="dxa"/>
          <w:right w:w="70" w:type="dxa"/>
        </w:tblCellMar>
        <w:tblLook w:val="04A0" w:firstRow="1" w:lastRow="0" w:firstColumn="1" w:lastColumn="0" w:noHBand="0" w:noVBand="1"/>
      </w:tblPr>
      <w:tblGrid>
        <w:gridCol w:w="1444"/>
        <w:gridCol w:w="1108"/>
        <w:gridCol w:w="1417"/>
        <w:gridCol w:w="1701"/>
        <w:gridCol w:w="1560"/>
        <w:gridCol w:w="1274"/>
      </w:tblGrid>
      <w:tr w:rsidR="001579BE" w:rsidRPr="00A947EA" w14:paraId="4E3DE84F" w14:textId="77777777" w:rsidTr="00377237">
        <w:trPr>
          <w:trHeight w:val="310"/>
        </w:trPr>
        <w:tc>
          <w:tcPr>
            <w:tcW w:w="1444" w:type="dxa"/>
            <w:tcBorders>
              <w:top w:val="nil"/>
              <w:left w:val="nil"/>
              <w:bottom w:val="nil"/>
              <w:right w:val="nil"/>
            </w:tcBorders>
            <w:shd w:val="clear" w:color="auto" w:fill="auto"/>
            <w:noWrap/>
            <w:vAlign w:val="center"/>
            <w:hideMark/>
          </w:tcPr>
          <w:p w14:paraId="47AC8435" w14:textId="6CE7FBF4"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lastRenderedPageBreak/>
              <w:t>Burkina Faso</w:t>
            </w:r>
          </w:p>
        </w:tc>
        <w:tc>
          <w:tcPr>
            <w:tcW w:w="1108" w:type="dxa"/>
            <w:tcBorders>
              <w:top w:val="nil"/>
              <w:left w:val="nil"/>
              <w:bottom w:val="nil"/>
              <w:right w:val="nil"/>
            </w:tcBorders>
            <w:shd w:val="clear" w:color="auto" w:fill="auto"/>
            <w:noWrap/>
            <w:vAlign w:val="center"/>
            <w:hideMark/>
          </w:tcPr>
          <w:p w14:paraId="4058C07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7DCFAF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33.557</w:t>
            </w:r>
          </w:p>
        </w:tc>
        <w:tc>
          <w:tcPr>
            <w:tcW w:w="1701" w:type="dxa"/>
            <w:tcBorders>
              <w:top w:val="nil"/>
              <w:left w:val="nil"/>
              <w:bottom w:val="nil"/>
              <w:right w:val="nil"/>
            </w:tcBorders>
            <w:shd w:val="clear" w:color="auto" w:fill="auto"/>
            <w:noWrap/>
            <w:vAlign w:val="center"/>
            <w:hideMark/>
          </w:tcPr>
          <w:p w14:paraId="639485C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199.012</w:t>
            </w:r>
          </w:p>
        </w:tc>
        <w:tc>
          <w:tcPr>
            <w:tcW w:w="1560" w:type="dxa"/>
            <w:tcBorders>
              <w:top w:val="nil"/>
              <w:left w:val="nil"/>
              <w:bottom w:val="nil"/>
              <w:right w:val="nil"/>
            </w:tcBorders>
            <w:shd w:val="clear" w:color="auto" w:fill="auto"/>
            <w:noWrap/>
            <w:vAlign w:val="center"/>
            <w:hideMark/>
          </w:tcPr>
          <w:p w14:paraId="53DC4DE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16,86%</w:t>
            </w:r>
          </w:p>
        </w:tc>
        <w:tc>
          <w:tcPr>
            <w:tcW w:w="1274" w:type="dxa"/>
            <w:vMerge w:val="restart"/>
            <w:tcBorders>
              <w:top w:val="nil"/>
              <w:left w:val="nil"/>
              <w:bottom w:val="single" w:sz="4" w:space="0" w:color="000000"/>
              <w:right w:val="nil"/>
            </w:tcBorders>
            <w:shd w:val="clear" w:color="auto" w:fill="auto"/>
            <w:noWrap/>
            <w:vAlign w:val="center"/>
            <w:hideMark/>
          </w:tcPr>
          <w:p w14:paraId="45A4618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17,82%</w:t>
            </w:r>
          </w:p>
        </w:tc>
      </w:tr>
      <w:tr w:rsidR="001579BE" w:rsidRPr="00A947EA" w14:paraId="5E9A95F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805F2F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Burkina Faso</w:t>
            </w:r>
          </w:p>
        </w:tc>
        <w:tc>
          <w:tcPr>
            <w:tcW w:w="1108" w:type="dxa"/>
            <w:tcBorders>
              <w:top w:val="nil"/>
              <w:left w:val="nil"/>
              <w:bottom w:val="single" w:sz="4" w:space="0" w:color="auto"/>
              <w:right w:val="nil"/>
            </w:tcBorders>
            <w:shd w:val="clear" w:color="auto" w:fill="auto"/>
            <w:noWrap/>
            <w:vAlign w:val="center"/>
            <w:hideMark/>
          </w:tcPr>
          <w:p w14:paraId="5747E16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B9DF75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1.901</w:t>
            </w:r>
          </w:p>
        </w:tc>
        <w:tc>
          <w:tcPr>
            <w:tcW w:w="1701" w:type="dxa"/>
            <w:tcBorders>
              <w:top w:val="nil"/>
              <w:left w:val="nil"/>
              <w:bottom w:val="single" w:sz="4" w:space="0" w:color="auto"/>
              <w:right w:val="nil"/>
            </w:tcBorders>
            <w:shd w:val="clear" w:color="auto" w:fill="auto"/>
            <w:noWrap/>
            <w:vAlign w:val="center"/>
            <w:hideMark/>
          </w:tcPr>
          <w:p w14:paraId="7625B74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199.012</w:t>
            </w:r>
          </w:p>
        </w:tc>
        <w:tc>
          <w:tcPr>
            <w:tcW w:w="1560" w:type="dxa"/>
            <w:tcBorders>
              <w:top w:val="nil"/>
              <w:left w:val="nil"/>
              <w:bottom w:val="single" w:sz="4" w:space="0" w:color="auto"/>
              <w:right w:val="nil"/>
            </w:tcBorders>
            <w:shd w:val="clear" w:color="auto" w:fill="auto"/>
            <w:noWrap/>
            <w:vAlign w:val="center"/>
            <w:hideMark/>
          </w:tcPr>
          <w:p w14:paraId="1FF57C3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0,96%</w:t>
            </w:r>
          </w:p>
        </w:tc>
        <w:tc>
          <w:tcPr>
            <w:tcW w:w="1274" w:type="dxa"/>
            <w:vMerge/>
            <w:tcBorders>
              <w:top w:val="nil"/>
              <w:left w:val="nil"/>
              <w:bottom w:val="single" w:sz="4" w:space="0" w:color="000000"/>
              <w:right w:val="nil"/>
            </w:tcBorders>
            <w:vAlign w:val="center"/>
            <w:hideMark/>
          </w:tcPr>
          <w:p w14:paraId="27AACD8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6DD6466"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B7734B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Burundi</w:t>
            </w:r>
          </w:p>
        </w:tc>
        <w:tc>
          <w:tcPr>
            <w:tcW w:w="1108" w:type="dxa"/>
            <w:tcBorders>
              <w:top w:val="nil"/>
              <w:left w:val="nil"/>
              <w:bottom w:val="single" w:sz="4" w:space="0" w:color="auto"/>
              <w:right w:val="nil"/>
            </w:tcBorders>
            <w:shd w:val="clear" w:color="auto" w:fill="auto"/>
            <w:noWrap/>
            <w:vAlign w:val="center"/>
            <w:hideMark/>
          </w:tcPr>
          <w:p w14:paraId="572E151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DECE21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33.410</w:t>
            </w:r>
          </w:p>
        </w:tc>
        <w:tc>
          <w:tcPr>
            <w:tcW w:w="1701" w:type="dxa"/>
            <w:tcBorders>
              <w:top w:val="nil"/>
              <w:left w:val="nil"/>
              <w:bottom w:val="single" w:sz="4" w:space="0" w:color="auto"/>
              <w:right w:val="nil"/>
            </w:tcBorders>
            <w:shd w:val="clear" w:color="auto" w:fill="auto"/>
            <w:noWrap/>
            <w:vAlign w:val="center"/>
            <w:hideMark/>
          </w:tcPr>
          <w:p w14:paraId="23A9423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73.751</w:t>
            </w:r>
          </w:p>
        </w:tc>
        <w:tc>
          <w:tcPr>
            <w:tcW w:w="1560" w:type="dxa"/>
            <w:tcBorders>
              <w:top w:val="nil"/>
              <w:left w:val="nil"/>
              <w:bottom w:val="single" w:sz="4" w:space="0" w:color="auto"/>
              <w:right w:val="nil"/>
            </w:tcBorders>
            <w:shd w:val="clear" w:color="auto" w:fill="auto"/>
            <w:noWrap/>
            <w:vAlign w:val="center"/>
            <w:hideMark/>
          </w:tcPr>
          <w:p w14:paraId="2F5D75D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45,30%</w:t>
            </w:r>
          </w:p>
        </w:tc>
        <w:tc>
          <w:tcPr>
            <w:tcW w:w="1274" w:type="dxa"/>
            <w:tcBorders>
              <w:top w:val="nil"/>
              <w:left w:val="nil"/>
              <w:bottom w:val="single" w:sz="4" w:space="0" w:color="auto"/>
              <w:right w:val="nil"/>
            </w:tcBorders>
            <w:shd w:val="clear" w:color="auto" w:fill="auto"/>
            <w:noWrap/>
            <w:vAlign w:val="center"/>
            <w:hideMark/>
          </w:tcPr>
          <w:p w14:paraId="2F7DC43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45,30%</w:t>
            </w:r>
          </w:p>
        </w:tc>
      </w:tr>
      <w:tr w:rsidR="001579BE" w:rsidRPr="00A947EA" w14:paraId="723399C7" w14:textId="77777777" w:rsidTr="00377237">
        <w:trPr>
          <w:trHeight w:val="310"/>
        </w:trPr>
        <w:tc>
          <w:tcPr>
            <w:tcW w:w="1444" w:type="dxa"/>
            <w:tcBorders>
              <w:top w:val="nil"/>
              <w:left w:val="nil"/>
              <w:bottom w:val="nil"/>
              <w:right w:val="nil"/>
            </w:tcBorders>
            <w:shd w:val="clear" w:color="auto" w:fill="auto"/>
            <w:noWrap/>
            <w:vAlign w:val="center"/>
            <w:hideMark/>
          </w:tcPr>
          <w:p w14:paraId="76615E8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Camerún</w:t>
            </w:r>
          </w:p>
        </w:tc>
        <w:tc>
          <w:tcPr>
            <w:tcW w:w="1108" w:type="dxa"/>
            <w:tcBorders>
              <w:top w:val="nil"/>
              <w:left w:val="nil"/>
              <w:bottom w:val="nil"/>
              <w:right w:val="nil"/>
            </w:tcBorders>
            <w:shd w:val="clear" w:color="auto" w:fill="auto"/>
            <w:noWrap/>
            <w:vAlign w:val="center"/>
            <w:hideMark/>
          </w:tcPr>
          <w:p w14:paraId="1074CAE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B98894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480.148</w:t>
            </w:r>
          </w:p>
        </w:tc>
        <w:tc>
          <w:tcPr>
            <w:tcW w:w="1701" w:type="dxa"/>
            <w:tcBorders>
              <w:top w:val="nil"/>
              <w:left w:val="nil"/>
              <w:bottom w:val="nil"/>
              <w:right w:val="nil"/>
            </w:tcBorders>
            <w:shd w:val="clear" w:color="auto" w:fill="auto"/>
            <w:noWrap/>
            <w:vAlign w:val="center"/>
            <w:hideMark/>
          </w:tcPr>
          <w:p w14:paraId="55D7840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894.646</w:t>
            </w:r>
          </w:p>
        </w:tc>
        <w:tc>
          <w:tcPr>
            <w:tcW w:w="1560" w:type="dxa"/>
            <w:tcBorders>
              <w:top w:val="nil"/>
              <w:left w:val="nil"/>
              <w:bottom w:val="nil"/>
              <w:right w:val="nil"/>
            </w:tcBorders>
            <w:shd w:val="clear" w:color="auto" w:fill="auto"/>
            <w:noWrap/>
            <w:vAlign w:val="center"/>
            <w:hideMark/>
          </w:tcPr>
          <w:p w14:paraId="47F1819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53,67%</w:t>
            </w:r>
          </w:p>
        </w:tc>
        <w:tc>
          <w:tcPr>
            <w:tcW w:w="1274" w:type="dxa"/>
            <w:vMerge w:val="restart"/>
            <w:tcBorders>
              <w:top w:val="nil"/>
              <w:left w:val="nil"/>
              <w:bottom w:val="single" w:sz="4" w:space="0" w:color="000000"/>
              <w:right w:val="nil"/>
            </w:tcBorders>
            <w:shd w:val="clear" w:color="auto" w:fill="auto"/>
            <w:noWrap/>
            <w:vAlign w:val="center"/>
            <w:hideMark/>
          </w:tcPr>
          <w:p w14:paraId="1706929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57,25%</w:t>
            </w:r>
          </w:p>
        </w:tc>
      </w:tr>
      <w:tr w:rsidR="001579BE" w:rsidRPr="00A947EA" w14:paraId="7277EBA4"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09F541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Camerún</w:t>
            </w:r>
          </w:p>
        </w:tc>
        <w:tc>
          <w:tcPr>
            <w:tcW w:w="1108" w:type="dxa"/>
            <w:tcBorders>
              <w:top w:val="nil"/>
              <w:left w:val="nil"/>
              <w:bottom w:val="single" w:sz="4" w:space="0" w:color="auto"/>
              <w:right w:val="nil"/>
            </w:tcBorders>
            <w:shd w:val="clear" w:color="auto" w:fill="auto"/>
            <w:noWrap/>
            <w:vAlign w:val="center"/>
            <w:hideMark/>
          </w:tcPr>
          <w:p w14:paraId="3B69C64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3E970E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32.000</w:t>
            </w:r>
          </w:p>
        </w:tc>
        <w:tc>
          <w:tcPr>
            <w:tcW w:w="1701" w:type="dxa"/>
            <w:tcBorders>
              <w:top w:val="nil"/>
              <w:left w:val="nil"/>
              <w:bottom w:val="single" w:sz="4" w:space="0" w:color="auto"/>
              <w:right w:val="nil"/>
            </w:tcBorders>
            <w:shd w:val="clear" w:color="auto" w:fill="auto"/>
            <w:noWrap/>
            <w:vAlign w:val="center"/>
            <w:hideMark/>
          </w:tcPr>
          <w:p w14:paraId="0D9D549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894.646</w:t>
            </w:r>
          </w:p>
        </w:tc>
        <w:tc>
          <w:tcPr>
            <w:tcW w:w="1560" w:type="dxa"/>
            <w:tcBorders>
              <w:top w:val="nil"/>
              <w:left w:val="nil"/>
              <w:bottom w:val="single" w:sz="4" w:space="0" w:color="auto"/>
              <w:right w:val="nil"/>
            </w:tcBorders>
            <w:shd w:val="clear" w:color="auto" w:fill="auto"/>
            <w:noWrap/>
            <w:vAlign w:val="center"/>
            <w:hideMark/>
          </w:tcPr>
          <w:p w14:paraId="67C201C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3,58%</w:t>
            </w:r>
          </w:p>
        </w:tc>
        <w:tc>
          <w:tcPr>
            <w:tcW w:w="1274" w:type="dxa"/>
            <w:vMerge/>
            <w:tcBorders>
              <w:top w:val="nil"/>
              <w:left w:val="nil"/>
              <w:bottom w:val="single" w:sz="4" w:space="0" w:color="000000"/>
              <w:right w:val="nil"/>
            </w:tcBorders>
            <w:vAlign w:val="center"/>
            <w:hideMark/>
          </w:tcPr>
          <w:p w14:paraId="18CC58D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8FEC35B"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D97E8B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China</w:t>
            </w:r>
          </w:p>
        </w:tc>
        <w:tc>
          <w:tcPr>
            <w:tcW w:w="1108" w:type="dxa"/>
            <w:tcBorders>
              <w:top w:val="nil"/>
              <w:left w:val="nil"/>
              <w:bottom w:val="single" w:sz="4" w:space="0" w:color="auto"/>
              <w:right w:val="nil"/>
            </w:tcBorders>
            <w:shd w:val="clear" w:color="auto" w:fill="auto"/>
            <w:noWrap/>
            <w:vAlign w:val="center"/>
            <w:hideMark/>
          </w:tcPr>
          <w:p w14:paraId="47C885B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2BF468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48.779</w:t>
            </w:r>
          </w:p>
        </w:tc>
        <w:tc>
          <w:tcPr>
            <w:tcW w:w="1701" w:type="dxa"/>
            <w:tcBorders>
              <w:top w:val="nil"/>
              <w:left w:val="nil"/>
              <w:bottom w:val="single" w:sz="4" w:space="0" w:color="auto"/>
              <w:right w:val="nil"/>
            </w:tcBorders>
            <w:shd w:val="clear" w:color="auto" w:fill="auto"/>
            <w:noWrap/>
            <w:vAlign w:val="center"/>
            <w:hideMark/>
          </w:tcPr>
          <w:p w14:paraId="2F00881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9.711.387</w:t>
            </w:r>
          </w:p>
        </w:tc>
        <w:tc>
          <w:tcPr>
            <w:tcW w:w="1560" w:type="dxa"/>
            <w:tcBorders>
              <w:top w:val="nil"/>
              <w:left w:val="nil"/>
              <w:bottom w:val="single" w:sz="4" w:space="0" w:color="auto"/>
              <w:right w:val="nil"/>
            </w:tcBorders>
            <w:shd w:val="clear" w:color="auto" w:fill="auto"/>
            <w:noWrap/>
            <w:vAlign w:val="center"/>
            <w:hideMark/>
          </w:tcPr>
          <w:p w14:paraId="4271FAA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0,50%</w:t>
            </w:r>
          </w:p>
        </w:tc>
        <w:tc>
          <w:tcPr>
            <w:tcW w:w="1274" w:type="dxa"/>
            <w:tcBorders>
              <w:top w:val="nil"/>
              <w:left w:val="nil"/>
              <w:bottom w:val="single" w:sz="4" w:space="0" w:color="auto"/>
              <w:right w:val="nil"/>
            </w:tcBorders>
            <w:shd w:val="clear" w:color="auto" w:fill="auto"/>
            <w:noWrap/>
            <w:vAlign w:val="center"/>
            <w:hideMark/>
          </w:tcPr>
          <w:p w14:paraId="29A8BA4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0,50%</w:t>
            </w:r>
          </w:p>
        </w:tc>
      </w:tr>
      <w:tr w:rsidR="001579BE" w:rsidRPr="00A947EA" w14:paraId="59FD8737" w14:textId="77777777" w:rsidTr="00377237">
        <w:trPr>
          <w:trHeight w:val="310"/>
        </w:trPr>
        <w:tc>
          <w:tcPr>
            <w:tcW w:w="1444" w:type="dxa"/>
            <w:tcBorders>
              <w:top w:val="nil"/>
              <w:left w:val="nil"/>
              <w:bottom w:val="nil"/>
              <w:right w:val="nil"/>
            </w:tcBorders>
            <w:shd w:val="clear" w:color="auto" w:fill="auto"/>
            <w:noWrap/>
            <w:vAlign w:val="center"/>
            <w:hideMark/>
          </w:tcPr>
          <w:p w14:paraId="70994F2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 xml:space="preserve">Taiwán </w:t>
            </w:r>
          </w:p>
        </w:tc>
        <w:tc>
          <w:tcPr>
            <w:tcW w:w="1108" w:type="dxa"/>
            <w:tcBorders>
              <w:top w:val="nil"/>
              <w:left w:val="nil"/>
              <w:bottom w:val="nil"/>
              <w:right w:val="nil"/>
            </w:tcBorders>
            <w:shd w:val="clear" w:color="auto" w:fill="auto"/>
            <w:noWrap/>
            <w:vAlign w:val="center"/>
            <w:hideMark/>
          </w:tcPr>
          <w:p w14:paraId="447F586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46E2B6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491</w:t>
            </w:r>
          </w:p>
        </w:tc>
        <w:tc>
          <w:tcPr>
            <w:tcW w:w="1701" w:type="dxa"/>
            <w:tcBorders>
              <w:top w:val="nil"/>
              <w:left w:val="nil"/>
              <w:bottom w:val="nil"/>
              <w:right w:val="nil"/>
            </w:tcBorders>
            <w:shd w:val="clear" w:color="auto" w:fill="auto"/>
            <w:noWrap/>
            <w:vAlign w:val="center"/>
            <w:hideMark/>
          </w:tcPr>
          <w:p w14:paraId="7184B23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1.271.735</w:t>
            </w:r>
          </w:p>
        </w:tc>
        <w:tc>
          <w:tcPr>
            <w:tcW w:w="1560" w:type="dxa"/>
            <w:tcBorders>
              <w:top w:val="nil"/>
              <w:left w:val="nil"/>
              <w:bottom w:val="nil"/>
              <w:right w:val="nil"/>
            </w:tcBorders>
            <w:shd w:val="clear" w:color="auto" w:fill="auto"/>
            <w:noWrap/>
            <w:vAlign w:val="center"/>
            <w:hideMark/>
          </w:tcPr>
          <w:p w14:paraId="0AB4C1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0,04%</w:t>
            </w:r>
          </w:p>
        </w:tc>
        <w:tc>
          <w:tcPr>
            <w:tcW w:w="1274" w:type="dxa"/>
            <w:vMerge w:val="restart"/>
            <w:tcBorders>
              <w:top w:val="nil"/>
              <w:left w:val="nil"/>
              <w:bottom w:val="single" w:sz="4" w:space="0" w:color="000000"/>
              <w:right w:val="nil"/>
            </w:tcBorders>
            <w:shd w:val="clear" w:color="auto" w:fill="auto"/>
            <w:noWrap/>
            <w:vAlign w:val="center"/>
            <w:hideMark/>
          </w:tcPr>
          <w:p w14:paraId="5361621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0,09%</w:t>
            </w:r>
          </w:p>
        </w:tc>
      </w:tr>
      <w:tr w:rsidR="001579BE" w:rsidRPr="00A947EA" w14:paraId="661D9BC6"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E3927E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Taiwán</w:t>
            </w:r>
          </w:p>
        </w:tc>
        <w:tc>
          <w:tcPr>
            <w:tcW w:w="1108" w:type="dxa"/>
            <w:tcBorders>
              <w:top w:val="nil"/>
              <w:left w:val="nil"/>
              <w:bottom w:val="single" w:sz="4" w:space="0" w:color="auto"/>
              <w:right w:val="nil"/>
            </w:tcBorders>
            <w:shd w:val="clear" w:color="auto" w:fill="auto"/>
            <w:noWrap/>
            <w:vAlign w:val="center"/>
            <w:hideMark/>
          </w:tcPr>
          <w:p w14:paraId="21BD1B2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EC80E7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668</w:t>
            </w:r>
          </w:p>
        </w:tc>
        <w:tc>
          <w:tcPr>
            <w:tcW w:w="1701" w:type="dxa"/>
            <w:tcBorders>
              <w:top w:val="nil"/>
              <w:left w:val="nil"/>
              <w:bottom w:val="single" w:sz="4" w:space="0" w:color="auto"/>
              <w:right w:val="nil"/>
            </w:tcBorders>
            <w:shd w:val="clear" w:color="auto" w:fill="auto"/>
            <w:noWrap/>
            <w:vAlign w:val="center"/>
            <w:hideMark/>
          </w:tcPr>
          <w:p w14:paraId="0BE0073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1.271.735</w:t>
            </w:r>
          </w:p>
        </w:tc>
        <w:tc>
          <w:tcPr>
            <w:tcW w:w="1560" w:type="dxa"/>
            <w:tcBorders>
              <w:top w:val="nil"/>
              <w:left w:val="nil"/>
              <w:bottom w:val="single" w:sz="4" w:space="0" w:color="auto"/>
              <w:right w:val="nil"/>
            </w:tcBorders>
            <w:shd w:val="clear" w:color="auto" w:fill="auto"/>
            <w:noWrap/>
            <w:vAlign w:val="center"/>
            <w:hideMark/>
          </w:tcPr>
          <w:p w14:paraId="2C82432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0,05%</w:t>
            </w:r>
          </w:p>
        </w:tc>
        <w:tc>
          <w:tcPr>
            <w:tcW w:w="1274" w:type="dxa"/>
            <w:vMerge/>
            <w:tcBorders>
              <w:top w:val="nil"/>
              <w:left w:val="nil"/>
              <w:bottom w:val="single" w:sz="4" w:space="0" w:color="000000"/>
              <w:right w:val="nil"/>
            </w:tcBorders>
            <w:vAlign w:val="center"/>
            <w:hideMark/>
          </w:tcPr>
          <w:p w14:paraId="1C578F3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6DDD8E3" w14:textId="77777777" w:rsidTr="00377237">
        <w:trPr>
          <w:trHeight w:val="310"/>
        </w:trPr>
        <w:tc>
          <w:tcPr>
            <w:tcW w:w="1444" w:type="dxa"/>
            <w:tcBorders>
              <w:top w:val="nil"/>
              <w:left w:val="nil"/>
              <w:bottom w:val="nil"/>
              <w:right w:val="nil"/>
            </w:tcBorders>
            <w:shd w:val="clear" w:color="auto" w:fill="auto"/>
            <w:noWrap/>
            <w:vAlign w:val="center"/>
            <w:hideMark/>
          </w:tcPr>
          <w:p w14:paraId="18EDEBA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Colombia</w:t>
            </w:r>
          </w:p>
        </w:tc>
        <w:tc>
          <w:tcPr>
            <w:tcW w:w="1108" w:type="dxa"/>
            <w:tcBorders>
              <w:top w:val="nil"/>
              <w:left w:val="nil"/>
              <w:bottom w:val="nil"/>
              <w:right w:val="nil"/>
            </w:tcBorders>
            <w:shd w:val="clear" w:color="auto" w:fill="auto"/>
            <w:noWrap/>
            <w:vAlign w:val="center"/>
            <w:hideMark/>
          </w:tcPr>
          <w:p w14:paraId="7A7513C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885353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18.987</w:t>
            </w:r>
          </w:p>
        </w:tc>
        <w:tc>
          <w:tcPr>
            <w:tcW w:w="1701" w:type="dxa"/>
            <w:tcBorders>
              <w:top w:val="nil"/>
              <w:left w:val="nil"/>
              <w:bottom w:val="nil"/>
              <w:right w:val="nil"/>
            </w:tcBorders>
            <w:shd w:val="clear" w:color="auto" w:fill="auto"/>
            <w:noWrap/>
            <w:vAlign w:val="center"/>
            <w:hideMark/>
          </w:tcPr>
          <w:p w14:paraId="2956D97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1.990.318</w:t>
            </w:r>
          </w:p>
        </w:tc>
        <w:tc>
          <w:tcPr>
            <w:tcW w:w="1560" w:type="dxa"/>
            <w:tcBorders>
              <w:top w:val="nil"/>
              <w:left w:val="nil"/>
              <w:bottom w:val="nil"/>
              <w:right w:val="nil"/>
            </w:tcBorders>
            <w:shd w:val="clear" w:color="auto" w:fill="auto"/>
            <w:noWrap/>
            <w:vAlign w:val="center"/>
            <w:hideMark/>
          </w:tcPr>
          <w:p w14:paraId="03E09DE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0,95%</w:t>
            </w:r>
          </w:p>
        </w:tc>
        <w:tc>
          <w:tcPr>
            <w:tcW w:w="1274" w:type="dxa"/>
            <w:vMerge w:val="restart"/>
            <w:tcBorders>
              <w:top w:val="nil"/>
              <w:left w:val="nil"/>
              <w:bottom w:val="single" w:sz="4" w:space="0" w:color="000000"/>
              <w:right w:val="nil"/>
            </w:tcBorders>
            <w:shd w:val="clear" w:color="auto" w:fill="auto"/>
            <w:noWrap/>
            <w:vAlign w:val="center"/>
            <w:hideMark/>
          </w:tcPr>
          <w:p w14:paraId="5B16058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1,67%</w:t>
            </w:r>
          </w:p>
        </w:tc>
      </w:tr>
      <w:tr w:rsidR="001579BE" w:rsidRPr="00A947EA" w14:paraId="6856CD14"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7D6710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Colombia</w:t>
            </w:r>
          </w:p>
        </w:tc>
        <w:tc>
          <w:tcPr>
            <w:tcW w:w="1108" w:type="dxa"/>
            <w:tcBorders>
              <w:top w:val="nil"/>
              <w:left w:val="nil"/>
              <w:bottom w:val="single" w:sz="4" w:space="0" w:color="auto"/>
              <w:right w:val="nil"/>
            </w:tcBorders>
            <w:shd w:val="clear" w:color="auto" w:fill="auto"/>
            <w:noWrap/>
            <w:vAlign w:val="center"/>
            <w:hideMark/>
          </w:tcPr>
          <w:p w14:paraId="38BBF1D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D39911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14.300</w:t>
            </w:r>
          </w:p>
        </w:tc>
        <w:tc>
          <w:tcPr>
            <w:tcW w:w="1701" w:type="dxa"/>
            <w:tcBorders>
              <w:top w:val="nil"/>
              <w:left w:val="nil"/>
              <w:bottom w:val="single" w:sz="4" w:space="0" w:color="auto"/>
              <w:right w:val="nil"/>
            </w:tcBorders>
            <w:shd w:val="clear" w:color="auto" w:fill="auto"/>
            <w:noWrap/>
            <w:vAlign w:val="center"/>
            <w:hideMark/>
          </w:tcPr>
          <w:p w14:paraId="447FB38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1.990.318</w:t>
            </w:r>
          </w:p>
        </w:tc>
        <w:tc>
          <w:tcPr>
            <w:tcW w:w="1560" w:type="dxa"/>
            <w:tcBorders>
              <w:top w:val="nil"/>
              <w:left w:val="nil"/>
              <w:bottom w:val="single" w:sz="4" w:space="0" w:color="auto"/>
              <w:right w:val="nil"/>
            </w:tcBorders>
            <w:shd w:val="clear" w:color="auto" w:fill="auto"/>
            <w:noWrap/>
            <w:vAlign w:val="center"/>
            <w:hideMark/>
          </w:tcPr>
          <w:p w14:paraId="72167D1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0,72%</w:t>
            </w:r>
          </w:p>
        </w:tc>
        <w:tc>
          <w:tcPr>
            <w:tcW w:w="1274" w:type="dxa"/>
            <w:vMerge/>
            <w:tcBorders>
              <w:top w:val="nil"/>
              <w:left w:val="nil"/>
              <w:bottom w:val="single" w:sz="4" w:space="0" w:color="000000"/>
              <w:right w:val="nil"/>
            </w:tcBorders>
            <w:vAlign w:val="center"/>
            <w:hideMark/>
          </w:tcPr>
          <w:p w14:paraId="63CA70D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4E14BA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506593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Congo</w:t>
            </w:r>
          </w:p>
        </w:tc>
        <w:tc>
          <w:tcPr>
            <w:tcW w:w="1108" w:type="dxa"/>
            <w:tcBorders>
              <w:top w:val="nil"/>
              <w:left w:val="nil"/>
              <w:bottom w:val="single" w:sz="4" w:space="0" w:color="auto"/>
              <w:right w:val="nil"/>
            </w:tcBorders>
            <w:shd w:val="clear" w:color="auto" w:fill="auto"/>
            <w:noWrap/>
            <w:vAlign w:val="center"/>
            <w:hideMark/>
          </w:tcPr>
          <w:p w14:paraId="3F99BB3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7AF3EB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124.522</w:t>
            </w:r>
          </w:p>
        </w:tc>
        <w:tc>
          <w:tcPr>
            <w:tcW w:w="1701" w:type="dxa"/>
            <w:tcBorders>
              <w:top w:val="nil"/>
              <w:left w:val="nil"/>
              <w:bottom w:val="single" w:sz="4" w:space="0" w:color="auto"/>
              <w:right w:val="nil"/>
            </w:tcBorders>
            <w:shd w:val="clear" w:color="auto" w:fill="auto"/>
            <w:noWrap/>
            <w:vAlign w:val="center"/>
            <w:hideMark/>
          </w:tcPr>
          <w:p w14:paraId="6904B16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261.943</w:t>
            </w:r>
          </w:p>
        </w:tc>
        <w:tc>
          <w:tcPr>
            <w:tcW w:w="1560" w:type="dxa"/>
            <w:tcBorders>
              <w:top w:val="nil"/>
              <w:left w:val="nil"/>
              <w:bottom w:val="single" w:sz="4" w:space="0" w:color="auto"/>
              <w:right w:val="nil"/>
            </w:tcBorders>
            <w:shd w:val="clear" w:color="auto" w:fill="auto"/>
            <w:noWrap/>
            <w:vAlign w:val="center"/>
            <w:hideMark/>
          </w:tcPr>
          <w:p w14:paraId="74161FC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47,54%</w:t>
            </w:r>
          </w:p>
        </w:tc>
        <w:tc>
          <w:tcPr>
            <w:tcW w:w="1274" w:type="dxa"/>
            <w:tcBorders>
              <w:top w:val="nil"/>
              <w:left w:val="nil"/>
              <w:bottom w:val="single" w:sz="4" w:space="0" w:color="auto"/>
              <w:right w:val="nil"/>
            </w:tcBorders>
            <w:shd w:val="clear" w:color="auto" w:fill="auto"/>
            <w:noWrap/>
            <w:vAlign w:val="center"/>
            <w:hideMark/>
          </w:tcPr>
          <w:p w14:paraId="0FCEA0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47,54%</w:t>
            </w:r>
          </w:p>
        </w:tc>
      </w:tr>
      <w:tr w:rsidR="001579BE" w:rsidRPr="00A947EA" w14:paraId="7554C433"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21F4A2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Pr>
                <w:rFonts w:asciiTheme="majorBidi" w:eastAsia="Times New Roman" w:hAnsiTheme="majorBidi" w:cstheme="majorBidi"/>
                <w:color w:val="000000"/>
                <w:sz w:val="20"/>
                <w:szCs w:val="20"/>
                <w:lang w:eastAsia="es-ES"/>
              </w:rPr>
              <w:t>Costa de Marfil</w:t>
            </w:r>
          </w:p>
        </w:tc>
        <w:tc>
          <w:tcPr>
            <w:tcW w:w="1108" w:type="dxa"/>
            <w:tcBorders>
              <w:top w:val="nil"/>
              <w:left w:val="nil"/>
              <w:bottom w:val="single" w:sz="4" w:space="0" w:color="auto"/>
              <w:right w:val="nil"/>
            </w:tcBorders>
            <w:shd w:val="clear" w:color="auto" w:fill="auto"/>
            <w:noWrap/>
            <w:vAlign w:val="center"/>
            <w:hideMark/>
          </w:tcPr>
          <w:p w14:paraId="156DE01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33AA53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96.100</w:t>
            </w:r>
          </w:p>
        </w:tc>
        <w:tc>
          <w:tcPr>
            <w:tcW w:w="1701" w:type="dxa"/>
            <w:tcBorders>
              <w:top w:val="nil"/>
              <w:left w:val="nil"/>
              <w:bottom w:val="single" w:sz="4" w:space="0" w:color="auto"/>
              <w:right w:val="nil"/>
            </w:tcBorders>
            <w:shd w:val="clear" w:color="auto" w:fill="auto"/>
            <w:noWrap/>
            <w:vAlign w:val="center"/>
            <w:hideMark/>
          </w:tcPr>
          <w:p w14:paraId="6BE177D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516.813</w:t>
            </w:r>
          </w:p>
        </w:tc>
        <w:tc>
          <w:tcPr>
            <w:tcW w:w="1560" w:type="dxa"/>
            <w:tcBorders>
              <w:top w:val="nil"/>
              <w:left w:val="nil"/>
              <w:bottom w:val="single" w:sz="4" w:space="0" w:color="auto"/>
              <w:right w:val="nil"/>
            </w:tcBorders>
            <w:shd w:val="clear" w:color="auto" w:fill="auto"/>
            <w:noWrap/>
            <w:vAlign w:val="center"/>
            <w:hideMark/>
          </w:tcPr>
          <w:p w14:paraId="43C0324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18,59%</w:t>
            </w:r>
          </w:p>
        </w:tc>
        <w:tc>
          <w:tcPr>
            <w:tcW w:w="1274" w:type="dxa"/>
            <w:tcBorders>
              <w:top w:val="nil"/>
              <w:left w:val="nil"/>
              <w:bottom w:val="single" w:sz="4" w:space="0" w:color="auto"/>
              <w:right w:val="nil"/>
            </w:tcBorders>
            <w:shd w:val="clear" w:color="auto" w:fill="auto"/>
            <w:noWrap/>
            <w:vAlign w:val="center"/>
            <w:hideMark/>
          </w:tcPr>
          <w:p w14:paraId="3F5685B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18,59%</w:t>
            </w:r>
          </w:p>
        </w:tc>
      </w:tr>
      <w:tr w:rsidR="001579BE" w:rsidRPr="00A947EA" w14:paraId="37ED2EDF" w14:textId="77777777" w:rsidTr="00377237">
        <w:trPr>
          <w:trHeight w:val="310"/>
        </w:trPr>
        <w:tc>
          <w:tcPr>
            <w:tcW w:w="1444" w:type="dxa"/>
            <w:tcBorders>
              <w:top w:val="nil"/>
              <w:left w:val="nil"/>
              <w:bottom w:val="nil"/>
              <w:right w:val="nil"/>
            </w:tcBorders>
            <w:shd w:val="clear" w:color="auto" w:fill="auto"/>
            <w:noWrap/>
            <w:vAlign w:val="center"/>
            <w:hideMark/>
          </w:tcPr>
          <w:p w14:paraId="4FF7C8F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Chipre</w:t>
            </w:r>
          </w:p>
        </w:tc>
        <w:tc>
          <w:tcPr>
            <w:tcW w:w="1108" w:type="dxa"/>
            <w:tcBorders>
              <w:top w:val="nil"/>
              <w:left w:val="nil"/>
              <w:bottom w:val="nil"/>
              <w:right w:val="nil"/>
            </w:tcBorders>
            <w:shd w:val="clear" w:color="auto" w:fill="auto"/>
            <w:noWrap/>
            <w:vAlign w:val="center"/>
            <w:hideMark/>
          </w:tcPr>
          <w:p w14:paraId="6FE6AAD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F34C98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14.377</w:t>
            </w:r>
          </w:p>
        </w:tc>
        <w:tc>
          <w:tcPr>
            <w:tcW w:w="1701" w:type="dxa"/>
            <w:tcBorders>
              <w:top w:val="nil"/>
              <w:left w:val="nil"/>
              <w:bottom w:val="nil"/>
              <w:right w:val="nil"/>
            </w:tcBorders>
            <w:shd w:val="clear" w:color="auto" w:fill="auto"/>
            <w:noWrap/>
            <w:vAlign w:val="center"/>
            <w:hideMark/>
          </w:tcPr>
          <w:p w14:paraId="27242E9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72.525</w:t>
            </w:r>
          </w:p>
        </w:tc>
        <w:tc>
          <w:tcPr>
            <w:tcW w:w="1560" w:type="dxa"/>
            <w:tcBorders>
              <w:top w:val="nil"/>
              <w:left w:val="nil"/>
              <w:bottom w:val="nil"/>
              <w:right w:val="nil"/>
            </w:tcBorders>
            <w:shd w:val="clear" w:color="auto" w:fill="auto"/>
            <w:noWrap/>
            <w:vAlign w:val="center"/>
            <w:hideMark/>
          </w:tcPr>
          <w:p w14:paraId="321B212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19,82%</w:t>
            </w:r>
          </w:p>
        </w:tc>
        <w:tc>
          <w:tcPr>
            <w:tcW w:w="1274" w:type="dxa"/>
            <w:vMerge w:val="restart"/>
            <w:tcBorders>
              <w:top w:val="nil"/>
              <w:left w:val="nil"/>
              <w:bottom w:val="single" w:sz="4" w:space="0" w:color="000000"/>
              <w:right w:val="nil"/>
            </w:tcBorders>
            <w:shd w:val="clear" w:color="auto" w:fill="auto"/>
            <w:noWrap/>
            <w:vAlign w:val="center"/>
            <w:hideMark/>
          </w:tcPr>
          <w:p w14:paraId="55D3C30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19,82%</w:t>
            </w:r>
          </w:p>
        </w:tc>
      </w:tr>
      <w:tr w:rsidR="001579BE" w:rsidRPr="00A947EA" w14:paraId="026B30C8"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12BE04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Chipre</w:t>
            </w:r>
          </w:p>
        </w:tc>
        <w:tc>
          <w:tcPr>
            <w:tcW w:w="1108" w:type="dxa"/>
            <w:tcBorders>
              <w:top w:val="nil"/>
              <w:left w:val="nil"/>
              <w:bottom w:val="single" w:sz="4" w:space="0" w:color="auto"/>
              <w:right w:val="nil"/>
            </w:tcBorders>
            <w:shd w:val="clear" w:color="auto" w:fill="auto"/>
            <w:noWrap/>
            <w:vAlign w:val="center"/>
            <w:hideMark/>
          </w:tcPr>
          <w:p w14:paraId="2B46DCC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8909CD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3EDE39E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72.525</w:t>
            </w:r>
          </w:p>
        </w:tc>
        <w:tc>
          <w:tcPr>
            <w:tcW w:w="1560" w:type="dxa"/>
            <w:tcBorders>
              <w:top w:val="nil"/>
              <w:left w:val="nil"/>
              <w:bottom w:val="single" w:sz="4" w:space="0" w:color="auto"/>
              <w:right w:val="nil"/>
            </w:tcBorders>
            <w:shd w:val="clear" w:color="auto" w:fill="auto"/>
            <w:noWrap/>
            <w:vAlign w:val="center"/>
            <w:hideMark/>
          </w:tcPr>
          <w:p w14:paraId="6E5F28A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tcBorders>
              <w:top w:val="nil"/>
              <w:left w:val="nil"/>
              <w:bottom w:val="single" w:sz="4" w:space="0" w:color="000000"/>
              <w:right w:val="nil"/>
            </w:tcBorders>
            <w:vAlign w:val="center"/>
            <w:hideMark/>
          </w:tcPr>
          <w:p w14:paraId="53A8810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6A45EC7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53B1B7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Chequia</w:t>
            </w:r>
          </w:p>
        </w:tc>
        <w:tc>
          <w:tcPr>
            <w:tcW w:w="1108" w:type="dxa"/>
            <w:tcBorders>
              <w:top w:val="nil"/>
              <w:left w:val="nil"/>
              <w:bottom w:val="single" w:sz="4" w:space="0" w:color="auto"/>
              <w:right w:val="nil"/>
            </w:tcBorders>
            <w:shd w:val="clear" w:color="auto" w:fill="auto"/>
            <w:noWrap/>
            <w:vAlign w:val="center"/>
            <w:hideMark/>
          </w:tcPr>
          <w:p w14:paraId="2799373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BE71B8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286</w:t>
            </w:r>
          </w:p>
        </w:tc>
        <w:tc>
          <w:tcPr>
            <w:tcW w:w="1701" w:type="dxa"/>
            <w:tcBorders>
              <w:top w:val="nil"/>
              <w:left w:val="nil"/>
              <w:bottom w:val="single" w:sz="4" w:space="0" w:color="auto"/>
              <w:right w:val="nil"/>
            </w:tcBorders>
            <w:shd w:val="clear" w:color="auto" w:fill="auto"/>
            <w:noWrap/>
            <w:vAlign w:val="center"/>
            <w:hideMark/>
          </w:tcPr>
          <w:p w14:paraId="2C18FEB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59.668</w:t>
            </w:r>
          </w:p>
        </w:tc>
        <w:tc>
          <w:tcPr>
            <w:tcW w:w="1560" w:type="dxa"/>
            <w:tcBorders>
              <w:top w:val="nil"/>
              <w:left w:val="nil"/>
              <w:bottom w:val="single" w:sz="4" w:space="0" w:color="auto"/>
              <w:right w:val="nil"/>
            </w:tcBorders>
            <w:shd w:val="clear" w:color="auto" w:fill="auto"/>
            <w:noWrap/>
            <w:vAlign w:val="center"/>
            <w:hideMark/>
          </w:tcPr>
          <w:p w14:paraId="55F15E9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0,48%</w:t>
            </w:r>
          </w:p>
        </w:tc>
        <w:tc>
          <w:tcPr>
            <w:tcW w:w="1274" w:type="dxa"/>
            <w:tcBorders>
              <w:top w:val="nil"/>
              <w:left w:val="nil"/>
              <w:bottom w:val="single" w:sz="4" w:space="0" w:color="auto"/>
              <w:right w:val="nil"/>
            </w:tcBorders>
            <w:shd w:val="clear" w:color="auto" w:fill="auto"/>
            <w:noWrap/>
            <w:vAlign w:val="center"/>
            <w:hideMark/>
          </w:tcPr>
          <w:p w14:paraId="27C5CC9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0,48%</w:t>
            </w:r>
          </w:p>
        </w:tc>
      </w:tr>
      <w:tr w:rsidR="001579BE" w:rsidRPr="00A947EA" w14:paraId="0A1CC6B8" w14:textId="77777777" w:rsidTr="00377237">
        <w:trPr>
          <w:trHeight w:val="310"/>
        </w:trPr>
        <w:tc>
          <w:tcPr>
            <w:tcW w:w="1444" w:type="dxa"/>
            <w:tcBorders>
              <w:top w:val="nil"/>
              <w:left w:val="nil"/>
              <w:bottom w:val="nil"/>
              <w:right w:val="nil"/>
            </w:tcBorders>
            <w:shd w:val="clear" w:color="auto" w:fill="auto"/>
            <w:noWrap/>
            <w:vAlign w:val="center"/>
            <w:hideMark/>
          </w:tcPr>
          <w:p w14:paraId="178D222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 D. Congo</w:t>
            </w:r>
          </w:p>
        </w:tc>
        <w:tc>
          <w:tcPr>
            <w:tcW w:w="1108" w:type="dxa"/>
            <w:tcBorders>
              <w:top w:val="nil"/>
              <w:left w:val="nil"/>
              <w:bottom w:val="nil"/>
              <w:right w:val="nil"/>
            </w:tcBorders>
            <w:shd w:val="clear" w:color="auto" w:fill="auto"/>
            <w:noWrap/>
            <w:vAlign w:val="center"/>
            <w:hideMark/>
          </w:tcPr>
          <w:p w14:paraId="1C64810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6B7706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352.480</w:t>
            </w:r>
          </w:p>
        </w:tc>
        <w:tc>
          <w:tcPr>
            <w:tcW w:w="1701" w:type="dxa"/>
            <w:tcBorders>
              <w:top w:val="nil"/>
              <w:left w:val="nil"/>
              <w:bottom w:val="nil"/>
              <w:right w:val="nil"/>
            </w:tcBorders>
            <w:shd w:val="clear" w:color="auto" w:fill="auto"/>
            <w:noWrap/>
            <w:vAlign w:val="center"/>
            <w:hideMark/>
          </w:tcPr>
          <w:p w14:paraId="565F8DA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404.633</w:t>
            </w:r>
          </w:p>
        </w:tc>
        <w:tc>
          <w:tcPr>
            <w:tcW w:w="1560" w:type="dxa"/>
            <w:tcBorders>
              <w:top w:val="nil"/>
              <w:left w:val="nil"/>
              <w:bottom w:val="nil"/>
              <w:right w:val="nil"/>
            </w:tcBorders>
            <w:shd w:val="clear" w:color="auto" w:fill="auto"/>
            <w:noWrap/>
            <w:vAlign w:val="center"/>
            <w:hideMark/>
          </w:tcPr>
          <w:p w14:paraId="2ACA645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87,11%</w:t>
            </w:r>
          </w:p>
        </w:tc>
        <w:tc>
          <w:tcPr>
            <w:tcW w:w="1274" w:type="dxa"/>
            <w:vMerge w:val="restart"/>
            <w:tcBorders>
              <w:top w:val="nil"/>
              <w:left w:val="nil"/>
              <w:bottom w:val="single" w:sz="4" w:space="0" w:color="000000"/>
              <w:right w:val="nil"/>
            </w:tcBorders>
            <w:shd w:val="clear" w:color="auto" w:fill="auto"/>
            <w:noWrap/>
            <w:vAlign w:val="center"/>
            <w:hideMark/>
          </w:tcPr>
          <w:p w14:paraId="317900B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88,59%</w:t>
            </w:r>
          </w:p>
        </w:tc>
      </w:tr>
      <w:tr w:rsidR="001579BE" w:rsidRPr="00A947EA" w14:paraId="2CC2E817"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D0045B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 D. Congo</w:t>
            </w:r>
          </w:p>
        </w:tc>
        <w:tc>
          <w:tcPr>
            <w:tcW w:w="1108" w:type="dxa"/>
            <w:tcBorders>
              <w:top w:val="nil"/>
              <w:left w:val="nil"/>
              <w:bottom w:val="single" w:sz="4" w:space="0" w:color="auto"/>
              <w:right w:val="nil"/>
            </w:tcBorders>
            <w:shd w:val="clear" w:color="auto" w:fill="auto"/>
            <w:noWrap/>
            <w:vAlign w:val="center"/>
            <w:hideMark/>
          </w:tcPr>
          <w:p w14:paraId="5E7EE17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49C21E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6.000</w:t>
            </w:r>
          </w:p>
        </w:tc>
        <w:tc>
          <w:tcPr>
            <w:tcW w:w="1701" w:type="dxa"/>
            <w:tcBorders>
              <w:top w:val="nil"/>
              <w:left w:val="nil"/>
              <w:bottom w:val="single" w:sz="4" w:space="0" w:color="auto"/>
              <w:right w:val="nil"/>
            </w:tcBorders>
            <w:shd w:val="clear" w:color="auto" w:fill="auto"/>
            <w:noWrap/>
            <w:vAlign w:val="center"/>
            <w:hideMark/>
          </w:tcPr>
          <w:p w14:paraId="34CD003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404.633</w:t>
            </w:r>
          </w:p>
        </w:tc>
        <w:tc>
          <w:tcPr>
            <w:tcW w:w="1560" w:type="dxa"/>
            <w:tcBorders>
              <w:top w:val="nil"/>
              <w:left w:val="nil"/>
              <w:bottom w:val="single" w:sz="4" w:space="0" w:color="auto"/>
              <w:right w:val="nil"/>
            </w:tcBorders>
            <w:shd w:val="clear" w:color="auto" w:fill="auto"/>
            <w:noWrap/>
            <w:vAlign w:val="center"/>
            <w:hideMark/>
          </w:tcPr>
          <w:p w14:paraId="378F314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1,48%</w:t>
            </w:r>
          </w:p>
        </w:tc>
        <w:tc>
          <w:tcPr>
            <w:tcW w:w="1274" w:type="dxa"/>
            <w:vMerge/>
            <w:tcBorders>
              <w:top w:val="nil"/>
              <w:left w:val="nil"/>
              <w:bottom w:val="single" w:sz="4" w:space="0" w:color="000000"/>
              <w:right w:val="nil"/>
            </w:tcBorders>
            <w:vAlign w:val="center"/>
            <w:hideMark/>
          </w:tcPr>
          <w:p w14:paraId="0B613F3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59F504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C4E7C4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Dinamarca</w:t>
            </w:r>
          </w:p>
        </w:tc>
        <w:tc>
          <w:tcPr>
            <w:tcW w:w="1108" w:type="dxa"/>
            <w:tcBorders>
              <w:top w:val="nil"/>
              <w:left w:val="nil"/>
              <w:bottom w:val="single" w:sz="4" w:space="0" w:color="auto"/>
              <w:right w:val="nil"/>
            </w:tcBorders>
            <w:shd w:val="clear" w:color="auto" w:fill="auto"/>
            <w:noWrap/>
            <w:vAlign w:val="center"/>
            <w:hideMark/>
          </w:tcPr>
          <w:p w14:paraId="7A031D1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647FDF0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6.800</w:t>
            </w:r>
          </w:p>
        </w:tc>
        <w:tc>
          <w:tcPr>
            <w:tcW w:w="1701" w:type="dxa"/>
            <w:tcBorders>
              <w:top w:val="nil"/>
              <w:left w:val="nil"/>
              <w:bottom w:val="single" w:sz="4" w:space="0" w:color="auto"/>
              <w:right w:val="nil"/>
            </w:tcBorders>
            <w:shd w:val="clear" w:color="auto" w:fill="auto"/>
            <w:noWrap/>
            <w:vAlign w:val="center"/>
            <w:hideMark/>
          </w:tcPr>
          <w:p w14:paraId="189B400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126.461</w:t>
            </w:r>
          </w:p>
        </w:tc>
        <w:tc>
          <w:tcPr>
            <w:tcW w:w="1560" w:type="dxa"/>
            <w:tcBorders>
              <w:top w:val="nil"/>
              <w:left w:val="nil"/>
              <w:bottom w:val="single" w:sz="4" w:space="0" w:color="auto"/>
              <w:right w:val="nil"/>
            </w:tcBorders>
            <w:shd w:val="clear" w:color="auto" w:fill="auto"/>
            <w:noWrap/>
            <w:vAlign w:val="center"/>
            <w:hideMark/>
          </w:tcPr>
          <w:p w14:paraId="16F4CA8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5,38%</w:t>
            </w:r>
          </w:p>
        </w:tc>
        <w:tc>
          <w:tcPr>
            <w:tcW w:w="1274" w:type="dxa"/>
            <w:tcBorders>
              <w:top w:val="nil"/>
              <w:left w:val="nil"/>
              <w:bottom w:val="single" w:sz="4" w:space="0" w:color="auto"/>
              <w:right w:val="nil"/>
            </w:tcBorders>
            <w:shd w:val="clear" w:color="auto" w:fill="auto"/>
            <w:noWrap/>
            <w:vAlign w:val="center"/>
            <w:hideMark/>
          </w:tcPr>
          <w:p w14:paraId="480B53E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5,38%</w:t>
            </w:r>
          </w:p>
        </w:tc>
      </w:tr>
      <w:tr w:rsidR="001579BE" w:rsidRPr="00A947EA" w14:paraId="695AF003"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BD6F7C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Pr>
                <w:rFonts w:asciiTheme="majorBidi" w:eastAsia="Times New Roman" w:hAnsiTheme="majorBidi" w:cstheme="majorBidi"/>
                <w:color w:val="000000"/>
                <w:sz w:val="20"/>
                <w:szCs w:val="20"/>
                <w:lang w:eastAsia="es-ES"/>
              </w:rPr>
              <w:t>Yi</w:t>
            </w:r>
            <w:r w:rsidRPr="00A947EA">
              <w:rPr>
                <w:rFonts w:asciiTheme="majorBidi" w:eastAsia="Times New Roman" w:hAnsiTheme="majorBidi" w:cstheme="majorBidi"/>
                <w:color w:val="000000"/>
                <w:sz w:val="20"/>
                <w:szCs w:val="20"/>
                <w:lang w:eastAsia="es-ES"/>
              </w:rPr>
              <w:t>buti</w:t>
            </w:r>
          </w:p>
        </w:tc>
        <w:tc>
          <w:tcPr>
            <w:tcW w:w="1108" w:type="dxa"/>
            <w:tcBorders>
              <w:top w:val="nil"/>
              <w:left w:val="nil"/>
              <w:bottom w:val="single" w:sz="4" w:space="0" w:color="auto"/>
              <w:right w:val="nil"/>
            </w:tcBorders>
            <w:shd w:val="clear" w:color="auto" w:fill="auto"/>
            <w:noWrap/>
            <w:vAlign w:val="center"/>
            <w:hideMark/>
          </w:tcPr>
          <w:p w14:paraId="00EC544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568F5B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193.750</w:t>
            </w:r>
          </w:p>
        </w:tc>
        <w:tc>
          <w:tcPr>
            <w:tcW w:w="1701" w:type="dxa"/>
            <w:tcBorders>
              <w:top w:val="nil"/>
              <w:left w:val="nil"/>
              <w:bottom w:val="single" w:sz="4" w:space="0" w:color="auto"/>
              <w:right w:val="nil"/>
            </w:tcBorders>
            <w:shd w:val="clear" w:color="auto" w:fill="auto"/>
            <w:noWrap/>
            <w:vAlign w:val="center"/>
            <w:hideMark/>
          </w:tcPr>
          <w:p w14:paraId="26A643F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326.090</w:t>
            </w:r>
          </w:p>
        </w:tc>
        <w:tc>
          <w:tcPr>
            <w:tcW w:w="1560" w:type="dxa"/>
            <w:tcBorders>
              <w:top w:val="nil"/>
              <w:left w:val="nil"/>
              <w:bottom w:val="single" w:sz="4" w:space="0" w:color="auto"/>
              <w:right w:val="nil"/>
            </w:tcBorders>
            <w:shd w:val="clear" w:color="auto" w:fill="auto"/>
            <w:noWrap/>
            <w:vAlign w:val="center"/>
            <w:hideMark/>
          </w:tcPr>
          <w:p w14:paraId="538B518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59,42%</w:t>
            </w:r>
          </w:p>
        </w:tc>
        <w:tc>
          <w:tcPr>
            <w:tcW w:w="1274" w:type="dxa"/>
            <w:tcBorders>
              <w:top w:val="nil"/>
              <w:left w:val="nil"/>
              <w:bottom w:val="single" w:sz="4" w:space="0" w:color="auto"/>
              <w:right w:val="nil"/>
            </w:tcBorders>
            <w:shd w:val="clear" w:color="auto" w:fill="auto"/>
            <w:noWrap/>
            <w:vAlign w:val="center"/>
            <w:hideMark/>
          </w:tcPr>
          <w:p w14:paraId="22C48CD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59,42%</w:t>
            </w:r>
          </w:p>
        </w:tc>
      </w:tr>
      <w:tr w:rsidR="001579BE" w:rsidRPr="00A947EA" w14:paraId="69642BDC"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0B684D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Rep. Dominicana</w:t>
            </w:r>
          </w:p>
        </w:tc>
        <w:tc>
          <w:tcPr>
            <w:tcW w:w="1108" w:type="dxa"/>
            <w:tcBorders>
              <w:top w:val="nil"/>
              <w:left w:val="nil"/>
              <w:bottom w:val="single" w:sz="4" w:space="0" w:color="auto"/>
              <w:right w:val="nil"/>
            </w:tcBorders>
            <w:shd w:val="clear" w:color="auto" w:fill="auto"/>
            <w:noWrap/>
            <w:vAlign w:val="center"/>
            <w:hideMark/>
          </w:tcPr>
          <w:p w14:paraId="55143A6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412322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9.343</w:t>
            </w:r>
          </w:p>
        </w:tc>
        <w:tc>
          <w:tcPr>
            <w:tcW w:w="1701" w:type="dxa"/>
            <w:tcBorders>
              <w:top w:val="nil"/>
              <w:left w:val="nil"/>
              <w:bottom w:val="single" w:sz="4" w:space="0" w:color="auto"/>
              <w:right w:val="nil"/>
            </w:tcBorders>
            <w:shd w:val="clear" w:color="auto" w:fill="auto"/>
            <w:noWrap/>
            <w:vAlign w:val="center"/>
            <w:hideMark/>
          </w:tcPr>
          <w:p w14:paraId="491AD1B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572.496</w:t>
            </w:r>
          </w:p>
        </w:tc>
        <w:tc>
          <w:tcPr>
            <w:tcW w:w="1560" w:type="dxa"/>
            <w:tcBorders>
              <w:top w:val="nil"/>
              <w:left w:val="nil"/>
              <w:bottom w:val="single" w:sz="4" w:space="0" w:color="auto"/>
              <w:right w:val="nil"/>
            </w:tcBorders>
            <w:shd w:val="clear" w:color="auto" w:fill="auto"/>
            <w:noWrap/>
            <w:vAlign w:val="center"/>
            <w:hideMark/>
          </w:tcPr>
          <w:p w14:paraId="24ED3C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1,63%</w:t>
            </w:r>
          </w:p>
        </w:tc>
        <w:tc>
          <w:tcPr>
            <w:tcW w:w="1274" w:type="dxa"/>
            <w:tcBorders>
              <w:top w:val="nil"/>
              <w:left w:val="nil"/>
              <w:bottom w:val="single" w:sz="4" w:space="0" w:color="auto"/>
              <w:right w:val="nil"/>
            </w:tcBorders>
            <w:shd w:val="clear" w:color="auto" w:fill="auto"/>
            <w:noWrap/>
            <w:vAlign w:val="center"/>
            <w:hideMark/>
          </w:tcPr>
          <w:p w14:paraId="3C28196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1,63%</w:t>
            </w:r>
          </w:p>
        </w:tc>
      </w:tr>
      <w:tr w:rsidR="001579BE" w:rsidRPr="00A947EA" w14:paraId="6C32CBD0" w14:textId="77777777" w:rsidTr="00377237">
        <w:trPr>
          <w:trHeight w:val="310"/>
        </w:trPr>
        <w:tc>
          <w:tcPr>
            <w:tcW w:w="1444" w:type="dxa"/>
            <w:tcBorders>
              <w:top w:val="nil"/>
              <w:left w:val="nil"/>
              <w:bottom w:val="nil"/>
              <w:right w:val="nil"/>
            </w:tcBorders>
            <w:shd w:val="clear" w:color="auto" w:fill="auto"/>
            <w:noWrap/>
            <w:vAlign w:val="center"/>
            <w:hideMark/>
          </w:tcPr>
          <w:p w14:paraId="42F378C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Egipto</w:t>
            </w:r>
          </w:p>
        </w:tc>
        <w:tc>
          <w:tcPr>
            <w:tcW w:w="1108" w:type="dxa"/>
            <w:tcBorders>
              <w:top w:val="nil"/>
              <w:left w:val="nil"/>
              <w:bottom w:val="nil"/>
              <w:right w:val="nil"/>
            </w:tcBorders>
            <w:shd w:val="clear" w:color="auto" w:fill="auto"/>
            <w:noWrap/>
            <w:vAlign w:val="center"/>
            <w:hideMark/>
          </w:tcPr>
          <w:p w14:paraId="116D4CA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9234F4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2.404.852</w:t>
            </w:r>
          </w:p>
        </w:tc>
        <w:tc>
          <w:tcPr>
            <w:tcW w:w="1701" w:type="dxa"/>
            <w:tcBorders>
              <w:top w:val="nil"/>
              <w:left w:val="nil"/>
              <w:bottom w:val="nil"/>
              <w:right w:val="nil"/>
            </w:tcBorders>
            <w:shd w:val="clear" w:color="auto" w:fill="auto"/>
            <w:noWrap/>
            <w:vAlign w:val="center"/>
            <w:hideMark/>
          </w:tcPr>
          <w:p w14:paraId="4AA54D1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5.773.696</w:t>
            </w:r>
          </w:p>
        </w:tc>
        <w:tc>
          <w:tcPr>
            <w:tcW w:w="1560" w:type="dxa"/>
            <w:tcBorders>
              <w:top w:val="nil"/>
              <w:left w:val="nil"/>
              <w:bottom w:val="nil"/>
              <w:right w:val="nil"/>
            </w:tcBorders>
            <w:shd w:val="clear" w:color="auto" w:fill="auto"/>
            <w:noWrap/>
            <w:vAlign w:val="center"/>
            <w:hideMark/>
          </w:tcPr>
          <w:p w14:paraId="428BD76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41,65%</w:t>
            </w:r>
          </w:p>
        </w:tc>
        <w:tc>
          <w:tcPr>
            <w:tcW w:w="1274" w:type="dxa"/>
            <w:vMerge w:val="restart"/>
            <w:tcBorders>
              <w:top w:val="nil"/>
              <w:left w:val="nil"/>
              <w:bottom w:val="single" w:sz="4" w:space="0" w:color="000000"/>
              <w:right w:val="nil"/>
            </w:tcBorders>
            <w:shd w:val="clear" w:color="auto" w:fill="auto"/>
            <w:noWrap/>
            <w:vAlign w:val="center"/>
            <w:hideMark/>
          </w:tcPr>
          <w:p w14:paraId="09D2848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66,94%</w:t>
            </w:r>
          </w:p>
        </w:tc>
      </w:tr>
      <w:tr w:rsidR="001579BE" w:rsidRPr="00A947EA" w14:paraId="78498C17"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3C1E12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Egipto</w:t>
            </w:r>
          </w:p>
        </w:tc>
        <w:tc>
          <w:tcPr>
            <w:tcW w:w="1108" w:type="dxa"/>
            <w:tcBorders>
              <w:top w:val="nil"/>
              <w:left w:val="nil"/>
              <w:bottom w:val="single" w:sz="4" w:space="0" w:color="auto"/>
              <w:right w:val="nil"/>
            </w:tcBorders>
            <w:shd w:val="clear" w:color="auto" w:fill="auto"/>
            <w:noWrap/>
            <w:vAlign w:val="center"/>
            <w:hideMark/>
          </w:tcPr>
          <w:p w14:paraId="6FE8438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C7282B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1.460.343</w:t>
            </w:r>
          </w:p>
        </w:tc>
        <w:tc>
          <w:tcPr>
            <w:tcW w:w="1701" w:type="dxa"/>
            <w:tcBorders>
              <w:top w:val="nil"/>
              <w:left w:val="nil"/>
              <w:bottom w:val="single" w:sz="4" w:space="0" w:color="auto"/>
              <w:right w:val="nil"/>
            </w:tcBorders>
            <w:shd w:val="clear" w:color="auto" w:fill="auto"/>
            <w:noWrap/>
            <w:vAlign w:val="center"/>
            <w:hideMark/>
          </w:tcPr>
          <w:p w14:paraId="100D215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5.773.696</w:t>
            </w:r>
          </w:p>
        </w:tc>
        <w:tc>
          <w:tcPr>
            <w:tcW w:w="1560" w:type="dxa"/>
            <w:tcBorders>
              <w:top w:val="nil"/>
              <w:left w:val="nil"/>
              <w:bottom w:val="single" w:sz="4" w:space="0" w:color="auto"/>
              <w:right w:val="nil"/>
            </w:tcBorders>
            <w:shd w:val="clear" w:color="auto" w:fill="auto"/>
            <w:noWrap/>
            <w:vAlign w:val="center"/>
            <w:hideMark/>
          </w:tcPr>
          <w:p w14:paraId="62C3BF7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25,29%</w:t>
            </w:r>
          </w:p>
        </w:tc>
        <w:tc>
          <w:tcPr>
            <w:tcW w:w="1274" w:type="dxa"/>
            <w:vMerge/>
            <w:tcBorders>
              <w:top w:val="nil"/>
              <w:left w:val="nil"/>
              <w:bottom w:val="single" w:sz="4" w:space="0" w:color="000000"/>
              <w:right w:val="nil"/>
            </w:tcBorders>
            <w:vAlign w:val="center"/>
            <w:hideMark/>
          </w:tcPr>
          <w:p w14:paraId="0A9459E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2FBC2997"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8904FC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Estonia</w:t>
            </w:r>
          </w:p>
        </w:tc>
        <w:tc>
          <w:tcPr>
            <w:tcW w:w="1108" w:type="dxa"/>
            <w:tcBorders>
              <w:top w:val="nil"/>
              <w:left w:val="nil"/>
              <w:bottom w:val="single" w:sz="4" w:space="0" w:color="auto"/>
              <w:right w:val="nil"/>
            </w:tcBorders>
            <w:shd w:val="clear" w:color="auto" w:fill="auto"/>
            <w:noWrap/>
            <w:vAlign w:val="center"/>
            <w:hideMark/>
          </w:tcPr>
          <w:p w14:paraId="135093A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53C4C4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4546E98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10.122</w:t>
            </w:r>
          </w:p>
        </w:tc>
        <w:tc>
          <w:tcPr>
            <w:tcW w:w="1560" w:type="dxa"/>
            <w:tcBorders>
              <w:top w:val="nil"/>
              <w:left w:val="nil"/>
              <w:bottom w:val="single" w:sz="4" w:space="0" w:color="auto"/>
              <w:right w:val="nil"/>
            </w:tcBorders>
            <w:shd w:val="clear" w:color="auto" w:fill="auto"/>
            <w:noWrap/>
            <w:vAlign w:val="center"/>
            <w:hideMark/>
          </w:tcPr>
          <w:p w14:paraId="4C79C08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tcBorders>
              <w:top w:val="nil"/>
              <w:left w:val="nil"/>
              <w:bottom w:val="single" w:sz="4" w:space="0" w:color="auto"/>
              <w:right w:val="nil"/>
            </w:tcBorders>
            <w:shd w:val="clear" w:color="auto" w:fill="auto"/>
            <w:noWrap/>
            <w:vAlign w:val="center"/>
            <w:hideMark/>
          </w:tcPr>
          <w:p w14:paraId="75DCB94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r>
      <w:tr w:rsidR="001579BE" w:rsidRPr="00A947EA" w14:paraId="71B5DECC" w14:textId="77777777" w:rsidTr="00377237">
        <w:trPr>
          <w:trHeight w:val="310"/>
        </w:trPr>
        <w:tc>
          <w:tcPr>
            <w:tcW w:w="1444" w:type="dxa"/>
            <w:tcBorders>
              <w:top w:val="nil"/>
              <w:left w:val="nil"/>
              <w:bottom w:val="nil"/>
              <w:right w:val="nil"/>
            </w:tcBorders>
            <w:shd w:val="clear" w:color="auto" w:fill="auto"/>
            <w:noWrap/>
            <w:vAlign w:val="center"/>
            <w:hideMark/>
          </w:tcPr>
          <w:p w14:paraId="60944F3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Etiopía</w:t>
            </w:r>
          </w:p>
        </w:tc>
        <w:tc>
          <w:tcPr>
            <w:tcW w:w="1108" w:type="dxa"/>
            <w:tcBorders>
              <w:top w:val="nil"/>
              <w:left w:val="nil"/>
              <w:bottom w:val="nil"/>
              <w:right w:val="nil"/>
            </w:tcBorders>
            <w:shd w:val="clear" w:color="auto" w:fill="auto"/>
            <w:noWrap/>
            <w:vAlign w:val="center"/>
            <w:hideMark/>
          </w:tcPr>
          <w:p w14:paraId="34AF9DC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04519A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246.900</w:t>
            </w:r>
          </w:p>
        </w:tc>
        <w:tc>
          <w:tcPr>
            <w:tcW w:w="1701" w:type="dxa"/>
            <w:tcBorders>
              <w:top w:val="nil"/>
              <w:left w:val="nil"/>
              <w:bottom w:val="nil"/>
              <w:right w:val="nil"/>
            </w:tcBorders>
            <w:shd w:val="clear" w:color="auto" w:fill="auto"/>
            <w:noWrap/>
            <w:vAlign w:val="center"/>
            <w:hideMark/>
          </w:tcPr>
          <w:p w14:paraId="05F73D7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1.836.361</w:t>
            </w:r>
          </w:p>
        </w:tc>
        <w:tc>
          <w:tcPr>
            <w:tcW w:w="1560" w:type="dxa"/>
            <w:tcBorders>
              <w:top w:val="nil"/>
              <w:left w:val="nil"/>
              <w:bottom w:val="nil"/>
              <w:right w:val="nil"/>
            </w:tcBorders>
            <w:shd w:val="clear" w:color="auto" w:fill="auto"/>
            <w:noWrap/>
            <w:vAlign w:val="center"/>
            <w:hideMark/>
          </w:tcPr>
          <w:p w14:paraId="78FDF7D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13,45%</w:t>
            </w:r>
          </w:p>
        </w:tc>
        <w:tc>
          <w:tcPr>
            <w:tcW w:w="1274" w:type="dxa"/>
            <w:vMerge w:val="restart"/>
            <w:tcBorders>
              <w:top w:val="nil"/>
              <w:left w:val="nil"/>
              <w:bottom w:val="single" w:sz="4" w:space="0" w:color="000000"/>
              <w:right w:val="nil"/>
            </w:tcBorders>
            <w:shd w:val="clear" w:color="auto" w:fill="auto"/>
            <w:noWrap/>
            <w:vAlign w:val="center"/>
            <w:hideMark/>
          </w:tcPr>
          <w:p w14:paraId="4219C56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58,84%</w:t>
            </w:r>
          </w:p>
        </w:tc>
      </w:tr>
      <w:tr w:rsidR="001579BE" w:rsidRPr="00A947EA" w14:paraId="5D980EC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93119A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Etiopía</w:t>
            </w:r>
          </w:p>
        </w:tc>
        <w:tc>
          <w:tcPr>
            <w:tcW w:w="1108" w:type="dxa"/>
            <w:tcBorders>
              <w:top w:val="nil"/>
              <w:left w:val="nil"/>
              <w:bottom w:val="single" w:sz="4" w:space="0" w:color="auto"/>
              <w:right w:val="nil"/>
            </w:tcBorders>
            <w:shd w:val="clear" w:color="auto" w:fill="auto"/>
            <w:noWrap/>
            <w:vAlign w:val="center"/>
            <w:hideMark/>
          </w:tcPr>
          <w:p w14:paraId="1BB27BC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943662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833.633</w:t>
            </w:r>
          </w:p>
        </w:tc>
        <w:tc>
          <w:tcPr>
            <w:tcW w:w="1701" w:type="dxa"/>
            <w:tcBorders>
              <w:top w:val="nil"/>
              <w:left w:val="nil"/>
              <w:bottom w:val="single" w:sz="4" w:space="0" w:color="auto"/>
              <w:right w:val="nil"/>
            </w:tcBorders>
            <w:shd w:val="clear" w:color="auto" w:fill="auto"/>
            <w:noWrap/>
            <w:vAlign w:val="center"/>
            <w:hideMark/>
          </w:tcPr>
          <w:p w14:paraId="19B2860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1.836.361</w:t>
            </w:r>
          </w:p>
        </w:tc>
        <w:tc>
          <w:tcPr>
            <w:tcW w:w="1560" w:type="dxa"/>
            <w:tcBorders>
              <w:top w:val="nil"/>
              <w:left w:val="nil"/>
              <w:bottom w:val="single" w:sz="4" w:space="0" w:color="auto"/>
              <w:right w:val="nil"/>
            </w:tcBorders>
            <w:shd w:val="clear" w:color="auto" w:fill="auto"/>
            <w:noWrap/>
            <w:vAlign w:val="center"/>
            <w:hideMark/>
          </w:tcPr>
          <w:p w14:paraId="70CC027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45,40%</w:t>
            </w:r>
          </w:p>
        </w:tc>
        <w:tc>
          <w:tcPr>
            <w:tcW w:w="1274" w:type="dxa"/>
            <w:vMerge/>
            <w:tcBorders>
              <w:top w:val="nil"/>
              <w:left w:val="nil"/>
              <w:bottom w:val="single" w:sz="4" w:space="0" w:color="000000"/>
              <w:right w:val="nil"/>
            </w:tcBorders>
            <w:vAlign w:val="center"/>
            <w:hideMark/>
          </w:tcPr>
          <w:p w14:paraId="5D88A11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83683D3"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D7B969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Finlandia</w:t>
            </w:r>
          </w:p>
        </w:tc>
        <w:tc>
          <w:tcPr>
            <w:tcW w:w="1108" w:type="dxa"/>
            <w:tcBorders>
              <w:top w:val="nil"/>
              <w:left w:val="nil"/>
              <w:bottom w:val="single" w:sz="4" w:space="0" w:color="auto"/>
              <w:right w:val="nil"/>
            </w:tcBorders>
            <w:shd w:val="clear" w:color="auto" w:fill="auto"/>
            <w:noWrap/>
            <w:vAlign w:val="center"/>
            <w:hideMark/>
          </w:tcPr>
          <w:p w14:paraId="794D4F2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25E2C11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100</w:t>
            </w:r>
          </w:p>
        </w:tc>
        <w:tc>
          <w:tcPr>
            <w:tcW w:w="1701" w:type="dxa"/>
            <w:tcBorders>
              <w:top w:val="nil"/>
              <w:left w:val="nil"/>
              <w:bottom w:val="single" w:sz="4" w:space="0" w:color="auto"/>
              <w:right w:val="nil"/>
            </w:tcBorders>
            <w:shd w:val="clear" w:color="auto" w:fill="auto"/>
            <w:noWrap/>
            <w:vAlign w:val="center"/>
            <w:hideMark/>
          </w:tcPr>
          <w:p w14:paraId="0716907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10.026</w:t>
            </w:r>
          </w:p>
        </w:tc>
        <w:tc>
          <w:tcPr>
            <w:tcW w:w="1560" w:type="dxa"/>
            <w:tcBorders>
              <w:top w:val="nil"/>
              <w:left w:val="nil"/>
              <w:bottom w:val="single" w:sz="4" w:space="0" w:color="auto"/>
              <w:right w:val="nil"/>
            </w:tcBorders>
            <w:shd w:val="clear" w:color="auto" w:fill="auto"/>
            <w:noWrap/>
            <w:vAlign w:val="center"/>
            <w:hideMark/>
          </w:tcPr>
          <w:p w14:paraId="07B0B11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1,00%</w:t>
            </w:r>
          </w:p>
        </w:tc>
        <w:tc>
          <w:tcPr>
            <w:tcW w:w="1274" w:type="dxa"/>
            <w:tcBorders>
              <w:top w:val="nil"/>
              <w:left w:val="nil"/>
              <w:bottom w:val="single" w:sz="4" w:space="0" w:color="auto"/>
              <w:right w:val="nil"/>
            </w:tcBorders>
            <w:shd w:val="clear" w:color="auto" w:fill="auto"/>
            <w:noWrap/>
            <w:vAlign w:val="center"/>
            <w:hideMark/>
          </w:tcPr>
          <w:p w14:paraId="2085CDD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1,00%</w:t>
            </w:r>
          </w:p>
        </w:tc>
      </w:tr>
      <w:tr w:rsidR="001579BE" w:rsidRPr="00A947EA" w14:paraId="65479814" w14:textId="77777777" w:rsidTr="00377237">
        <w:trPr>
          <w:trHeight w:val="310"/>
        </w:trPr>
        <w:tc>
          <w:tcPr>
            <w:tcW w:w="1444" w:type="dxa"/>
            <w:tcBorders>
              <w:top w:val="nil"/>
              <w:left w:val="nil"/>
              <w:bottom w:val="nil"/>
              <w:right w:val="nil"/>
            </w:tcBorders>
            <w:shd w:val="clear" w:color="auto" w:fill="auto"/>
            <w:noWrap/>
            <w:vAlign w:val="center"/>
            <w:hideMark/>
          </w:tcPr>
          <w:p w14:paraId="6E6C23D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Francia</w:t>
            </w:r>
          </w:p>
        </w:tc>
        <w:tc>
          <w:tcPr>
            <w:tcW w:w="1108" w:type="dxa"/>
            <w:tcBorders>
              <w:top w:val="nil"/>
              <w:left w:val="nil"/>
              <w:bottom w:val="nil"/>
              <w:right w:val="nil"/>
            </w:tcBorders>
            <w:shd w:val="clear" w:color="auto" w:fill="auto"/>
            <w:noWrap/>
            <w:vAlign w:val="center"/>
            <w:hideMark/>
          </w:tcPr>
          <w:p w14:paraId="45A9034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FEF3F3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nil"/>
              <w:right w:val="nil"/>
            </w:tcBorders>
            <w:shd w:val="clear" w:color="auto" w:fill="auto"/>
            <w:noWrap/>
            <w:vAlign w:val="center"/>
            <w:hideMark/>
          </w:tcPr>
          <w:p w14:paraId="1858EFF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263.768</w:t>
            </w:r>
          </w:p>
        </w:tc>
        <w:tc>
          <w:tcPr>
            <w:tcW w:w="1560" w:type="dxa"/>
            <w:tcBorders>
              <w:top w:val="nil"/>
              <w:left w:val="nil"/>
              <w:bottom w:val="nil"/>
              <w:right w:val="nil"/>
            </w:tcBorders>
            <w:shd w:val="clear" w:color="auto" w:fill="auto"/>
            <w:noWrap/>
            <w:vAlign w:val="center"/>
            <w:hideMark/>
          </w:tcPr>
          <w:p w14:paraId="26FA4ED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val="restart"/>
            <w:tcBorders>
              <w:top w:val="nil"/>
              <w:left w:val="nil"/>
              <w:bottom w:val="single" w:sz="4" w:space="0" w:color="000000"/>
              <w:right w:val="nil"/>
            </w:tcBorders>
            <w:shd w:val="clear" w:color="auto" w:fill="auto"/>
            <w:noWrap/>
            <w:vAlign w:val="center"/>
            <w:hideMark/>
          </w:tcPr>
          <w:p w14:paraId="6BB04B5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r>
      <w:tr w:rsidR="001579BE" w:rsidRPr="00A947EA" w14:paraId="689E702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6A2361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Francia</w:t>
            </w:r>
          </w:p>
        </w:tc>
        <w:tc>
          <w:tcPr>
            <w:tcW w:w="1108" w:type="dxa"/>
            <w:tcBorders>
              <w:top w:val="nil"/>
              <w:left w:val="nil"/>
              <w:bottom w:val="single" w:sz="4" w:space="0" w:color="auto"/>
              <w:right w:val="nil"/>
            </w:tcBorders>
            <w:shd w:val="clear" w:color="auto" w:fill="auto"/>
            <w:noWrap/>
            <w:vAlign w:val="center"/>
            <w:hideMark/>
          </w:tcPr>
          <w:p w14:paraId="18030A9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7BA400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4F386D4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263.768</w:t>
            </w:r>
          </w:p>
        </w:tc>
        <w:tc>
          <w:tcPr>
            <w:tcW w:w="1560" w:type="dxa"/>
            <w:tcBorders>
              <w:top w:val="nil"/>
              <w:left w:val="nil"/>
              <w:bottom w:val="single" w:sz="4" w:space="0" w:color="auto"/>
              <w:right w:val="nil"/>
            </w:tcBorders>
            <w:shd w:val="clear" w:color="auto" w:fill="auto"/>
            <w:noWrap/>
            <w:vAlign w:val="center"/>
            <w:hideMark/>
          </w:tcPr>
          <w:p w14:paraId="42C5BB0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tcBorders>
              <w:top w:val="nil"/>
              <w:left w:val="nil"/>
              <w:bottom w:val="single" w:sz="4" w:space="0" w:color="000000"/>
              <w:right w:val="nil"/>
            </w:tcBorders>
            <w:vAlign w:val="center"/>
            <w:hideMark/>
          </w:tcPr>
          <w:p w14:paraId="36A4BAC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24566B9" w14:textId="77777777" w:rsidTr="00377237">
        <w:trPr>
          <w:trHeight w:val="310"/>
        </w:trPr>
        <w:tc>
          <w:tcPr>
            <w:tcW w:w="1444" w:type="dxa"/>
            <w:tcBorders>
              <w:top w:val="nil"/>
              <w:left w:val="nil"/>
              <w:bottom w:val="nil"/>
              <w:right w:val="nil"/>
            </w:tcBorders>
            <w:shd w:val="clear" w:color="auto" w:fill="auto"/>
            <w:noWrap/>
            <w:vAlign w:val="center"/>
            <w:hideMark/>
          </w:tcPr>
          <w:p w14:paraId="214299A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Gabón</w:t>
            </w:r>
          </w:p>
        </w:tc>
        <w:tc>
          <w:tcPr>
            <w:tcW w:w="1108" w:type="dxa"/>
            <w:tcBorders>
              <w:top w:val="nil"/>
              <w:left w:val="nil"/>
              <w:bottom w:val="nil"/>
              <w:right w:val="nil"/>
            </w:tcBorders>
            <w:shd w:val="clear" w:color="auto" w:fill="auto"/>
            <w:noWrap/>
            <w:vAlign w:val="center"/>
            <w:hideMark/>
          </w:tcPr>
          <w:p w14:paraId="130CBE8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AF649B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30.695</w:t>
            </w:r>
          </w:p>
        </w:tc>
        <w:tc>
          <w:tcPr>
            <w:tcW w:w="1701" w:type="dxa"/>
            <w:tcBorders>
              <w:top w:val="nil"/>
              <w:left w:val="nil"/>
              <w:bottom w:val="nil"/>
              <w:right w:val="nil"/>
            </w:tcBorders>
            <w:shd w:val="clear" w:color="auto" w:fill="auto"/>
            <w:noWrap/>
            <w:vAlign w:val="center"/>
            <w:hideMark/>
          </w:tcPr>
          <w:p w14:paraId="0576B0F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124.047</w:t>
            </w:r>
          </w:p>
        </w:tc>
        <w:tc>
          <w:tcPr>
            <w:tcW w:w="1560" w:type="dxa"/>
            <w:tcBorders>
              <w:top w:val="nil"/>
              <w:left w:val="nil"/>
              <w:bottom w:val="nil"/>
              <w:right w:val="nil"/>
            </w:tcBorders>
            <w:shd w:val="clear" w:color="auto" w:fill="auto"/>
            <w:noWrap/>
            <w:vAlign w:val="center"/>
            <w:hideMark/>
          </w:tcPr>
          <w:p w14:paraId="356F080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24,74%</w:t>
            </w:r>
          </w:p>
        </w:tc>
        <w:tc>
          <w:tcPr>
            <w:tcW w:w="1274" w:type="dxa"/>
            <w:vMerge w:val="restart"/>
            <w:tcBorders>
              <w:top w:val="nil"/>
              <w:left w:val="nil"/>
              <w:bottom w:val="single" w:sz="4" w:space="0" w:color="000000"/>
              <w:right w:val="nil"/>
            </w:tcBorders>
            <w:shd w:val="clear" w:color="auto" w:fill="auto"/>
            <w:noWrap/>
            <w:vAlign w:val="center"/>
            <w:hideMark/>
          </w:tcPr>
          <w:p w14:paraId="7F95009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27,16%</w:t>
            </w:r>
          </w:p>
        </w:tc>
      </w:tr>
      <w:tr w:rsidR="001579BE" w:rsidRPr="00A947EA" w14:paraId="6C61AFE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B82790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Gabón</w:t>
            </w:r>
          </w:p>
        </w:tc>
        <w:tc>
          <w:tcPr>
            <w:tcW w:w="1108" w:type="dxa"/>
            <w:tcBorders>
              <w:top w:val="nil"/>
              <w:left w:val="nil"/>
              <w:bottom w:val="single" w:sz="4" w:space="0" w:color="auto"/>
              <w:right w:val="nil"/>
            </w:tcBorders>
            <w:shd w:val="clear" w:color="auto" w:fill="auto"/>
            <w:noWrap/>
            <w:vAlign w:val="center"/>
            <w:hideMark/>
          </w:tcPr>
          <w:p w14:paraId="276A201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D5DF9A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3.000</w:t>
            </w:r>
          </w:p>
        </w:tc>
        <w:tc>
          <w:tcPr>
            <w:tcW w:w="1701" w:type="dxa"/>
            <w:tcBorders>
              <w:top w:val="nil"/>
              <w:left w:val="nil"/>
              <w:bottom w:val="single" w:sz="4" w:space="0" w:color="auto"/>
              <w:right w:val="nil"/>
            </w:tcBorders>
            <w:shd w:val="clear" w:color="auto" w:fill="auto"/>
            <w:noWrap/>
            <w:vAlign w:val="center"/>
            <w:hideMark/>
          </w:tcPr>
          <w:p w14:paraId="0940749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124.047</w:t>
            </w:r>
          </w:p>
        </w:tc>
        <w:tc>
          <w:tcPr>
            <w:tcW w:w="1560" w:type="dxa"/>
            <w:tcBorders>
              <w:top w:val="nil"/>
              <w:left w:val="nil"/>
              <w:bottom w:val="single" w:sz="4" w:space="0" w:color="auto"/>
              <w:right w:val="nil"/>
            </w:tcBorders>
            <w:shd w:val="clear" w:color="auto" w:fill="auto"/>
            <w:noWrap/>
            <w:vAlign w:val="center"/>
            <w:hideMark/>
          </w:tcPr>
          <w:p w14:paraId="08C45E7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2,42%</w:t>
            </w:r>
          </w:p>
        </w:tc>
        <w:tc>
          <w:tcPr>
            <w:tcW w:w="1274" w:type="dxa"/>
            <w:vMerge/>
            <w:tcBorders>
              <w:top w:val="nil"/>
              <w:left w:val="nil"/>
              <w:bottom w:val="single" w:sz="4" w:space="0" w:color="000000"/>
              <w:right w:val="nil"/>
            </w:tcBorders>
            <w:vAlign w:val="center"/>
            <w:hideMark/>
          </w:tcPr>
          <w:p w14:paraId="70684D1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22ED908D" w14:textId="77777777" w:rsidTr="00377237">
        <w:trPr>
          <w:trHeight w:val="310"/>
        </w:trPr>
        <w:tc>
          <w:tcPr>
            <w:tcW w:w="1444" w:type="dxa"/>
            <w:tcBorders>
              <w:top w:val="nil"/>
              <w:left w:val="nil"/>
              <w:bottom w:val="nil"/>
              <w:right w:val="nil"/>
            </w:tcBorders>
            <w:shd w:val="clear" w:color="auto" w:fill="auto"/>
            <w:noWrap/>
            <w:vAlign w:val="center"/>
            <w:hideMark/>
          </w:tcPr>
          <w:p w14:paraId="7AA7628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Georgia</w:t>
            </w:r>
          </w:p>
        </w:tc>
        <w:tc>
          <w:tcPr>
            <w:tcW w:w="1108" w:type="dxa"/>
            <w:tcBorders>
              <w:top w:val="nil"/>
              <w:left w:val="nil"/>
              <w:bottom w:val="nil"/>
              <w:right w:val="nil"/>
            </w:tcBorders>
            <w:shd w:val="clear" w:color="auto" w:fill="auto"/>
            <w:noWrap/>
            <w:vAlign w:val="center"/>
            <w:hideMark/>
          </w:tcPr>
          <w:p w14:paraId="027BB4E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ED6DB8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337.695</w:t>
            </w:r>
          </w:p>
        </w:tc>
        <w:tc>
          <w:tcPr>
            <w:tcW w:w="1701" w:type="dxa"/>
            <w:tcBorders>
              <w:top w:val="nil"/>
              <w:left w:val="nil"/>
              <w:bottom w:val="nil"/>
              <w:right w:val="nil"/>
            </w:tcBorders>
            <w:shd w:val="clear" w:color="auto" w:fill="auto"/>
            <w:noWrap/>
            <w:vAlign w:val="center"/>
            <w:hideMark/>
          </w:tcPr>
          <w:p w14:paraId="73AFAD7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366.766</w:t>
            </w:r>
          </w:p>
        </w:tc>
        <w:tc>
          <w:tcPr>
            <w:tcW w:w="1560" w:type="dxa"/>
            <w:tcBorders>
              <w:top w:val="nil"/>
              <w:left w:val="nil"/>
              <w:bottom w:val="nil"/>
              <w:right w:val="nil"/>
            </w:tcBorders>
            <w:shd w:val="clear" w:color="auto" w:fill="auto"/>
            <w:noWrap/>
            <w:vAlign w:val="center"/>
            <w:hideMark/>
          </w:tcPr>
          <w:p w14:paraId="359DC72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92,07%</w:t>
            </w:r>
          </w:p>
        </w:tc>
        <w:tc>
          <w:tcPr>
            <w:tcW w:w="1274" w:type="dxa"/>
            <w:vMerge w:val="restart"/>
            <w:tcBorders>
              <w:top w:val="nil"/>
              <w:left w:val="nil"/>
              <w:bottom w:val="single" w:sz="4" w:space="0" w:color="000000"/>
              <w:right w:val="nil"/>
            </w:tcBorders>
            <w:shd w:val="clear" w:color="auto" w:fill="auto"/>
            <w:noWrap/>
            <w:vAlign w:val="center"/>
            <w:hideMark/>
          </w:tcPr>
          <w:p w14:paraId="00ED193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92,08%</w:t>
            </w:r>
          </w:p>
        </w:tc>
      </w:tr>
      <w:tr w:rsidR="001579BE" w:rsidRPr="00A947EA" w14:paraId="60B0FF8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ECF39D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Georgia</w:t>
            </w:r>
          </w:p>
        </w:tc>
        <w:tc>
          <w:tcPr>
            <w:tcW w:w="1108" w:type="dxa"/>
            <w:tcBorders>
              <w:top w:val="nil"/>
              <w:left w:val="nil"/>
              <w:bottom w:val="single" w:sz="4" w:space="0" w:color="auto"/>
              <w:right w:val="nil"/>
            </w:tcBorders>
            <w:shd w:val="clear" w:color="auto" w:fill="auto"/>
            <w:noWrap/>
            <w:vAlign w:val="center"/>
            <w:hideMark/>
          </w:tcPr>
          <w:p w14:paraId="3EEA5FB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06765B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w:t>
            </w:r>
          </w:p>
        </w:tc>
        <w:tc>
          <w:tcPr>
            <w:tcW w:w="1701" w:type="dxa"/>
            <w:tcBorders>
              <w:top w:val="nil"/>
              <w:left w:val="nil"/>
              <w:bottom w:val="single" w:sz="4" w:space="0" w:color="auto"/>
              <w:right w:val="nil"/>
            </w:tcBorders>
            <w:shd w:val="clear" w:color="auto" w:fill="auto"/>
            <w:noWrap/>
            <w:vAlign w:val="center"/>
            <w:hideMark/>
          </w:tcPr>
          <w:p w14:paraId="59B6A28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366.766</w:t>
            </w:r>
          </w:p>
        </w:tc>
        <w:tc>
          <w:tcPr>
            <w:tcW w:w="1560" w:type="dxa"/>
            <w:tcBorders>
              <w:top w:val="nil"/>
              <w:left w:val="nil"/>
              <w:bottom w:val="single" w:sz="4" w:space="0" w:color="auto"/>
              <w:right w:val="nil"/>
            </w:tcBorders>
            <w:shd w:val="clear" w:color="auto" w:fill="auto"/>
            <w:noWrap/>
            <w:vAlign w:val="center"/>
            <w:hideMark/>
          </w:tcPr>
          <w:p w14:paraId="4E860EF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0,01%</w:t>
            </w:r>
          </w:p>
        </w:tc>
        <w:tc>
          <w:tcPr>
            <w:tcW w:w="1274" w:type="dxa"/>
            <w:vMerge/>
            <w:tcBorders>
              <w:top w:val="nil"/>
              <w:left w:val="nil"/>
              <w:bottom w:val="single" w:sz="4" w:space="0" w:color="000000"/>
              <w:right w:val="nil"/>
            </w:tcBorders>
            <w:vAlign w:val="center"/>
            <w:hideMark/>
          </w:tcPr>
          <w:p w14:paraId="07F86E6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84C1BA9" w14:textId="77777777" w:rsidTr="00377237">
        <w:trPr>
          <w:trHeight w:val="310"/>
        </w:trPr>
        <w:tc>
          <w:tcPr>
            <w:tcW w:w="1444" w:type="dxa"/>
            <w:tcBorders>
              <w:top w:val="nil"/>
              <w:left w:val="nil"/>
              <w:bottom w:val="nil"/>
              <w:right w:val="nil"/>
            </w:tcBorders>
            <w:shd w:val="clear" w:color="auto" w:fill="auto"/>
            <w:noWrap/>
            <w:vAlign w:val="center"/>
            <w:hideMark/>
          </w:tcPr>
          <w:p w14:paraId="01478CC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Alemania</w:t>
            </w:r>
          </w:p>
        </w:tc>
        <w:tc>
          <w:tcPr>
            <w:tcW w:w="1108" w:type="dxa"/>
            <w:tcBorders>
              <w:top w:val="nil"/>
              <w:left w:val="nil"/>
              <w:bottom w:val="nil"/>
              <w:right w:val="nil"/>
            </w:tcBorders>
            <w:shd w:val="clear" w:color="auto" w:fill="auto"/>
            <w:noWrap/>
            <w:vAlign w:val="center"/>
            <w:hideMark/>
          </w:tcPr>
          <w:p w14:paraId="30F1552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355BF03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w:t>
            </w:r>
          </w:p>
        </w:tc>
        <w:tc>
          <w:tcPr>
            <w:tcW w:w="1701" w:type="dxa"/>
            <w:tcBorders>
              <w:top w:val="nil"/>
              <w:left w:val="nil"/>
              <w:bottom w:val="nil"/>
              <w:right w:val="nil"/>
            </w:tcBorders>
            <w:shd w:val="clear" w:color="auto" w:fill="auto"/>
            <w:noWrap/>
            <w:vAlign w:val="center"/>
            <w:hideMark/>
          </w:tcPr>
          <w:p w14:paraId="231A49E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3.921.491</w:t>
            </w:r>
          </w:p>
        </w:tc>
        <w:tc>
          <w:tcPr>
            <w:tcW w:w="1560" w:type="dxa"/>
            <w:tcBorders>
              <w:top w:val="nil"/>
              <w:left w:val="nil"/>
              <w:bottom w:val="nil"/>
              <w:right w:val="nil"/>
            </w:tcBorders>
            <w:shd w:val="clear" w:color="auto" w:fill="auto"/>
            <w:noWrap/>
            <w:vAlign w:val="center"/>
            <w:hideMark/>
          </w:tcPr>
          <w:p w14:paraId="4292DB2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val="restart"/>
            <w:tcBorders>
              <w:top w:val="nil"/>
              <w:left w:val="nil"/>
              <w:bottom w:val="single" w:sz="4" w:space="0" w:color="000000"/>
              <w:right w:val="nil"/>
            </w:tcBorders>
            <w:shd w:val="clear" w:color="auto" w:fill="auto"/>
            <w:noWrap/>
            <w:vAlign w:val="center"/>
            <w:hideMark/>
          </w:tcPr>
          <w:p w14:paraId="16EF603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0,11%</w:t>
            </w:r>
          </w:p>
        </w:tc>
      </w:tr>
      <w:tr w:rsidR="001579BE" w:rsidRPr="00A947EA" w14:paraId="39769207"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ACE2D3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Alemania</w:t>
            </w:r>
          </w:p>
        </w:tc>
        <w:tc>
          <w:tcPr>
            <w:tcW w:w="1108" w:type="dxa"/>
            <w:tcBorders>
              <w:top w:val="nil"/>
              <w:left w:val="nil"/>
              <w:bottom w:val="single" w:sz="4" w:space="0" w:color="auto"/>
              <w:right w:val="nil"/>
            </w:tcBorders>
            <w:shd w:val="clear" w:color="auto" w:fill="auto"/>
            <w:noWrap/>
            <w:vAlign w:val="center"/>
            <w:hideMark/>
          </w:tcPr>
          <w:p w14:paraId="72AA46F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971485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4.164</w:t>
            </w:r>
          </w:p>
        </w:tc>
        <w:tc>
          <w:tcPr>
            <w:tcW w:w="1701" w:type="dxa"/>
            <w:tcBorders>
              <w:top w:val="nil"/>
              <w:left w:val="nil"/>
              <w:bottom w:val="single" w:sz="4" w:space="0" w:color="auto"/>
              <w:right w:val="nil"/>
            </w:tcBorders>
            <w:shd w:val="clear" w:color="auto" w:fill="auto"/>
            <w:noWrap/>
            <w:vAlign w:val="center"/>
            <w:hideMark/>
          </w:tcPr>
          <w:p w14:paraId="59F1574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3.921.491</w:t>
            </w:r>
          </w:p>
        </w:tc>
        <w:tc>
          <w:tcPr>
            <w:tcW w:w="1560" w:type="dxa"/>
            <w:tcBorders>
              <w:top w:val="nil"/>
              <w:left w:val="nil"/>
              <w:bottom w:val="single" w:sz="4" w:space="0" w:color="auto"/>
              <w:right w:val="nil"/>
            </w:tcBorders>
            <w:shd w:val="clear" w:color="auto" w:fill="auto"/>
            <w:noWrap/>
            <w:vAlign w:val="center"/>
            <w:hideMark/>
          </w:tcPr>
          <w:p w14:paraId="1AADE33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0,11%</w:t>
            </w:r>
          </w:p>
        </w:tc>
        <w:tc>
          <w:tcPr>
            <w:tcW w:w="1274" w:type="dxa"/>
            <w:vMerge/>
            <w:tcBorders>
              <w:top w:val="nil"/>
              <w:left w:val="nil"/>
              <w:bottom w:val="single" w:sz="4" w:space="0" w:color="000000"/>
              <w:right w:val="nil"/>
            </w:tcBorders>
            <w:vAlign w:val="center"/>
            <w:hideMark/>
          </w:tcPr>
          <w:p w14:paraId="1BF24CB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F0A0CF5" w14:textId="77777777" w:rsidTr="00377237">
        <w:trPr>
          <w:trHeight w:val="310"/>
        </w:trPr>
        <w:tc>
          <w:tcPr>
            <w:tcW w:w="1444" w:type="dxa"/>
            <w:tcBorders>
              <w:top w:val="nil"/>
              <w:left w:val="nil"/>
              <w:bottom w:val="nil"/>
              <w:right w:val="nil"/>
            </w:tcBorders>
            <w:shd w:val="clear" w:color="auto" w:fill="auto"/>
            <w:noWrap/>
            <w:vAlign w:val="center"/>
            <w:hideMark/>
          </w:tcPr>
          <w:p w14:paraId="14CCE63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Ghana</w:t>
            </w:r>
          </w:p>
        </w:tc>
        <w:tc>
          <w:tcPr>
            <w:tcW w:w="1108" w:type="dxa"/>
            <w:tcBorders>
              <w:top w:val="nil"/>
              <w:left w:val="nil"/>
              <w:bottom w:val="nil"/>
              <w:right w:val="nil"/>
            </w:tcBorders>
            <w:shd w:val="clear" w:color="auto" w:fill="auto"/>
            <w:noWrap/>
            <w:vAlign w:val="center"/>
            <w:hideMark/>
          </w:tcPr>
          <w:p w14:paraId="13A7C2D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5EB62B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215.720</w:t>
            </w:r>
          </w:p>
        </w:tc>
        <w:tc>
          <w:tcPr>
            <w:tcW w:w="1701" w:type="dxa"/>
            <w:tcBorders>
              <w:top w:val="nil"/>
              <w:left w:val="nil"/>
              <w:bottom w:val="nil"/>
              <w:right w:val="nil"/>
            </w:tcBorders>
            <w:shd w:val="clear" w:color="auto" w:fill="auto"/>
            <w:noWrap/>
            <w:vAlign w:val="center"/>
            <w:hideMark/>
          </w:tcPr>
          <w:p w14:paraId="5235E1F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816.402</w:t>
            </w:r>
          </w:p>
        </w:tc>
        <w:tc>
          <w:tcPr>
            <w:tcW w:w="1560" w:type="dxa"/>
            <w:tcBorders>
              <w:top w:val="nil"/>
              <w:left w:val="nil"/>
              <w:bottom w:val="nil"/>
              <w:right w:val="nil"/>
            </w:tcBorders>
            <w:shd w:val="clear" w:color="auto" w:fill="auto"/>
            <w:noWrap/>
            <w:vAlign w:val="center"/>
            <w:hideMark/>
          </w:tcPr>
          <w:p w14:paraId="7829928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26,42%</w:t>
            </w:r>
          </w:p>
        </w:tc>
        <w:tc>
          <w:tcPr>
            <w:tcW w:w="1274" w:type="dxa"/>
            <w:vMerge w:val="restart"/>
            <w:tcBorders>
              <w:top w:val="nil"/>
              <w:left w:val="nil"/>
              <w:bottom w:val="single" w:sz="4" w:space="0" w:color="000000"/>
              <w:right w:val="nil"/>
            </w:tcBorders>
            <w:shd w:val="clear" w:color="auto" w:fill="auto"/>
            <w:noWrap/>
            <w:vAlign w:val="center"/>
            <w:hideMark/>
          </w:tcPr>
          <w:p w14:paraId="6DE6EC7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31,32%</w:t>
            </w:r>
          </w:p>
        </w:tc>
      </w:tr>
      <w:tr w:rsidR="001579BE" w:rsidRPr="00A947EA" w14:paraId="2E04BC7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FA005B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Ghana</w:t>
            </w:r>
          </w:p>
        </w:tc>
        <w:tc>
          <w:tcPr>
            <w:tcW w:w="1108" w:type="dxa"/>
            <w:tcBorders>
              <w:top w:val="nil"/>
              <w:left w:val="nil"/>
              <w:bottom w:val="single" w:sz="4" w:space="0" w:color="auto"/>
              <w:right w:val="nil"/>
            </w:tcBorders>
            <w:shd w:val="clear" w:color="auto" w:fill="auto"/>
            <w:noWrap/>
            <w:vAlign w:val="center"/>
            <w:hideMark/>
          </w:tcPr>
          <w:p w14:paraId="4908413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CBA4E2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40.000</w:t>
            </w:r>
          </w:p>
        </w:tc>
        <w:tc>
          <w:tcPr>
            <w:tcW w:w="1701" w:type="dxa"/>
            <w:tcBorders>
              <w:top w:val="nil"/>
              <w:left w:val="nil"/>
              <w:bottom w:val="single" w:sz="4" w:space="0" w:color="auto"/>
              <w:right w:val="nil"/>
            </w:tcBorders>
            <w:shd w:val="clear" w:color="auto" w:fill="auto"/>
            <w:noWrap/>
            <w:vAlign w:val="center"/>
            <w:hideMark/>
          </w:tcPr>
          <w:p w14:paraId="72559F2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816.402</w:t>
            </w:r>
          </w:p>
        </w:tc>
        <w:tc>
          <w:tcPr>
            <w:tcW w:w="1560" w:type="dxa"/>
            <w:tcBorders>
              <w:top w:val="nil"/>
              <w:left w:val="nil"/>
              <w:bottom w:val="single" w:sz="4" w:space="0" w:color="auto"/>
              <w:right w:val="nil"/>
            </w:tcBorders>
            <w:shd w:val="clear" w:color="auto" w:fill="auto"/>
            <w:noWrap/>
            <w:vAlign w:val="center"/>
            <w:hideMark/>
          </w:tcPr>
          <w:p w14:paraId="59C6E18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4,90%</w:t>
            </w:r>
          </w:p>
        </w:tc>
        <w:tc>
          <w:tcPr>
            <w:tcW w:w="1274" w:type="dxa"/>
            <w:vMerge/>
            <w:tcBorders>
              <w:top w:val="nil"/>
              <w:left w:val="nil"/>
              <w:bottom w:val="single" w:sz="4" w:space="0" w:color="000000"/>
              <w:right w:val="nil"/>
            </w:tcBorders>
            <w:vAlign w:val="center"/>
            <w:hideMark/>
          </w:tcPr>
          <w:p w14:paraId="3DC79DF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7CA587E" w14:textId="77777777" w:rsidTr="00377237">
        <w:trPr>
          <w:trHeight w:val="310"/>
        </w:trPr>
        <w:tc>
          <w:tcPr>
            <w:tcW w:w="1444" w:type="dxa"/>
            <w:tcBorders>
              <w:top w:val="nil"/>
              <w:left w:val="nil"/>
              <w:bottom w:val="nil"/>
              <w:right w:val="nil"/>
            </w:tcBorders>
            <w:shd w:val="clear" w:color="auto" w:fill="auto"/>
            <w:noWrap/>
            <w:vAlign w:val="center"/>
            <w:hideMark/>
          </w:tcPr>
          <w:p w14:paraId="06BFEF7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Grecia</w:t>
            </w:r>
          </w:p>
        </w:tc>
        <w:tc>
          <w:tcPr>
            <w:tcW w:w="1108" w:type="dxa"/>
            <w:tcBorders>
              <w:top w:val="nil"/>
              <w:left w:val="nil"/>
              <w:bottom w:val="nil"/>
              <w:right w:val="nil"/>
            </w:tcBorders>
            <w:shd w:val="clear" w:color="auto" w:fill="auto"/>
            <w:noWrap/>
            <w:vAlign w:val="center"/>
            <w:hideMark/>
          </w:tcPr>
          <w:p w14:paraId="0C534D5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2CB3F5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223.594</w:t>
            </w:r>
          </w:p>
        </w:tc>
        <w:tc>
          <w:tcPr>
            <w:tcW w:w="1701" w:type="dxa"/>
            <w:tcBorders>
              <w:top w:val="nil"/>
              <w:left w:val="nil"/>
              <w:bottom w:val="nil"/>
              <w:right w:val="nil"/>
            </w:tcBorders>
            <w:shd w:val="clear" w:color="auto" w:fill="auto"/>
            <w:noWrap/>
            <w:vAlign w:val="center"/>
            <w:hideMark/>
          </w:tcPr>
          <w:p w14:paraId="7A4A285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1.104.970</w:t>
            </w:r>
          </w:p>
        </w:tc>
        <w:tc>
          <w:tcPr>
            <w:tcW w:w="1560" w:type="dxa"/>
            <w:tcBorders>
              <w:top w:val="nil"/>
              <w:left w:val="nil"/>
              <w:bottom w:val="nil"/>
              <w:right w:val="nil"/>
            </w:tcBorders>
            <w:shd w:val="clear" w:color="auto" w:fill="auto"/>
            <w:noWrap/>
            <w:vAlign w:val="center"/>
            <w:hideMark/>
          </w:tcPr>
          <w:p w14:paraId="09FBCC3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20,24%</w:t>
            </w:r>
          </w:p>
        </w:tc>
        <w:tc>
          <w:tcPr>
            <w:tcW w:w="1274" w:type="dxa"/>
            <w:vMerge w:val="restart"/>
            <w:tcBorders>
              <w:top w:val="nil"/>
              <w:left w:val="nil"/>
              <w:bottom w:val="single" w:sz="4" w:space="0" w:color="000000"/>
              <w:right w:val="nil"/>
            </w:tcBorders>
            <w:shd w:val="clear" w:color="auto" w:fill="auto"/>
            <w:noWrap/>
            <w:vAlign w:val="center"/>
            <w:hideMark/>
          </w:tcPr>
          <w:p w14:paraId="1BD5E54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23,17%</w:t>
            </w:r>
          </w:p>
        </w:tc>
      </w:tr>
      <w:tr w:rsidR="001579BE" w:rsidRPr="00A947EA" w14:paraId="17DC7C2C"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8B1C95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Grecia</w:t>
            </w:r>
          </w:p>
        </w:tc>
        <w:tc>
          <w:tcPr>
            <w:tcW w:w="1108" w:type="dxa"/>
            <w:tcBorders>
              <w:top w:val="nil"/>
              <w:left w:val="nil"/>
              <w:bottom w:val="single" w:sz="4" w:space="0" w:color="auto"/>
              <w:right w:val="nil"/>
            </w:tcBorders>
            <w:shd w:val="clear" w:color="auto" w:fill="auto"/>
            <w:noWrap/>
            <w:vAlign w:val="center"/>
            <w:hideMark/>
          </w:tcPr>
          <w:p w14:paraId="4785FA4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9DF504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32.397</w:t>
            </w:r>
          </w:p>
        </w:tc>
        <w:tc>
          <w:tcPr>
            <w:tcW w:w="1701" w:type="dxa"/>
            <w:tcBorders>
              <w:top w:val="nil"/>
              <w:left w:val="nil"/>
              <w:bottom w:val="single" w:sz="4" w:space="0" w:color="auto"/>
              <w:right w:val="nil"/>
            </w:tcBorders>
            <w:shd w:val="clear" w:color="auto" w:fill="auto"/>
            <w:noWrap/>
            <w:vAlign w:val="center"/>
            <w:hideMark/>
          </w:tcPr>
          <w:p w14:paraId="0718AA5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1.104.970</w:t>
            </w:r>
          </w:p>
        </w:tc>
        <w:tc>
          <w:tcPr>
            <w:tcW w:w="1560" w:type="dxa"/>
            <w:tcBorders>
              <w:top w:val="nil"/>
              <w:left w:val="nil"/>
              <w:bottom w:val="single" w:sz="4" w:space="0" w:color="auto"/>
              <w:right w:val="nil"/>
            </w:tcBorders>
            <w:shd w:val="clear" w:color="auto" w:fill="auto"/>
            <w:noWrap/>
            <w:vAlign w:val="center"/>
            <w:hideMark/>
          </w:tcPr>
          <w:p w14:paraId="584C662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2,93%</w:t>
            </w:r>
          </w:p>
        </w:tc>
        <w:tc>
          <w:tcPr>
            <w:tcW w:w="1274" w:type="dxa"/>
            <w:vMerge/>
            <w:tcBorders>
              <w:top w:val="nil"/>
              <w:left w:val="nil"/>
              <w:bottom w:val="single" w:sz="4" w:space="0" w:color="000000"/>
              <w:right w:val="nil"/>
            </w:tcBorders>
            <w:vAlign w:val="center"/>
            <w:hideMark/>
          </w:tcPr>
          <w:p w14:paraId="05F80B7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6222E6E6"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094505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Guinea</w:t>
            </w:r>
          </w:p>
        </w:tc>
        <w:tc>
          <w:tcPr>
            <w:tcW w:w="1108" w:type="dxa"/>
            <w:tcBorders>
              <w:top w:val="nil"/>
              <w:left w:val="nil"/>
              <w:bottom w:val="single" w:sz="4" w:space="0" w:color="auto"/>
              <w:right w:val="nil"/>
            </w:tcBorders>
            <w:shd w:val="clear" w:color="auto" w:fill="auto"/>
            <w:noWrap/>
            <w:vAlign w:val="center"/>
            <w:hideMark/>
          </w:tcPr>
          <w:p w14:paraId="54DB07D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1C80AE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88.300</w:t>
            </w:r>
          </w:p>
        </w:tc>
        <w:tc>
          <w:tcPr>
            <w:tcW w:w="1701" w:type="dxa"/>
            <w:tcBorders>
              <w:top w:val="nil"/>
              <w:left w:val="nil"/>
              <w:bottom w:val="single" w:sz="4" w:space="0" w:color="auto"/>
              <w:right w:val="nil"/>
            </w:tcBorders>
            <w:shd w:val="clear" w:color="auto" w:fill="auto"/>
            <w:noWrap/>
            <w:vAlign w:val="center"/>
            <w:hideMark/>
          </w:tcPr>
          <w:p w14:paraId="2257691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386.157</w:t>
            </w:r>
          </w:p>
        </w:tc>
        <w:tc>
          <w:tcPr>
            <w:tcW w:w="1560" w:type="dxa"/>
            <w:tcBorders>
              <w:top w:val="nil"/>
              <w:left w:val="nil"/>
              <w:bottom w:val="single" w:sz="4" w:space="0" w:color="auto"/>
              <w:right w:val="nil"/>
            </w:tcBorders>
            <w:shd w:val="clear" w:color="auto" w:fill="auto"/>
            <w:noWrap/>
            <w:vAlign w:val="center"/>
            <w:hideMark/>
          </w:tcPr>
          <w:p w14:paraId="0E68105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22,87%</w:t>
            </w:r>
          </w:p>
        </w:tc>
        <w:tc>
          <w:tcPr>
            <w:tcW w:w="1274" w:type="dxa"/>
            <w:tcBorders>
              <w:top w:val="nil"/>
              <w:left w:val="nil"/>
              <w:bottom w:val="single" w:sz="4" w:space="0" w:color="auto"/>
              <w:right w:val="nil"/>
            </w:tcBorders>
            <w:shd w:val="clear" w:color="auto" w:fill="auto"/>
            <w:noWrap/>
            <w:vAlign w:val="center"/>
            <w:hideMark/>
          </w:tcPr>
          <w:p w14:paraId="4947CA2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22,87%</w:t>
            </w:r>
          </w:p>
        </w:tc>
      </w:tr>
      <w:tr w:rsidR="001579BE" w:rsidRPr="00A947EA" w14:paraId="02573D33" w14:textId="77777777" w:rsidTr="00377237">
        <w:trPr>
          <w:trHeight w:val="310"/>
        </w:trPr>
        <w:tc>
          <w:tcPr>
            <w:tcW w:w="1444" w:type="dxa"/>
            <w:tcBorders>
              <w:top w:val="nil"/>
              <w:left w:val="nil"/>
              <w:bottom w:val="nil"/>
              <w:right w:val="nil"/>
            </w:tcBorders>
            <w:shd w:val="clear" w:color="auto" w:fill="auto"/>
            <w:noWrap/>
            <w:vAlign w:val="center"/>
            <w:hideMark/>
          </w:tcPr>
          <w:p w14:paraId="7000F04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Hungría</w:t>
            </w:r>
          </w:p>
        </w:tc>
        <w:tc>
          <w:tcPr>
            <w:tcW w:w="1108" w:type="dxa"/>
            <w:tcBorders>
              <w:top w:val="nil"/>
              <w:left w:val="nil"/>
              <w:bottom w:val="nil"/>
              <w:right w:val="nil"/>
            </w:tcBorders>
            <w:shd w:val="clear" w:color="auto" w:fill="auto"/>
            <w:noWrap/>
            <w:vAlign w:val="center"/>
            <w:hideMark/>
          </w:tcPr>
          <w:p w14:paraId="6F0DBA4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CAF95A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w:t>
            </w:r>
          </w:p>
        </w:tc>
        <w:tc>
          <w:tcPr>
            <w:tcW w:w="1701" w:type="dxa"/>
            <w:tcBorders>
              <w:top w:val="nil"/>
              <w:left w:val="nil"/>
              <w:bottom w:val="nil"/>
              <w:right w:val="nil"/>
            </w:tcBorders>
            <w:shd w:val="clear" w:color="auto" w:fill="auto"/>
            <w:noWrap/>
            <w:vAlign w:val="center"/>
            <w:hideMark/>
          </w:tcPr>
          <w:p w14:paraId="770CDE2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173.037</w:t>
            </w:r>
          </w:p>
        </w:tc>
        <w:tc>
          <w:tcPr>
            <w:tcW w:w="1560" w:type="dxa"/>
            <w:tcBorders>
              <w:top w:val="nil"/>
              <w:left w:val="nil"/>
              <w:bottom w:val="nil"/>
              <w:right w:val="nil"/>
            </w:tcBorders>
            <w:shd w:val="clear" w:color="auto" w:fill="auto"/>
            <w:noWrap/>
            <w:vAlign w:val="center"/>
            <w:hideMark/>
          </w:tcPr>
          <w:p w14:paraId="43B2E70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val="restart"/>
            <w:tcBorders>
              <w:top w:val="nil"/>
              <w:left w:val="nil"/>
              <w:bottom w:val="single" w:sz="4" w:space="0" w:color="000000"/>
              <w:right w:val="nil"/>
            </w:tcBorders>
            <w:shd w:val="clear" w:color="auto" w:fill="auto"/>
            <w:noWrap/>
            <w:vAlign w:val="center"/>
            <w:hideMark/>
          </w:tcPr>
          <w:p w14:paraId="4155597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0,04%</w:t>
            </w:r>
          </w:p>
        </w:tc>
      </w:tr>
      <w:tr w:rsidR="001579BE" w:rsidRPr="00A947EA" w14:paraId="45062CD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7D37BC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Hungría</w:t>
            </w:r>
          </w:p>
        </w:tc>
        <w:tc>
          <w:tcPr>
            <w:tcW w:w="1108" w:type="dxa"/>
            <w:tcBorders>
              <w:top w:val="nil"/>
              <w:left w:val="nil"/>
              <w:bottom w:val="single" w:sz="4" w:space="0" w:color="auto"/>
              <w:right w:val="nil"/>
            </w:tcBorders>
            <w:shd w:val="clear" w:color="auto" w:fill="auto"/>
            <w:noWrap/>
            <w:vAlign w:val="center"/>
            <w:hideMark/>
          </w:tcPr>
          <w:p w14:paraId="373F9E1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EA0B65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65</w:t>
            </w:r>
          </w:p>
        </w:tc>
        <w:tc>
          <w:tcPr>
            <w:tcW w:w="1701" w:type="dxa"/>
            <w:tcBorders>
              <w:top w:val="nil"/>
              <w:left w:val="nil"/>
              <w:bottom w:val="single" w:sz="4" w:space="0" w:color="auto"/>
              <w:right w:val="nil"/>
            </w:tcBorders>
            <w:shd w:val="clear" w:color="auto" w:fill="auto"/>
            <w:noWrap/>
            <w:vAlign w:val="center"/>
            <w:hideMark/>
          </w:tcPr>
          <w:p w14:paraId="167F12B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173.037</w:t>
            </w:r>
          </w:p>
        </w:tc>
        <w:tc>
          <w:tcPr>
            <w:tcW w:w="1560" w:type="dxa"/>
            <w:tcBorders>
              <w:top w:val="nil"/>
              <w:left w:val="nil"/>
              <w:bottom w:val="single" w:sz="4" w:space="0" w:color="auto"/>
              <w:right w:val="nil"/>
            </w:tcBorders>
            <w:shd w:val="clear" w:color="auto" w:fill="auto"/>
            <w:noWrap/>
            <w:vAlign w:val="center"/>
            <w:hideMark/>
          </w:tcPr>
          <w:p w14:paraId="23FE201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0,04%</w:t>
            </w:r>
          </w:p>
        </w:tc>
        <w:tc>
          <w:tcPr>
            <w:tcW w:w="1274" w:type="dxa"/>
            <w:vMerge/>
            <w:tcBorders>
              <w:top w:val="nil"/>
              <w:left w:val="nil"/>
              <w:bottom w:val="single" w:sz="4" w:space="0" w:color="000000"/>
              <w:right w:val="nil"/>
            </w:tcBorders>
            <w:vAlign w:val="center"/>
            <w:hideMark/>
          </w:tcPr>
          <w:p w14:paraId="672301B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5296308" w14:textId="77777777" w:rsidTr="00377237">
        <w:trPr>
          <w:trHeight w:val="310"/>
        </w:trPr>
        <w:tc>
          <w:tcPr>
            <w:tcW w:w="1444" w:type="dxa"/>
            <w:tcBorders>
              <w:top w:val="nil"/>
              <w:left w:val="nil"/>
              <w:bottom w:val="nil"/>
              <w:right w:val="nil"/>
            </w:tcBorders>
            <w:shd w:val="clear" w:color="auto" w:fill="auto"/>
            <w:noWrap/>
            <w:vAlign w:val="center"/>
            <w:hideMark/>
          </w:tcPr>
          <w:p w14:paraId="18F2052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Indonesia</w:t>
            </w:r>
          </w:p>
        </w:tc>
        <w:tc>
          <w:tcPr>
            <w:tcW w:w="1108" w:type="dxa"/>
            <w:tcBorders>
              <w:top w:val="nil"/>
              <w:left w:val="nil"/>
              <w:bottom w:val="nil"/>
              <w:right w:val="nil"/>
            </w:tcBorders>
            <w:shd w:val="clear" w:color="auto" w:fill="auto"/>
            <w:noWrap/>
            <w:vAlign w:val="center"/>
            <w:hideMark/>
          </w:tcPr>
          <w:p w14:paraId="17BC57A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F7A604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2.955</w:t>
            </w:r>
          </w:p>
        </w:tc>
        <w:tc>
          <w:tcPr>
            <w:tcW w:w="1701" w:type="dxa"/>
            <w:tcBorders>
              <w:top w:val="nil"/>
              <w:left w:val="nil"/>
              <w:bottom w:val="nil"/>
              <w:right w:val="nil"/>
            </w:tcBorders>
            <w:shd w:val="clear" w:color="auto" w:fill="auto"/>
            <w:noWrap/>
            <w:vAlign w:val="center"/>
            <w:hideMark/>
          </w:tcPr>
          <w:p w14:paraId="04CC64C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11.481.353</w:t>
            </w:r>
          </w:p>
        </w:tc>
        <w:tc>
          <w:tcPr>
            <w:tcW w:w="1560" w:type="dxa"/>
            <w:tcBorders>
              <w:top w:val="nil"/>
              <w:left w:val="nil"/>
              <w:bottom w:val="nil"/>
              <w:right w:val="nil"/>
            </w:tcBorders>
            <w:shd w:val="clear" w:color="auto" w:fill="auto"/>
            <w:noWrap/>
            <w:vAlign w:val="center"/>
            <w:hideMark/>
          </w:tcPr>
          <w:p w14:paraId="3041F53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0,03%</w:t>
            </w:r>
          </w:p>
        </w:tc>
        <w:tc>
          <w:tcPr>
            <w:tcW w:w="1274" w:type="dxa"/>
            <w:vMerge w:val="restart"/>
            <w:tcBorders>
              <w:top w:val="nil"/>
              <w:left w:val="nil"/>
              <w:bottom w:val="single" w:sz="4" w:space="0" w:color="000000"/>
              <w:right w:val="nil"/>
            </w:tcBorders>
            <w:shd w:val="clear" w:color="auto" w:fill="auto"/>
            <w:noWrap/>
            <w:vAlign w:val="center"/>
            <w:hideMark/>
          </w:tcPr>
          <w:p w14:paraId="6D69F6A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26,81%</w:t>
            </w:r>
          </w:p>
        </w:tc>
      </w:tr>
      <w:tr w:rsidR="001579BE" w:rsidRPr="00A947EA" w14:paraId="4BEDCEB4"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FC8DA1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Indonesia</w:t>
            </w:r>
          </w:p>
        </w:tc>
        <w:tc>
          <w:tcPr>
            <w:tcW w:w="1108" w:type="dxa"/>
            <w:tcBorders>
              <w:top w:val="nil"/>
              <w:left w:val="nil"/>
              <w:bottom w:val="single" w:sz="4" w:space="0" w:color="auto"/>
              <w:right w:val="nil"/>
            </w:tcBorders>
            <w:shd w:val="clear" w:color="auto" w:fill="auto"/>
            <w:noWrap/>
            <w:vAlign w:val="center"/>
            <w:hideMark/>
          </w:tcPr>
          <w:p w14:paraId="07634FF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7FF85C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3.074.907</w:t>
            </w:r>
          </w:p>
        </w:tc>
        <w:tc>
          <w:tcPr>
            <w:tcW w:w="1701" w:type="dxa"/>
            <w:tcBorders>
              <w:top w:val="nil"/>
              <w:left w:val="nil"/>
              <w:bottom w:val="single" w:sz="4" w:space="0" w:color="auto"/>
              <w:right w:val="nil"/>
            </w:tcBorders>
            <w:shd w:val="clear" w:color="auto" w:fill="auto"/>
            <w:noWrap/>
            <w:vAlign w:val="center"/>
            <w:hideMark/>
          </w:tcPr>
          <w:p w14:paraId="70BC155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11.481.353</w:t>
            </w:r>
          </w:p>
        </w:tc>
        <w:tc>
          <w:tcPr>
            <w:tcW w:w="1560" w:type="dxa"/>
            <w:tcBorders>
              <w:top w:val="nil"/>
              <w:left w:val="nil"/>
              <w:bottom w:val="single" w:sz="4" w:space="0" w:color="auto"/>
              <w:right w:val="nil"/>
            </w:tcBorders>
            <w:shd w:val="clear" w:color="auto" w:fill="auto"/>
            <w:noWrap/>
            <w:vAlign w:val="center"/>
            <w:hideMark/>
          </w:tcPr>
          <w:p w14:paraId="7A8B493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26,78%</w:t>
            </w:r>
          </w:p>
        </w:tc>
        <w:tc>
          <w:tcPr>
            <w:tcW w:w="1274" w:type="dxa"/>
            <w:vMerge/>
            <w:tcBorders>
              <w:top w:val="nil"/>
              <w:left w:val="nil"/>
              <w:bottom w:val="single" w:sz="4" w:space="0" w:color="000000"/>
              <w:right w:val="nil"/>
            </w:tcBorders>
            <w:vAlign w:val="center"/>
            <w:hideMark/>
          </w:tcPr>
          <w:p w14:paraId="4C86015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50C1ADC"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D1FAB6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lastRenderedPageBreak/>
              <w:t>Irán</w:t>
            </w:r>
          </w:p>
        </w:tc>
        <w:tc>
          <w:tcPr>
            <w:tcW w:w="1108" w:type="dxa"/>
            <w:tcBorders>
              <w:top w:val="nil"/>
              <w:left w:val="nil"/>
              <w:bottom w:val="single" w:sz="4" w:space="0" w:color="auto"/>
              <w:right w:val="nil"/>
            </w:tcBorders>
            <w:shd w:val="clear" w:color="auto" w:fill="auto"/>
            <w:noWrap/>
            <w:vAlign w:val="center"/>
            <w:hideMark/>
          </w:tcPr>
          <w:p w14:paraId="42FF6A5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B9FFA1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134.319</w:t>
            </w:r>
          </w:p>
        </w:tc>
        <w:tc>
          <w:tcPr>
            <w:tcW w:w="1701" w:type="dxa"/>
            <w:tcBorders>
              <w:top w:val="nil"/>
              <w:left w:val="nil"/>
              <w:bottom w:val="single" w:sz="4" w:space="0" w:color="auto"/>
              <w:right w:val="nil"/>
            </w:tcBorders>
            <w:shd w:val="clear" w:color="auto" w:fill="auto"/>
            <w:noWrap/>
            <w:vAlign w:val="center"/>
            <w:hideMark/>
          </w:tcPr>
          <w:p w14:paraId="234A978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7.075.228</w:t>
            </w:r>
          </w:p>
        </w:tc>
        <w:tc>
          <w:tcPr>
            <w:tcW w:w="1560" w:type="dxa"/>
            <w:tcBorders>
              <w:top w:val="nil"/>
              <w:left w:val="nil"/>
              <w:bottom w:val="single" w:sz="4" w:space="0" w:color="auto"/>
              <w:right w:val="nil"/>
            </w:tcBorders>
            <w:shd w:val="clear" w:color="auto" w:fill="auto"/>
            <w:noWrap/>
            <w:vAlign w:val="center"/>
            <w:hideMark/>
          </w:tcPr>
          <w:p w14:paraId="7FA3047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1,90%</w:t>
            </w:r>
          </w:p>
        </w:tc>
        <w:tc>
          <w:tcPr>
            <w:tcW w:w="1274" w:type="dxa"/>
            <w:tcBorders>
              <w:top w:val="nil"/>
              <w:left w:val="nil"/>
              <w:bottom w:val="single" w:sz="4" w:space="0" w:color="auto"/>
              <w:right w:val="nil"/>
            </w:tcBorders>
            <w:shd w:val="clear" w:color="auto" w:fill="auto"/>
            <w:noWrap/>
            <w:vAlign w:val="center"/>
            <w:hideMark/>
          </w:tcPr>
          <w:p w14:paraId="2BEED9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1,90%</w:t>
            </w:r>
          </w:p>
        </w:tc>
      </w:tr>
      <w:tr w:rsidR="001579BE" w:rsidRPr="00A947EA" w14:paraId="0C1A9F05" w14:textId="77777777" w:rsidTr="00377237">
        <w:trPr>
          <w:trHeight w:val="310"/>
        </w:trPr>
        <w:tc>
          <w:tcPr>
            <w:tcW w:w="1444" w:type="dxa"/>
            <w:tcBorders>
              <w:top w:val="nil"/>
              <w:left w:val="nil"/>
              <w:bottom w:val="nil"/>
              <w:right w:val="nil"/>
            </w:tcBorders>
            <w:shd w:val="clear" w:color="auto" w:fill="auto"/>
            <w:noWrap/>
            <w:vAlign w:val="center"/>
            <w:hideMark/>
          </w:tcPr>
          <w:p w14:paraId="0DDBC2D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Irlanda</w:t>
            </w:r>
          </w:p>
        </w:tc>
        <w:tc>
          <w:tcPr>
            <w:tcW w:w="1108" w:type="dxa"/>
            <w:tcBorders>
              <w:top w:val="nil"/>
              <w:left w:val="nil"/>
              <w:bottom w:val="nil"/>
              <w:right w:val="nil"/>
            </w:tcBorders>
            <w:shd w:val="clear" w:color="auto" w:fill="auto"/>
            <w:noWrap/>
            <w:vAlign w:val="center"/>
            <w:hideMark/>
          </w:tcPr>
          <w:p w14:paraId="42CDD53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D78B00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nil"/>
              <w:right w:val="nil"/>
            </w:tcBorders>
            <w:shd w:val="clear" w:color="auto" w:fill="auto"/>
            <w:noWrap/>
            <w:vAlign w:val="center"/>
            <w:hideMark/>
          </w:tcPr>
          <w:p w14:paraId="4A053C8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203.404</w:t>
            </w:r>
          </w:p>
        </w:tc>
        <w:tc>
          <w:tcPr>
            <w:tcW w:w="1560" w:type="dxa"/>
            <w:tcBorders>
              <w:top w:val="nil"/>
              <w:left w:val="nil"/>
              <w:bottom w:val="nil"/>
              <w:right w:val="nil"/>
            </w:tcBorders>
            <w:shd w:val="clear" w:color="auto" w:fill="auto"/>
            <w:noWrap/>
            <w:vAlign w:val="center"/>
            <w:hideMark/>
          </w:tcPr>
          <w:p w14:paraId="45F0E8E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val="restart"/>
            <w:tcBorders>
              <w:top w:val="nil"/>
              <w:left w:val="nil"/>
              <w:bottom w:val="single" w:sz="4" w:space="0" w:color="000000"/>
              <w:right w:val="nil"/>
            </w:tcBorders>
            <w:shd w:val="clear" w:color="auto" w:fill="auto"/>
            <w:noWrap/>
            <w:vAlign w:val="center"/>
            <w:hideMark/>
          </w:tcPr>
          <w:p w14:paraId="4624C80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0,01%</w:t>
            </w:r>
          </w:p>
        </w:tc>
      </w:tr>
      <w:tr w:rsidR="001579BE" w:rsidRPr="00A947EA" w14:paraId="0B46E5B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4533A8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Irlanda</w:t>
            </w:r>
          </w:p>
        </w:tc>
        <w:tc>
          <w:tcPr>
            <w:tcW w:w="1108" w:type="dxa"/>
            <w:tcBorders>
              <w:top w:val="nil"/>
              <w:left w:val="nil"/>
              <w:bottom w:val="single" w:sz="4" w:space="0" w:color="auto"/>
              <w:right w:val="nil"/>
            </w:tcBorders>
            <w:shd w:val="clear" w:color="auto" w:fill="auto"/>
            <w:noWrap/>
            <w:vAlign w:val="center"/>
            <w:hideMark/>
          </w:tcPr>
          <w:p w14:paraId="37FA858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0E2209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w:t>
            </w:r>
          </w:p>
        </w:tc>
        <w:tc>
          <w:tcPr>
            <w:tcW w:w="1701" w:type="dxa"/>
            <w:tcBorders>
              <w:top w:val="nil"/>
              <w:left w:val="nil"/>
              <w:bottom w:val="single" w:sz="4" w:space="0" w:color="auto"/>
              <w:right w:val="nil"/>
            </w:tcBorders>
            <w:shd w:val="clear" w:color="auto" w:fill="auto"/>
            <w:noWrap/>
            <w:vAlign w:val="center"/>
            <w:hideMark/>
          </w:tcPr>
          <w:p w14:paraId="1E099E7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203.404</w:t>
            </w:r>
          </w:p>
        </w:tc>
        <w:tc>
          <w:tcPr>
            <w:tcW w:w="1560" w:type="dxa"/>
            <w:tcBorders>
              <w:top w:val="nil"/>
              <w:left w:val="nil"/>
              <w:bottom w:val="single" w:sz="4" w:space="0" w:color="auto"/>
              <w:right w:val="nil"/>
            </w:tcBorders>
            <w:shd w:val="clear" w:color="auto" w:fill="auto"/>
            <w:noWrap/>
            <w:vAlign w:val="center"/>
            <w:hideMark/>
          </w:tcPr>
          <w:p w14:paraId="72122CD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0,01%</w:t>
            </w:r>
          </w:p>
        </w:tc>
        <w:tc>
          <w:tcPr>
            <w:tcW w:w="1274" w:type="dxa"/>
            <w:vMerge/>
            <w:tcBorders>
              <w:top w:val="nil"/>
              <w:left w:val="nil"/>
              <w:bottom w:val="single" w:sz="4" w:space="0" w:color="000000"/>
              <w:right w:val="nil"/>
            </w:tcBorders>
            <w:vAlign w:val="center"/>
            <w:hideMark/>
          </w:tcPr>
          <w:p w14:paraId="3E4F824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436C5A6" w14:textId="77777777" w:rsidTr="00377237">
        <w:trPr>
          <w:trHeight w:val="310"/>
        </w:trPr>
        <w:tc>
          <w:tcPr>
            <w:tcW w:w="1444" w:type="dxa"/>
            <w:tcBorders>
              <w:top w:val="nil"/>
              <w:left w:val="nil"/>
              <w:bottom w:val="nil"/>
              <w:right w:val="nil"/>
            </w:tcBorders>
            <w:shd w:val="clear" w:color="auto" w:fill="auto"/>
            <w:noWrap/>
            <w:vAlign w:val="center"/>
            <w:hideMark/>
          </w:tcPr>
          <w:p w14:paraId="39E88A1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Israel</w:t>
            </w:r>
          </w:p>
        </w:tc>
        <w:tc>
          <w:tcPr>
            <w:tcW w:w="1108" w:type="dxa"/>
            <w:tcBorders>
              <w:top w:val="nil"/>
              <w:left w:val="nil"/>
              <w:bottom w:val="nil"/>
              <w:right w:val="nil"/>
            </w:tcBorders>
            <w:shd w:val="clear" w:color="auto" w:fill="auto"/>
            <w:noWrap/>
            <w:vAlign w:val="center"/>
            <w:hideMark/>
          </w:tcPr>
          <w:p w14:paraId="29061C3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A75935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402.063</w:t>
            </w:r>
          </w:p>
        </w:tc>
        <w:tc>
          <w:tcPr>
            <w:tcW w:w="1701" w:type="dxa"/>
            <w:tcBorders>
              <w:top w:val="nil"/>
              <w:left w:val="nil"/>
              <w:bottom w:val="nil"/>
              <w:right w:val="nil"/>
            </w:tcBorders>
            <w:shd w:val="clear" w:color="auto" w:fill="auto"/>
            <w:noWrap/>
            <w:vAlign w:val="center"/>
            <w:hideMark/>
          </w:tcPr>
          <w:p w14:paraId="3BA177B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1.632.809</w:t>
            </w:r>
          </w:p>
        </w:tc>
        <w:tc>
          <w:tcPr>
            <w:tcW w:w="1560" w:type="dxa"/>
            <w:tcBorders>
              <w:top w:val="nil"/>
              <w:left w:val="nil"/>
              <w:bottom w:val="nil"/>
              <w:right w:val="nil"/>
            </w:tcBorders>
            <w:shd w:val="clear" w:color="auto" w:fill="auto"/>
            <w:noWrap/>
            <w:vAlign w:val="center"/>
            <w:hideMark/>
          </w:tcPr>
          <w:p w14:paraId="3C7BB4C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24,62%</w:t>
            </w:r>
          </w:p>
        </w:tc>
        <w:tc>
          <w:tcPr>
            <w:tcW w:w="1274" w:type="dxa"/>
            <w:vMerge w:val="restart"/>
            <w:tcBorders>
              <w:top w:val="nil"/>
              <w:left w:val="nil"/>
              <w:bottom w:val="single" w:sz="4" w:space="0" w:color="000000"/>
              <w:right w:val="nil"/>
            </w:tcBorders>
            <w:shd w:val="clear" w:color="auto" w:fill="auto"/>
            <w:noWrap/>
            <w:vAlign w:val="center"/>
            <w:hideMark/>
          </w:tcPr>
          <w:p w14:paraId="70D205D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45,76%</w:t>
            </w:r>
          </w:p>
        </w:tc>
      </w:tr>
      <w:tr w:rsidR="001579BE" w:rsidRPr="00A947EA" w14:paraId="78885C79"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449422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Israel</w:t>
            </w:r>
          </w:p>
        </w:tc>
        <w:tc>
          <w:tcPr>
            <w:tcW w:w="1108" w:type="dxa"/>
            <w:tcBorders>
              <w:top w:val="nil"/>
              <w:left w:val="nil"/>
              <w:bottom w:val="single" w:sz="4" w:space="0" w:color="auto"/>
              <w:right w:val="nil"/>
            </w:tcBorders>
            <w:shd w:val="clear" w:color="auto" w:fill="auto"/>
            <w:noWrap/>
            <w:vAlign w:val="center"/>
            <w:hideMark/>
          </w:tcPr>
          <w:p w14:paraId="097BABA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8743B0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345.101</w:t>
            </w:r>
          </w:p>
        </w:tc>
        <w:tc>
          <w:tcPr>
            <w:tcW w:w="1701" w:type="dxa"/>
            <w:tcBorders>
              <w:top w:val="nil"/>
              <w:left w:val="nil"/>
              <w:bottom w:val="single" w:sz="4" w:space="0" w:color="auto"/>
              <w:right w:val="nil"/>
            </w:tcBorders>
            <w:shd w:val="clear" w:color="auto" w:fill="auto"/>
            <w:noWrap/>
            <w:vAlign w:val="center"/>
            <w:hideMark/>
          </w:tcPr>
          <w:p w14:paraId="4E0A02F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1.632.809</w:t>
            </w:r>
          </w:p>
        </w:tc>
        <w:tc>
          <w:tcPr>
            <w:tcW w:w="1560" w:type="dxa"/>
            <w:tcBorders>
              <w:top w:val="nil"/>
              <w:left w:val="nil"/>
              <w:bottom w:val="single" w:sz="4" w:space="0" w:color="auto"/>
              <w:right w:val="nil"/>
            </w:tcBorders>
            <w:shd w:val="clear" w:color="auto" w:fill="auto"/>
            <w:noWrap/>
            <w:vAlign w:val="center"/>
            <w:hideMark/>
          </w:tcPr>
          <w:p w14:paraId="7121969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21,14%</w:t>
            </w:r>
          </w:p>
        </w:tc>
        <w:tc>
          <w:tcPr>
            <w:tcW w:w="1274" w:type="dxa"/>
            <w:vMerge/>
            <w:tcBorders>
              <w:top w:val="nil"/>
              <w:left w:val="nil"/>
              <w:bottom w:val="single" w:sz="4" w:space="0" w:color="000000"/>
              <w:right w:val="nil"/>
            </w:tcBorders>
            <w:vAlign w:val="center"/>
            <w:hideMark/>
          </w:tcPr>
          <w:p w14:paraId="309C557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6D5BC8EB" w14:textId="77777777" w:rsidTr="00377237">
        <w:trPr>
          <w:trHeight w:val="310"/>
        </w:trPr>
        <w:tc>
          <w:tcPr>
            <w:tcW w:w="1444" w:type="dxa"/>
            <w:tcBorders>
              <w:top w:val="nil"/>
              <w:left w:val="nil"/>
              <w:bottom w:val="nil"/>
              <w:right w:val="nil"/>
            </w:tcBorders>
            <w:shd w:val="clear" w:color="auto" w:fill="auto"/>
            <w:noWrap/>
            <w:vAlign w:val="center"/>
            <w:hideMark/>
          </w:tcPr>
          <w:p w14:paraId="2250736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Italia</w:t>
            </w:r>
          </w:p>
        </w:tc>
        <w:tc>
          <w:tcPr>
            <w:tcW w:w="1108" w:type="dxa"/>
            <w:tcBorders>
              <w:top w:val="nil"/>
              <w:left w:val="nil"/>
              <w:bottom w:val="nil"/>
              <w:right w:val="nil"/>
            </w:tcBorders>
            <w:shd w:val="clear" w:color="auto" w:fill="auto"/>
            <w:noWrap/>
            <w:vAlign w:val="center"/>
            <w:hideMark/>
          </w:tcPr>
          <w:p w14:paraId="03685AE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57384D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153.487</w:t>
            </w:r>
          </w:p>
        </w:tc>
        <w:tc>
          <w:tcPr>
            <w:tcW w:w="1701" w:type="dxa"/>
            <w:tcBorders>
              <w:top w:val="nil"/>
              <w:left w:val="nil"/>
              <w:bottom w:val="nil"/>
              <w:right w:val="nil"/>
            </w:tcBorders>
            <w:shd w:val="clear" w:color="auto" w:fill="auto"/>
            <w:noWrap/>
            <w:vAlign w:val="center"/>
            <w:hideMark/>
          </w:tcPr>
          <w:p w14:paraId="4BBC05C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7.298.488</w:t>
            </w:r>
          </w:p>
        </w:tc>
        <w:tc>
          <w:tcPr>
            <w:tcW w:w="1560" w:type="dxa"/>
            <w:tcBorders>
              <w:top w:val="nil"/>
              <w:left w:val="nil"/>
              <w:bottom w:val="nil"/>
              <w:right w:val="nil"/>
            </w:tcBorders>
            <w:shd w:val="clear" w:color="auto" w:fill="auto"/>
            <w:noWrap/>
            <w:vAlign w:val="center"/>
            <w:hideMark/>
          </w:tcPr>
          <w:p w14:paraId="073726D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2,10%</w:t>
            </w:r>
          </w:p>
        </w:tc>
        <w:tc>
          <w:tcPr>
            <w:tcW w:w="1274" w:type="dxa"/>
            <w:vMerge w:val="restart"/>
            <w:tcBorders>
              <w:top w:val="nil"/>
              <w:left w:val="nil"/>
              <w:bottom w:val="single" w:sz="4" w:space="0" w:color="000000"/>
              <w:right w:val="nil"/>
            </w:tcBorders>
            <w:shd w:val="clear" w:color="auto" w:fill="auto"/>
            <w:noWrap/>
            <w:vAlign w:val="center"/>
            <w:hideMark/>
          </w:tcPr>
          <w:p w14:paraId="69DA0E1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3,78%</w:t>
            </w:r>
          </w:p>
        </w:tc>
      </w:tr>
      <w:tr w:rsidR="001579BE" w:rsidRPr="00A947EA" w14:paraId="7003298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537D88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Italia</w:t>
            </w:r>
          </w:p>
        </w:tc>
        <w:tc>
          <w:tcPr>
            <w:tcW w:w="1108" w:type="dxa"/>
            <w:tcBorders>
              <w:top w:val="nil"/>
              <w:left w:val="nil"/>
              <w:bottom w:val="single" w:sz="4" w:space="0" w:color="auto"/>
              <w:right w:val="nil"/>
            </w:tcBorders>
            <w:shd w:val="clear" w:color="auto" w:fill="auto"/>
            <w:noWrap/>
            <w:vAlign w:val="center"/>
            <w:hideMark/>
          </w:tcPr>
          <w:p w14:paraId="7A7AA84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E979C8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122.099</w:t>
            </w:r>
          </w:p>
        </w:tc>
        <w:tc>
          <w:tcPr>
            <w:tcW w:w="1701" w:type="dxa"/>
            <w:tcBorders>
              <w:top w:val="nil"/>
              <w:left w:val="nil"/>
              <w:bottom w:val="single" w:sz="4" w:space="0" w:color="auto"/>
              <w:right w:val="nil"/>
            </w:tcBorders>
            <w:shd w:val="clear" w:color="auto" w:fill="auto"/>
            <w:noWrap/>
            <w:vAlign w:val="center"/>
            <w:hideMark/>
          </w:tcPr>
          <w:p w14:paraId="295C484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7.298.488</w:t>
            </w:r>
          </w:p>
        </w:tc>
        <w:tc>
          <w:tcPr>
            <w:tcW w:w="1560" w:type="dxa"/>
            <w:tcBorders>
              <w:top w:val="nil"/>
              <w:left w:val="nil"/>
              <w:bottom w:val="single" w:sz="4" w:space="0" w:color="auto"/>
              <w:right w:val="nil"/>
            </w:tcBorders>
            <w:shd w:val="clear" w:color="auto" w:fill="auto"/>
            <w:noWrap/>
            <w:vAlign w:val="center"/>
            <w:hideMark/>
          </w:tcPr>
          <w:p w14:paraId="544C7FF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1,67%</w:t>
            </w:r>
          </w:p>
        </w:tc>
        <w:tc>
          <w:tcPr>
            <w:tcW w:w="1274" w:type="dxa"/>
            <w:vMerge/>
            <w:tcBorders>
              <w:top w:val="nil"/>
              <w:left w:val="nil"/>
              <w:bottom w:val="single" w:sz="4" w:space="0" w:color="000000"/>
              <w:right w:val="nil"/>
            </w:tcBorders>
            <w:vAlign w:val="center"/>
            <w:hideMark/>
          </w:tcPr>
          <w:p w14:paraId="15D6E45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326D6CA0" w14:textId="77777777" w:rsidTr="00377237">
        <w:trPr>
          <w:trHeight w:val="310"/>
        </w:trPr>
        <w:tc>
          <w:tcPr>
            <w:tcW w:w="1444" w:type="dxa"/>
            <w:tcBorders>
              <w:top w:val="nil"/>
              <w:left w:val="nil"/>
              <w:bottom w:val="nil"/>
              <w:right w:val="nil"/>
            </w:tcBorders>
            <w:shd w:val="clear" w:color="auto" w:fill="auto"/>
            <w:noWrap/>
            <w:vAlign w:val="center"/>
            <w:hideMark/>
          </w:tcPr>
          <w:p w14:paraId="445E3D1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Jordania</w:t>
            </w:r>
          </w:p>
        </w:tc>
        <w:tc>
          <w:tcPr>
            <w:tcW w:w="1108" w:type="dxa"/>
            <w:tcBorders>
              <w:top w:val="nil"/>
              <w:left w:val="nil"/>
              <w:bottom w:val="nil"/>
              <w:right w:val="nil"/>
            </w:tcBorders>
            <w:shd w:val="clear" w:color="auto" w:fill="auto"/>
            <w:noWrap/>
            <w:vAlign w:val="center"/>
            <w:hideMark/>
          </w:tcPr>
          <w:p w14:paraId="6E5BB6E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4F85E58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90.591</w:t>
            </w:r>
          </w:p>
        </w:tc>
        <w:tc>
          <w:tcPr>
            <w:tcW w:w="1701" w:type="dxa"/>
            <w:tcBorders>
              <w:top w:val="nil"/>
              <w:left w:val="nil"/>
              <w:bottom w:val="nil"/>
              <w:right w:val="nil"/>
            </w:tcBorders>
            <w:shd w:val="clear" w:color="auto" w:fill="auto"/>
            <w:noWrap/>
            <w:vAlign w:val="center"/>
            <w:hideMark/>
          </w:tcPr>
          <w:p w14:paraId="5EC2A1A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853.113</w:t>
            </w:r>
          </w:p>
        </w:tc>
        <w:tc>
          <w:tcPr>
            <w:tcW w:w="1560" w:type="dxa"/>
            <w:tcBorders>
              <w:top w:val="nil"/>
              <w:left w:val="nil"/>
              <w:bottom w:val="nil"/>
              <w:right w:val="nil"/>
            </w:tcBorders>
            <w:shd w:val="clear" w:color="auto" w:fill="auto"/>
            <w:noWrap/>
            <w:vAlign w:val="center"/>
            <w:hideMark/>
          </w:tcPr>
          <w:p w14:paraId="6BBFDC4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10,62%</w:t>
            </w:r>
          </w:p>
        </w:tc>
        <w:tc>
          <w:tcPr>
            <w:tcW w:w="1274" w:type="dxa"/>
            <w:vMerge w:val="restart"/>
            <w:tcBorders>
              <w:top w:val="nil"/>
              <w:left w:val="nil"/>
              <w:bottom w:val="single" w:sz="4" w:space="0" w:color="000000"/>
              <w:right w:val="nil"/>
            </w:tcBorders>
            <w:shd w:val="clear" w:color="auto" w:fill="auto"/>
            <w:noWrap/>
            <w:vAlign w:val="center"/>
            <w:hideMark/>
          </w:tcPr>
          <w:p w14:paraId="3A7194F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16,37%</w:t>
            </w:r>
          </w:p>
        </w:tc>
      </w:tr>
      <w:tr w:rsidR="001579BE" w:rsidRPr="00A947EA" w14:paraId="45A609F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AED113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Jordania</w:t>
            </w:r>
          </w:p>
        </w:tc>
        <w:tc>
          <w:tcPr>
            <w:tcW w:w="1108" w:type="dxa"/>
            <w:tcBorders>
              <w:top w:val="nil"/>
              <w:left w:val="nil"/>
              <w:bottom w:val="single" w:sz="4" w:space="0" w:color="auto"/>
              <w:right w:val="nil"/>
            </w:tcBorders>
            <w:shd w:val="clear" w:color="auto" w:fill="auto"/>
            <w:noWrap/>
            <w:vAlign w:val="center"/>
            <w:hideMark/>
          </w:tcPr>
          <w:p w14:paraId="63BB263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DB578F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49.053</w:t>
            </w:r>
          </w:p>
        </w:tc>
        <w:tc>
          <w:tcPr>
            <w:tcW w:w="1701" w:type="dxa"/>
            <w:tcBorders>
              <w:top w:val="nil"/>
              <w:left w:val="nil"/>
              <w:bottom w:val="single" w:sz="4" w:space="0" w:color="auto"/>
              <w:right w:val="nil"/>
            </w:tcBorders>
            <w:shd w:val="clear" w:color="auto" w:fill="auto"/>
            <w:noWrap/>
            <w:vAlign w:val="center"/>
            <w:hideMark/>
          </w:tcPr>
          <w:p w14:paraId="55EDD6D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853.113</w:t>
            </w:r>
          </w:p>
        </w:tc>
        <w:tc>
          <w:tcPr>
            <w:tcW w:w="1560" w:type="dxa"/>
            <w:tcBorders>
              <w:top w:val="nil"/>
              <w:left w:val="nil"/>
              <w:bottom w:val="single" w:sz="4" w:space="0" w:color="auto"/>
              <w:right w:val="nil"/>
            </w:tcBorders>
            <w:shd w:val="clear" w:color="auto" w:fill="auto"/>
            <w:noWrap/>
            <w:vAlign w:val="center"/>
            <w:hideMark/>
          </w:tcPr>
          <w:p w14:paraId="205905A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5,75%</w:t>
            </w:r>
          </w:p>
        </w:tc>
        <w:tc>
          <w:tcPr>
            <w:tcW w:w="1274" w:type="dxa"/>
            <w:vMerge/>
            <w:tcBorders>
              <w:top w:val="nil"/>
              <w:left w:val="nil"/>
              <w:bottom w:val="single" w:sz="4" w:space="0" w:color="000000"/>
              <w:right w:val="nil"/>
            </w:tcBorders>
            <w:vAlign w:val="center"/>
            <w:hideMark/>
          </w:tcPr>
          <w:p w14:paraId="1239921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2B758A7F" w14:textId="77777777" w:rsidTr="00377237">
        <w:trPr>
          <w:trHeight w:val="310"/>
        </w:trPr>
        <w:tc>
          <w:tcPr>
            <w:tcW w:w="1444" w:type="dxa"/>
            <w:tcBorders>
              <w:top w:val="nil"/>
              <w:left w:val="nil"/>
              <w:bottom w:val="nil"/>
              <w:right w:val="nil"/>
            </w:tcBorders>
            <w:shd w:val="clear" w:color="auto" w:fill="auto"/>
            <w:noWrap/>
            <w:vAlign w:val="center"/>
            <w:hideMark/>
          </w:tcPr>
          <w:p w14:paraId="0DDA315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Kazajstán</w:t>
            </w:r>
          </w:p>
        </w:tc>
        <w:tc>
          <w:tcPr>
            <w:tcW w:w="1108" w:type="dxa"/>
            <w:tcBorders>
              <w:top w:val="nil"/>
              <w:left w:val="nil"/>
              <w:bottom w:val="nil"/>
              <w:right w:val="nil"/>
            </w:tcBorders>
            <w:shd w:val="clear" w:color="auto" w:fill="auto"/>
            <w:noWrap/>
            <w:vAlign w:val="center"/>
            <w:hideMark/>
          </w:tcPr>
          <w:p w14:paraId="06A4795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ECF5C5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1.047.375</w:t>
            </w:r>
          </w:p>
        </w:tc>
        <w:tc>
          <w:tcPr>
            <w:tcW w:w="1701" w:type="dxa"/>
            <w:tcBorders>
              <w:top w:val="nil"/>
              <w:left w:val="nil"/>
              <w:bottom w:val="nil"/>
              <w:right w:val="nil"/>
            </w:tcBorders>
            <w:shd w:val="clear" w:color="auto" w:fill="auto"/>
            <w:noWrap/>
            <w:vAlign w:val="center"/>
            <w:hideMark/>
          </w:tcPr>
          <w:p w14:paraId="2417354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1.048.209</w:t>
            </w:r>
          </w:p>
        </w:tc>
        <w:tc>
          <w:tcPr>
            <w:tcW w:w="1560" w:type="dxa"/>
            <w:tcBorders>
              <w:top w:val="nil"/>
              <w:left w:val="nil"/>
              <w:bottom w:val="nil"/>
              <w:right w:val="nil"/>
            </w:tcBorders>
            <w:shd w:val="clear" w:color="auto" w:fill="auto"/>
            <w:noWrap/>
            <w:vAlign w:val="center"/>
            <w:hideMark/>
          </w:tcPr>
          <w:p w14:paraId="2962AD9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99,92%</w:t>
            </w:r>
          </w:p>
        </w:tc>
        <w:tc>
          <w:tcPr>
            <w:tcW w:w="1274" w:type="dxa"/>
            <w:vMerge w:val="restart"/>
            <w:tcBorders>
              <w:top w:val="nil"/>
              <w:left w:val="nil"/>
              <w:bottom w:val="single" w:sz="4" w:space="0" w:color="000000"/>
              <w:right w:val="nil"/>
            </w:tcBorders>
            <w:shd w:val="clear" w:color="auto" w:fill="auto"/>
            <w:noWrap/>
            <w:vAlign w:val="center"/>
            <w:hideMark/>
          </w:tcPr>
          <w:p w14:paraId="49AA75C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99,95%</w:t>
            </w:r>
          </w:p>
        </w:tc>
      </w:tr>
      <w:tr w:rsidR="001579BE" w:rsidRPr="00A947EA" w14:paraId="6CC6056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74EE1E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Kazajstán</w:t>
            </w:r>
          </w:p>
        </w:tc>
        <w:tc>
          <w:tcPr>
            <w:tcW w:w="1108" w:type="dxa"/>
            <w:tcBorders>
              <w:top w:val="nil"/>
              <w:left w:val="nil"/>
              <w:bottom w:val="single" w:sz="4" w:space="0" w:color="auto"/>
              <w:right w:val="nil"/>
            </w:tcBorders>
            <w:shd w:val="clear" w:color="auto" w:fill="auto"/>
            <w:noWrap/>
            <w:vAlign w:val="center"/>
            <w:hideMark/>
          </w:tcPr>
          <w:p w14:paraId="083C7A5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32E09E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302</w:t>
            </w:r>
          </w:p>
        </w:tc>
        <w:tc>
          <w:tcPr>
            <w:tcW w:w="1701" w:type="dxa"/>
            <w:tcBorders>
              <w:top w:val="nil"/>
              <w:left w:val="nil"/>
              <w:bottom w:val="single" w:sz="4" w:space="0" w:color="auto"/>
              <w:right w:val="nil"/>
            </w:tcBorders>
            <w:shd w:val="clear" w:color="auto" w:fill="auto"/>
            <w:noWrap/>
            <w:vAlign w:val="center"/>
            <w:hideMark/>
          </w:tcPr>
          <w:p w14:paraId="683F133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1.048.209</w:t>
            </w:r>
          </w:p>
        </w:tc>
        <w:tc>
          <w:tcPr>
            <w:tcW w:w="1560" w:type="dxa"/>
            <w:tcBorders>
              <w:top w:val="nil"/>
              <w:left w:val="nil"/>
              <w:bottom w:val="single" w:sz="4" w:space="0" w:color="auto"/>
              <w:right w:val="nil"/>
            </w:tcBorders>
            <w:shd w:val="clear" w:color="auto" w:fill="auto"/>
            <w:noWrap/>
            <w:vAlign w:val="center"/>
            <w:hideMark/>
          </w:tcPr>
          <w:p w14:paraId="56D15AE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0,03%</w:t>
            </w:r>
          </w:p>
        </w:tc>
        <w:tc>
          <w:tcPr>
            <w:tcW w:w="1274" w:type="dxa"/>
            <w:vMerge/>
            <w:tcBorders>
              <w:top w:val="nil"/>
              <w:left w:val="nil"/>
              <w:bottom w:val="single" w:sz="4" w:space="0" w:color="000000"/>
              <w:right w:val="nil"/>
            </w:tcBorders>
            <w:vAlign w:val="center"/>
            <w:hideMark/>
          </w:tcPr>
          <w:p w14:paraId="3899510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6A9863DD" w14:textId="77777777" w:rsidTr="00377237">
        <w:trPr>
          <w:trHeight w:val="310"/>
        </w:trPr>
        <w:tc>
          <w:tcPr>
            <w:tcW w:w="1444" w:type="dxa"/>
            <w:tcBorders>
              <w:top w:val="nil"/>
              <w:left w:val="nil"/>
              <w:bottom w:val="nil"/>
              <w:right w:val="nil"/>
            </w:tcBorders>
            <w:shd w:val="clear" w:color="auto" w:fill="auto"/>
            <w:noWrap/>
            <w:vAlign w:val="center"/>
            <w:hideMark/>
          </w:tcPr>
          <w:p w14:paraId="03C94EE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Ken</w:t>
            </w:r>
            <w:r>
              <w:rPr>
                <w:rFonts w:asciiTheme="majorBidi" w:eastAsia="Times New Roman" w:hAnsiTheme="majorBidi" w:cstheme="majorBidi"/>
                <w:color w:val="000000"/>
                <w:sz w:val="20"/>
                <w:szCs w:val="20"/>
                <w:lang w:eastAsia="es-ES"/>
              </w:rPr>
              <w:t>i</w:t>
            </w:r>
            <w:r w:rsidRPr="00A947EA">
              <w:rPr>
                <w:rFonts w:asciiTheme="majorBidi" w:eastAsia="Times New Roman" w:hAnsiTheme="majorBidi" w:cstheme="majorBidi"/>
                <w:color w:val="000000"/>
                <w:sz w:val="20"/>
                <w:szCs w:val="20"/>
                <w:lang w:eastAsia="es-ES"/>
              </w:rPr>
              <w:t>a</w:t>
            </w:r>
          </w:p>
        </w:tc>
        <w:tc>
          <w:tcPr>
            <w:tcW w:w="1108" w:type="dxa"/>
            <w:tcBorders>
              <w:top w:val="nil"/>
              <w:left w:val="nil"/>
              <w:bottom w:val="nil"/>
              <w:right w:val="nil"/>
            </w:tcBorders>
            <w:shd w:val="clear" w:color="auto" w:fill="auto"/>
            <w:noWrap/>
            <w:vAlign w:val="center"/>
            <w:hideMark/>
          </w:tcPr>
          <w:p w14:paraId="5CE4C6B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4FA8294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365.062</w:t>
            </w:r>
          </w:p>
        </w:tc>
        <w:tc>
          <w:tcPr>
            <w:tcW w:w="1701" w:type="dxa"/>
            <w:tcBorders>
              <w:top w:val="nil"/>
              <w:left w:val="nil"/>
              <w:bottom w:val="nil"/>
              <w:right w:val="nil"/>
            </w:tcBorders>
            <w:shd w:val="clear" w:color="auto" w:fill="auto"/>
            <w:noWrap/>
            <w:vAlign w:val="center"/>
            <w:hideMark/>
          </w:tcPr>
          <w:p w14:paraId="0145727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1.889.865</w:t>
            </w:r>
          </w:p>
        </w:tc>
        <w:tc>
          <w:tcPr>
            <w:tcW w:w="1560" w:type="dxa"/>
            <w:tcBorders>
              <w:top w:val="nil"/>
              <w:left w:val="nil"/>
              <w:bottom w:val="nil"/>
              <w:right w:val="nil"/>
            </w:tcBorders>
            <w:shd w:val="clear" w:color="auto" w:fill="auto"/>
            <w:noWrap/>
            <w:vAlign w:val="center"/>
            <w:hideMark/>
          </w:tcPr>
          <w:p w14:paraId="60455D5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19,32%</w:t>
            </w:r>
          </w:p>
        </w:tc>
        <w:tc>
          <w:tcPr>
            <w:tcW w:w="1274" w:type="dxa"/>
            <w:vMerge w:val="restart"/>
            <w:tcBorders>
              <w:top w:val="nil"/>
              <w:left w:val="nil"/>
              <w:bottom w:val="single" w:sz="4" w:space="0" w:color="000000"/>
              <w:right w:val="nil"/>
            </w:tcBorders>
            <w:shd w:val="clear" w:color="auto" w:fill="auto"/>
            <w:noWrap/>
            <w:vAlign w:val="center"/>
            <w:hideMark/>
          </w:tcPr>
          <w:p w14:paraId="601A436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32,85%</w:t>
            </w:r>
          </w:p>
        </w:tc>
      </w:tr>
      <w:tr w:rsidR="001579BE" w:rsidRPr="00A947EA" w14:paraId="74BCEBF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33BFDE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Ken</w:t>
            </w:r>
            <w:r>
              <w:rPr>
                <w:rFonts w:asciiTheme="majorBidi" w:eastAsia="Times New Roman" w:hAnsiTheme="majorBidi" w:cstheme="majorBidi"/>
                <w:color w:val="000000"/>
                <w:sz w:val="20"/>
                <w:szCs w:val="20"/>
                <w:lang w:eastAsia="es-ES"/>
              </w:rPr>
              <w:t>i</w:t>
            </w:r>
            <w:r w:rsidRPr="00A947EA">
              <w:rPr>
                <w:rFonts w:asciiTheme="majorBidi" w:eastAsia="Times New Roman" w:hAnsiTheme="majorBidi" w:cstheme="majorBidi"/>
                <w:color w:val="000000"/>
                <w:sz w:val="20"/>
                <w:szCs w:val="20"/>
                <w:lang w:eastAsia="es-ES"/>
              </w:rPr>
              <w:t>a</w:t>
            </w:r>
          </w:p>
        </w:tc>
        <w:tc>
          <w:tcPr>
            <w:tcW w:w="1108" w:type="dxa"/>
            <w:tcBorders>
              <w:top w:val="nil"/>
              <w:left w:val="nil"/>
              <w:bottom w:val="single" w:sz="4" w:space="0" w:color="auto"/>
              <w:right w:val="nil"/>
            </w:tcBorders>
            <w:shd w:val="clear" w:color="auto" w:fill="auto"/>
            <w:noWrap/>
            <w:vAlign w:val="center"/>
            <w:hideMark/>
          </w:tcPr>
          <w:p w14:paraId="5F87B6D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47D698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255.827</w:t>
            </w:r>
          </w:p>
        </w:tc>
        <w:tc>
          <w:tcPr>
            <w:tcW w:w="1701" w:type="dxa"/>
            <w:tcBorders>
              <w:top w:val="nil"/>
              <w:left w:val="nil"/>
              <w:bottom w:val="single" w:sz="4" w:space="0" w:color="auto"/>
              <w:right w:val="nil"/>
            </w:tcBorders>
            <w:shd w:val="clear" w:color="auto" w:fill="auto"/>
            <w:noWrap/>
            <w:vAlign w:val="center"/>
            <w:hideMark/>
          </w:tcPr>
          <w:p w14:paraId="0A467F0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1.889.865</w:t>
            </w:r>
          </w:p>
        </w:tc>
        <w:tc>
          <w:tcPr>
            <w:tcW w:w="1560" w:type="dxa"/>
            <w:tcBorders>
              <w:top w:val="nil"/>
              <w:left w:val="nil"/>
              <w:bottom w:val="single" w:sz="4" w:space="0" w:color="auto"/>
              <w:right w:val="nil"/>
            </w:tcBorders>
            <w:shd w:val="clear" w:color="auto" w:fill="auto"/>
            <w:noWrap/>
            <w:vAlign w:val="center"/>
            <w:hideMark/>
          </w:tcPr>
          <w:p w14:paraId="4D848D8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13,54%</w:t>
            </w:r>
          </w:p>
        </w:tc>
        <w:tc>
          <w:tcPr>
            <w:tcW w:w="1274" w:type="dxa"/>
            <w:vMerge/>
            <w:tcBorders>
              <w:top w:val="nil"/>
              <w:left w:val="nil"/>
              <w:bottom w:val="single" w:sz="4" w:space="0" w:color="000000"/>
              <w:right w:val="nil"/>
            </w:tcBorders>
            <w:vAlign w:val="center"/>
            <w:hideMark/>
          </w:tcPr>
          <w:p w14:paraId="7137622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9E71337"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EB4A04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Kuwait</w:t>
            </w:r>
          </w:p>
        </w:tc>
        <w:tc>
          <w:tcPr>
            <w:tcW w:w="1108" w:type="dxa"/>
            <w:tcBorders>
              <w:top w:val="nil"/>
              <w:left w:val="nil"/>
              <w:bottom w:val="single" w:sz="4" w:space="0" w:color="auto"/>
              <w:right w:val="nil"/>
            </w:tcBorders>
            <w:shd w:val="clear" w:color="auto" w:fill="auto"/>
            <w:noWrap/>
            <w:vAlign w:val="center"/>
            <w:hideMark/>
          </w:tcPr>
          <w:p w14:paraId="42754C8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906ED7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344</w:t>
            </w:r>
          </w:p>
        </w:tc>
        <w:tc>
          <w:tcPr>
            <w:tcW w:w="1701" w:type="dxa"/>
            <w:tcBorders>
              <w:top w:val="nil"/>
              <w:left w:val="nil"/>
              <w:bottom w:val="single" w:sz="4" w:space="0" w:color="auto"/>
              <w:right w:val="nil"/>
            </w:tcBorders>
            <w:shd w:val="clear" w:color="auto" w:fill="auto"/>
            <w:noWrap/>
            <w:vAlign w:val="center"/>
            <w:hideMark/>
          </w:tcPr>
          <w:p w14:paraId="09D05D6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484.932</w:t>
            </w:r>
          </w:p>
        </w:tc>
        <w:tc>
          <w:tcPr>
            <w:tcW w:w="1560" w:type="dxa"/>
            <w:tcBorders>
              <w:top w:val="nil"/>
              <w:left w:val="nil"/>
              <w:bottom w:val="single" w:sz="4" w:space="0" w:color="auto"/>
              <w:right w:val="nil"/>
            </w:tcBorders>
            <w:shd w:val="clear" w:color="auto" w:fill="auto"/>
            <w:noWrap/>
            <w:vAlign w:val="center"/>
            <w:hideMark/>
          </w:tcPr>
          <w:p w14:paraId="199AE46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0,07%</w:t>
            </w:r>
          </w:p>
        </w:tc>
        <w:tc>
          <w:tcPr>
            <w:tcW w:w="1274" w:type="dxa"/>
            <w:tcBorders>
              <w:top w:val="nil"/>
              <w:left w:val="nil"/>
              <w:bottom w:val="single" w:sz="4" w:space="0" w:color="auto"/>
              <w:right w:val="nil"/>
            </w:tcBorders>
            <w:shd w:val="clear" w:color="auto" w:fill="auto"/>
            <w:noWrap/>
            <w:vAlign w:val="center"/>
            <w:hideMark/>
          </w:tcPr>
          <w:p w14:paraId="6637E8B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0,07%</w:t>
            </w:r>
          </w:p>
        </w:tc>
      </w:tr>
      <w:tr w:rsidR="001579BE" w:rsidRPr="00A947EA" w14:paraId="2F63F978"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0D8E5F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Kirguistán</w:t>
            </w:r>
          </w:p>
        </w:tc>
        <w:tc>
          <w:tcPr>
            <w:tcW w:w="1108" w:type="dxa"/>
            <w:tcBorders>
              <w:top w:val="nil"/>
              <w:left w:val="nil"/>
              <w:bottom w:val="single" w:sz="4" w:space="0" w:color="auto"/>
              <w:right w:val="nil"/>
            </w:tcBorders>
            <w:shd w:val="clear" w:color="auto" w:fill="auto"/>
            <w:noWrap/>
            <w:vAlign w:val="center"/>
            <w:hideMark/>
          </w:tcPr>
          <w:p w14:paraId="1BFA3AE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69B2560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110.805</w:t>
            </w:r>
          </w:p>
        </w:tc>
        <w:tc>
          <w:tcPr>
            <w:tcW w:w="1701" w:type="dxa"/>
            <w:tcBorders>
              <w:top w:val="nil"/>
              <w:left w:val="nil"/>
              <w:bottom w:val="single" w:sz="4" w:space="0" w:color="auto"/>
              <w:right w:val="nil"/>
            </w:tcBorders>
            <w:shd w:val="clear" w:color="auto" w:fill="auto"/>
            <w:noWrap/>
            <w:vAlign w:val="center"/>
            <w:hideMark/>
          </w:tcPr>
          <w:p w14:paraId="799C4DE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204.303</w:t>
            </w:r>
          </w:p>
        </w:tc>
        <w:tc>
          <w:tcPr>
            <w:tcW w:w="1560" w:type="dxa"/>
            <w:tcBorders>
              <w:top w:val="nil"/>
              <w:left w:val="nil"/>
              <w:bottom w:val="single" w:sz="4" w:space="0" w:color="auto"/>
              <w:right w:val="nil"/>
            </w:tcBorders>
            <w:shd w:val="clear" w:color="auto" w:fill="auto"/>
            <w:noWrap/>
            <w:vAlign w:val="center"/>
            <w:hideMark/>
          </w:tcPr>
          <w:p w14:paraId="7C64C3B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54,24%</w:t>
            </w:r>
          </w:p>
        </w:tc>
        <w:tc>
          <w:tcPr>
            <w:tcW w:w="1274" w:type="dxa"/>
            <w:tcBorders>
              <w:top w:val="nil"/>
              <w:left w:val="nil"/>
              <w:bottom w:val="single" w:sz="4" w:space="0" w:color="auto"/>
              <w:right w:val="nil"/>
            </w:tcBorders>
            <w:shd w:val="clear" w:color="auto" w:fill="auto"/>
            <w:noWrap/>
            <w:vAlign w:val="center"/>
            <w:hideMark/>
          </w:tcPr>
          <w:p w14:paraId="40B65EE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54,24%</w:t>
            </w:r>
          </w:p>
        </w:tc>
      </w:tr>
      <w:tr w:rsidR="001579BE" w:rsidRPr="00A947EA" w14:paraId="3F043017"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9664ED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Letonia</w:t>
            </w:r>
          </w:p>
        </w:tc>
        <w:tc>
          <w:tcPr>
            <w:tcW w:w="1108" w:type="dxa"/>
            <w:tcBorders>
              <w:top w:val="nil"/>
              <w:left w:val="nil"/>
              <w:bottom w:val="single" w:sz="4" w:space="0" w:color="auto"/>
              <w:right w:val="nil"/>
            </w:tcBorders>
            <w:shd w:val="clear" w:color="auto" w:fill="auto"/>
            <w:noWrap/>
            <w:vAlign w:val="center"/>
            <w:hideMark/>
          </w:tcPr>
          <w:p w14:paraId="54EBEE5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A24589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16.176</w:t>
            </w:r>
          </w:p>
        </w:tc>
        <w:tc>
          <w:tcPr>
            <w:tcW w:w="1701" w:type="dxa"/>
            <w:tcBorders>
              <w:top w:val="nil"/>
              <w:left w:val="nil"/>
              <w:bottom w:val="single" w:sz="4" w:space="0" w:color="auto"/>
              <w:right w:val="nil"/>
            </w:tcBorders>
            <w:shd w:val="clear" w:color="auto" w:fill="auto"/>
            <w:noWrap/>
            <w:vAlign w:val="center"/>
            <w:hideMark/>
          </w:tcPr>
          <w:p w14:paraId="5F66E3B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629.691</w:t>
            </w:r>
          </w:p>
        </w:tc>
        <w:tc>
          <w:tcPr>
            <w:tcW w:w="1560" w:type="dxa"/>
            <w:tcBorders>
              <w:top w:val="nil"/>
              <w:left w:val="nil"/>
              <w:bottom w:val="single" w:sz="4" w:space="0" w:color="auto"/>
              <w:right w:val="nil"/>
            </w:tcBorders>
            <w:shd w:val="clear" w:color="auto" w:fill="auto"/>
            <w:noWrap/>
            <w:vAlign w:val="center"/>
            <w:hideMark/>
          </w:tcPr>
          <w:p w14:paraId="093B5F2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2,57%</w:t>
            </w:r>
          </w:p>
        </w:tc>
        <w:tc>
          <w:tcPr>
            <w:tcW w:w="1274" w:type="dxa"/>
            <w:tcBorders>
              <w:top w:val="nil"/>
              <w:left w:val="nil"/>
              <w:bottom w:val="single" w:sz="4" w:space="0" w:color="auto"/>
              <w:right w:val="nil"/>
            </w:tcBorders>
            <w:shd w:val="clear" w:color="auto" w:fill="auto"/>
            <w:noWrap/>
            <w:vAlign w:val="center"/>
            <w:hideMark/>
          </w:tcPr>
          <w:p w14:paraId="45BEAD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2,57%</w:t>
            </w:r>
          </w:p>
        </w:tc>
      </w:tr>
      <w:tr w:rsidR="001579BE" w:rsidRPr="00A947EA" w14:paraId="00C8B89B" w14:textId="77777777" w:rsidTr="00377237">
        <w:trPr>
          <w:trHeight w:val="310"/>
        </w:trPr>
        <w:tc>
          <w:tcPr>
            <w:tcW w:w="1444" w:type="dxa"/>
            <w:tcBorders>
              <w:top w:val="nil"/>
              <w:left w:val="nil"/>
              <w:bottom w:val="nil"/>
              <w:right w:val="nil"/>
            </w:tcBorders>
            <w:shd w:val="clear" w:color="auto" w:fill="auto"/>
            <w:noWrap/>
            <w:vAlign w:val="center"/>
            <w:hideMark/>
          </w:tcPr>
          <w:p w14:paraId="1EB5B42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Líbano</w:t>
            </w:r>
          </w:p>
        </w:tc>
        <w:tc>
          <w:tcPr>
            <w:tcW w:w="1108" w:type="dxa"/>
            <w:tcBorders>
              <w:top w:val="nil"/>
              <w:left w:val="nil"/>
              <w:bottom w:val="nil"/>
              <w:right w:val="nil"/>
            </w:tcBorders>
            <w:shd w:val="clear" w:color="auto" w:fill="auto"/>
            <w:noWrap/>
            <w:vAlign w:val="center"/>
            <w:hideMark/>
          </w:tcPr>
          <w:p w14:paraId="3BCE09A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A55F7D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87.515</w:t>
            </w:r>
          </w:p>
        </w:tc>
        <w:tc>
          <w:tcPr>
            <w:tcW w:w="1701" w:type="dxa"/>
            <w:tcBorders>
              <w:top w:val="nil"/>
              <w:left w:val="nil"/>
              <w:bottom w:val="nil"/>
              <w:right w:val="nil"/>
            </w:tcBorders>
            <w:shd w:val="clear" w:color="auto" w:fill="auto"/>
            <w:noWrap/>
            <w:vAlign w:val="center"/>
            <w:hideMark/>
          </w:tcPr>
          <w:p w14:paraId="7F1172E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754.159</w:t>
            </w:r>
          </w:p>
        </w:tc>
        <w:tc>
          <w:tcPr>
            <w:tcW w:w="1560" w:type="dxa"/>
            <w:tcBorders>
              <w:top w:val="nil"/>
              <w:left w:val="nil"/>
              <w:bottom w:val="nil"/>
              <w:right w:val="nil"/>
            </w:tcBorders>
            <w:shd w:val="clear" w:color="auto" w:fill="auto"/>
            <w:noWrap/>
            <w:vAlign w:val="center"/>
            <w:hideMark/>
          </w:tcPr>
          <w:p w14:paraId="5B710D0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11,60%</w:t>
            </w:r>
          </w:p>
        </w:tc>
        <w:tc>
          <w:tcPr>
            <w:tcW w:w="1274" w:type="dxa"/>
            <w:vMerge w:val="restart"/>
            <w:tcBorders>
              <w:top w:val="nil"/>
              <w:left w:val="nil"/>
              <w:bottom w:val="single" w:sz="4" w:space="0" w:color="000000"/>
              <w:right w:val="nil"/>
            </w:tcBorders>
            <w:shd w:val="clear" w:color="auto" w:fill="auto"/>
            <w:noWrap/>
            <w:vAlign w:val="center"/>
            <w:hideMark/>
          </w:tcPr>
          <w:p w14:paraId="1B0DF04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85,65%</w:t>
            </w:r>
          </w:p>
        </w:tc>
      </w:tr>
      <w:tr w:rsidR="001579BE" w:rsidRPr="00A947EA" w14:paraId="16B645BD"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F5EC4B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Líbano</w:t>
            </w:r>
          </w:p>
        </w:tc>
        <w:tc>
          <w:tcPr>
            <w:tcW w:w="1108" w:type="dxa"/>
            <w:tcBorders>
              <w:top w:val="nil"/>
              <w:left w:val="nil"/>
              <w:bottom w:val="single" w:sz="4" w:space="0" w:color="auto"/>
              <w:right w:val="nil"/>
            </w:tcBorders>
            <w:shd w:val="clear" w:color="auto" w:fill="auto"/>
            <w:noWrap/>
            <w:vAlign w:val="center"/>
            <w:hideMark/>
          </w:tcPr>
          <w:p w14:paraId="61AE438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5607DB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558.433</w:t>
            </w:r>
          </w:p>
        </w:tc>
        <w:tc>
          <w:tcPr>
            <w:tcW w:w="1701" w:type="dxa"/>
            <w:tcBorders>
              <w:top w:val="nil"/>
              <w:left w:val="nil"/>
              <w:bottom w:val="single" w:sz="4" w:space="0" w:color="auto"/>
              <w:right w:val="nil"/>
            </w:tcBorders>
            <w:shd w:val="clear" w:color="auto" w:fill="auto"/>
            <w:noWrap/>
            <w:vAlign w:val="center"/>
            <w:hideMark/>
          </w:tcPr>
          <w:p w14:paraId="11C3F9E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754.159</w:t>
            </w:r>
          </w:p>
        </w:tc>
        <w:tc>
          <w:tcPr>
            <w:tcW w:w="1560" w:type="dxa"/>
            <w:tcBorders>
              <w:top w:val="nil"/>
              <w:left w:val="nil"/>
              <w:bottom w:val="single" w:sz="4" w:space="0" w:color="auto"/>
              <w:right w:val="nil"/>
            </w:tcBorders>
            <w:shd w:val="clear" w:color="auto" w:fill="auto"/>
            <w:noWrap/>
            <w:vAlign w:val="center"/>
            <w:hideMark/>
          </w:tcPr>
          <w:p w14:paraId="2655CDE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74,05%</w:t>
            </w:r>
          </w:p>
        </w:tc>
        <w:tc>
          <w:tcPr>
            <w:tcW w:w="1274" w:type="dxa"/>
            <w:vMerge/>
            <w:tcBorders>
              <w:top w:val="nil"/>
              <w:left w:val="nil"/>
              <w:bottom w:val="single" w:sz="4" w:space="0" w:color="000000"/>
              <w:right w:val="nil"/>
            </w:tcBorders>
            <w:vAlign w:val="center"/>
            <w:hideMark/>
          </w:tcPr>
          <w:p w14:paraId="44CA0F3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6E433F0" w14:textId="77777777" w:rsidTr="00377237">
        <w:trPr>
          <w:trHeight w:val="310"/>
        </w:trPr>
        <w:tc>
          <w:tcPr>
            <w:tcW w:w="1444" w:type="dxa"/>
            <w:tcBorders>
              <w:top w:val="nil"/>
              <w:left w:val="nil"/>
              <w:bottom w:val="nil"/>
              <w:right w:val="nil"/>
            </w:tcBorders>
            <w:shd w:val="clear" w:color="auto" w:fill="auto"/>
            <w:noWrap/>
            <w:vAlign w:val="center"/>
            <w:hideMark/>
          </w:tcPr>
          <w:p w14:paraId="699E233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Libia</w:t>
            </w:r>
          </w:p>
        </w:tc>
        <w:tc>
          <w:tcPr>
            <w:tcW w:w="1108" w:type="dxa"/>
            <w:tcBorders>
              <w:top w:val="nil"/>
              <w:left w:val="nil"/>
              <w:bottom w:val="nil"/>
              <w:right w:val="nil"/>
            </w:tcBorders>
            <w:shd w:val="clear" w:color="auto" w:fill="auto"/>
            <w:noWrap/>
            <w:vAlign w:val="center"/>
            <w:hideMark/>
          </w:tcPr>
          <w:p w14:paraId="72B9369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466F26C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373.542</w:t>
            </w:r>
          </w:p>
        </w:tc>
        <w:tc>
          <w:tcPr>
            <w:tcW w:w="1701" w:type="dxa"/>
            <w:tcBorders>
              <w:top w:val="nil"/>
              <w:left w:val="nil"/>
              <w:bottom w:val="nil"/>
              <w:right w:val="nil"/>
            </w:tcBorders>
            <w:shd w:val="clear" w:color="auto" w:fill="auto"/>
            <w:noWrap/>
            <w:vAlign w:val="center"/>
            <w:hideMark/>
          </w:tcPr>
          <w:p w14:paraId="312E781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1.267.734</w:t>
            </w:r>
          </w:p>
        </w:tc>
        <w:tc>
          <w:tcPr>
            <w:tcW w:w="1560" w:type="dxa"/>
            <w:tcBorders>
              <w:top w:val="nil"/>
              <w:left w:val="nil"/>
              <w:bottom w:val="nil"/>
              <w:right w:val="nil"/>
            </w:tcBorders>
            <w:shd w:val="clear" w:color="auto" w:fill="auto"/>
            <w:noWrap/>
            <w:vAlign w:val="center"/>
            <w:hideMark/>
          </w:tcPr>
          <w:p w14:paraId="5EC1796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29,47%</w:t>
            </w:r>
          </w:p>
        </w:tc>
        <w:tc>
          <w:tcPr>
            <w:tcW w:w="1274" w:type="dxa"/>
            <w:vMerge w:val="restart"/>
            <w:tcBorders>
              <w:top w:val="nil"/>
              <w:left w:val="nil"/>
              <w:bottom w:val="single" w:sz="4" w:space="0" w:color="000000"/>
              <w:right w:val="nil"/>
            </w:tcBorders>
            <w:shd w:val="clear" w:color="auto" w:fill="auto"/>
            <w:noWrap/>
            <w:vAlign w:val="center"/>
            <w:hideMark/>
          </w:tcPr>
          <w:p w14:paraId="3F5BFC2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67,15%</w:t>
            </w:r>
          </w:p>
        </w:tc>
      </w:tr>
      <w:tr w:rsidR="001579BE" w:rsidRPr="00A947EA" w14:paraId="0D713FA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BA94FA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Libia</w:t>
            </w:r>
          </w:p>
        </w:tc>
        <w:tc>
          <w:tcPr>
            <w:tcW w:w="1108" w:type="dxa"/>
            <w:tcBorders>
              <w:top w:val="nil"/>
              <w:left w:val="nil"/>
              <w:bottom w:val="single" w:sz="4" w:space="0" w:color="auto"/>
              <w:right w:val="nil"/>
            </w:tcBorders>
            <w:shd w:val="clear" w:color="auto" w:fill="auto"/>
            <w:noWrap/>
            <w:vAlign w:val="center"/>
            <w:hideMark/>
          </w:tcPr>
          <w:p w14:paraId="6960E4B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532819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477.744</w:t>
            </w:r>
          </w:p>
        </w:tc>
        <w:tc>
          <w:tcPr>
            <w:tcW w:w="1701" w:type="dxa"/>
            <w:tcBorders>
              <w:top w:val="nil"/>
              <w:left w:val="nil"/>
              <w:bottom w:val="single" w:sz="4" w:space="0" w:color="auto"/>
              <w:right w:val="nil"/>
            </w:tcBorders>
            <w:shd w:val="clear" w:color="auto" w:fill="auto"/>
            <w:noWrap/>
            <w:vAlign w:val="center"/>
            <w:hideMark/>
          </w:tcPr>
          <w:p w14:paraId="3DA3550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1.267.734</w:t>
            </w:r>
          </w:p>
        </w:tc>
        <w:tc>
          <w:tcPr>
            <w:tcW w:w="1560" w:type="dxa"/>
            <w:tcBorders>
              <w:top w:val="nil"/>
              <w:left w:val="nil"/>
              <w:bottom w:val="single" w:sz="4" w:space="0" w:color="auto"/>
              <w:right w:val="nil"/>
            </w:tcBorders>
            <w:shd w:val="clear" w:color="auto" w:fill="auto"/>
            <w:noWrap/>
            <w:vAlign w:val="center"/>
            <w:hideMark/>
          </w:tcPr>
          <w:p w14:paraId="3E01C41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37,68%</w:t>
            </w:r>
          </w:p>
        </w:tc>
        <w:tc>
          <w:tcPr>
            <w:tcW w:w="1274" w:type="dxa"/>
            <w:vMerge/>
            <w:tcBorders>
              <w:top w:val="nil"/>
              <w:left w:val="nil"/>
              <w:bottom w:val="single" w:sz="4" w:space="0" w:color="000000"/>
              <w:right w:val="nil"/>
            </w:tcBorders>
            <w:vAlign w:val="center"/>
            <w:hideMark/>
          </w:tcPr>
          <w:p w14:paraId="64CC51F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64DBAAF" w14:textId="77777777" w:rsidTr="00377237">
        <w:trPr>
          <w:trHeight w:val="310"/>
        </w:trPr>
        <w:tc>
          <w:tcPr>
            <w:tcW w:w="1444" w:type="dxa"/>
            <w:tcBorders>
              <w:top w:val="nil"/>
              <w:left w:val="nil"/>
              <w:bottom w:val="nil"/>
              <w:right w:val="nil"/>
            </w:tcBorders>
            <w:shd w:val="clear" w:color="auto" w:fill="auto"/>
            <w:noWrap/>
            <w:vAlign w:val="center"/>
            <w:hideMark/>
          </w:tcPr>
          <w:p w14:paraId="4CA2E79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Lituania</w:t>
            </w:r>
          </w:p>
        </w:tc>
        <w:tc>
          <w:tcPr>
            <w:tcW w:w="1108" w:type="dxa"/>
            <w:tcBorders>
              <w:top w:val="nil"/>
              <w:left w:val="nil"/>
              <w:bottom w:val="nil"/>
              <w:right w:val="nil"/>
            </w:tcBorders>
            <w:shd w:val="clear" w:color="auto" w:fill="auto"/>
            <w:noWrap/>
            <w:vAlign w:val="center"/>
            <w:hideMark/>
          </w:tcPr>
          <w:p w14:paraId="209B7F7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87602D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253</w:t>
            </w:r>
          </w:p>
        </w:tc>
        <w:tc>
          <w:tcPr>
            <w:tcW w:w="1701" w:type="dxa"/>
            <w:tcBorders>
              <w:top w:val="nil"/>
              <w:left w:val="nil"/>
              <w:bottom w:val="nil"/>
              <w:right w:val="nil"/>
            </w:tcBorders>
            <w:shd w:val="clear" w:color="auto" w:fill="auto"/>
            <w:noWrap/>
            <w:vAlign w:val="center"/>
            <w:hideMark/>
          </w:tcPr>
          <w:p w14:paraId="32581A0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71.145</w:t>
            </w:r>
          </w:p>
        </w:tc>
        <w:tc>
          <w:tcPr>
            <w:tcW w:w="1560" w:type="dxa"/>
            <w:tcBorders>
              <w:top w:val="nil"/>
              <w:left w:val="nil"/>
              <w:bottom w:val="nil"/>
              <w:right w:val="nil"/>
            </w:tcBorders>
            <w:shd w:val="clear" w:color="auto" w:fill="auto"/>
            <w:noWrap/>
            <w:vAlign w:val="center"/>
            <w:hideMark/>
          </w:tcPr>
          <w:p w14:paraId="78EB0DD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0,36%</w:t>
            </w:r>
          </w:p>
        </w:tc>
        <w:tc>
          <w:tcPr>
            <w:tcW w:w="1274" w:type="dxa"/>
            <w:vMerge w:val="restart"/>
            <w:tcBorders>
              <w:top w:val="nil"/>
              <w:left w:val="nil"/>
              <w:bottom w:val="single" w:sz="4" w:space="0" w:color="000000"/>
              <w:right w:val="nil"/>
            </w:tcBorders>
            <w:shd w:val="clear" w:color="auto" w:fill="auto"/>
            <w:noWrap/>
            <w:vAlign w:val="center"/>
            <w:hideMark/>
          </w:tcPr>
          <w:p w14:paraId="6C7E59F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0,38%</w:t>
            </w:r>
          </w:p>
        </w:tc>
      </w:tr>
      <w:tr w:rsidR="001579BE" w:rsidRPr="00A947EA" w14:paraId="44115C9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EFFABB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Lituania</w:t>
            </w:r>
          </w:p>
        </w:tc>
        <w:tc>
          <w:tcPr>
            <w:tcW w:w="1108" w:type="dxa"/>
            <w:tcBorders>
              <w:top w:val="nil"/>
              <w:left w:val="nil"/>
              <w:bottom w:val="single" w:sz="4" w:space="0" w:color="auto"/>
              <w:right w:val="nil"/>
            </w:tcBorders>
            <w:shd w:val="clear" w:color="auto" w:fill="auto"/>
            <w:noWrap/>
            <w:vAlign w:val="center"/>
            <w:hideMark/>
          </w:tcPr>
          <w:p w14:paraId="216B1A5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4DD6DE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w:t>
            </w:r>
          </w:p>
        </w:tc>
        <w:tc>
          <w:tcPr>
            <w:tcW w:w="1701" w:type="dxa"/>
            <w:tcBorders>
              <w:top w:val="nil"/>
              <w:left w:val="nil"/>
              <w:bottom w:val="single" w:sz="4" w:space="0" w:color="auto"/>
              <w:right w:val="nil"/>
            </w:tcBorders>
            <w:shd w:val="clear" w:color="auto" w:fill="auto"/>
            <w:noWrap/>
            <w:vAlign w:val="center"/>
            <w:hideMark/>
          </w:tcPr>
          <w:p w14:paraId="5DCE97B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71.145</w:t>
            </w:r>
          </w:p>
        </w:tc>
        <w:tc>
          <w:tcPr>
            <w:tcW w:w="1560" w:type="dxa"/>
            <w:tcBorders>
              <w:top w:val="nil"/>
              <w:left w:val="nil"/>
              <w:bottom w:val="single" w:sz="4" w:space="0" w:color="auto"/>
              <w:right w:val="nil"/>
            </w:tcBorders>
            <w:shd w:val="clear" w:color="auto" w:fill="auto"/>
            <w:noWrap/>
            <w:vAlign w:val="center"/>
            <w:hideMark/>
          </w:tcPr>
          <w:p w14:paraId="599EAB3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0,03%</w:t>
            </w:r>
          </w:p>
        </w:tc>
        <w:tc>
          <w:tcPr>
            <w:tcW w:w="1274" w:type="dxa"/>
            <w:vMerge/>
            <w:tcBorders>
              <w:top w:val="nil"/>
              <w:left w:val="nil"/>
              <w:bottom w:val="single" w:sz="4" w:space="0" w:color="000000"/>
              <w:right w:val="nil"/>
            </w:tcBorders>
            <w:vAlign w:val="center"/>
            <w:hideMark/>
          </w:tcPr>
          <w:p w14:paraId="371BE44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7C3E65C" w14:textId="77777777" w:rsidTr="00377237">
        <w:trPr>
          <w:trHeight w:val="310"/>
        </w:trPr>
        <w:tc>
          <w:tcPr>
            <w:tcW w:w="1444" w:type="dxa"/>
            <w:tcBorders>
              <w:top w:val="nil"/>
              <w:left w:val="nil"/>
              <w:bottom w:val="nil"/>
              <w:right w:val="nil"/>
            </w:tcBorders>
            <w:shd w:val="clear" w:color="auto" w:fill="auto"/>
            <w:noWrap/>
            <w:vAlign w:val="center"/>
            <w:hideMark/>
          </w:tcPr>
          <w:p w14:paraId="691932A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Madagascar</w:t>
            </w:r>
          </w:p>
        </w:tc>
        <w:tc>
          <w:tcPr>
            <w:tcW w:w="1108" w:type="dxa"/>
            <w:tcBorders>
              <w:top w:val="nil"/>
              <w:left w:val="nil"/>
              <w:bottom w:val="nil"/>
              <w:right w:val="nil"/>
            </w:tcBorders>
            <w:shd w:val="clear" w:color="auto" w:fill="auto"/>
            <w:noWrap/>
            <w:vAlign w:val="center"/>
            <w:hideMark/>
          </w:tcPr>
          <w:p w14:paraId="06B8A31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456215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66.048</w:t>
            </w:r>
          </w:p>
        </w:tc>
        <w:tc>
          <w:tcPr>
            <w:tcW w:w="1701" w:type="dxa"/>
            <w:tcBorders>
              <w:top w:val="nil"/>
              <w:left w:val="nil"/>
              <w:bottom w:val="nil"/>
              <w:right w:val="nil"/>
            </w:tcBorders>
            <w:shd w:val="clear" w:color="auto" w:fill="auto"/>
            <w:noWrap/>
            <w:vAlign w:val="center"/>
            <w:hideMark/>
          </w:tcPr>
          <w:p w14:paraId="274AF5D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156.318</w:t>
            </w:r>
          </w:p>
        </w:tc>
        <w:tc>
          <w:tcPr>
            <w:tcW w:w="1560" w:type="dxa"/>
            <w:tcBorders>
              <w:top w:val="nil"/>
              <w:left w:val="nil"/>
              <w:bottom w:val="nil"/>
              <w:right w:val="nil"/>
            </w:tcBorders>
            <w:shd w:val="clear" w:color="auto" w:fill="auto"/>
            <w:noWrap/>
            <w:vAlign w:val="center"/>
            <w:hideMark/>
          </w:tcPr>
          <w:p w14:paraId="01C5A86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42,25%</w:t>
            </w:r>
          </w:p>
        </w:tc>
        <w:tc>
          <w:tcPr>
            <w:tcW w:w="1274" w:type="dxa"/>
            <w:vMerge w:val="restart"/>
            <w:tcBorders>
              <w:top w:val="nil"/>
              <w:left w:val="nil"/>
              <w:bottom w:val="single" w:sz="4" w:space="0" w:color="000000"/>
              <w:right w:val="nil"/>
            </w:tcBorders>
            <w:shd w:val="clear" w:color="auto" w:fill="auto"/>
            <w:noWrap/>
            <w:vAlign w:val="center"/>
            <w:hideMark/>
          </w:tcPr>
          <w:p w14:paraId="16DA177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63,19%</w:t>
            </w:r>
          </w:p>
        </w:tc>
      </w:tr>
      <w:tr w:rsidR="001579BE" w:rsidRPr="00A947EA" w14:paraId="7D40386D"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16940F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Madagascar</w:t>
            </w:r>
          </w:p>
        </w:tc>
        <w:tc>
          <w:tcPr>
            <w:tcW w:w="1108" w:type="dxa"/>
            <w:tcBorders>
              <w:top w:val="nil"/>
              <w:left w:val="nil"/>
              <w:bottom w:val="single" w:sz="4" w:space="0" w:color="auto"/>
              <w:right w:val="nil"/>
            </w:tcBorders>
            <w:shd w:val="clear" w:color="auto" w:fill="auto"/>
            <w:noWrap/>
            <w:vAlign w:val="center"/>
            <w:hideMark/>
          </w:tcPr>
          <w:p w14:paraId="7DEF4DD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08A8E8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32.731</w:t>
            </w:r>
          </w:p>
        </w:tc>
        <w:tc>
          <w:tcPr>
            <w:tcW w:w="1701" w:type="dxa"/>
            <w:tcBorders>
              <w:top w:val="nil"/>
              <w:left w:val="nil"/>
              <w:bottom w:val="single" w:sz="4" w:space="0" w:color="auto"/>
              <w:right w:val="nil"/>
            </w:tcBorders>
            <w:shd w:val="clear" w:color="auto" w:fill="auto"/>
            <w:noWrap/>
            <w:vAlign w:val="center"/>
            <w:hideMark/>
          </w:tcPr>
          <w:p w14:paraId="3E8A549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156.318</w:t>
            </w:r>
          </w:p>
        </w:tc>
        <w:tc>
          <w:tcPr>
            <w:tcW w:w="1560" w:type="dxa"/>
            <w:tcBorders>
              <w:top w:val="nil"/>
              <w:left w:val="nil"/>
              <w:bottom w:val="single" w:sz="4" w:space="0" w:color="auto"/>
              <w:right w:val="nil"/>
            </w:tcBorders>
            <w:shd w:val="clear" w:color="auto" w:fill="auto"/>
            <w:noWrap/>
            <w:vAlign w:val="center"/>
            <w:hideMark/>
          </w:tcPr>
          <w:p w14:paraId="5BDB06C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20,94%</w:t>
            </w:r>
          </w:p>
        </w:tc>
        <w:tc>
          <w:tcPr>
            <w:tcW w:w="1274" w:type="dxa"/>
            <w:vMerge/>
            <w:tcBorders>
              <w:top w:val="nil"/>
              <w:left w:val="nil"/>
              <w:bottom w:val="single" w:sz="4" w:space="0" w:color="000000"/>
              <w:right w:val="nil"/>
            </w:tcBorders>
            <w:vAlign w:val="center"/>
            <w:hideMark/>
          </w:tcPr>
          <w:p w14:paraId="7C9F104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7840D4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3C1962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Malawi</w:t>
            </w:r>
          </w:p>
        </w:tc>
        <w:tc>
          <w:tcPr>
            <w:tcW w:w="1108" w:type="dxa"/>
            <w:tcBorders>
              <w:top w:val="nil"/>
              <w:left w:val="nil"/>
              <w:bottom w:val="single" w:sz="4" w:space="0" w:color="auto"/>
              <w:right w:val="nil"/>
            </w:tcBorders>
            <w:shd w:val="clear" w:color="auto" w:fill="auto"/>
            <w:noWrap/>
            <w:vAlign w:val="center"/>
            <w:hideMark/>
          </w:tcPr>
          <w:p w14:paraId="54A90C1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441864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38.750</w:t>
            </w:r>
          </w:p>
        </w:tc>
        <w:tc>
          <w:tcPr>
            <w:tcW w:w="1701" w:type="dxa"/>
            <w:tcBorders>
              <w:top w:val="nil"/>
              <w:left w:val="nil"/>
              <w:bottom w:val="single" w:sz="4" w:space="0" w:color="auto"/>
              <w:right w:val="nil"/>
            </w:tcBorders>
            <w:shd w:val="clear" w:color="auto" w:fill="auto"/>
            <w:noWrap/>
            <w:vAlign w:val="center"/>
            <w:hideMark/>
          </w:tcPr>
          <w:p w14:paraId="10C8326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162.538</w:t>
            </w:r>
          </w:p>
        </w:tc>
        <w:tc>
          <w:tcPr>
            <w:tcW w:w="1560" w:type="dxa"/>
            <w:tcBorders>
              <w:top w:val="nil"/>
              <w:left w:val="nil"/>
              <w:bottom w:val="single" w:sz="4" w:space="0" w:color="auto"/>
              <w:right w:val="nil"/>
            </w:tcBorders>
            <w:shd w:val="clear" w:color="auto" w:fill="auto"/>
            <w:noWrap/>
            <w:vAlign w:val="center"/>
            <w:hideMark/>
          </w:tcPr>
          <w:p w14:paraId="6B4325B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23,84%</w:t>
            </w:r>
          </w:p>
        </w:tc>
        <w:tc>
          <w:tcPr>
            <w:tcW w:w="1274" w:type="dxa"/>
            <w:tcBorders>
              <w:top w:val="nil"/>
              <w:left w:val="nil"/>
              <w:bottom w:val="single" w:sz="4" w:space="0" w:color="auto"/>
              <w:right w:val="nil"/>
            </w:tcBorders>
            <w:shd w:val="clear" w:color="auto" w:fill="auto"/>
            <w:noWrap/>
            <w:vAlign w:val="center"/>
            <w:hideMark/>
          </w:tcPr>
          <w:p w14:paraId="0A0B889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23,84%</w:t>
            </w:r>
          </w:p>
        </w:tc>
      </w:tr>
      <w:tr w:rsidR="001579BE" w:rsidRPr="00A947EA" w14:paraId="514AE624"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FFD4EE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Malasia</w:t>
            </w:r>
          </w:p>
        </w:tc>
        <w:tc>
          <w:tcPr>
            <w:tcW w:w="1108" w:type="dxa"/>
            <w:tcBorders>
              <w:top w:val="nil"/>
              <w:left w:val="nil"/>
              <w:bottom w:val="single" w:sz="4" w:space="0" w:color="auto"/>
              <w:right w:val="nil"/>
            </w:tcBorders>
            <w:shd w:val="clear" w:color="auto" w:fill="auto"/>
            <w:noWrap/>
            <w:vAlign w:val="center"/>
            <w:hideMark/>
          </w:tcPr>
          <w:p w14:paraId="53C7E6A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6E96BF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38.586</w:t>
            </w:r>
          </w:p>
        </w:tc>
        <w:tc>
          <w:tcPr>
            <w:tcW w:w="1701" w:type="dxa"/>
            <w:tcBorders>
              <w:top w:val="nil"/>
              <w:left w:val="nil"/>
              <w:bottom w:val="single" w:sz="4" w:space="0" w:color="auto"/>
              <w:right w:val="nil"/>
            </w:tcBorders>
            <w:shd w:val="clear" w:color="auto" w:fill="auto"/>
            <w:noWrap/>
            <w:vAlign w:val="center"/>
            <w:hideMark/>
          </w:tcPr>
          <w:p w14:paraId="33E0AD6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1.318.057</w:t>
            </w:r>
          </w:p>
        </w:tc>
        <w:tc>
          <w:tcPr>
            <w:tcW w:w="1560" w:type="dxa"/>
            <w:tcBorders>
              <w:top w:val="nil"/>
              <w:left w:val="nil"/>
              <w:bottom w:val="single" w:sz="4" w:space="0" w:color="auto"/>
              <w:right w:val="nil"/>
            </w:tcBorders>
            <w:shd w:val="clear" w:color="auto" w:fill="auto"/>
            <w:noWrap/>
            <w:vAlign w:val="center"/>
            <w:hideMark/>
          </w:tcPr>
          <w:p w14:paraId="4D689F0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2,93%</w:t>
            </w:r>
          </w:p>
        </w:tc>
        <w:tc>
          <w:tcPr>
            <w:tcW w:w="1274" w:type="dxa"/>
            <w:tcBorders>
              <w:top w:val="nil"/>
              <w:left w:val="nil"/>
              <w:bottom w:val="single" w:sz="4" w:space="0" w:color="auto"/>
              <w:right w:val="nil"/>
            </w:tcBorders>
            <w:shd w:val="clear" w:color="auto" w:fill="auto"/>
            <w:noWrap/>
            <w:vAlign w:val="center"/>
            <w:hideMark/>
          </w:tcPr>
          <w:p w14:paraId="41AAD21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2,93%</w:t>
            </w:r>
          </w:p>
        </w:tc>
      </w:tr>
      <w:tr w:rsidR="001579BE" w:rsidRPr="00A947EA" w14:paraId="7EBDAA7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16BE3D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Malí</w:t>
            </w:r>
          </w:p>
        </w:tc>
        <w:tc>
          <w:tcPr>
            <w:tcW w:w="1108" w:type="dxa"/>
            <w:tcBorders>
              <w:top w:val="nil"/>
              <w:left w:val="nil"/>
              <w:bottom w:val="single" w:sz="4" w:space="0" w:color="auto"/>
              <w:right w:val="nil"/>
            </w:tcBorders>
            <w:shd w:val="clear" w:color="auto" w:fill="auto"/>
            <w:noWrap/>
            <w:vAlign w:val="center"/>
            <w:hideMark/>
          </w:tcPr>
          <w:p w14:paraId="6310BD7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44182E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82.326</w:t>
            </w:r>
          </w:p>
        </w:tc>
        <w:tc>
          <w:tcPr>
            <w:tcW w:w="1701" w:type="dxa"/>
            <w:tcBorders>
              <w:top w:val="nil"/>
              <w:left w:val="nil"/>
              <w:bottom w:val="single" w:sz="4" w:space="0" w:color="auto"/>
              <w:right w:val="nil"/>
            </w:tcBorders>
            <w:shd w:val="clear" w:color="auto" w:fill="auto"/>
            <w:noWrap/>
            <w:vAlign w:val="center"/>
            <w:hideMark/>
          </w:tcPr>
          <w:p w14:paraId="3048B23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278.847</w:t>
            </w:r>
          </w:p>
        </w:tc>
        <w:tc>
          <w:tcPr>
            <w:tcW w:w="1560" w:type="dxa"/>
            <w:tcBorders>
              <w:top w:val="nil"/>
              <w:left w:val="nil"/>
              <w:bottom w:val="single" w:sz="4" w:space="0" w:color="auto"/>
              <w:right w:val="nil"/>
            </w:tcBorders>
            <w:shd w:val="clear" w:color="auto" w:fill="auto"/>
            <w:noWrap/>
            <w:vAlign w:val="center"/>
            <w:hideMark/>
          </w:tcPr>
          <w:p w14:paraId="6FEA967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29,52%</w:t>
            </w:r>
          </w:p>
        </w:tc>
        <w:tc>
          <w:tcPr>
            <w:tcW w:w="1274" w:type="dxa"/>
            <w:tcBorders>
              <w:top w:val="nil"/>
              <w:left w:val="nil"/>
              <w:bottom w:val="single" w:sz="4" w:space="0" w:color="auto"/>
              <w:right w:val="nil"/>
            </w:tcBorders>
            <w:shd w:val="clear" w:color="auto" w:fill="auto"/>
            <w:noWrap/>
            <w:vAlign w:val="center"/>
            <w:hideMark/>
          </w:tcPr>
          <w:p w14:paraId="159B37F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29,52%</w:t>
            </w:r>
          </w:p>
        </w:tc>
      </w:tr>
      <w:tr w:rsidR="001579BE" w:rsidRPr="00A947EA" w14:paraId="2955FB3F" w14:textId="77777777" w:rsidTr="00377237">
        <w:trPr>
          <w:trHeight w:val="310"/>
        </w:trPr>
        <w:tc>
          <w:tcPr>
            <w:tcW w:w="1444" w:type="dxa"/>
            <w:tcBorders>
              <w:top w:val="nil"/>
              <w:left w:val="nil"/>
              <w:bottom w:val="nil"/>
              <w:right w:val="nil"/>
            </w:tcBorders>
            <w:shd w:val="clear" w:color="auto" w:fill="auto"/>
            <w:noWrap/>
            <w:vAlign w:val="center"/>
            <w:hideMark/>
          </w:tcPr>
          <w:p w14:paraId="4D41342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Malta</w:t>
            </w:r>
          </w:p>
        </w:tc>
        <w:tc>
          <w:tcPr>
            <w:tcW w:w="1108" w:type="dxa"/>
            <w:tcBorders>
              <w:top w:val="nil"/>
              <w:left w:val="nil"/>
              <w:bottom w:val="nil"/>
              <w:right w:val="nil"/>
            </w:tcBorders>
            <w:shd w:val="clear" w:color="auto" w:fill="auto"/>
            <w:noWrap/>
            <w:vAlign w:val="center"/>
            <w:hideMark/>
          </w:tcPr>
          <w:p w14:paraId="597A9A8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4F8614A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3.002</w:t>
            </w:r>
          </w:p>
        </w:tc>
        <w:tc>
          <w:tcPr>
            <w:tcW w:w="1701" w:type="dxa"/>
            <w:tcBorders>
              <w:top w:val="nil"/>
              <w:left w:val="nil"/>
              <w:bottom w:val="nil"/>
              <w:right w:val="nil"/>
            </w:tcBorders>
            <w:shd w:val="clear" w:color="auto" w:fill="auto"/>
            <w:noWrap/>
            <w:vAlign w:val="center"/>
            <w:hideMark/>
          </w:tcPr>
          <w:p w14:paraId="65D29FE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18.580</w:t>
            </w:r>
          </w:p>
        </w:tc>
        <w:tc>
          <w:tcPr>
            <w:tcW w:w="1560" w:type="dxa"/>
            <w:tcBorders>
              <w:top w:val="nil"/>
              <w:left w:val="nil"/>
              <w:bottom w:val="nil"/>
              <w:right w:val="nil"/>
            </w:tcBorders>
            <w:shd w:val="clear" w:color="auto" w:fill="auto"/>
            <w:noWrap/>
            <w:vAlign w:val="center"/>
            <w:hideMark/>
          </w:tcPr>
          <w:p w14:paraId="5C4C85C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16,16%</w:t>
            </w:r>
          </w:p>
        </w:tc>
        <w:tc>
          <w:tcPr>
            <w:tcW w:w="1274" w:type="dxa"/>
            <w:vMerge w:val="restart"/>
            <w:tcBorders>
              <w:top w:val="nil"/>
              <w:left w:val="nil"/>
              <w:bottom w:val="single" w:sz="4" w:space="0" w:color="000000"/>
              <w:right w:val="nil"/>
            </w:tcBorders>
            <w:shd w:val="clear" w:color="auto" w:fill="auto"/>
            <w:noWrap/>
            <w:vAlign w:val="center"/>
            <w:hideMark/>
          </w:tcPr>
          <w:p w14:paraId="7EB60E7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16,16%</w:t>
            </w:r>
          </w:p>
        </w:tc>
      </w:tr>
      <w:tr w:rsidR="001579BE" w:rsidRPr="00A947EA" w14:paraId="178515CD"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29457D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Malta</w:t>
            </w:r>
          </w:p>
        </w:tc>
        <w:tc>
          <w:tcPr>
            <w:tcW w:w="1108" w:type="dxa"/>
            <w:tcBorders>
              <w:top w:val="nil"/>
              <w:left w:val="nil"/>
              <w:bottom w:val="single" w:sz="4" w:space="0" w:color="auto"/>
              <w:right w:val="nil"/>
            </w:tcBorders>
            <w:shd w:val="clear" w:color="auto" w:fill="auto"/>
            <w:noWrap/>
            <w:vAlign w:val="center"/>
            <w:hideMark/>
          </w:tcPr>
          <w:p w14:paraId="6FFB60B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9B97B5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w:t>
            </w:r>
          </w:p>
        </w:tc>
        <w:tc>
          <w:tcPr>
            <w:tcW w:w="1701" w:type="dxa"/>
            <w:tcBorders>
              <w:top w:val="nil"/>
              <w:left w:val="nil"/>
              <w:bottom w:val="single" w:sz="4" w:space="0" w:color="auto"/>
              <w:right w:val="nil"/>
            </w:tcBorders>
            <w:shd w:val="clear" w:color="auto" w:fill="auto"/>
            <w:noWrap/>
            <w:vAlign w:val="center"/>
            <w:hideMark/>
          </w:tcPr>
          <w:p w14:paraId="7BBD50A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18.580</w:t>
            </w:r>
          </w:p>
        </w:tc>
        <w:tc>
          <w:tcPr>
            <w:tcW w:w="1560" w:type="dxa"/>
            <w:tcBorders>
              <w:top w:val="nil"/>
              <w:left w:val="nil"/>
              <w:bottom w:val="single" w:sz="4" w:space="0" w:color="auto"/>
              <w:right w:val="nil"/>
            </w:tcBorders>
            <w:shd w:val="clear" w:color="auto" w:fill="auto"/>
            <w:noWrap/>
            <w:vAlign w:val="center"/>
            <w:hideMark/>
          </w:tcPr>
          <w:p w14:paraId="28CC22A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0,01%</w:t>
            </w:r>
          </w:p>
        </w:tc>
        <w:tc>
          <w:tcPr>
            <w:tcW w:w="1274" w:type="dxa"/>
            <w:vMerge/>
            <w:tcBorders>
              <w:top w:val="nil"/>
              <w:left w:val="nil"/>
              <w:bottom w:val="single" w:sz="4" w:space="0" w:color="000000"/>
              <w:right w:val="nil"/>
            </w:tcBorders>
            <w:vAlign w:val="center"/>
            <w:hideMark/>
          </w:tcPr>
          <w:p w14:paraId="3A59866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EFB4E35" w14:textId="77777777" w:rsidTr="00377237">
        <w:trPr>
          <w:trHeight w:val="310"/>
        </w:trPr>
        <w:tc>
          <w:tcPr>
            <w:tcW w:w="1444" w:type="dxa"/>
            <w:tcBorders>
              <w:top w:val="nil"/>
              <w:left w:val="nil"/>
              <w:bottom w:val="nil"/>
              <w:right w:val="nil"/>
            </w:tcBorders>
            <w:shd w:val="clear" w:color="auto" w:fill="auto"/>
            <w:noWrap/>
            <w:vAlign w:val="center"/>
            <w:hideMark/>
          </w:tcPr>
          <w:p w14:paraId="67A215C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Mauritania</w:t>
            </w:r>
          </w:p>
        </w:tc>
        <w:tc>
          <w:tcPr>
            <w:tcW w:w="1108" w:type="dxa"/>
            <w:tcBorders>
              <w:top w:val="nil"/>
              <w:left w:val="nil"/>
              <w:bottom w:val="nil"/>
              <w:right w:val="nil"/>
            </w:tcBorders>
            <w:shd w:val="clear" w:color="auto" w:fill="auto"/>
            <w:noWrap/>
            <w:vAlign w:val="center"/>
            <w:hideMark/>
          </w:tcPr>
          <w:p w14:paraId="502AC8B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1461EDC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72.671</w:t>
            </w:r>
          </w:p>
        </w:tc>
        <w:tc>
          <w:tcPr>
            <w:tcW w:w="1701" w:type="dxa"/>
            <w:tcBorders>
              <w:top w:val="nil"/>
              <w:left w:val="nil"/>
              <w:bottom w:val="nil"/>
              <w:right w:val="nil"/>
            </w:tcBorders>
            <w:shd w:val="clear" w:color="auto" w:fill="auto"/>
            <w:noWrap/>
            <w:vAlign w:val="center"/>
            <w:hideMark/>
          </w:tcPr>
          <w:p w14:paraId="0BEB4C4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651.074</w:t>
            </w:r>
          </w:p>
        </w:tc>
        <w:tc>
          <w:tcPr>
            <w:tcW w:w="1560" w:type="dxa"/>
            <w:tcBorders>
              <w:top w:val="nil"/>
              <w:left w:val="nil"/>
              <w:bottom w:val="nil"/>
              <w:right w:val="nil"/>
            </w:tcBorders>
            <w:shd w:val="clear" w:color="auto" w:fill="auto"/>
            <w:noWrap/>
            <w:vAlign w:val="center"/>
            <w:hideMark/>
          </w:tcPr>
          <w:p w14:paraId="5CD9EBA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11,16%</w:t>
            </w:r>
          </w:p>
        </w:tc>
        <w:tc>
          <w:tcPr>
            <w:tcW w:w="1274" w:type="dxa"/>
            <w:vMerge w:val="restart"/>
            <w:tcBorders>
              <w:top w:val="nil"/>
              <w:left w:val="nil"/>
              <w:bottom w:val="single" w:sz="4" w:space="0" w:color="000000"/>
              <w:right w:val="nil"/>
            </w:tcBorders>
            <w:shd w:val="clear" w:color="auto" w:fill="auto"/>
            <w:noWrap/>
            <w:vAlign w:val="center"/>
            <w:hideMark/>
          </w:tcPr>
          <w:p w14:paraId="2F313CE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34,84%</w:t>
            </w:r>
          </w:p>
        </w:tc>
      </w:tr>
      <w:tr w:rsidR="001579BE" w:rsidRPr="00A947EA" w14:paraId="681E9CE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9F3EF4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Mauritania</w:t>
            </w:r>
          </w:p>
        </w:tc>
        <w:tc>
          <w:tcPr>
            <w:tcW w:w="1108" w:type="dxa"/>
            <w:tcBorders>
              <w:top w:val="nil"/>
              <w:left w:val="nil"/>
              <w:bottom w:val="single" w:sz="4" w:space="0" w:color="auto"/>
              <w:right w:val="nil"/>
            </w:tcBorders>
            <w:shd w:val="clear" w:color="auto" w:fill="auto"/>
            <w:noWrap/>
            <w:vAlign w:val="center"/>
            <w:hideMark/>
          </w:tcPr>
          <w:p w14:paraId="7E2EDD6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6F02F6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154.176</w:t>
            </w:r>
          </w:p>
        </w:tc>
        <w:tc>
          <w:tcPr>
            <w:tcW w:w="1701" w:type="dxa"/>
            <w:tcBorders>
              <w:top w:val="nil"/>
              <w:left w:val="nil"/>
              <w:bottom w:val="single" w:sz="4" w:space="0" w:color="auto"/>
              <w:right w:val="nil"/>
            </w:tcBorders>
            <w:shd w:val="clear" w:color="auto" w:fill="auto"/>
            <w:noWrap/>
            <w:vAlign w:val="center"/>
            <w:hideMark/>
          </w:tcPr>
          <w:p w14:paraId="27584A3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651.074</w:t>
            </w:r>
          </w:p>
        </w:tc>
        <w:tc>
          <w:tcPr>
            <w:tcW w:w="1560" w:type="dxa"/>
            <w:tcBorders>
              <w:top w:val="nil"/>
              <w:left w:val="nil"/>
              <w:bottom w:val="single" w:sz="4" w:space="0" w:color="auto"/>
              <w:right w:val="nil"/>
            </w:tcBorders>
            <w:shd w:val="clear" w:color="auto" w:fill="auto"/>
            <w:noWrap/>
            <w:vAlign w:val="center"/>
            <w:hideMark/>
          </w:tcPr>
          <w:p w14:paraId="012486E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23,68%</w:t>
            </w:r>
          </w:p>
        </w:tc>
        <w:tc>
          <w:tcPr>
            <w:tcW w:w="1274" w:type="dxa"/>
            <w:vMerge/>
            <w:tcBorders>
              <w:top w:val="nil"/>
              <w:left w:val="nil"/>
              <w:bottom w:val="single" w:sz="4" w:space="0" w:color="000000"/>
              <w:right w:val="nil"/>
            </w:tcBorders>
            <w:vAlign w:val="center"/>
            <w:hideMark/>
          </w:tcPr>
          <w:p w14:paraId="71586B7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0C17B1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975260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México</w:t>
            </w:r>
          </w:p>
        </w:tc>
        <w:tc>
          <w:tcPr>
            <w:tcW w:w="1108" w:type="dxa"/>
            <w:tcBorders>
              <w:top w:val="nil"/>
              <w:left w:val="nil"/>
              <w:bottom w:val="single" w:sz="4" w:space="0" w:color="auto"/>
              <w:right w:val="nil"/>
            </w:tcBorders>
            <w:shd w:val="clear" w:color="auto" w:fill="auto"/>
            <w:noWrap/>
            <w:vAlign w:val="center"/>
            <w:hideMark/>
          </w:tcPr>
          <w:p w14:paraId="1E41910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466486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94.750</w:t>
            </w:r>
          </w:p>
        </w:tc>
        <w:tc>
          <w:tcPr>
            <w:tcW w:w="1701" w:type="dxa"/>
            <w:tcBorders>
              <w:top w:val="nil"/>
              <w:left w:val="nil"/>
              <w:bottom w:val="single" w:sz="4" w:space="0" w:color="auto"/>
              <w:right w:val="nil"/>
            </w:tcBorders>
            <w:shd w:val="clear" w:color="auto" w:fill="auto"/>
            <w:noWrap/>
            <w:vAlign w:val="center"/>
            <w:hideMark/>
          </w:tcPr>
          <w:p w14:paraId="72F4AFD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4.093.698</w:t>
            </w:r>
          </w:p>
        </w:tc>
        <w:tc>
          <w:tcPr>
            <w:tcW w:w="1560" w:type="dxa"/>
            <w:tcBorders>
              <w:top w:val="nil"/>
              <w:left w:val="nil"/>
              <w:bottom w:val="single" w:sz="4" w:space="0" w:color="auto"/>
              <w:right w:val="nil"/>
            </w:tcBorders>
            <w:shd w:val="clear" w:color="auto" w:fill="auto"/>
            <w:noWrap/>
            <w:vAlign w:val="center"/>
            <w:hideMark/>
          </w:tcPr>
          <w:p w14:paraId="3009F6A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2,31%</w:t>
            </w:r>
          </w:p>
        </w:tc>
        <w:tc>
          <w:tcPr>
            <w:tcW w:w="1274" w:type="dxa"/>
            <w:tcBorders>
              <w:top w:val="nil"/>
              <w:left w:val="nil"/>
              <w:bottom w:val="single" w:sz="4" w:space="0" w:color="auto"/>
              <w:right w:val="nil"/>
            </w:tcBorders>
            <w:shd w:val="clear" w:color="auto" w:fill="auto"/>
            <w:noWrap/>
            <w:vAlign w:val="center"/>
            <w:hideMark/>
          </w:tcPr>
          <w:p w14:paraId="0948967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2,31%</w:t>
            </w:r>
          </w:p>
        </w:tc>
      </w:tr>
      <w:tr w:rsidR="001579BE" w:rsidRPr="00A947EA" w14:paraId="6C6F9AD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99B369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Mongolia</w:t>
            </w:r>
          </w:p>
        </w:tc>
        <w:tc>
          <w:tcPr>
            <w:tcW w:w="1108" w:type="dxa"/>
            <w:tcBorders>
              <w:top w:val="nil"/>
              <w:left w:val="nil"/>
              <w:bottom w:val="single" w:sz="4" w:space="0" w:color="auto"/>
              <w:right w:val="nil"/>
            </w:tcBorders>
            <w:shd w:val="clear" w:color="auto" w:fill="auto"/>
            <w:noWrap/>
            <w:vAlign w:val="center"/>
            <w:hideMark/>
          </w:tcPr>
          <w:p w14:paraId="3289D23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6C51500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226.030</w:t>
            </w:r>
          </w:p>
        </w:tc>
        <w:tc>
          <w:tcPr>
            <w:tcW w:w="1701" w:type="dxa"/>
            <w:tcBorders>
              <w:top w:val="nil"/>
              <w:left w:val="nil"/>
              <w:bottom w:val="single" w:sz="4" w:space="0" w:color="auto"/>
              <w:right w:val="nil"/>
            </w:tcBorders>
            <w:shd w:val="clear" w:color="auto" w:fill="auto"/>
            <w:noWrap/>
            <w:vAlign w:val="center"/>
            <w:hideMark/>
          </w:tcPr>
          <w:p w14:paraId="06781F8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227.054</w:t>
            </w:r>
          </w:p>
        </w:tc>
        <w:tc>
          <w:tcPr>
            <w:tcW w:w="1560" w:type="dxa"/>
            <w:tcBorders>
              <w:top w:val="nil"/>
              <w:left w:val="nil"/>
              <w:bottom w:val="single" w:sz="4" w:space="0" w:color="auto"/>
              <w:right w:val="nil"/>
            </w:tcBorders>
            <w:shd w:val="clear" w:color="auto" w:fill="auto"/>
            <w:noWrap/>
            <w:vAlign w:val="center"/>
            <w:hideMark/>
          </w:tcPr>
          <w:p w14:paraId="495DF84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99,55%</w:t>
            </w:r>
          </w:p>
        </w:tc>
        <w:tc>
          <w:tcPr>
            <w:tcW w:w="1274" w:type="dxa"/>
            <w:tcBorders>
              <w:top w:val="nil"/>
              <w:left w:val="nil"/>
              <w:bottom w:val="single" w:sz="4" w:space="0" w:color="auto"/>
              <w:right w:val="nil"/>
            </w:tcBorders>
            <w:shd w:val="clear" w:color="auto" w:fill="auto"/>
            <w:noWrap/>
            <w:vAlign w:val="center"/>
            <w:hideMark/>
          </w:tcPr>
          <w:p w14:paraId="350A6FC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99,55%</w:t>
            </w:r>
          </w:p>
        </w:tc>
      </w:tr>
      <w:tr w:rsidR="001579BE" w:rsidRPr="00A947EA" w14:paraId="4C043F7A" w14:textId="77777777" w:rsidTr="00377237">
        <w:trPr>
          <w:trHeight w:val="310"/>
        </w:trPr>
        <w:tc>
          <w:tcPr>
            <w:tcW w:w="1444" w:type="dxa"/>
            <w:tcBorders>
              <w:top w:val="nil"/>
              <w:left w:val="nil"/>
              <w:bottom w:val="nil"/>
              <w:right w:val="nil"/>
            </w:tcBorders>
            <w:shd w:val="clear" w:color="auto" w:fill="auto"/>
            <w:noWrap/>
            <w:vAlign w:val="center"/>
            <w:hideMark/>
          </w:tcPr>
          <w:p w14:paraId="1093C04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Marruecos</w:t>
            </w:r>
          </w:p>
        </w:tc>
        <w:tc>
          <w:tcPr>
            <w:tcW w:w="1108" w:type="dxa"/>
            <w:tcBorders>
              <w:top w:val="nil"/>
              <w:left w:val="nil"/>
              <w:bottom w:val="nil"/>
              <w:right w:val="nil"/>
            </w:tcBorders>
            <w:shd w:val="clear" w:color="auto" w:fill="auto"/>
            <w:noWrap/>
            <w:vAlign w:val="center"/>
            <w:hideMark/>
          </w:tcPr>
          <w:p w14:paraId="0F44815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223CC9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173.295</w:t>
            </w:r>
          </w:p>
        </w:tc>
        <w:tc>
          <w:tcPr>
            <w:tcW w:w="1701" w:type="dxa"/>
            <w:tcBorders>
              <w:top w:val="nil"/>
              <w:left w:val="nil"/>
              <w:bottom w:val="nil"/>
              <w:right w:val="nil"/>
            </w:tcBorders>
            <w:shd w:val="clear" w:color="auto" w:fill="auto"/>
            <w:noWrap/>
            <w:vAlign w:val="center"/>
            <w:hideMark/>
          </w:tcPr>
          <w:p w14:paraId="426D783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4.668.548</w:t>
            </w:r>
          </w:p>
        </w:tc>
        <w:tc>
          <w:tcPr>
            <w:tcW w:w="1560" w:type="dxa"/>
            <w:tcBorders>
              <w:top w:val="nil"/>
              <w:left w:val="nil"/>
              <w:bottom w:val="nil"/>
              <w:right w:val="nil"/>
            </w:tcBorders>
            <w:shd w:val="clear" w:color="auto" w:fill="auto"/>
            <w:noWrap/>
            <w:vAlign w:val="center"/>
            <w:hideMark/>
          </w:tcPr>
          <w:p w14:paraId="7CAA371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3,71%</w:t>
            </w:r>
          </w:p>
        </w:tc>
        <w:tc>
          <w:tcPr>
            <w:tcW w:w="1274" w:type="dxa"/>
            <w:vMerge w:val="restart"/>
            <w:tcBorders>
              <w:top w:val="nil"/>
              <w:left w:val="nil"/>
              <w:bottom w:val="single" w:sz="4" w:space="0" w:color="000000"/>
              <w:right w:val="nil"/>
            </w:tcBorders>
            <w:shd w:val="clear" w:color="auto" w:fill="auto"/>
            <w:noWrap/>
            <w:vAlign w:val="center"/>
            <w:hideMark/>
          </w:tcPr>
          <w:p w14:paraId="290F538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23,15%</w:t>
            </w:r>
          </w:p>
        </w:tc>
      </w:tr>
      <w:tr w:rsidR="001579BE" w:rsidRPr="00A947EA" w14:paraId="1AB4414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A04189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Marruecos</w:t>
            </w:r>
          </w:p>
        </w:tc>
        <w:tc>
          <w:tcPr>
            <w:tcW w:w="1108" w:type="dxa"/>
            <w:tcBorders>
              <w:top w:val="nil"/>
              <w:left w:val="nil"/>
              <w:bottom w:val="single" w:sz="4" w:space="0" w:color="auto"/>
              <w:right w:val="nil"/>
            </w:tcBorders>
            <w:shd w:val="clear" w:color="auto" w:fill="auto"/>
            <w:noWrap/>
            <w:vAlign w:val="center"/>
            <w:hideMark/>
          </w:tcPr>
          <w:p w14:paraId="6A2F461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2A000C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907.568</w:t>
            </w:r>
          </w:p>
        </w:tc>
        <w:tc>
          <w:tcPr>
            <w:tcW w:w="1701" w:type="dxa"/>
            <w:tcBorders>
              <w:top w:val="nil"/>
              <w:left w:val="nil"/>
              <w:bottom w:val="single" w:sz="4" w:space="0" w:color="auto"/>
              <w:right w:val="nil"/>
            </w:tcBorders>
            <w:shd w:val="clear" w:color="auto" w:fill="auto"/>
            <w:noWrap/>
            <w:vAlign w:val="center"/>
            <w:hideMark/>
          </w:tcPr>
          <w:p w14:paraId="3F4981E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4.668.548</w:t>
            </w:r>
          </w:p>
        </w:tc>
        <w:tc>
          <w:tcPr>
            <w:tcW w:w="1560" w:type="dxa"/>
            <w:tcBorders>
              <w:top w:val="nil"/>
              <w:left w:val="nil"/>
              <w:bottom w:val="single" w:sz="4" w:space="0" w:color="auto"/>
              <w:right w:val="nil"/>
            </w:tcBorders>
            <w:shd w:val="clear" w:color="auto" w:fill="auto"/>
            <w:noWrap/>
            <w:vAlign w:val="center"/>
            <w:hideMark/>
          </w:tcPr>
          <w:p w14:paraId="0209E8B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19,44%</w:t>
            </w:r>
          </w:p>
        </w:tc>
        <w:tc>
          <w:tcPr>
            <w:tcW w:w="1274" w:type="dxa"/>
            <w:vMerge/>
            <w:tcBorders>
              <w:top w:val="nil"/>
              <w:left w:val="nil"/>
              <w:bottom w:val="single" w:sz="4" w:space="0" w:color="000000"/>
              <w:right w:val="nil"/>
            </w:tcBorders>
            <w:vAlign w:val="center"/>
            <w:hideMark/>
          </w:tcPr>
          <w:p w14:paraId="513288B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5D6ED5C1" w14:textId="77777777" w:rsidTr="00377237">
        <w:trPr>
          <w:trHeight w:val="310"/>
        </w:trPr>
        <w:tc>
          <w:tcPr>
            <w:tcW w:w="1444" w:type="dxa"/>
            <w:tcBorders>
              <w:top w:val="nil"/>
              <w:left w:val="nil"/>
              <w:bottom w:val="nil"/>
              <w:right w:val="nil"/>
            </w:tcBorders>
            <w:shd w:val="clear" w:color="auto" w:fill="auto"/>
            <w:noWrap/>
            <w:vAlign w:val="center"/>
            <w:hideMark/>
          </w:tcPr>
          <w:p w14:paraId="10384AD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Mozambique</w:t>
            </w:r>
          </w:p>
        </w:tc>
        <w:tc>
          <w:tcPr>
            <w:tcW w:w="1108" w:type="dxa"/>
            <w:tcBorders>
              <w:top w:val="nil"/>
              <w:left w:val="nil"/>
              <w:bottom w:val="nil"/>
              <w:right w:val="nil"/>
            </w:tcBorders>
            <w:shd w:val="clear" w:color="auto" w:fill="auto"/>
            <w:noWrap/>
            <w:vAlign w:val="center"/>
            <w:hideMark/>
          </w:tcPr>
          <w:p w14:paraId="5A9C912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43790D4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73.170</w:t>
            </w:r>
          </w:p>
        </w:tc>
        <w:tc>
          <w:tcPr>
            <w:tcW w:w="1701" w:type="dxa"/>
            <w:tcBorders>
              <w:top w:val="nil"/>
              <w:left w:val="nil"/>
              <w:bottom w:val="nil"/>
              <w:right w:val="nil"/>
            </w:tcBorders>
            <w:shd w:val="clear" w:color="auto" w:fill="auto"/>
            <w:noWrap/>
            <w:vAlign w:val="center"/>
            <w:hideMark/>
          </w:tcPr>
          <w:p w14:paraId="15FE8E7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747.322</w:t>
            </w:r>
          </w:p>
        </w:tc>
        <w:tc>
          <w:tcPr>
            <w:tcW w:w="1560" w:type="dxa"/>
            <w:tcBorders>
              <w:top w:val="nil"/>
              <w:left w:val="nil"/>
              <w:bottom w:val="nil"/>
              <w:right w:val="nil"/>
            </w:tcBorders>
            <w:shd w:val="clear" w:color="auto" w:fill="auto"/>
            <w:noWrap/>
            <w:vAlign w:val="center"/>
            <w:hideMark/>
          </w:tcPr>
          <w:p w14:paraId="61AD58B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9,79%</w:t>
            </w:r>
          </w:p>
        </w:tc>
        <w:tc>
          <w:tcPr>
            <w:tcW w:w="1274" w:type="dxa"/>
            <w:vMerge w:val="restart"/>
            <w:tcBorders>
              <w:top w:val="nil"/>
              <w:left w:val="nil"/>
              <w:bottom w:val="single" w:sz="4" w:space="0" w:color="000000"/>
              <w:right w:val="nil"/>
            </w:tcBorders>
            <w:shd w:val="clear" w:color="auto" w:fill="auto"/>
            <w:noWrap/>
            <w:vAlign w:val="center"/>
            <w:hideMark/>
          </w:tcPr>
          <w:p w14:paraId="5231D96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13,94%</w:t>
            </w:r>
          </w:p>
        </w:tc>
      </w:tr>
      <w:tr w:rsidR="001579BE" w:rsidRPr="00A947EA" w14:paraId="1B854C68"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00B3EE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Mozambique</w:t>
            </w:r>
          </w:p>
        </w:tc>
        <w:tc>
          <w:tcPr>
            <w:tcW w:w="1108" w:type="dxa"/>
            <w:tcBorders>
              <w:top w:val="nil"/>
              <w:left w:val="nil"/>
              <w:bottom w:val="single" w:sz="4" w:space="0" w:color="auto"/>
              <w:right w:val="nil"/>
            </w:tcBorders>
            <w:shd w:val="clear" w:color="auto" w:fill="auto"/>
            <w:noWrap/>
            <w:vAlign w:val="center"/>
            <w:hideMark/>
          </w:tcPr>
          <w:p w14:paraId="4A7A06E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668A37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31.000</w:t>
            </w:r>
          </w:p>
        </w:tc>
        <w:tc>
          <w:tcPr>
            <w:tcW w:w="1701" w:type="dxa"/>
            <w:tcBorders>
              <w:top w:val="nil"/>
              <w:left w:val="nil"/>
              <w:bottom w:val="single" w:sz="4" w:space="0" w:color="auto"/>
              <w:right w:val="nil"/>
            </w:tcBorders>
            <w:shd w:val="clear" w:color="auto" w:fill="auto"/>
            <w:noWrap/>
            <w:vAlign w:val="center"/>
            <w:hideMark/>
          </w:tcPr>
          <w:p w14:paraId="3753ECE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747.322</w:t>
            </w:r>
          </w:p>
        </w:tc>
        <w:tc>
          <w:tcPr>
            <w:tcW w:w="1560" w:type="dxa"/>
            <w:tcBorders>
              <w:top w:val="nil"/>
              <w:left w:val="nil"/>
              <w:bottom w:val="single" w:sz="4" w:space="0" w:color="auto"/>
              <w:right w:val="nil"/>
            </w:tcBorders>
            <w:shd w:val="clear" w:color="auto" w:fill="auto"/>
            <w:noWrap/>
            <w:vAlign w:val="center"/>
            <w:hideMark/>
          </w:tcPr>
          <w:p w14:paraId="29B3A67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4,15%</w:t>
            </w:r>
          </w:p>
        </w:tc>
        <w:tc>
          <w:tcPr>
            <w:tcW w:w="1274" w:type="dxa"/>
            <w:vMerge/>
            <w:tcBorders>
              <w:top w:val="nil"/>
              <w:left w:val="nil"/>
              <w:bottom w:val="single" w:sz="4" w:space="0" w:color="000000"/>
              <w:right w:val="nil"/>
            </w:tcBorders>
            <w:vAlign w:val="center"/>
            <w:hideMark/>
          </w:tcPr>
          <w:p w14:paraId="6C051F0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47521F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3D0F00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Myanmar</w:t>
            </w:r>
          </w:p>
        </w:tc>
        <w:tc>
          <w:tcPr>
            <w:tcW w:w="1108" w:type="dxa"/>
            <w:tcBorders>
              <w:top w:val="nil"/>
              <w:left w:val="nil"/>
              <w:bottom w:val="single" w:sz="4" w:space="0" w:color="auto"/>
              <w:right w:val="nil"/>
            </w:tcBorders>
            <w:shd w:val="clear" w:color="auto" w:fill="auto"/>
            <w:noWrap/>
            <w:vAlign w:val="center"/>
            <w:hideMark/>
          </w:tcPr>
          <w:p w14:paraId="6195D40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BF3D7F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31.206</w:t>
            </w:r>
          </w:p>
        </w:tc>
        <w:tc>
          <w:tcPr>
            <w:tcW w:w="1701" w:type="dxa"/>
            <w:tcBorders>
              <w:top w:val="nil"/>
              <w:left w:val="nil"/>
              <w:bottom w:val="single" w:sz="4" w:space="0" w:color="auto"/>
              <w:right w:val="nil"/>
            </w:tcBorders>
            <w:shd w:val="clear" w:color="auto" w:fill="auto"/>
            <w:noWrap/>
            <w:vAlign w:val="center"/>
            <w:hideMark/>
          </w:tcPr>
          <w:p w14:paraId="64B0631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451.984</w:t>
            </w:r>
          </w:p>
        </w:tc>
        <w:tc>
          <w:tcPr>
            <w:tcW w:w="1560" w:type="dxa"/>
            <w:tcBorders>
              <w:top w:val="nil"/>
              <w:left w:val="nil"/>
              <w:bottom w:val="single" w:sz="4" w:space="0" w:color="auto"/>
              <w:right w:val="nil"/>
            </w:tcBorders>
            <w:shd w:val="clear" w:color="auto" w:fill="auto"/>
            <w:noWrap/>
            <w:vAlign w:val="center"/>
            <w:hideMark/>
          </w:tcPr>
          <w:p w14:paraId="5DD62CB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6,90%</w:t>
            </w:r>
          </w:p>
        </w:tc>
        <w:tc>
          <w:tcPr>
            <w:tcW w:w="1274" w:type="dxa"/>
            <w:tcBorders>
              <w:top w:val="nil"/>
              <w:left w:val="nil"/>
              <w:bottom w:val="single" w:sz="4" w:space="0" w:color="auto"/>
              <w:right w:val="nil"/>
            </w:tcBorders>
            <w:shd w:val="clear" w:color="auto" w:fill="auto"/>
            <w:noWrap/>
            <w:vAlign w:val="center"/>
            <w:hideMark/>
          </w:tcPr>
          <w:p w14:paraId="7C7E4DA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6,90%</w:t>
            </w:r>
          </w:p>
        </w:tc>
      </w:tr>
      <w:tr w:rsidR="001579BE" w:rsidRPr="00A947EA" w14:paraId="17CCD57F" w14:textId="77777777" w:rsidTr="00377237">
        <w:trPr>
          <w:trHeight w:val="310"/>
        </w:trPr>
        <w:tc>
          <w:tcPr>
            <w:tcW w:w="1444" w:type="dxa"/>
            <w:tcBorders>
              <w:top w:val="nil"/>
              <w:left w:val="nil"/>
              <w:bottom w:val="nil"/>
              <w:right w:val="nil"/>
            </w:tcBorders>
            <w:shd w:val="clear" w:color="auto" w:fill="auto"/>
            <w:noWrap/>
            <w:vAlign w:val="center"/>
            <w:hideMark/>
          </w:tcPr>
          <w:p w14:paraId="6CA39ED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Países Bajos</w:t>
            </w:r>
          </w:p>
        </w:tc>
        <w:tc>
          <w:tcPr>
            <w:tcW w:w="1108" w:type="dxa"/>
            <w:tcBorders>
              <w:top w:val="nil"/>
              <w:left w:val="nil"/>
              <w:bottom w:val="nil"/>
              <w:right w:val="nil"/>
            </w:tcBorders>
            <w:shd w:val="clear" w:color="auto" w:fill="auto"/>
            <w:noWrap/>
            <w:vAlign w:val="center"/>
            <w:hideMark/>
          </w:tcPr>
          <w:p w14:paraId="5C10C5B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A7CE44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nil"/>
              <w:right w:val="nil"/>
            </w:tcBorders>
            <w:shd w:val="clear" w:color="auto" w:fill="auto"/>
            <w:noWrap/>
            <w:vAlign w:val="center"/>
            <w:hideMark/>
          </w:tcPr>
          <w:p w14:paraId="744D59F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4.963.009</w:t>
            </w:r>
          </w:p>
        </w:tc>
        <w:tc>
          <w:tcPr>
            <w:tcW w:w="1560" w:type="dxa"/>
            <w:tcBorders>
              <w:top w:val="nil"/>
              <w:left w:val="nil"/>
              <w:bottom w:val="nil"/>
              <w:right w:val="nil"/>
            </w:tcBorders>
            <w:shd w:val="clear" w:color="auto" w:fill="auto"/>
            <w:noWrap/>
            <w:vAlign w:val="center"/>
            <w:hideMark/>
          </w:tcPr>
          <w:p w14:paraId="568250F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val="restart"/>
            <w:tcBorders>
              <w:top w:val="nil"/>
              <w:left w:val="nil"/>
              <w:bottom w:val="single" w:sz="4" w:space="0" w:color="000000"/>
              <w:right w:val="nil"/>
            </w:tcBorders>
            <w:shd w:val="clear" w:color="auto" w:fill="auto"/>
            <w:noWrap/>
            <w:vAlign w:val="center"/>
            <w:hideMark/>
          </w:tcPr>
          <w:p w14:paraId="60682E8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0,86%</w:t>
            </w:r>
          </w:p>
        </w:tc>
      </w:tr>
      <w:tr w:rsidR="001579BE" w:rsidRPr="00A947EA" w14:paraId="3430ACFC"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827195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Países Bajos</w:t>
            </w:r>
          </w:p>
        </w:tc>
        <w:tc>
          <w:tcPr>
            <w:tcW w:w="1108" w:type="dxa"/>
            <w:tcBorders>
              <w:top w:val="nil"/>
              <w:left w:val="nil"/>
              <w:bottom w:val="single" w:sz="4" w:space="0" w:color="auto"/>
              <w:right w:val="nil"/>
            </w:tcBorders>
            <w:shd w:val="clear" w:color="auto" w:fill="auto"/>
            <w:noWrap/>
            <w:vAlign w:val="center"/>
            <w:hideMark/>
          </w:tcPr>
          <w:p w14:paraId="7F030A6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2B2B9F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42.524</w:t>
            </w:r>
          </w:p>
        </w:tc>
        <w:tc>
          <w:tcPr>
            <w:tcW w:w="1701" w:type="dxa"/>
            <w:tcBorders>
              <w:top w:val="nil"/>
              <w:left w:val="nil"/>
              <w:bottom w:val="single" w:sz="4" w:space="0" w:color="auto"/>
              <w:right w:val="nil"/>
            </w:tcBorders>
            <w:shd w:val="clear" w:color="auto" w:fill="auto"/>
            <w:noWrap/>
            <w:vAlign w:val="center"/>
            <w:hideMark/>
          </w:tcPr>
          <w:p w14:paraId="0D94A9D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4.963.009</w:t>
            </w:r>
          </w:p>
        </w:tc>
        <w:tc>
          <w:tcPr>
            <w:tcW w:w="1560" w:type="dxa"/>
            <w:tcBorders>
              <w:top w:val="nil"/>
              <w:left w:val="nil"/>
              <w:bottom w:val="single" w:sz="4" w:space="0" w:color="auto"/>
              <w:right w:val="nil"/>
            </w:tcBorders>
            <w:shd w:val="clear" w:color="auto" w:fill="auto"/>
            <w:noWrap/>
            <w:vAlign w:val="center"/>
            <w:hideMark/>
          </w:tcPr>
          <w:p w14:paraId="1B43B18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0,86%</w:t>
            </w:r>
          </w:p>
        </w:tc>
        <w:tc>
          <w:tcPr>
            <w:tcW w:w="1274" w:type="dxa"/>
            <w:vMerge/>
            <w:tcBorders>
              <w:top w:val="nil"/>
              <w:left w:val="nil"/>
              <w:bottom w:val="single" w:sz="4" w:space="0" w:color="000000"/>
              <w:right w:val="nil"/>
            </w:tcBorders>
            <w:vAlign w:val="center"/>
            <w:hideMark/>
          </w:tcPr>
          <w:p w14:paraId="0EFDA85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E3D43EB"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A69180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Nicaragua</w:t>
            </w:r>
          </w:p>
        </w:tc>
        <w:tc>
          <w:tcPr>
            <w:tcW w:w="1108" w:type="dxa"/>
            <w:tcBorders>
              <w:top w:val="nil"/>
              <w:left w:val="nil"/>
              <w:bottom w:val="single" w:sz="4" w:space="0" w:color="auto"/>
              <w:right w:val="nil"/>
            </w:tcBorders>
            <w:shd w:val="clear" w:color="auto" w:fill="auto"/>
            <w:noWrap/>
            <w:vAlign w:val="center"/>
            <w:hideMark/>
          </w:tcPr>
          <w:p w14:paraId="3CCBFEF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901209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64.866</w:t>
            </w:r>
          </w:p>
        </w:tc>
        <w:tc>
          <w:tcPr>
            <w:tcW w:w="1701" w:type="dxa"/>
            <w:tcBorders>
              <w:top w:val="nil"/>
              <w:left w:val="nil"/>
              <w:bottom w:val="single" w:sz="4" w:space="0" w:color="auto"/>
              <w:right w:val="nil"/>
            </w:tcBorders>
            <w:shd w:val="clear" w:color="auto" w:fill="auto"/>
            <w:noWrap/>
            <w:vAlign w:val="center"/>
            <w:hideMark/>
          </w:tcPr>
          <w:p w14:paraId="3B4B6EE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124.892</w:t>
            </w:r>
          </w:p>
        </w:tc>
        <w:tc>
          <w:tcPr>
            <w:tcW w:w="1560" w:type="dxa"/>
            <w:tcBorders>
              <w:top w:val="nil"/>
              <w:left w:val="nil"/>
              <w:bottom w:val="single" w:sz="4" w:space="0" w:color="auto"/>
              <w:right w:val="nil"/>
            </w:tcBorders>
            <w:shd w:val="clear" w:color="auto" w:fill="auto"/>
            <w:noWrap/>
            <w:vAlign w:val="center"/>
            <w:hideMark/>
          </w:tcPr>
          <w:p w14:paraId="57E9B90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51,94%</w:t>
            </w:r>
          </w:p>
        </w:tc>
        <w:tc>
          <w:tcPr>
            <w:tcW w:w="1274" w:type="dxa"/>
            <w:tcBorders>
              <w:top w:val="nil"/>
              <w:left w:val="nil"/>
              <w:bottom w:val="single" w:sz="4" w:space="0" w:color="auto"/>
              <w:right w:val="nil"/>
            </w:tcBorders>
            <w:shd w:val="clear" w:color="auto" w:fill="auto"/>
            <w:noWrap/>
            <w:vAlign w:val="center"/>
            <w:hideMark/>
          </w:tcPr>
          <w:p w14:paraId="3C6C351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51,94%</w:t>
            </w:r>
          </w:p>
        </w:tc>
      </w:tr>
      <w:tr w:rsidR="001579BE" w:rsidRPr="00A947EA" w14:paraId="2CAC91B7" w14:textId="77777777" w:rsidTr="00377237">
        <w:trPr>
          <w:trHeight w:val="310"/>
        </w:trPr>
        <w:tc>
          <w:tcPr>
            <w:tcW w:w="1444" w:type="dxa"/>
            <w:tcBorders>
              <w:top w:val="nil"/>
              <w:left w:val="nil"/>
              <w:bottom w:val="nil"/>
              <w:right w:val="nil"/>
            </w:tcBorders>
            <w:shd w:val="clear" w:color="auto" w:fill="auto"/>
            <w:noWrap/>
            <w:vAlign w:val="center"/>
            <w:hideMark/>
          </w:tcPr>
          <w:p w14:paraId="2F63475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Nigeria</w:t>
            </w:r>
          </w:p>
        </w:tc>
        <w:tc>
          <w:tcPr>
            <w:tcW w:w="1108" w:type="dxa"/>
            <w:tcBorders>
              <w:top w:val="nil"/>
              <w:left w:val="nil"/>
              <w:bottom w:val="nil"/>
              <w:right w:val="nil"/>
            </w:tcBorders>
            <w:shd w:val="clear" w:color="auto" w:fill="auto"/>
            <w:noWrap/>
            <w:vAlign w:val="center"/>
            <w:hideMark/>
          </w:tcPr>
          <w:p w14:paraId="0EB3CA1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25BA74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974.505</w:t>
            </w:r>
          </w:p>
        </w:tc>
        <w:tc>
          <w:tcPr>
            <w:tcW w:w="1701" w:type="dxa"/>
            <w:tcBorders>
              <w:top w:val="nil"/>
              <w:left w:val="nil"/>
              <w:bottom w:val="nil"/>
              <w:right w:val="nil"/>
            </w:tcBorders>
            <w:shd w:val="clear" w:color="auto" w:fill="auto"/>
            <w:noWrap/>
            <w:vAlign w:val="center"/>
            <w:hideMark/>
          </w:tcPr>
          <w:p w14:paraId="312CEBA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6.369.665</w:t>
            </w:r>
          </w:p>
        </w:tc>
        <w:tc>
          <w:tcPr>
            <w:tcW w:w="1560" w:type="dxa"/>
            <w:tcBorders>
              <w:top w:val="nil"/>
              <w:left w:val="nil"/>
              <w:bottom w:val="nil"/>
              <w:right w:val="nil"/>
            </w:tcBorders>
            <w:shd w:val="clear" w:color="auto" w:fill="auto"/>
            <w:noWrap/>
            <w:vAlign w:val="center"/>
            <w:hideMark/>
          </w:tcPr>
          <w:p w14:paraId="2358C9C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15,30%</w:t>
            </w:r>
          </w:p>
        </w:tc>
        <w:tc>
          <w:tcPr>
            <w:tcW w:w="1274" w:type="dxa"/>
            <w:vMerge w:val="restart"/>
            <w:tcBorders>
              <w:top w:val="nil"/>
              <w:left w:val="nil"/>
              <w:bottom w:val="single" w:sz="4" w:space="0" w:color="000000"/>
              <w:right w:val="nil"/>
            </w:tcBorders>
            <w:shd w:val="clear" w:color="auto" w:fill="auto"/>
            <w:noWrap/>
            <w:vAlign w:val="center"/>
            <w:hideMark/>
          </w:tcPr>
          <w:p w14:paraId="20425B1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19,39%</w:t>
            </w:r>
          </w:p>
        </w:tc>
      </w:tr>
      <w:tr w:rsidR="001579BE" w:rsidRPr="00A947EA" w14:paraId="3218309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35EDA9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Nigeria</w:t>
            </w:r>
          </w:p>
        </w:tc>
        <w:tc>
          <w:tcPr>
            <w:tcW w:w="1108" w:type="dxa"/>
            <w:tcBorders>
              <w:top w:val="nil"/>
              <w:left w:val="nil"/>
              <w:bottom w:val="single" w:sz="4" w:space="0" w:color="auto"/>
              <w:right w:val="nil"/>
            </w:tcBorders>
            <w:shd w:val="clear" w:color="auto" w:fill="auto"/>
            <w:noWrap/>
            <w:vAlign w:val="center"/>
            <w:hideMark/>
          </w:tcPr>
          <w:p w14:paraId="18F4CD2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26EA25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260.600</w:t>
            </w:r>
          </w:p>
        </w:tc>
        <w:tc>
          <w:tcPr>
            <w:tcW w:w="1701" w:type="dxa"/>
            <w:tcBorders>
              <w:top w:val="nil"/>
              <w:left w:val="nil"/>
              <w:bottom w:val="single" w:sz="4" w:space="0" w:color="auto"/>
              <w:right w:val="nil"/>
            </w:tcBorders>
            <w:shd w:val="clear" w:color="auto" w:fill="auto"/>
            <w:noWrap/>
            <w:vAlign w:val="center"/>
            <w:hideMark/>
          </w:tcPr>
          <w:p w14:paraId="6956A94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6.369.665</w:t>
            </w:r>
          </w:p>
        </w:tc>
        <w:tc>
          <w:tcPr>
            <w:tcW w:w="1560" w:type="dxa"/>
            <w:tcBorders>
              <w:top w:val="nil"/>
              <w:left w:val="nil"/>
              <w:bottom w:val="single" w:sz="4" w:space="0" w:color="auto"/>
              <w:right w:val="nil"/>
            </w:tcBorders>
            <w:shd w:val="clear" w:color="auto" w:fill="auto"/>
            <w:noWrap/>
            <w:vAlign w:val="center"/>
            <w:hideMark/>
          </w:tcPr>
          <w:p w14:paraId="3CA952E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4,09%</w:t>
            </w:r>
          </w:p>
        </w:tc>
        <w:tc>
          <w:tcPr>
            <w:tcW w:w="1274" w:type="dxa"/>
            <w:vMerge/>
            <w:tcBorders>
              <w:top w:val="nil"/>
              <w:left w:val="nil"/>
              <w:bottom w:val="single" w:sz="4" w:space="0" w:color="000000"/>
              <w:right w:val="nil"/>
            </w:tcBorders>
            <w:vAlign w:val="center"/>
            <w:hideMark/>
          </w:tcPr>
          <w:p w14:paraId="46DD47C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E450E6F" w14:textId="77777777" w:rsidTr="00377237">
        <w:trPr>
          <w:trHeight w:val="310"/>
        </w:trPr>
        <w:tc>
          <w:tcPr>
            <w:tcW w:w="1444" w:type="dxa"/>
            <w:tcBorders>
              <w:top w:val="nil"/>
              <w:left w:val="nil"/>
              <w:bottom w:val="nil"/>
              <w:right w:val="nil"/>
            </w:tcBorders>
            <w:shd w:val="clear" w:color="auto" w:fill="auto"/>
            <w:noWrap/>
            <w:vAlign w:val="center"/>
            <w:hideMark/>
          </w:tcPr>
          <w:p w14:paraId="2C54EFF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lastRenderedPageBreak/>
              <w:t>Noruega</w:t>
            </w:r>
          </w:p>
        </w:tc>
        <w:tc>
          <w:tcPr>
            <w:tcW w:w="1108" w:type="dxa"/>
            <w:tcBorders>
              <w:top w:val="nil"/>
              <w:left w:val="nil"/>
              <w:bottom w:val="nil"/>
              <w:right w:val="nil"/>
            </w:tcBorders>
            <w:shd w:val="clear" w:color="auto" w:fill="auto"/>
            <w:noWrap/>
            <w:vAlign w:val="center"/>
            <w:hideMark/>
          </w:tcPr>
          <w:p w14:paraId="5186851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30AD6DB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32.244</w:t>
            </w:r>
          </w:p>
        </w:tc>
        <w:tc>
          <w:tcPr>
            <w:tcW w:w="1701" w:type="dxa"/>
            <w:tcBorders>
              <w:top w:val="nil"/>
              <w:left w:val="nil"/>
              <w:bottom w:val="nil"/>
              <w:right w:val="nil"/>
            </w:tcBorders>
            <w:shd w:val="clear" w:color="auto" w:fill="auto"/>
            <w:noWrap/>
            <w:vAlign w:val="center"/>
            <w:hideMark/>
          </w:tcPr>
          <w:p w14:paraId="085710E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325.154</w:t>
            </w:r>
          </w:p>
        </w:tc>
        <w:tc>
          <w:tcPr>
            <w:tcW w:w="1560" w:type="dxa"/>
            <w:tcBorders>
              <w:top w:val="nil"/>
              <w:left w:val="nil"/>
              <w:bottom w:val="nil"/>
              <w:right w:val="nil"/>
            </w:tcBorders>
            <w:shd w:val="clear" w:color="auto" w:fill="auto"/>
            <w:noWrap/>
            <w:vAlign w:val="center"/>
            <w:hideMark/>
          </w:tcPr>
          <w:p w14:paraId="0F3108D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9,92%</w:t>
            </w:r>
          </w:p>
        </w:tc>
        <w:tc>
          <w:tcPr>
            <w:tcW w:w="1274" w:type="dxa"/>
            <w:vMerge w:val="restart"/>
            <w:tcBorders>
              <w:top w:val="nil"/>
              <w:left w:val="nil"/>
              <w:bottom w:val="single" w:sz="4" w:space="0" w:color="000000"/>
              <w:right w:val="nil"/>
            </w:tcBorders>
            <w:shd w:val="clear" w:color="auto" w:fill="auto"/>
            <w:noWrap/>
            <w:vAlign w:val="center"/>
            <w:hideMark/>
          </w:tcPr>
          <w:p w14:paraId="672D41E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9,94%</w:t>
            </w:r>
          </w:p>
        </w:tc>
      </w:tr>
      <w:tr w:rsidR="001579BE" w:rsidRPr="00A947EA" w14:paraId="53B7E389"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A478CE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Noruega</w:t>
            </w:r>
          </w:p>
        </w:tc>
        <w:tc>
          <w:tcPr>
            <w:tcW w:w="1108" w:type="dxa"/>
            <w:tcBorders>
              <w:top w:val="nil"/>
              <w:left w:val="nil"/>
              <w:bottom w:val="single" w:sz="4" w:space="0" w:color="auto"/>
              <w:right w:val="nil"/>
            </w:tcBorders>
            <w:shd w:val="clear" w:color="auto" w:fill="auto"/>
            <w:noWrap/>
            <w:vAlign w:val="center"/>
            <w:hideMark/>
          </w:tcPr>
          <w:p w14:paraId="35F5EFF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7045D8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65</w:t>
            </w:r>
          </w:p>
        </w:tc>
        <w:tc>
          <w:tcPr>
            <w:tcW w:w="1701" w:type="dxa"/>
            <w:tcBorders>
              <w:top w:val="nil"/>
              <w:left w:val="nil"/>
              <w:bottom w:val="single" w:sz="4" w:space="0" w:color="auto"/>
              <w:right w:val="nil"/>
            </w:tcBorders>
            <w:shd w:val="clear" w:color="auto" w:fill="auto"/>
            <w:noWrap/>
            <w:vAlign w:val="center"/>
            <w:hideMark/>
          </w:tcPr>
          <w:p w14:paraId="3D83F83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325.154</w:t>
            </w:r>
          </w:p>
        </w:tc>
        <w:tc>
          <w:tcPr>
            <w:tcW w:w="1560" w:type="dxa"/>
            <w:tcBorders>
              <w:top w:val="nil"/>
              <w:left w:val="nil"/>
              <w:bottom w:val="single" w:sz="4" w:space="0" w:color="auto"/>
              <w:right w:val="nil"/>
            </w:tcBorders>
            <w:shd w:val="clear" w:color="auto" w:fill="auto"/>
            <w:noWrap/>
            <w:vAlign w:val="center"/>
            <w:hideMark/>
          </w:tcPr>
          <w:p w14:paraId="0AD6A52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0,02%</w:t>
            </w:r>
          </w:p>
        </w:tc>
        <w:tc>
          <w:tcPr>
            <w:tcW w:w="1274" w:type="dxa"/>
            <w:vMerge/>
            <w:tcBorders>
              <w:top w:val="nil"/>
              <w:left w:val="nil"/>
              <w:bottom w:val="single" w:sz="4" w:space="0" w:color="000000"/>
              <w:right w:val="nil"/>
            </w:tcBorders>
            <w:vAlign w:val="center"/>
            <w:hideMark/>
          </w:tcPr>
          <w:p w14:paraId="678AD26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2D2B2EB6" w14:textId="77777777" w:rsidTr="00377237">
        <w:trPr>
          <w:trHeight w:val="310"/>
        </w:trPr>
        <w:tc>
          <w:tcPr>
            <w:tcW w:w="1444" w:type="dxa"/>
            <w:tcBorders>
              <w:top w:val="nil"/>
              <w:left w:val="nil"/>
              <w:bottom w:val="nil"/>
              <w:right w:val="nil"/>
            </w:tcBorders>
            <w:shd w:val="clear" w:color="auto" w:fill="auto"/>
            <w:noWrap/>
            <w:vAlign w:val="center"/>
            <w:hideMark/>
          </w:tcPr>
          <w:p w14:paraId="50A0D83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Omán</w:t>
            </w:r>
          </w:p>
        </w:tc>
        <w:tc>
          <w:tcPr>
            <w:tcW w:w="1108" w:type="dxa"/>
            <w:tcBorders>
              <w:top w:val="nil"/>
              <w:left w:val="nil"/>
              <w:bottom w:val="nil"/>
              <w:right w:val="nil"/>
            </w:tcBorders>
            <w:shd w:val="clear" w:color="auto" w:fill="auto"/>
            <w:noWrap/>
            <w:vAlign w:val="center"/>
            <w:hideMark/>
          </w:tcPr>
          <w:p w14:paraId="45944AF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650DB9E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228.679</w:t>
            </w:r>
          </w:p>
        </w:tc>
        <w:tc>
          <w:tcPr>
            <w:tcW w:w="1701" w:type="dxa"/>
            <w:tcBorders>
              <w:top w:val="nil"/>
              <w:left w:val="nil"/>
              <w:bottom w:val="nil"/>
              <w:right w:val="nil"/>
            </w:tcBorders>
            <w:shd w:val="clear" w:color="auto" w:fill="auto"/>
            <w:noWrap/>
            <w:vAlign w:val="center"/>
            <w:hideMark/>
          </w:tcPr>
          <w:p w14:paraId="5AA1C5A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2.803.560</w:t>
            </w:r>
          </w:p>
        </w:tc>
        <w:tc>
          <w:tcPr>
            <w:tcW w:w="1560" w:type="dxa"/>
            <w:tcBorders>
              <w:top w:val="nil"/>
              <w:left w:val="nil"/>
              <w:bottom w:val="nil"/>
              <w:right w:val="nil"/>
            </w:tcBorders>
            <w:shd w:val="clear" w:color="auto" w:fill="auto"/>
            <w:noWrap/>
            <w:vAlign w:val="center"/>
            <w:hideMark/>
          </w:tcPr>
          <w:p w14:paraId="0B27B53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8,16%</w:t>
            </w:r>
          </w:p>
        </w:tc>
        <w:tc>
          <w:tcPr>
            <w:tcW w:w="1274" w:type="dxa"/>
            <w:vMerge w:val="restart"/>
            <w:tcBorders>
              <w:top w:val="nil"/>
              <w:left w:val="nil"/>
              <w:bottom w:val="single" w:sz="4" w:space="0" w:color="000000"/>
              <w:right w:val="nil"/>
            </w:tcBorders>
            <w:shd w:val="clear" w:color="auto" w:fill="auto"/>
            <w:noWrap/>
            <w:vAlign w:val="center"/>
            <w:hideMark/>
          </w:tcPr>
          <w:p w14:paraId="0D5FBEE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15,54%</w:t>
            </w:r>
          </w:p>
        </w:tc>
      </w:tr>
      <w:tr w:rsidR="001579BE" w:rsidRPr="00A947EA" w14:paraId="24FB490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CABB59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Omán</w:t>
            </w:r>
          </w:p>
        </w:tc>
        <w:tc>
          <w:tcPr>
            <w:tcW w:w="1108" w:type="dxa"/>
            <w:tcBorders>
              <w:top w:val="nil"/>
              <w:left w:val="nil"/>
              <w:bottom w:val="single" w:sz="4" w:space="0" w:color="auto"/>
              <w:right w:val="nil"/>
            </w:tcBorders>
            <w:shd w:val="clear" w:color="auto" w:fill="auto"/>
            <w:noWrap/>
            <w:vAlign w:val="center"/>
            <w:hideMark/>
          </w:tcPr>
          <w:p w14:paraId="1262218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9ADBA9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207.109</w:t>
            </w:r>
          </w:p>
        </w:tc>
        <w:tc>
          <w:tcPr>
            <w:tcW w:w="1701" w:type="dxa"/>
            <w:tcBorders>
              <w:top w:val="nil"/>
              <w:left w:val="nil"/>
              <w:bottom w:val="single" w:sz="4" w:space="0" w:color="auto"/>
              <w:right w:val="nil"/>
            </w:tcBorders>
            <w:shd w:val="clear" w:color="auto" w:fill="auto"/>
            <w:noWrap/>
            <w:vAlign w:val="center"/>
            <w:hideMark/>
          </w:tcPr>
          <w:p w14:paraId="78DD398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2.803.560</w:t>
            </w:r>
          </w:p>
        </w:tc>
        <w:tc>
          <w:tcPr>
            <w:tcW w:w="1560" w:type="dxa"/>
            <w:tcBorders>
              <w:top w:val="nil"/>
              <w:left w:val="nil"/>
              <w:bottom w:val="single" w:sz="4" w:space="0" w:color="auto"/>
              <w:right w:val="nil"/>
            </w:tcBorders>
            <w:shd w:val="clear" w:color="auto" w:fill="auto"/>
            <w:noWrap/>
            <w:vAlign w:val="center"/>
            <w:hideMark/>
          </w:tcPr>
          <w:p w14:paraId="59F4F31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7,39%</w:t>
            </w:r>
          </w:p>
        </w:tc>
        <w:tc>
          <w:tcPr>
            <w:tcW w:w="1274" w:type="dxa"/>
            <w:vMerge/>
            <w:tcBorders>
              <w:top w:val="nil"/>
              <w:left w:val="nil"/>
              <w:bottom w:val="single" w:sz="4" w:space="0" w:color="000000"/>
              <w:right w:val="nil"/>
            </w:tcBorders>
            <w:vAlign w:val="center"/>
            <w:hideMark/>
          </w:tcPr>
          <w:p w14:paraId="251EADB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D4F4B4C" w14:textId="77777777" w:rsidTr="00377237">
        <w:trPr>
          <w:trHeight w:val="310"/>
        </w:trPr>
        <w:tc>
          <w:tcPr>
            <w:tcW w:w="1444" w:type="dxa"/>
            <w:tcBorders>
              <w:top w:val="nil"/>
              <w:left w:val="nil"/>
              <w:bottom w:val="nil"/>
              <w:right w:val="nil"/>
            </w:tcBorders>
            <w:shd w:val="clear" w:color="auto" w:fill="auto"/>
            <w:noWrap/>
            <w:vAlign w:val="center"/>
            <w:hideMark/>
          </w:tcPr>
          <w:p w14:paraId="572E766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Pakistán</w:t>
            </w:r>
          </w:p>
        </w:tc>
        <w:tc>
          <w:tcPr>
            <w:tcW w:w="1108" w:type="dxa"/>
            <w:tcBorders>
              <w:top w:val="nil"/>
              <w:left w:val="nil"/>
              <w:bottom w:val="nil"/>
              <w:right w:val="nil"/>
            </w:tcBorders>
            <w:shd w:val="clear" w:color="auto" w:fill="auto"/>
            <w:noWrap/>
            <w:vAlign w:val="center"/>
            <w:hideMark/>
          </w:tcPr>
          <w:p w14:paraId="2C82135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152D692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529.053</w:t>
            </w:r>
          </w:p>
        </w:tc>
        <w:tc>
          <w:tcPr>
            <w:tcW w:w="1701" w:type="dxa"/>
            <w:tcBorders>
              <w:top w:val="nil"/>
              <w:left w:val="nil"/>
              <w:bottom w:val="nil"/>
              <w:right w:val="nil"/>
            </w:tcBorders>
            <w:shd w:val="clear" w:color="auto" w:fill="auto"/>
            <w:noWrap/>
            <w:vAlign w:val="center"/>
            <w:hideMark/>
          </w:tcPr>
          <w:p w14:paraId="0A27772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2.486.191</w:t>
            </w:r>
          </w:p>
        </w:tc>
        <w:tc>
          <w:tcPr>
            <w:tcW w:w="1560" w:type="dxa"/>
            <w:tcBorders>
              <w:top w:val="nil"/>
              <w:left w:val="nil"/>
              <w:bottom w:val="nil"/>
              <w:right w:val="nil"/>
            </w:tcBorders>
            <w:shd w:val="clear" w:color="auto" w:fill="auto"/>
            <w:noWrap/>
            <w:vAlign w:val="center"/>
            <w:hideMark/>
          </w:tcPr>
          <w:p w14:paraId="2713BEC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21,28%</w:t>
            </w:r>
          </w:p>
        </w:tc>
        <w:tc>
          <w:tcPr>
            <w:tcW w:w="1274" w:type="dxa"/>
            <w:vMerge w:val="restart"/>
            <w:tcBorders>
              <w:top w:val="nil"/>
              <w:left w:val="nil"/>
              <w:bottom w:val="single" w:sz="4" w:space="0" w:color="000000"/>
              <w:right w:val="nil"/>
            </w:tcBorders>
            <w:shd w:val="clear" w:color="auto" w:fill="auto"/>
            <w:noWrap/>
            <w:vAlign w:val="center"/>
            <w:hideMark/>
          </w:tcPr>
          <w:p w14:paraId="3B8BCD4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75,42%</w:t>
            </w:r>
          </w:p>
        </w:tc>
      </w:tr>
      <w:tr w:rsidR="001579BE" w:rsidRPr="00A947EA" w14:paraId="1C505236"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608A46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Pakistán</w:t>
            </w:r>
          </w:p>
        </w:tc>
        <w:tc>
          <w:tcPr>
            <w:tcW w:w="1108" w:type="dxa"/>
            <w:tcBorders>
              <w:top w:val="nil"/>
              <w:left w:val="nil"/>
              <w:bottom w:val="single" w:sz="4" w:space="0" w:color="auto"/>
              <w:right w:val="nil"/>
            </w:tcBorders>
            <w:shd w:val="clear" w:color="auto" w:fill="auto"/>
            <w:noWrap/>
            <w:vAlign w:val="center"/>
            <w:hideMark/>
          </w:tcPr>
          <w:p w14:paraId="7497348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7C6A1E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1.346.044</w:t>
            </w:r>
          </w:p>
        </w:tc>
        <w:tc>
          <w:tcPr>
            <w:tcW w:w="1701" w:type="dxa"/>
            <w:tcBorders>
              <w:top w:val="nil"/>
              <w:left w:val="nil"/>
              <w:bottom w:val="single" w:sz="4" w:space="0" w:color="auto"/>
              <w:right w:val="nil"/>
            </w:tcBorders>
            <w:shd w:val="clear" w:color="auto" w:fill="auto"/>
            <w:noWrap/>
            <w:vAlign w:val="center"/>
            <w:hideMark/>
          </w:tcPr>
          <w:p w14:paraId="4A3D7E1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2.486.191</w:t>
            </w:r>
          </w:p>
        </w:tc>
        <w:tc>
          <w:tcPr>
            <w:tcW w:w="1560" w:type="dxa"/>
            <w:tcBorders>
              <w:top w:val="nil"/>
              <w:left w:val="nil"/>
              <w:bottom w:val="single" w:sz="4" w:space="0" w:color="auto"/>
              <w:right w:val="nil"/>
            </w:tcBorders>
            <w:shd w:val="clear" w:color="auto" w:fill="auto"/>
            <w:noWrap/>
            <w:vAlign w:val="center"/>
            <w:hideMark/>
          </w:tcPr>
          <w:p w14:paraId="341A550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54,14%</w:t>
            </w:r>
          </w:p>
        </w:tc>
        <w:tc>
          <w:tcPr>
            <w:tcW w:w="1274" w:type="dxa"/>
            <w:vMerge/>
            <w:tcBorders>
              <w:top w:val="nil"/>
              <w:left w:val="nil"/>
              <w:bottom w:val="single" w:sz="4" w:space="0" w:color="000000"/>
              <w:right w:val="nil"/>
            </w:tcBorders>
            <w:vAlign w:val="center"/>
            <w:hideMark/>
          </w:tcPr>
          <w:p w14:paraId="713BC06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2DA1AA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06E969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Perú</w:t>
            </w:r>
          </w:p>
        </w:tc>
        <w:tc>
          <w:tcPr>
            <w:tcW w:w="1108" w:type="dxa"/>
            <w:tcBorders>
              <w:top w:val="nil"/>
              <w:left w:val="nil"/>
              <w:bottom w:val="single" w:sz="4" w:space="0" w:color="auto"/>
              <w:right w:val="nil"/>
            </w:tcBorders>
            <w:shd w:val="clear" w:color="auto" w:fill="auto"/>
            <w:noWrap/>
            <w:vAlign w:val="center"/>
            <w:hideMark/>
          </w:tcPr>
          <w:p w14:paraId="3D9408C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3229A8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65.728</w:t>
            </w:r>
          </w:p>
        </w:tc>
        <w:tc>
          <w:tcPr>
            <w:tcW w:w="1701" w:type="dxa"/>
            <w:tcBorders>
              <w:top w:val="nil"/>
              <w:left w:val="nil"/>
              <w:bottom w:val="single" w:sz="4" w:space="0" w:color="auto"/>
              <w:right w:val="nil"/>
            </w:tcBorders>
            <w:shd w:val="clear" w:color="auto" w:fill="auto"/>
            <w:noWrap/>
            <w:vAlign w:val="center"/>
            <w:hideMark/>
          </w:tcPr>
          <w:p w14:paraId="118F292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1.983.453</w:t>
            </w:r>
          </w:p>
        </w:tc>
        <w:tc>
          <w:tcPr>
            <w:tcW w:w="1560" w:type="dxa"/>
            <w:tcBorders>
              <w:top w:val="nil"/>
              <w:left w:val="nil"/>
              <w:bottom w:val="single" w:sz="4" w:space="0" w:color="auto"/>
              <w:right w:val="nil"/>
            </w:tcBorders>
            <w:shd w:val="clear" w:color="auto" w:fill="auto"/>
            <w:noWrap/>
            <w:vAlign w:val="center"/>
            <w:hideMark/>
          </w:tcPr>
          <w:p w14:paraId="3C2982A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3,31%</w:t>
            </w:r>
          </w:p>
        </w:tc>
        <w:tc>
          <w:tcPr>
            <w:tcW w:w="1274" w:type="dxa"/>
            <w:tcBorders>
              <w:top w:val="nil"/>
              <w:left w:val="nil"/>
              <w:bottom w:val="single" w:sz="4" w:space="0" w:color="auto"/>
              <w:right w:val="nil"/>
            </w:tcBorders>
            <w:shd w:val="clear" w:color="auto" w:fill="auto"/>
            <w:noWrap/>
            <w:vAlign w:val="center"/>
            <w:hideMark/>
          </w:tcPr>
          <w:p w14:paraId="1F86D65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3,31%</w:t>
            </w:r>
          </w:p>
        </w:tc>
      </w:tr>
      <w:tr w:rsidR="001579BE" w:rsidRPr="00A947EA" w14:paraId="678E91A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43E52D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Filipinas</w:t>
            </w:r>
          </w:p>
        </w:tc>
        <w:tc>
          <w:tcPr>
            <w:tcW w:w="1108" w:type="dxa"/>
            <w:tcBorders>
              <w:top w:val="nil"/>
              <w:left w:val="nil"/>
              <w:bottom w:val="single" w:sz="4" w:space="0" w:color="auto"/>
              <w:right w:val="nil"/>
            </w:tcBorders>
            <w:shd w:val="clear" w:color="auto" w:fill="auto"/>
            <w:noWrap/>
            <w:vAlign w:val="center"/>
            <w:hideMark/>
          </w:tcPr>
          <w:p w14:paraId="75FCBC7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BD75AE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416.203</w:t>
            </w:r>
          </w:p>
        </w:tc>
        <w:tc>
          <w:tcPr>
            <w:tcW w:w="1701" w:type="dxa"/>
            <w:tcBorders>
              <w:top w:val="nil"/>
              <w:left w:val="nil"/>
              <w:bottom w:val="single" w:sz="4" w:space="0" w:color="auto"/>
              <w:right w:val="nil"/>
            </w:tcBorders>
            <w:shd w:val="clear" w:color="auto" w:fill="auto"/>
            <w:noWrap/>
            <w:vAlign w:val="center"/>
            <w:hideMark/>
          </w:tcPr>
          <w:p w14:paraId="0FC72DF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6.029.337</w:t>
            </w:r>
          </w:p>
        </w:tc>
        <w:tc>
          <w:tcPr>
            <w:tcW w:w="1560" w:type="dxa"/>
            <w:tcBorders>
              <w:top w:val="nil"/>
              <w:left w:val="nil"/>
              <w:bottom w:val="single" w:sz="4" w:space="0" w:color="auto"/>
              <w:right w:val="nil"/>
            </w:tcBorders>
            <w:shd w:val="clear" w:color="auto" w:fill="auto"/>
            <w:noWrap/>
            <w:vAlign w:val="center"/>
            <w:hideMark/>
          </w:tcPr>
          <w:p w14:paraId="673AC1F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6,90%</w:t>
            </w:r>
          </w:p>
        </w:tc>
        <w:tc>
          <w:tcPr>
            <w:tcW w:w="1274" w:type="dxa"/>
            <w:tcBorders>
              <w:top w:val="nil"/>
              <w:left w:val="nil"/>
              <w:bottom w:val="single" w:sz="4" w:space="0" w:color="auto"/>
              <w:right w:val="nil"/>
            </w:tcBorders>
            <w:shd w:val="clear" w:color="auto" w:fill="auto"/>
            <w:noWrap/>
            <w:vAlign w:val="center"/>
            <w:hideMark/>
          </w:tcPr>
          <w:p w14:paraId="543099F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6,90%</w:t>
            </w:r>
          </w:p>
        </w:tc>
      </w:tr>
      <w:tr w:rsidR="001579BE" w:rsidRPr="00A947EA" w14:paraId="123DD63B" w14:textId="77777777" w:rsidTr="00377237">
        <w:trPr>
          <w:trHeight w:val="310"/>
        </w:trPr>
        <w:tc>
          <w:tcPr>
            <w:tcW w:w="1444" w:type="dxa"/>
            <w:tcBorders>
              <w:top w:val="nil"/>
              <w:left w:val="nil"/>
              <w:bottom w:val="nil"/>
              <w:right w:val="nil"/>
            </w:tcBorders>
            <w:shd w:val="clear" w:color="auto" w:fill="auto"/>
            <w:noWrap/>
            <w:vAlign w:val="center"/>
            <w:hideMark/>
          </w:tcPr>
          <w:p w14:paraId="6375E0F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Polonia</w:t>
            </w:r>
          </w:p>
        </w:tc>
        <w:tc>
          <w:tcPr>
            <w:tcW w:w="1108" w:type="dxa"/>
            <w:tcBorders>
              <w:top w:val="nil"/>
              <w:left w:val="nil"/>
              <w:bottom w:val="nil"/>
              <w:right w:val="nil"/>
            </w:tcBorders>
            <w:shd w:val="clear" w:color="auto" w:fill="auto"/>
            <w:noWrap/>
            <w:vAlign w:val="center"/>
            <w:hideMark/>
          </w:tcPr>
          <w:p w14:paraId="3C438FB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6EE07C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367</w:t>
            </w:r>
          </w:p>
        </w:tc>
        <w:tc>
          <w:tcPr>
            <w:tcW w:w="1701" w:type="dxa"/>
            <w:tcBorders>
              <w:top w:val="nil"/>
              <w:left w:val="nil"/>
              <w:bottom w:val="nil"/>
              <w:right w:val="nil"/>
            </w:tcBorders>
            <w:shd w:val="clear" w:color="auto" w:fill="auto"/>
            <w:noWrap/>
            <w:vAlign w:val="center"/>
            <w:hideMark/>
          </w:tcPr>
          <w:p w14:paraId="74AC0C2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594.863</w:t>
            </w:r>
          </w:p>
        </w:tc>
        <w:tc>
          <w:tcPr>
            <w:tcW w:w="1560" w:type="dxa"/>
            <w:tcBorders>
              <w:top w:val="nil"/>
              <w:left w:val="nil"/>
              <w:bottom w:val="nil"/>
              <w:right w:val="nil"/>
            </w:tcBorders>
            <w:shd w:val="clear" w:color="auto" w:fill="auto"/>
            <w:noWrap/>
            <w:vAlign w:val="center"/>
            <w:hideMark/>
          </w:tcPr>
          <w:p w14:paraId="075BA90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0,06%</w:t>
            </w:r>
          </w:p>
        </w:tc>
        <w:tc>
          <w:tcPr>
            <w:tcW w:w="1274" w:type="dxa"/>
            <w:vMerge w:val="restart"/>
            <w:tcBorders>
              <w:top w:val="nil"/>
              <w:left w:val="nil"/>
              <w:bottom w:val="single" w:sz="4" w:space="0" w:color="000000"/>
              <w:right w:val="nil"/>
            </w:tcBorders>
            <w:shd w:val="clear" w:color="auto" w:fill="auto"/>
            <w:noWrap/>
            <w:vAlign w:val="center"/>
            <w:hideMark/>
          </w:tcPr>
          <w:p w14:paraId="627088D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0,59%</w:t>
            </w:r>
          </w:p>
        </w:tc>
      </w:tr>
      <w:tr w:rsidR="001579BE" w:rsidRPr="00A947EA" w14:paraId="32E9CF26"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950452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Polonia</w:t>
            </w:r>
          </w:p>
        </w:tc>
        <w:tc>
          <w:tcPr>
            <w:tcW w:w="1108" w:type="dxa"/>
            <w:tcBorders>
              <w:top w:val="nil"/>
              <w:left w:val="nil"/>
              <w:bottom w:val="single" w:sz="4" w:space="0" w:color="auto"/>
              <w:right w:val="nil"/>
            </w:tcBorders>
            <w:shd w:val="clear" w:color="auto" w:fill="auto"/>
            <w:noWrap/>
            <w:vAlign w:val="center"/>
            <w:hideMark/>
          </w:tcPr>
          <w:p w14:paraId="477A2AC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4C8224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3.118</w:t>
            </w:r>
          </w:p>
        </w:tc>
        <w:tc>
          <w:tcPr>
            <w:tcW w:w="1701" w:type="dxa"/>
            <w:tcBorders>
              <w:top w:val="nil"/>
              <w:left w:val="nil"/>
              <w:bottom w:val="single" w:sz="4" w:space="0" w:color="auto"/>
              <w:right w:val="nil"/>
            </w:tcBorders>
            <w:shd w:val="clear" w:color="auto" w:fill="auto"/>
            <w:noWrap/>
            <w:vAlign w:val="center"/>
            <w:hideMark/>
          </w:tcPr>
          <w:p w14:paraId="7CD8060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594.863</w:t>
            </w:r>
          </w:p>
        </w:tc>
        <w:tc>
          <w:tcPr>
            <w:tcW w:w="1560" w:type="dxa"/>
            <w:tcBorders>
              <w:top w:val="nil"/>
              <w:left w:val="nil"/>
              <w:bottom w:val="single" w:sz="4" w:space="0" w:color="auto"/>
              <w:right w:val="nil"/>
            </w:tcBorders>
            <w:shd w:val="clear" w:color="auto" w:fill="auto"/>
            <w:noWrap/>
            <w:vAlign w:val="center"/>
            <w:hideMark/>
          </w:tcPr>
          <w:p w14:paraId="066B837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0,52%</w:t>
            </w:r>
          </w:p>
        </w:tc>
        <w:tc>
          <w:tcPr>
            <w:tcW w:w="1274" w:type="dxa"/>
            <w:vMerge/>
            <w:tcBorders>
              <w:top w:val="nil"/>
              <w:left w:val="nil"/>
              <w:bottom w:val="single" w:sz="4" w:space="0" w:color="000000"/>
              <w:right w:val="nil"/>
            </w:tcBorders>
            <w:vAlign w:val="center"/>
            <w:hideMark/>
          </w:tcPr>
          <w:p w14:paraId="659F7F7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2A8E9EE2" w14:textId="77777777" w:rsidTr="00377237">
        <w:trPr>
          <w:trHeight w:val="310"/>
        </w:trPr>
        <w:tc>
          <w:tcPr>
            <w:tcW w:w="1444" w:type="dxa"/>
            <w:tcBorders>
              <w:top w:val="nil"/>
              <w:left w:val="nil"/>
              <w:bottom w:val="nil"/>
              <w:right w:val="nil"/>
            </w:tcBorders>
            <w:shd w:val="clear" w:color="auto" w:fill="auto"/>
            <w:noWrap/>
            <w:vAlign w:val="center"/>
            <w:hideMark/>
          </w:tcPr>
          <w:p w14:paraId="4EBCB34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Rep. de Corea</w:t>
            </w:r>
          </w:p>
        </w:tc>
        <w:tc>
          <w:tcPr>
            <w:tcW w:w="1108" w:type="dxa"/>
            <w:tcBorders>
              <w:top w:val="nil"/>
              <w:left w:val="nil"/>
              <w:bottom w:val="nil"/>
              <w:right w:val="nil"/>
            </w:tcBorders>
            <w:shd w:val="clear" w:color="auto" w:fill="auto"/>
            <w:noWrap/>
            <w:vAlign w:val="center"/>
            <w:hideMark/>
          </w:tcPr>
          <w:p w14:paraId="3835A54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D122E0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116.124</w:t>
            </w:r>
          </w:p>
        </w:tc>
        <w:tc>
          <w:tcPr>
            <w:tcW w:w="1701" w:type="dxa"/>
            <w:tcBorders>
              <w:top w:val="nil"/>
              <w:left w:val="nil"/>
              <w:bottom w:val="nil"/>
              <w:right w:val="nil"/>
            </w:tcBorders>
            <w:shd w:val="clear" w:color="auto" w:fill="auto"/>
            <w:noWrap/>
            <w:vAlign w:val="center"/>
            <w:hideMark/>
          </w:tcPr>
          <w:p w14:paraId="3D7D3E0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4.422.092</w:t>
            </w:r>
          </w:p>
        </w:tc>
        <w:tc>
          <w:tcPr>
            <w:tcW w:w="1560" w:type="dxa"/>
            <w:tcBorders>
              <w:top w:val="nil"/>
              <w:left w:val="nil"/>
              <w:bottom w:val="nil"/>
              <w:right w:val="nil"/>
            </w:tcBorders>
            <w:shd w:val="clear" w:color="auto" w:fill="auto"/>
            <w:noWrap/>
            <w:vAlign w:val="center"/>
            <w:hideMark/>
          </w:tcPr>
          <w:p w14:paraId="08C0765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2,63%</w:t>
            </w:r>
          </w:p>
        </w:tc>
        <w:tc>
          <w:tcPr>
            <w:tcW w:w="1274" w:type="dxa"/>
            <w:vMerge w:val="restart"/>
            <w:tcBorders>
              <w:top w:val="nil"/>
              <w:left w:val="nil"/>
              <w:bottom w:val="single" w:sz="4" w:space="0" w:color="000000"/>
              <w:right w:val="nil"/>
            </w:tcBorders>
            <w:shd w:val="clear" w:color="auto" w:fill="auto"/>
            <w:noWrap/>
            <w:vAlign w:val="center"/>
            <w:hideMark/>
          </w:tcPr>
          <w:p w14:paraId="5A87E5F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9,13%</w:t>
            </w:r>
          </w:p>
        </w:tc>
      </w:tr>
      <w:tr w:rsidR="001579BE" w:rsidRPr="00A947EA" w14:paraId="179E07B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C720FA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Rep. de Corea</w:t>
            </w:r>
          </w:p>
        </w:tc>
        <w:tc>
          <w:tcPr>
            <w:tcW w:w="1108" w:type="dxa"/>
            <w:tcBorders>
              <w:top w:val="nil"/>
              <w:left w:val="nil"/>
              <w:bottom w:val="single" w:sz="4" w:space="0" w:color="auto"/>
              <w:right w:val="nil"/>
            </w:tcBorders>
            <w:shd w:val="clear" w:color="auto" w:fill="auto"/>
            <w:noWrap/>
            <w:vAlign w:val="center"/>
            <w:hideMark/>
          </w:tcPr>
          <w:p w14:paraId="7ECE70E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0CEFAF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287.619</w:t>
            </w:r>
          </w:p>
        </w:tc>
        <w:tc>
          <w:tcPr>
            <w:tcW w:w="1701" w:type="dxa"/>
            <w:tcBorders>
              <w:top w:val="nil"/>
              <w:left w:val="nil"/>
              <w:bottom w:val="single" w:sz="4" w:space="0" w:color="auto"/>
              <w:right w:val="nil"/>
            </w:tcBorders>
            <w:shd w:val="clear" w:color="auto" w:fill="auto"/>
            <w:noWrap/>
            <w:vAlign w:val="center"/>
            <w:hideMark/>
          </w:tcPr>
          <w:p w14:paraId="2F7F42B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4.422.092</w:t>
            </w:r>
          </w:p>
        </w:tc>
        <w:tc>
          <w:tcPr>
            <w:tcW w:w="1560" w:type="dxa"/>
            <w:tcBorders>
              <w:top w:val="nil"/>
              <w:left w:val="nil"/>
              <w:bottom w:val="single" w:sz="4" w:space="0" w:color="auto"/>
              <w:right w:val="nil"/>
            </w:tcBorders>
            <w:shd w:val="clear" w:color="auto" w:fill="auto"/>
            <w:noWrap/>
            <w:vAlign w:val="center"/>
            <w:hideMark/>
          </w:tcPr>
          <w:p w14:paraId="402FC7B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6,50%</w:t>
            </w:r>
          </w:p>
        </w:tc>
        <w:tc>
          <w:tcPr>
            <w:tcW w:w="1274" w:type="dxa"/>
            <w:vMerge/>
            <w:tcBorders>
              <w:top w:val="nil"/>
              <w:left w:val="nil"/>
              <w:bottom w:val="single" w:sz="4" w:space="0" w:color="000000"/>
              <w:right w:val="nil"/>
            </w:tcBorders>
            <w:vAlign w:val="center"/>
            <w:hideMark/>
          </w:tcPr>
          <w:p w14:paraId="040D91C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2DFBBC7" w14:textId="77777777" w:rsidTr="00377237">
        <w:trPr>
          <w:trHeight w:val="310"/>
        </w:trPr>
        <w:tc>
          <w:tcPr>
            <w:tcW w:w="1444" w:type="dxa"/>
            <w:tcBorders>
              <w:top w:val="nil"/>
              <w:left w:val="nil"/>
              <w:bottom w:val="nil"/>
              <w:right w:val="nil"/>
            </w:tcBorders>
            <w:shd w:val="clear" w:color="auto" w:fill="auto"/>
            <w:noWrap/>
            <w:vAlign w:val="center"/>
            <w:hideMark/>
          </w:tcPr>
          <w:p w14:paraId="2499AB9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Rep. de Moldova</w:t>
            </w:r>
          </w:p>
        </w:tc>
        <w:tc>
          <w:tcPr>
            <w:tcW w:w="1108" w:type="dxa"/>
            <w:tcBorders>
              <w:top w:val="nil"/>
              <w:left w:val="nil"/>
              <w:bottom w:val="nil"/>
              <w:right w:val="nil"/>
            </w:tcBorders>
            <w:shd w:val="clear" w:color="auto" w:fill="auto"/>
            <w:noWrap/>
            <w:vAlign w:val="center"/>
            <w:hideMark/>
          </w:tcPr>
          <w:p w14:paraId="3659036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FE4FCD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175</w:t>
            </w:r>
          </w:p>
        </w:tc>
        <w:tc>
          <w:tcPr>
            <w:tcW w:w="1701" w:type="dxa"/>
            <w:tcBorders>
              <w:top w:val="nil"/>
              <w:left w:val="nil"/>
              <w:bottom w:val="nil"/>
              <w:right w:val="nil"/>
            </w:tcBorders>
            <w:shd w:val="clear" w:color="auto" w:fill="auto"/>
            <w:noWrap/>
            <w:vAlign w:val="center"/>
            <w:hideMark/>
          </w:tcPr>
          <w:p w14:paraId="5EC5475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1.765</w:t>
            </w:r>
          </w:p>
        </w:tc>
        <w:tc>
          <w:tcPr>
            <w:tcW w:w="1560" w:type="dxa"/>
            <w:tcBorders>
              <w:top w:val="nil"/>
              <w:left w:val="nil"/>
              <w:bottom w:val="nil"/>
              <w:right w:val="nil"/>
            </w:tcBorders>
            <w:shd w:val="clear" w:color="auto" w:fill="auto"/>
            <w:noWrap/>
            <w:vAlign w:val="center"/>
            <w:hideMark/>
          </w:tcPr>
          <w:p w14:paraId="514F5A2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9,89%</w:t>
            </w:r>
          </w:p>
        </w:tc>
        <w:tc>
          <w:tcPr>
            <w:tcW w:w="1274" w:type="dxa"/>
            <w:vMerge w:val="restart"/>
            <w:tcBorders>
              <w:top w:val="nil"/>
              <w:left w:val="nil"/>
              <w:bottom w:val="single" w:sz="4" w:space="0" w:color="000000"/>
              <w:right w:val="nil"/>
            </w:tcBorders>
            <w:shd w:val="clear" w:color="auto" w:fill="auto"/>
            <w:noWrap/>
            <w:vAlign w:val="center"/>
            <w:hideMark/>
          </w:tcPr>
          <w:p w14:paraId="6C4374A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28,80%</w:t>
            </w:r>
          </w:p>
        </w:tc>
      </w:tr>
      <w:tr w:rsidR="001579BE" w:rsidRPr="00A947EA" w14:paraId="1EE6A6C9"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C33C4A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Rep. de Moldova</w:t>
            </w:r>
          </w:p>
        </w:tc>
        <w:tc>
          <w:tcPr>
            <w:tcW w:w="1108" w:type="dxa"/>
            <w:tcBorders>
              <w:top w:val="nil"/>
              <w:left w:val="nil"/>
              <w:bottom w:val="single" w:sz="4" w:space="0" w:color="auto"/>
              <w:right w:val="nil"/>
            </w:tcBorders>
            <w:shd w:val="clear" w:color="auto" w:fill="auto"/>
            <w:noWrap/>
            <w:vAlign w:val="center"/>
            <w:hideMark/>
          </w:tcPr>
          <w:p w14:paraId="390BB17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0A37BD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334</w:t>
            </w:r>
          </w:p>
        </w:tc>
        <w:tc>
          <w:tcPr>
            <w:tcW w:w="1701" w:type="dxa"/>
            <w:tcBorders>
              <w:top w:val="nil"/>
              <w:left w:val="nil"/>
              <w:bottom w:val="single" w:sz="4" w:space="0" w:color="auto"/>
              <w:right w:val="nil"/>
            </w:tcBorders>
            <w:shd w:val="clear" w:color="auto" w:fill="auto"/>
            <w:noWrap/>
            <w:vAlign w:val="center"/>
            <w:hideMark/>
          </w:tcPr>
          <w:p w14:paraId="6AD3CD7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1.765</w:t>
            </w:r>
          </w:p>
        </w:tc>
        <w:tc>
          <w:tcPr>
            <w:tcW w:w="1560" w:type="dxa"/>
            <w:tcBorders>
              <w:top w:val="nil"/>
              <w:left w:val="nil"/>
              <w:bottom w:val="single" w:sz="4" w:space="0" w:color="auto"/>
              <w:right w:val="nil"/>
            </w:tcBorders>
            <w:shd w:val="clear" w:color="auto" w:fill="auto"/>
            <w:noWrap/>
            <w:vAlign w:val="center"/>
            <w:hideMark/>
          </w:tcPr>
          <w:p w14:paraId="5A7F061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18,91%</w:t>
            </w:r>
          </w:p>
        </w:tc>
        <w:tc>
          <w:tcPr>
            <w:tcW w:w="1274" w:type="dxa"/>
            <w:vMerge/>
            <w:tcBorders>
              <w:top w:val="nil"/>
              <w:left w:val="nil"/>
              <w:bottom w:val="single" w:sz="4" w:space="0" w:color="000000"/>
              <w:right w:val="nil"/>
            </w:tcBorders>
            <w:vAlign w:val="center"/>
            <w:hideMark/>
          </w:tcPr>
          <w:p w14:paraId="56192D2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78205B4" w14:textId="77777777" w:rsidTr="00377237">
        <w:trPr>
          <w:trHeight w:val="310"/>
        </w:trPr>
        <w:tc>
          <w:tcPr>
            <w:tcW w:w="1444" w:type="dxa"/>
            <w:tcBorders>
              <w:top w:val="nil"/>
              <w:left w:val="nil"/>
              <w:bottom w:val="nil"/>
              <w:right w:val="nil"/>
            </w:tcBorders>
            <w:shd w:val="clear" w:color="auto" w:fill="auto"/>
            <w:noWrap/>
            <w:vAlign w:val="center"/>
            <w:hideMark/>
          </w:tcPr>
          <w:p w14:paraId="1199308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Rumania</w:t>
            </w:r>
          </w:p>
        </w:tc>
        <w:tc>
          <w:tcPr>
            <w:tcW w:w="1108" w:type="dxa"/>
            <w:tcBorders>
              <w:top w:val="nil"/>
              <w:left w:val="nil"/>
              <w:bottom w:val="nil"/>
              <w:right w:val="nil"/>
            </w:tcBorders>
            <w:shd w:val="clear" w:color="auto" w:fill="auto"/>
            <w:noWrap/>
            <w:vAlign w:val="center"/>
            <w:hideMark/>
          </w:tcPr>
          <w:p w14:paraId="3CE79E2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1CAA583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nil"/>
              <w:right w:val="nil"/>
            </w:tcBorders>
            <w:shd w:val="clear" w:color="auto" w:fill="auto"/>
            <w:noWrap/>
            <w:vAlign w:val="center"/>
            <w:hideMark/>
          </w:tcPr>
          <w:p w14:paraId="4E06217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953.125</w:t>
            </w:r>
          </w:p>
        </w:tc>
        <w:tc>
          <w:tcPr>
            <w:tcW w:w="1560" w:type="dxa"/>
            <w:tcBorders>
              <w:top w:val="nil"/>
              <w:left w:val="nil"/>
              <w:bottom w:val="nil"/>
              <w:right w:val="nil"/>
            </w:tcBorders>
            <w:shd w:val="clear" w:color="auto" w:fill="auto"/>
            <w:noWrap/>
            <w:vAlign w:val="center"/>
            <w:hideMark/>
          </w:tcPr>
          <w:p w14:paraId="5C3EF85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val="restart"/>
            <w:tcBorders>
              <w:top w:val="nil"/>
              <w:left w:val="nil"/>
              <w:bottom w:val="single" w:sz="4" w:space="0" w:color="000000"/>
              <w:right w:val="nil"/>
            </w:tcBorders>
            <w:shd w:val="clear" w:color="auto" w:fill="auto"/>
            <w:noWrap/>
            <w:vAlign w:val="center"/>
            <w:hideMark/>
          </w:tcPr>
          <w:p w14:paraId="76CA3C8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r>
      <w:tr w:rsidR="001579BE" w:rsidRPr="00A947EA" w14:paraId="7648E596"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221967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Rumania</w:t>
            </w:r>
          </w:p>
        </w:tc>
        <w:tc>
          <w:tcPr>
            <w:tcW w:w="1108" w:type="dxa"/>
            <w:tcBorders>
              <w:top w:val="nil"/>
              <w:left w:val="nil"/>
              <w:bottom w:val="single" w:sz="4" w:space="0" w:color="auto"/>
              <w:right w:val="nil"/>
            </w:tcBorders>
            <w:shd w:val="clear" w:color="auto" w:fill="auto"/>
            <w:noWrap/>
            <w:vAlign w:val="center"/>
            <w:hideMark/>
          </w:tcPr>
          <w:p w14:paraId="3D9554E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4E6F25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4AEAE37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953.125</w:t>
            </w:r>
          </w:p>
        </w:tc>
        <w:tc>
          <w:tcPr>
            <w:tcW w:w="1560" w:type="dxa"/>
            <w:tcBorders>
              <w:top w:val="nil"/>
              <w:left w:val="nil"/>
              <w:bottom w:val="single" w:sz="4" w:space="0" w:color="auto"/>
              <w:right w:val="nil"/>
            </w:tcBorders>
            <w:shd w:val="clear" w:color="auto" w:fill="auto"/>
            <w:noWrap/>
            <w:vAlign w:val="center"/>
            <w:hideMark/>
          </w:tcPr>
          <w:p w14:paraId="302453F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vMerge/>
            <w:tcBorders>
              <w:top w:val="nil"/>
              <w:left w:val="nil"/>
              <w:bottom w:val="single" w:sz="4" w:space="0" w:color="000000"/>
              <w:right w:val="nil"/>
            </w:tcBorders>
            <w:vAlign w:val="center"/>
            <w:hideMark/>
          </w:tcPr>
          <w:p w14:paraId="7CB63CD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122072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59C917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Ruanda</w:t>
            </w:r>
          </w:p>
        </w:tc>
        <w:tc>
          <w:tcPr>
            <w:tcW w:w="1108" w:type="dxa"/>
            <w:tcBorders>
              <w:top w:val="nil"/>
              <w:left w:val="nil"/>
              <w:bottom w:val="single" w:sz="4" w:space="0" w:color="auto"/>
              <w:right w:val="nil"/>
            </w:tcBorders>
            <w:shd w:val="clear" w:color="auto" w:fill="auto"/>
            <w:noWrap/>
            <w:vAlign w:val="center"/>
            <w:hideMark/>
          </w:tcPr>
          <w:p w14:paraId="42858AA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825DFC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95.329</w:t>
            </w:r>
          </w:p>
        </w:tc>
        <w:tc>
          <w:tcPr>
            <w:tcW w:w="1701" w:type="dxa"/>
            <w:tcBorders>
              <w:top w:val="nil"/>
              <w:left w:val="nil"/>
              <w:bottom w:val="single" w:sz="4" w:space="0" w:color="auto"/>
              <w:right w:val="nil"/>
            </w:tcBorders>
            <w:shd w:val="clear" w:color="auto" w:fill="auto"/>
            <w:noWrap/>
            <w:vAlign w:val="center"/>
            <w:hideMark/>
          </w:tcPr>
          <w:p w14:paraId="0006690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171.914</w:t>
            </w:r>
          </w:p>
        </w:tc>
        <w:tc>
          <w:tcPr>
            <w:tcW w:w="1560" w:type="dxa"/>
            <w:tcBorders>
              <w:top w:val="nil"/>
              <w:left w:val="nil"/>
              <w:bottom w:val="single" w:sz="4" w:space="0" w:color="auto"/>
              <w:right w:val="nil"/>
            </w:tcBorders>
            <w:shd w:val="clear" w:color="auto" w:fill="auto"/>
            <w:noWrap/>
            <w:vAlign w:val="center"/>
            <w:hideMark/>
          </w:tcPr>
          <w:p w14:paraId="10F6F61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55,45%</w:t>
            </w:r>
          </w:p>
        </w:tc>
        <w:tc>
          <w:tcPr>
            <w:tcW w:w="1274" w:type="dxa"/>
            <w:tcBorders>
              <w:top w:val="nil"/>
              <w:left w:val="nil"/>
              <w:bottom w:val="single" w:sz="4" w:space="0" w:color="auto"/>
              <w:right w:val="nil"/>
            </w:tcBorders>
            <w:shd w:val="clear" w:color="auto" w:fill="auto"/>
            <w:noWrap/>
            <w:vAlign w:val="center"/>
            <w:hideMark/>
          </w:tcPr>
          <w:p w14:paraId="6D4AFEE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55,45%</w:t>
            </w:r>
          </w:p>
        </w:tc>
      </w:tr>
      <w:tr w:rsidR="001579BE" w:rsidRPr="00A947EA" w14:paraId="10F6102F" w14:textId="77777777" w:rsidTr="00377237">
        <w:trPr>
          <w:trHeight w:val="310"/>
        </w:trPr>
        <w:tc>
          <w:tcPr>
            <w:tcW w:w="1444" w:type="dxa"/>
            <w:tcBorders>
              <w:top w:val="nil"/>
              <w:left w:val="nil"/>
              <w:bottom w:val="nil"/>
              <w:right w:val="nil"/>
            </w:tcBorders>
            <w:shd w:val="clear" w:color="auto" w:fill="auto"/>
            <w:noWrap/>
            <w:vAlign w:val="center"/>
            <w:hideMark/>
          </w:tcPr>
          <w:p w14:paraId="4178669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Arabia Saudí</w:t>
            </w:r>
          </w:p>
        </w:tc>
        <w:tc>
          <w:tcPr>
            <w:tcW w:w="1108" w:type="dxa"/>
            <w:tcBorders>
              <w:top w:val="nil"/>
              <w:left w:val="nil"/>
              <w:bottom w:val="nil"/>
              <w:right w:val="nil"/>
            </w:tcBorders>
            <w:shd w:val="clear" w:color="auto" w:fill="auto"/>
            <w:noWrap/>
            <w:vAlign w:val="center"/>
            <w:hideMark/>
          </w:tcPr>
          <w:p w14:paraId="4303799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75CFA3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426.935</w:t>
            </w:r>
          </w:p>
        </w:tc>
        <w:tc>
          <w:tcPr>
            <w:tcW w:w="1701" w:type="dxa"/>
            <w:tcBorders>
              <w:top w:val="nil"/>
              <w:left w:val="nil"/>
              <w:bottom w:val="nil"/>
              <w:right w:val="nil"/>
            </w:tcBorders>
            <w:shd w:val="clear" w:color="auto" w:fill="auto"/>
            <w:noWrap/>
            <w:vAlign w:val="center"/>
            <w:hideMark/>
          </w:tcPr>
          <w:p w14:paraId="44F8C23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2.277.222</w:t>
            </w:r>
          </w:p>
        </w:tc>
        <w:tc>
          <w:tcPr>
            <w:tcW w:w="1560" w:type="dxa"/>
            <w:tcBorders>
              <w:top w:val="nil"/>
              <w:left w:val="nil"/>
              <w:bottom w:val="nil"/>
              <w:right w:val="nil"/>
            </w:tcBorders>
            <w:shd w:val="clear" w:color="auto" w:fill="auto"/>
            <w:noWrap/>
            <w:vAlign w:val="center"/>
            <w:hideMark/>
          </w:tcPr>
          <w:p w14:paraId="163F798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18,75%</w:t>
            </w:r>
          </w:p>
        </w:tc>
        <w:tc>
          <w:tcPr>
            <w:tcW w:w="1274" w:type="dxa"/>
            <w:vMerge w:val="restart"/>
            <w:tcBorders>
              <w:top w:val="nil"/>
              <w:left w:val="nil"/>
              <w:bottom w:val="single" w:sz="4" w:space="0" w:color="000000"/>
              <w:right w:val="nil"/>
            </w:tcBorders>
            <w:shd w:val="clear" w:color="auto" w:fill="auto"/>
            <w:noWrap/>
            <w:vAlign w:val="center"/>
            <w:hideMark/>
          </w:tcPr>
          <w:p w14:paraId="1C26A0D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18,75%</w:t>
            </w:r>
          </w:p>
        </w:tc>
      </w:tr>
      <w:tr w:rsidR="001579BE" w:rsidRPr="00A947EA" w14:paraId="395AD813"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AD7A30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Arabia Saudí</w:t>
            </w:r>
          </w:p>
        </w:tc>
        <w:tc>
          <w:tcPr>
            <w:tcW w:w="1108" w:type="dxa"/>
            <w:tcBorders>
              <w:top w:val="nil"/>
              <w:left w:val="nil"/>
              <w:bottom w:val="single" w:sz="4" w:space="0" w:color="auto"/>
              <w:right w:val="nil"/>
            </w:tcBorders>
            <w:shd w:val="clear" w:color="auto" w:fill="auto"/>
            <w:noWrap/>
            <w:vAlign w:val="center"/>
            <w:hideMark/>
          </w:tcPr>
          <w:p w14:paraId="4D95459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29B7EB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489.160</w:t>
            </w:r>
          </w:p>
        </w:tc>
        <w:tc>
          <w:tcPr>
            <w:tcW w:w="1701" w:type="dxa"/>
            <w:tcBorders>
              <w:top w:val="nil"/>
              <w:left w:val="nil"/>
              <w:bottom w:val="single" w:sz="4" w:space="0" w:color="auto"/>
              <w:right w:val="nil"/>
            </w:tcBorders>
            <w:shd w:val="clear" w:color="auto" w:fill="auto"/>
            <w:noWrap/>
            <w:vAlign w:val="center"/>
            <w:hideMark/>
          </w:tcPr>
          <w:p w14:paraId="5259B3B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2.277.222</w:t>
            </w:r>
          </w:p>
        </w:tc>
        <w:tc>
          <w:tcPr>
            <w:tcW w:w="1560" w:type="dxa"/>
            <w:tcBorders>
              <w:top w:val="nil"/>
              <w:left w:val="nil"/>
              <w:bottom w:val="single" w:sz="4" w:space="0" w:color="auto"/>
              <w:right w:val="nil"/>
            </w:tcBorders>
            <w:shd w:val="clear" w:color="auto" w:fill="auto"/>
            <w:noWrap/>
            <w:vAlign w:val="center"/>
            <w:hideMark/>
          </w:tcPr>
          <w:p w14:paraId="5650169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21,48%</w:t>
            </w:r>
          </w:p>
        </w:tc>
        <w:tc>
          <w:tcPr>
            <w:tcW w:w="1274" w:type="dxa"/>
            <w:vMerge/>
            <w:tcBorders>
              <w:top w:val="nil"/>
              <w:left w:val="nil"/>
              <w:bottom w:val="single" w:sz="4" w:space="0" w:color="000000"/>
              <w:right w:val="nil"/>
            </w:tcBorders>
            <w:vAlign w:val="center"/>
            <w:hideMark/>
          </w:tcPr>
          <w:p w14:paraId="5980B2D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591E8A08" w14:textId="77777777" w:rsidTr="00377237">
        <w:trPr>
          <w:trHeight w:val="310"/>
        </w:trPr>
        <w:tc>
          <w:tcPr>
            <w:tcW w:w="1444" w:type="dxa"/>
            <w:tcBorders>
              <w:top w:val="nil"/>
              <w:left w:val="nil"/>
              <w:bottom w:val="nil"/>
              <w:right w:val="nil"/>
            </w:tcBorders>
            <w:shd w:val="clear" w:color="auto" w:fill="auto"/>
            <w:noWrap/>
            <w:vAlign w:val="center"/>
            <w:hideMark/>
          </w:tcPr>
          <w:p w14:paraId="6D201A2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Senegal</w:t>
            </w:r>
          </w:p>
        </w:tc>
        <w:tc>
          <w:tcPr>
            <w:tcW w:w="1108" w:type="dxa"/>
            <w:tcBorders>
              <w:top w:val="nil"/>
              <w:left w:val="nil"/>
              <w:bottom w:val="nil"/>
              <w:right w:val="nil"/>
            </w:tcBorders>
            <w:shd w:val="clear" w:color="auto" w:fill="auto"/>
            <w:noWrap/>
            <w:vAlign w:val="center"/>
            <w:hideMark/>
          </w:tcPr>
          <w:p w14:paraId="0399494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2A9CF84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410.249</w:t>
            </w:r>
          </w:p>
        </w:tc>
        <w:tc>
          <w:tcPr>
            <w:tcW w:w="1701" w:type="dxa"/>
            <w:tcBorders>
              <w:top w:val="nil"/>
              <w:left w:val="nil"/>
              <w:bottom w:val="nil"/>
              <w:right w:val="nil"/>
            </w:tcBorders>
            <w:shd w:val="clear" w:color="auto" w:fill="auto"/>
            <w:noWrap/>
            <w:vAlign w:val="center"/>
            <w:hideMark/>
          </w:tcPr>
          <w:p w14:paraId="62EE245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753.807</w:t>
            </w:r>
          </w:p>
        </w:tc>
        <w:tc>
          <w:tcPr>
            <w:tcW w:w="1560" w:type="dxa"/>
            <w:tcBorders>
              <w:top w:val="nil"/>
              <w:left w:val="nil"/>
              <w:bottom w:val="nil"/>
              <w:right w:val="nil"/>
            </w:tcBorders>
            <w:shd w:val="clear" w:color="auto" w:fill="auto"/>
            <w:noWrap/>
            <w:vAlign w:val="center"/>
            <w:hideMark/>
          </w:tcPr>
          <w:p w14:paraId="64F6232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54,42%</w:t>
            </w:r>
          </w:p>
        </w:tc>
        <w:tc>
          <w:tcPr>
            <w:tcW w:w="1274" w:type="dxa"/>
            <w:vMerge w:val="restart"/>
            <w:tcBorders>
              <w:top w:val="nil"/>
              <w:left w:val="nil"/>
              <w:bottom w:val="single" w:sz="4" w:space="0" w:color="000000"/>
              <w:right w:val="nil"/>
            </w:tcBorders>
            <w:shd w:val="clear" w:color="auto" w:fill="auto"/>
            <w:noWrap/>
            <w:vAlign w:val="center"/>
            <w:hideMark/>
          </w:tcPr>
          <w:p w14:paraId="51AF9CC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55,48%</w:t>
            </w:r>
          </w:p>
        </w:tc>
      </w:tr>
      <w:tr w:rsidR="001579BE" w:rsidRPr="00A947EA" w14:paraId="5067C4FB"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3A24BE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Senegal</w:t>
            </w:r>
          </w:p>
        </w:tc>
        <w:tc>
          <w:tcPr>
            <w:tcW w:w="1108" w:type="dxa"/>
            <w:tcBorders>
              <w:top w:val="nil"/>
              <w:left w:val="nil"/>
              <w:bottom w:val="single" w:sz="4" w:space="0" w:color="auto"/>
              <w:right w:val="nil"/>
            </w:tcBorders>
            <w:shd w:val="clear" w:color="auto" w:fill="auto"/>
            <w:noWrap/>
            <w:vAlign w:val="center"/>
            <w:hideMark/>
          </w:tcPr>
          <w:p w14:paraId="044654C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92E2B4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8.000</w:t>
            </w:r>
          </w:p>
        </w:tc>
        <w:tc>
          <w:tcPr>
            <w:tcW w:w="1701" w:type="dxa"/>
            <w:tcBorders>
              <w:top w:val="nil"/>
              <w:left w:val="nil"/>
              <w:bottom w:val="single" w:sz="4" w:space="0" w:color="auto"/>
              <w:right w:val="nil"/>
            </w:tcBorders>
            <w:shd w:val="clear" w:color="auto" w:fill="auto"/>
            <w:noWrap/>
            <w:vAlign w:val="center"/>
            <w:hideMark/>
          </w:tcPr>
          <w:p w14:paraId="1B403C3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753.807</w:t>
            </w:r>
          </w:p>
        </w:tc>
        <w:tc>
          <w:tcPr>
            <w:tcW w:w="1560" w:type="dxa"/>
            <w:tcBorders>
              <w:top w:val="nil"/>
              <w:left w:val="nil"/>
              <w:bottom w:val="single" w:sz="4" w:space="0" w:color="auto"/>
              <w:right w:val="nil"/>
            </w:tcBorders>
            <w:shd w:val="clear" w:color="auto" w:fill="auto"/>
            <w:noWrap/>
            <w:vAlign w:val="center"/>
            <w:hideMark/>
          </w:tcPr>
          <w:p w14:paraId="0A52942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1,06%</w:t>
            </w:r>
          </w:p>
        </w:tc>
        <w:tc>
          <w:tcPr>
            <w:tcW w:w="1274" w:type="dxa"/>
            <w:vMerge/>
            <w:tcBorders>
              <w:top w:val="nil"/>
              <w:left w:val="nil"/>
              <w:bottom w:val="single" w:sz="4" w:space="0" w:color="000000"/>
              <w:right w:val="nil"/>
            </w:tcBorders>
            <w:vAlign w:val="center"/>
            <w:hideMark/>
          </w:tcPr>
          <w:p w14:paraId="1D0B2A7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7700850E" w14:textId="77777777" w:rsidTr="00377237">
        <w:trPr>
          <w:trHeight w:val="310"/>
        </w:trPr>
        <w:tc>
          <w:tcPr>
            <w:tcW w:w="1444" w:type="dxa"/>
            <w:tcBorders>
              <w:top w:val="nil"/>
              <w:left w:val="nil"/>
              <w:bottom w:val="nil"/>
              <w:right w:val="nil"/>
            </w:tcBorders>
            <w:shd w:val="clear" w:color="auto" w:fill="auto"/>
            <w:noWrap/>
            <w:vAlign w:val="center"/>
            <w:hideMark/>
          </w:tcPr>
          <w:p w14:paraId="37FCB72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Serbia</w:t>
            </w:r>
          </w:p>
        </w:tc>
        <w:tc>
          <w:tcPr>
            <w:tcW w:w="1108" w:type="dxa"/>
            <w:tcBorders>
              <w:top w:val="nil"/>
              <w:left w:val="nil"/>
              <w:bottom w:val="nil"/>
              <w:right w:val="nil"/>
            </w:tcBorders>
            <w:shd w:val="clear" w:color="auto" w:fill="auto"/>
            <w:noWrap/>
            <w:vAlign w:val="center"/>
            <w:hideMark/>
          </w:tcPr>
          <w:p w14:paraId="750B81E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58344D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63</w:t>
            </w:r>
          </w:p>
        </w:tc>
        <w:tc>
          <w:tcPr>
            <w:tcW w:w="1701" w:type="dxa"/>
            <w:tcBorders>
              <w:top w:val="nil"/>
              <w:left w:val="nil"/>
              <w:bottom w:val="nil"/>
              <w:right w:val="nil"/>
            </w:tcBorders>
            <w:shd w:val="clear" w:color="auto" w:fill="auto"/>
            <w:noWrap/>
            <w:vAlign w:val="center"/>
            <w:hideMark/>
          </w:tcPr>
          <w:p w14:paraId="27F603A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1.398</w:t>
            </w:r>
          </w:p>
        </w:tc>
        <w:tc>
          <w:tcPr>
            <w:tcW w:w="1560" w:type="dxa"/>
            <w:tcBorders>
              <w:top w:val="nil"/>
              <w:left w:val="nil"/>
              <w:bottom w:val="nil"/>
              <w:right w:val="nil"/>
            </w:tcBorders>
            <w:shd w:val="clear" w:color="auto" w:fill="auto"/>
            <w:noWrap/>
            <w:vAlign w:val="center"/>
            <w:hideMark/>
          </w:tcPr>
          <w:p w14:paraId="23F6823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4,54%</w:t>
            </w:r>
          </w:p>
        </w:tc>
        <w:tc>
          <w:tcPr>
            <w:tcW w:w="1274" w:type="dxa"/>
            <w:vMerge w:val="restart"/>
            <w:tcBorders>
              <w:top w:val="nil"/>
              <w:left w:val="nil"/>
              <w:bottom w:val="single" w:sz="4" w:space="0" w:color="000000"/>
              <w:right w:val="nil"/>
            </w:tcBorders>
            <w:shd w:val="clear" w:color="auto" w:fill="auto"/>
            <w:noWrap/>
            <w:vAlign w:val="center"/>
            <w:hideMark/>
          </w:tcPr>
          <w:p w14:paraId="42EF724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4,89%</w:t>
            </w:r>
          </w:p>
        </w:tc>
      </w:tr>
      <w:tr w:rsidR="001579BE" w:rsidRPr="00A947EA" w14:paraId="28759E0B"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9FD53C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Serbia</w:t>
            </w:r>
          </w:p>
        </w:tc>
        <w:tc>
          <w:tcPr>
            <w:tcW w:w="1108" w:type="dxa"/>
            <w:tcBorders>
              <w:top w:val="nil"/>
              <w:left w:val="nil"/>
              <w:bottom w:val="single" w:sz="4" w:space="0" w:color="auto"/>
              <w:right w:val="nil"/>
            </w:tcBorders>
            <w:shd w:val="clear" w:color="auto" w:fill="auto"/>
            <w:noWrap/>
            <w:vAlign w:val="center"/>
            <w:hideMark/>
          </w:tcPr>
          <w:p w14:paraId="3685116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9FA6BA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w:t>
            </w:r>
          </w:p>
        </w:tc>
        <w:tc>
          <w:tcPr>
            <w:tcW w:w="1701" w:type="dxa"/>
            <w:tcBorders>
              <w:top w:val="nil"/>
              <w:left w:val="nil"/>
              <w:bottom w:val="single" w:sz="4" w:space="0" w:color="auto"/>
              <w:right w:val="nil"/>
            </w:tcBorders>
            <w:shd w:val="clear" w:color="auto" w:fill="auto"/>
            <w:noWrap/>
            <w:vAlign w:val="center"/>
            <w:hideMark/>
          </w:tcPr>
          <w:p w14:paraId="07008C1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1.398</w:t>
            </w:r>
          </w:p>
        </w:tc>
        <w:tc>
          <w:tcPr>
            <w:tcW w:w="1560" w:type="dxa"/>
            <w:tcBorders>
              <w:top w:val="nil"/>
              <w:left w:val="nil"/>
              <w:bottom w:val="single" w:sz="4" w:space="0" w:color="auto"/>
              <w:right w:val="nil"/>
            </w:tcBorders>
            <w:shd w:val="clear" w:color="auto" w:fill="auto"/>
            <w:noWrap/>
            <w:vAlign w:val="center"/>
            <w:hideMark/>
          </w:tcPr>
          <w:p w14:paraId="3B0BC89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0,36%</w:t>
            </w:r>
          </w:p>
        </w:tc>
        <w:tc>
          <w:tcPr>
            <w:tcW w:w="1274" w:type="dxa"/>
            <w:vMerge/>
            <w:tcBorders>
              <w:top w:val="nil"/>
              <w:left w:val="nil"/>
              <w:bottom w:val="single" w:sz="4" w:space="0" w:color="000000"/>
              <w:right w:val="nil"/>
            </w:tcBorders>
            <w:vAlign w:val="center"/>
            <w:hideMark/>
          </w:tcPr>
          <w:p w14:paraId="4E1C22F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951BAF3"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33CD6B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Sudáfrica</w:t>
            </w:r>
          </w:p>
        </w:tc>
        <w:tc>
          <w:tcPr>
            <w:tcW w:w="1108" w:type="dxa"/>
            <w:tcBorders>
              <w:top w:val="nil"/>
              <w:left w:val="nil"/>
              <w:bottom w:val="single" w:sz="4" w:space="0" w:color="auto"/>
              <w:right w:val="nil"/>
            </w:tcBorders>
            <w:shd w:val="clear" w:color="auto" w:fill="auto"/>
            <w:noWrap/>
            <w:vAlign w:val="center"/>
            <w:hideMark/>
          </w:tcPr>
          <w:p w14:paraId="10056E8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B6E71F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123.740</w:t>
            </w:r>
          </w:p>
        </w:tc>
        <w:tc>
          <w:tcPr>
            <w:tcW w:w="1701" w:type="dxa"/>
            <w:tcBorders>
              <w:top w:val="nil"/>
              <w:left w:val="nil"/>
              <w:bottom w:val="single" w:sz="4" w:space="0" w:color="auto"/>
              <w:right w:val="nil"/>
            </w:tcBorders>
            <w:shd w:val="clear" w:color="auto" w:fill="auto"/>
            <w:noWrap/>
            <w:vAlign w:val="center"/>
            <w:hideMark/>
          </w:tcPr>
          <w:p w14:paraId="17179FD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1.710.589</w:t>
            </w:r>
          </w:p>
        </w:tc>
        <w:tc>
          <w:tcPr>
            <w:tcW w:w="1560" w:type="dxa"/>
            <w:tcBorders>
              <w:top w:val="nil"/>
              <w:left w:val="nil"/>
              <w:bottom w:val="single" w:sz="4" w:space="0" w:color="auto"/>
              <w:right w:val="nil"/>
            </w:tcBorders>
            <w:shd w:val="clear" w:color="auto" w:fill="auto"/>
            <w:noWrap/>
            <w:vAlign w:val="center"/>
            <w:hideMark/>
          </w:tcPr>
          <w:p w14:paraId="005B1BE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7,23%</w:t>
            </w:r>
          </w:p>
        </w:tc>
        <w:tc>
          <w:tcPr>
            <w:tcW w:w="1274" w:type="dxa"/>
            <w:tcBorders>
              <w:top w:val="nil"/>
              <w:left w:val="nil"/>
              <w:bottom w:val="single" w:sz="4" w:space="0" w:color="auto"/>
              <w:right w:val="nil"/>
            </w:tcBorders>
            <w:shd w:val="clear" w:color="auto" w:fill="auto"/>
            <w:noWrap/>
            <w:vAlign w:val="center"/>
            <w:hideMark/>
          </w:tcPr>
          <w:p w14:paraId="4249190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7,23%</w:t>
            </w:r>
          </w:p>
        </w:tc>
      </w:tr>
      <w:tr w:rsidR="001579BE" w:rsidRPr="00A947EA" w14:paraId="626AA81F" w14:textId="77777777" w:rsidTr="00377237">
        <w:trPr>
          <w:trHeight w:val="310"/>
        </w:trPr>
        <w:tc>
          <w:tcPr>
            <w:tcW w:w="1444" w:type="dxa"/>
            <w:tcBorders>
              <w:top w:val="nil"/>
              <w:left w:val="nil"/>
              <w:bottom w:val="nil"/>
              <w:right w:val="nil"/>
            </w:tcBorders>
            <w:shd w:val="clear" w:color="auto" w:fill="auto"/>
            <w:noWrap/>
            <w:vAlign w:val="center"/>
            <w:hideMark/>
          </w:tcPr>
          <w:p w14:paraId="1F7DADE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España</w:t>
            </w:r>
          </w:p>
        </w:tc>
        <w:tc>
          <w:tcPr>
            <w:tcW w:w="1108" w:type="dxa"/>
            <w:tcBorders>
              <w:top w:val="nil"/>
              <w:left w:val="nil"/>
              <w:bottom w:val="nil"/>
              <w:right w:val="nil"/>
            </w:tcBorders>
            <w:shd w:val="clear" w:color="auto" w:fill="auto"/>
            <w:noWrap/>
            <w:vAlign w:val="center"/>
            <w:hideMark/>
          </w:tcPr>
          <w:p w14:paraId="3384740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B63B12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64.663</w:t>
            </w:r>
          </w:p>
        </w:tc>
        <w:tc>
          <w:tcPr>
            <w:tcW w:w="1701" w:type="dxa"/>
            <w:tcBorders>
              <w:top w:val="nil"/>
              <w:left w:val="nil"/>
              <w:bottom w:val="nil"/>
              <w:right w:val="nil"/>
            </w:tcBorders>
            <w:shd w:val="clear" w:color="auto" w:fill="auto"/>
            <w:noWrap/>
            <w:vAlign w:val="center"/>
            <w:hideMark/>
          </w:tcPr>
          <w:p w14:paraId="3A8F9D4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4.017.658</w:t>
            </w:r>
          </w:p>
        </w:tc>
        <w:tc>
          <w:tcPr>
            <w:tcW w:w="1560" w:type="dxa"/>
            <w:tcBorders>
              <w:top w:val="nil"/>
              <w:left w:val="nil"/>
              <w:bottom w:val="nil"/>
              <w:right w:val="nil"/>
            </w:tcBorders>
            <w:shd w:val="clear" w:color="auto" w:fill="auto"/>
            <w:noWrap/>
            <w:vAlign w:val="center"/>
            <w:hideMark/>
          </w:tcPr>
          <w:p w14:paraId="32926A1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1,61%</w:t>
            </w:r>
          </w:p>
        </w:tc>
        <w:tc>
          <w:tcPr>
            <w:tcW w:w="1274" w:type="dxa"/>
            <w:vMerge w:val="restart"/>
            <w:tcBorders>
              <w:top w:val="nil"/>
              <w:left w:val="nil"/>
              <w:bottom w:val="single" w:sz="4" w:space="0" w:color="000000"/>
              <w:right w:val="nil"/>
            </w:tcBorders>
            <w:shd w:val="clear" w:color="auto" w:fill="auto"/>
            <w:noWrap/>
            <w:vAlign w:val="center"/>
            <w:hideMark/>
          </w:tcPr>
          <w:p w14:paraId="35FDBDE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3,34%</w:t>
            </w:r>
          </w:p>
        </w:tc>
      </w:tr>
      <w:tr w:rsidR="001579BE" w:rsidRPr="00A947EA" w14:paraId="5E40351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30C0945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España</w:t>
            </w:r>
          </w:p>
        </w:tc>
        <w:tc>
          <w:tcPr>
            <w:tcW w:w="1108" w:type="dxa"/>
            <w:tcBorders>
              <w:top w:val="nil"/>
              <w:left w:val="nil"/>
              <w:bottom w:val="single" w:sz="4" w:space="0" w:color="auto"/>
              <w:right w:val="nil"/>
            </w:tcBorders>
            <w:shd w:val="clear" w:color="auto" w:fill="auto"/>
            <w:noWrap/>
            <w:vAlign w:val="center"/>
            <w:hideMark/>
          </w:tcPr>
          <w:p w14:paraId="67088B3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DD208E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69.507</w:t>
            </w:r>
          </w:p>
        </w:tc>
        <w:tc>
          <w:tcPr>
            <w:tcW w:w="1701" w:type="dxa"/>
            <w:tcBorders>
              <w:top w:val="nil"/>
              <w:left w:val="nil"/>
              <w:bottom w:val="single" w:sz="4" w:space="0" w:color="auto"/>
              <w:right w:val="nil"/>
            </w:tcBorders>
            <w:shd w:val="clear" w:color="auto" w:fill="auto"/>
            <w:noWrap/>
            <w:vAlign w:val="center"/>
            <w:hideMark/>
          </w:tcPr>
          <w:p w14:paraId="0DADA30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4.017.658</w:t>
            </w:r>
          </w:p>
        </w:tc>
        <w:tc>
          <w:tcPr>
            <w:tcW w:w="1560" w:type="dxa"/>
            <w:tcBorders>
              <w:top w:val="nil"/>
              <w:left w:val="nil"/>
              <w:bottom w:val="single" w:sz="4" w:space="0" w:color="auto"/>
              <w:right w:val="nil"/>
            </w:tcBorders>
            <w:shd w:val="clear" w:color="auto" w:fill="auto"/>
            <w:noWrap/>
            <w:vAlign w:val="center"/>
            <w:hideMark/>
          </w:tcPr>
          <w:p w14:paraId="5952F93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1,73%</w:t>
            </w:r>
          </w:p>
        </w:tc>
        <w:tc>
          <w:tcPr>
            <w:tcW w:w="1274" w:type="dxa"/>
            <w:vMerge/>
            <w:tcBorders>
              <w:top w:val="nil"/>
              <w:left w:val="nil"/>
              <w:bottom w:val="single" w:sz="4" w:space="0" w:color="000000"/>
              <w:right w:val="nil"/>
            </w:tcBorders>
            <w:vAlign w:val="center"/>
            <w:hideMark/>
          </w:tcPr>
          <w:p w14:paraId="5F30628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3E740864" w14:textId="77777777" w:rsidTr="00377237">
        <w:trPr>
          <w:trHeight w:val="310"/>
        </w:trPr>
        <w:tc>
          <w:tcPr>
            <w:tcW w:w="1444" w:type="dxa"/>
            <w:tcBorders>
              <w:top w:val="nil"/>
              <w:left w:val="nil"/>
              <w:bottom w:val="nil"/>
              <w:right w:val="nil"/>
            </w:tcBorders>
            <w:shd w:val="clear" w:color="auto" w:fill="auto"/>
            <w:noWrap/>
            <w:vAlign w:val="center"/>
            <w:hideMark/>
          </w:tcPr>
          <w:p w14:paraId="6042D7E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Sri Lanka</w:t>
            </w:r>
          </w:p>
        </w:tc>
        <w:tc>
          <w:tcPr>
            <w:tcW w:w="1108" w:type="dxa"/>
            <w:tcBorders>
              <w:top w:val="nil"/>
              <w:left w:val="nil"/>
              <w:bottom w:val="nil"/>
              <w:right w:val="nil"/>
            </w:tcBorders>
            <w:shd w:val="clear" w:color="auto" w:fill="auto"/>
            <w:noWrap/>
            <w:vAlign w:val="center"/>
            <w:hideMark/>
          </w:tcPr>
          <w:p w14:paraId="7F628DF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2EE1C8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61.368</w:t>
            </w:r>
          </w:p>
        </w:tc>
        <w:tc>
          <w:tcPr>
            <w:tcW w:w="1701" w:type="dxa"/>
            <w:tcBorders>
              <w:top w:val="nil"/>
              <w:left w:val="nil"/>
              <w:bottom w:val="nil"/>
              <w:right w:val="nil"/>
            </w:tcBorders>
            <w:shd w:val="clear" w:color="auto" w:fill="auto"/>
            <w:noWrap/>
            <w:vAlign w:val="center"/>
            <w:hideMark/>
          </w:tcPr>
          <w:p w14:paraId="03C8ECA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1.306.598</w:t>
            </w:r>
          </w:p>
        </w:tc>
        <w:tc>
          <w:tcPr>
            <w:tcW w:w="1560" w:type="dxa"/>
            <w:tcBorders>
              <w:top w:val="nil"/>
              <w:left w:val="nil"/>
              <w:bottom w:val="nil"/>
              <w:right w:val="nil"/>
            </w:tcBorders>
            <w:shd w:val="clear" w:color="auto" w:fill="auto"/>
            <w:noWrap/>
            <w:vAlign w:val="center"/>
            <w:hideMark/>
          </w:tcPr>
          <w:p w14:paraId="4E2C012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4,70%</w:t>
            </w:r>
          </w:p>
        </w:tc>
        <w:tc>
          <w:tcPr>
            <w:tcW w:w="1274" w:type="dxa"/>
            <w:vMerge w:val="restart"/>
            <w:tcBorders>
              <w:top w:val="nil"/>
              <w:left w:val="nil"/>
              <w:bottom w:val="single" w:sz="4" w:space="0" w:color="000000"/>
              <w:right w:val="nil"/>
            </w:tcBorders>
            <w:shd w:val="clear" w:color="auto" w:fill="auto"/>
            <w:noWrap/>
            <w:vAlign w:val="center"/>
            <w:hideMark/>
          </w:tcPr>
          <w:p w14:paraId="0934823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13,70%</w:t>
            </w:r>
          </w:p>
        </w:tc>
      </w:tr>
      <w:tr w:rsidR="001579BE" w:rsidRPr="00A947EA" w14:paraId="11B8B8F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472B5B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Sri Lanka</w:t>
            </w:r>
          </w:p>
        </w:tc>
        <w:tc>
          <w:tcPr>
            <w:tcW w:w="1108" w:type="dxa"/>
            <w:tcBorders>
              <w:top w:val="nil"/>
              <w:left w:val="nil"/>
              <w:bottom w:val="single" w:sz="4" w:space="0" w:color="auto"/>
              <w:right w:val="nil"/>
            </w:tcBorders>
            <w:shd w:val="clear" w:color="auto" w:fill="auto"/>
            <w:noWrap/>
            <w:vAlign w:val="center"/>
            <w:hideMark/>
          </w:tcPr>
          <w:p w14:paraId="3FB177E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651DDF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117.606</w:t>
            </w:r>
          </w:p>
        </w:tc>
        <w:tc>
          <w:tcPr>
            <w:tcW w:w="1701" w:type="dxa"/>
            <w:tcBorders>
              <w:top w:val="nil"/>
              <w:left w:val="nil"/>
              <w:bottom w:val="single" w:sz="4" w:space="0" w:color="auto"/>
              <w:right w:val="nil"/>
            </w:tcBorders>
            <w:shd w:val="clear" w:color="auto" w:fill="auto"/>
            <w:noWrap/>
            <w:vAlign w:val="center"/>
            <w:hideMark/>
          </w:tcPr>
          <w:p w14:paraId="5DBE238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1.306.598</w:t>
            </w:r>
          </w:p>
        </w:tc>
        <w:tc>
          <w:tcPr>
            <w:tcW w:w="1560" w:type="dxa"/>
            <w:tcBorders>
              <w:top w:val="nil"/>
              <w:left w:val="nil"/>
              <w:bottom w:val="single" w:sz="4" w:space="0" w:color="auto"/>
              <w:right w:val="nil"/>
            </w:tcBorders>
            <w:shd w:val="clear" w:color="auto" w:fill="auto"/>
            <w:noWrap/>
            <w:vAlign w:val="center"/>
            <w:hideMark/>
          </w:tcPr>
          <w:p w14:paraId="6265CC1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9,00%</w:t>
            </w:r>
          </w:p>
        </w:tc>
        <w:tc>
          <w:tcPr>
            <w:tcW w:w="1274" w:type="dxa"/>
            <w:vMerge/>
            <w:tcBorders>
              <w:top w:val="nil"/>
              <w:left w:val="nil"/>
              <w:bottom w:val="single" w:sz="4" w:space="0" w:color="000000"/>
              <w:right w:val="nil"/>
            </w:tcBorders>
            <w:vAlign w:val="center"/>
            <w:hideMark/>
          </w:tcPr>
          <w:p w14:paraId="76540E6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21EF061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69DB79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Suecia</w:t>
            </w:r>
          </w:p>
        </w:tc>
        <w:tc>
          <w:tcPr>
            <w:tcW w:w="1108" w:type="dxa"/>
            <w:tcBorders>
              <w:top w:val="nil"/>
              <w:left w:val="nil"/>
              <w:bottom w:val="single" w:sz="4" w:space="0" w:color="auto"/>
              <w:right w:val="nil"/>
            </w:tcBorders>
            <w:shd w:val="clear" w:color="auto" w:fill="auto"/>
            <w:noWrap/>
            <w:vAlign w:val="center"/>
            <w:hideMark/>
          </w:tcPr>
          <w:p w14:paraId="1B9A365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622761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7319918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47.330</w:t>
            </w:r>
          </w:p>
        </w:tc>
        <w:tc>
          <w:tcPr>
            <w:tcW w:w="1560" w:type="dxa"/>
            <w:tcBorders>
              <w:top w:val="nil"/>
              <w:left w:val="nil"/>
              <w:bottom w:val="single" w:sz="4" w:space="0" w:color="auto"/>
              <w:right w:val="nil"/>
            </w:tcBorders>
            <w:shd w:val="clear" w:color="auto" w:fill="auto"/>
            <w:noWrap/>
            <w:vAlign w:val="center"/>
            <w:hideMark/>
          </w:tcPr>
          <w:p w14:paraId="36F07F7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tcBorders>
              <w:top w:val="nil"/>
              <w:left w:val="nil"/>
              <w:bottom w:val="single" w:sz="4" w:space="0" w:color="auto"/>
              <w:right w:val="nil"/>
            </w:tcBorders>
            <w:shd w:val="clear" w:color="auto" w:fill="auto"/>
            <w:noWrap/>
            <w:vAlign w:val="center"/>
            <w:hideMark/>
          </w:tcPr>
          <w:p w14:paraId="4357FF6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r>
      <w:tr w:rsidR="001579BE" w:rsidRPr="00A947EA" w14:paraId="02A868C4" w14:textId="77777777" w:rsidTr="00377237">
        <w:trPr>
          <w:trHeight w:val="310"/>
        </w:trPr>
        <w:tc>
          <w:tcPr>
            <w:tcW w:w="1444" w:type="dxa"/>
            <w:tcBorders>
              <w:top w:val="nil"/>
              <w:left w:val="nil"/>
              <w:bottom w:val="nil"/>
              <w:right w:val="nil"/>
            </w:tcBorders>
            <w:shd w:val="clear" w:color="auto" w:fill="auto"/>
            <w:noWrap/>
            <w:vAlign w:val="center"/>
            <w:hideMark/>
          </w:tcPr>
          <w:p w14:paraId="69C86B4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Suiza</w:t>
            </w:r>
          </w:p>
        </w:tc>
        <w:tc>
          <w:tcPr>
            <w:tcW w:w="1108" w:type="dxa"/>
            <w:tcBorders>
              <w:top w:val="nil"/>
              <w:left w:val="nil"/>
              <w:bottom w:val="nil"/>
              <w:right w:val="nil"/>
            </w:tcBorders>
            <w:shd w:val="clear" w:color="auto" w:fill="auto"/>
            <w:noWrap/>
            <w:vAlign w:val="center"/>
            <w:hideMark/>
          </w:tcPr>
          <w:p w14:paraId="48C7757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nil"/>
              <w:right w:val="nil"/>
            </w:tcBorders>
            <w:shd w:val="clear" w:color="auto" w:fill="auto"/>
            <w:noWrap/>
            <w:vAlign w:val="center"/>
            <w:hideMark/>
          </w:tcPr>
          <w:p w14:paraId="26F2B37F"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2.459</w:t>
            </w:r>
          </w:p>
        </w:tc>
        <w:tc>
          <w:tcPr>
            <w:tcW w:w="1701" w:type="dxa"/>
            <w:tcBorders>
              <w:top w:val="nil"/>
              <w:left w:val="nil"/>
              <w:bottom w:val="nil"/>
              <w:right w:val="nil"/>
            </w:tcBorders>
            <w:shd w:val="clear" w:color="auto" w:fill="auto"/>
            <w:noWrap/>
            <w:vAlign w:val="center"/>
            <w:hideMark/>
          </w:tcPr>
          <w:p w14:paraId="47DCD16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427.813</w:t>
            </w:r>
          </w:p>
        </w:tc>
        <w:tc>
          <w:tcPr>
            <w:tcW w:w="1560" w:type="dxa"/>
            <w:tcBorders>
              <w:top w:val="nil"/>
              <w:left w:val="nil"/>
              <w:bottom w:val="nil"/>
              <w:right w:val="nil"/>
            </w:tcBorders>
            <w:shd w:val="clear" w:color="auto" w:fill="auto"/>
            <w:noWrap/>
            <w:vAlign w:val="center"/>
            <w:hideMark/>
          </w:tcPr>
          <w:p w14:paraId="7D59193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0,57%</w:t>
            </w:r>
          </w:p>
        </w:tc>
        <w:tc>
          <w:tcPr>
            <w:tcW w:w="1274" w:type="dxa"/>
            <w:tcBorders>
              <w:top w:val="nil"/>
              <w:left w:val="nil"/>
              <w:bottom w:val="nil"/>
              <w:right w:val="nil"/>
            </w:tcBorders>
            <w:shd w:val="clear" w:color="auto" w:fill="auto"/>
            <w:noWrap/>
            <w:vAlign w:val="center"/>
            <w:hideMark/>
          </w:tcPr>
          <w:p w14:paraId="5E29BF9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0,57%</w:t>
            </w:r>
          </w:p>
        </w:tc>
      </w:tr>
      <w:tr w:rsidR="001579BE" w:rsidRPr="00A947EA" w14:paraId="5EA74291"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1C7D74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Tayikistán</w:t>
            </w:r>
          </w:p>
        </w:tc>
        <w:tc>
          <w:tcPr>
            <w:tcW w:w="1108" w:type="dxa"/>
            <w:tcBorders>
              <w:top w:val="nil"/>
              <w:left w:val="nil"/>
              <w:bottom w:val="single" w:sz="4" w:space="0" w:color="auto"/>
              <w:right w:val="nil"/>
            </w:tcBorders>
            <w:shd w:val="clear" w:color="auto" w:fill="auto"/>
            <w:noWrap/>
            <w:vAlign w:val="center"/>
            <w:hideMark/>
          </w:tcPr>
          <w:p w14:paraId="3A9BBCB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3A32F6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471</w:t>
            </w:r>
          </w:p>
        </w:tc>
        <w:tc>
          <w:tcPr>
            <w:tcW w:w="1701" w:type="dxa"/>
            <w:tcBorders>
              <w:top w:val="nil"/>
              <w:left w:val="nil"/>
              <w:bottom w:val="single" w:sz="4" w:space="0" w:color="auto"/>
              <w:right w:val="nil"/>
            </w:tcBorders>
            <w:shd w:val="clear" w:color="auto" w:fill="auto"/>
            <w:noWrap/>
            <w:vAlign w:val="center"/>
            <w:hideMark/>
          </w:tcPr>
          <w:p w14:paraId="265ED02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1.028.258</w:t>
            </w:r>
          </w:p>
        </w:tc>
        <w:tc>
          <w:tcPr>
            <w:tcW w:w="1560" w:type="dxa"/>
            <w:tcBorders>
              <w:top w:val="nil"/>
              <w:left w:val="nil"/>
              <w:bottom w:val="single" w:sz="4" w:space="0" w:color="auto"/>
              <w:right w:val="nil"/>
            </w:tcBorders>
            <w:shd w:val="clear" w:color="auto" w:fill="auto"/>
            <w:noWrap/>
            <w:vAlign w:val="center"/>
            <w:hideMark/>
          </w:tcPr>
          <w:p w14:paraId="1E64F99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0,05%</w:t>
            </w:r>
          </w:p>
        </w:tc>
        <w:tc>
          <w:tcPr>
            <w:tcW w:w="1274" w:type="dxa"/>
            <w:tcBorders>
              <w:top w:val="nil"/>
              <w:left w:val="nil"/>
              <w:bottom w:val="single" w:sz="4" w:space="0" w:color="auto"/>
              <w:right w:val="nil"/>
            </w:tcBorders>
            <w:shd w:val="clear" w:color="auto" w:fill="auto"/>
            <w:noWrap/>
            <w:vAlign w:val="center"/>
            <w:hideMark/>
          </w:tcPr>
          <w:p w14:paraId="22C79B8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0,05%</w:t>
            </w:r>
          </w:p>
        </w:tc>
      </w:tr>
      <w:tr w:rsidR="001579BE" w:rsidRPr="00A947EA" w14:paraId="0364A47D"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1B1A66B"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Tailandia</w:t>
            </w:r>
          </w:p>
        </w:tc>
        <w:tc>
          <w:tcPr>
            <w:tcW w:w="1108" w:type="dxa"/>
            <w:tcBorders>
              <w:top w:val="nil"/>
              <w:left w:val="nil"/>
              <w:bottom w:val="single" w:sz="4" w:space="0" w:color="auto"/>
              <w:right w:val="nil"/>
            </w:tcBorders>
            <w:shd w:val="clear" w:color="auto" w:fill="auto"/>
            <w:noWrap/>
            <w:vAlign w:val="center"/>
            <w:hideMark/>
          </w:tcPr>
          <w:p w14:paraId="274A265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2AED9A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349.599</w:t>
            </w:r>
          </w:p>
        </w:tc>
        <w:tc>
          <w:tcPr>
            <w:tcW w:w="1701" w:type="dxa"/>
            <w:tcBorders>
              <w:top w:val="nil"/>
              <w:left w:val="nil"/>
              <w:bottom w:val="single" w:sz="4" w:space="0" w:color="auto"/>
              <w:right w:val="nil"/>
            </w:tcBorders>
            <w:shd w:val="clear" w:color="auto" w:fill="auto"/>
            <w:noWrap/>
            <w:vAlign w:val="center"/>
            <w:hideMark/>
          </w:tcPr>
          <w:p w14:paraId="68E014D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2.675.271</w:t>
            </w:r>
          </w:p>
        </w:tc>
        <w:tc>
          <w:tcPr>
            <w:tcW w:w="1560" w:type="dxa"/>
            <w:tcBorders>
              <w:top w:val="nil"/>
              <w:left w:val="nil"/>
              <w:bottom w:val="single" w:sz="4" w:space="0" w:color="auto"/>
              <w:right w:val="nil"/>
            </w:tcBorders>
            <w:shd w:val="clear" w:color="auto" w:fill="auto"/>
            <w:noWrap/>
            <w:vAlign w:val="center"/>
            <w:hideMark/>
          </w:tcPr>
          <w:p w14:paraId="778D232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13,07%</w:t>
            </w:r>
          </w:p>
        </w:tc>
        <w:tc>
          <w:tcPr>
            <w:tcW w:w="1274" w:type="dxa"/>
            <w:tcBorders>
              <w:top w:val="nil"/>
              <w:left w:val="nil"/>
              <w:bottom w:val="single" w:sz="4" w:space="0" w:color="auto"/>
              <w:right w:val="nil"/>
            </w:tcBorders>
            <w:shd w:val="clear" w:color="auto" w:fill="auto"/>
            <w:noWrap/>
            <w:vAlign w:val="center"/>
            <w:hideMark/>
          </w:tcPr>
          <w:p w14:paraId="7C8B345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13,07%</w:t>
            </w:r>
          </w:p>
        </w:tc>
      </w:tr>
      <w:tr w:rsidR="001579BE" w:rsidRPr="00A947EA" w14:paraId="5BAF734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4706F4A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Togo</w:t>
            </w:r>
          </w:p>
        </w:tc>
        <w:tc>
          <w:tcPr>
            <w:tcW w:w="1108" w:type="dxa"/>
            <w:tcBorders>
              <w:top w:val="nil"/>
              <w:left w:val="nil"/>
              <w:bottom w:val="single" w:sz="4" w:space="0" w:color="auto"/>
              <w:right w:val="nil"/>
            </w:tcBorders>
            <w:shd w:val="clear" w:color="auto" w:fill="auto"/>
            <w:noWrap/>
            <w:vAlign w:val="center"/>
            <w:hideMark/>
          </w:tcPr>
          <w:p w14:paraId="70E468B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591D0E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86.061</w:t>
            </w:r>
          </w:p>
        </w:tc>
        <w:tc>
          <w:tcPr>
            <w:tcW w:w="1701" w:type="dxa"/>
            <w:tcBorders>
              <w:top w:val="nil"/>
              <w:left w:val="nil"/>
              <w:bottom w:val="single" w:sz="4" w:space="0" w:color="auto"/>
              <w:right w:val="nil"/>
            </w:tcBorders>
            <w:shd w:val="clear" w:color="auto" w:fill="auto"/>
            <w:noWrap/>
            <w:vAlign w:val="center"/>
            <w:hideMark/>
          </w:tcPr>
          <w:p w14:paraId="46071B9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164.230</w:t>
            </w:r>
          </w:p>
        </w:tc>
        <w:tc>
          <w:tcPr>
            <w:tcW w:w="1560" w:type="dxa"/>
            <w:tcBorders>
              <w:top w:val="nil"/>
              <w:left w:val="nil"/>
              <w:bottom w:val="single" w:sz="4" w:space="0" w:color="auto"/>
              <w:right w:val="nil"/>
            </w:tcBorders>
            <w:shd w:val="clear" w:color="auto" w:fill="auto"/>
            <w:noWrap/>
            <w:vAlign w:val="center"/>
            <w:hideMark/>
          </w:tcPr>
          <w:p w14:paraId="19BA06C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52,40%</w:t>
            </w:r>
          </w:p>
        </w:tc>
        <w:tc>
          <w:tcPr>
            <w:tcW w:w="1274" w:type="dxa"/>
            <w:tcBorders>
              <w:top w:val="nil"/>
              <w:left w:val="nil"/>
              <w:bottom w:val="single" w:sz="4" w:space="0" w:color="auto"/>
              <w:right w:val="nil"/>
            </w:tcBorders>
            <w:shd w:val="clear" w:color="auto" w:fill="auto"/>
            <w:noWrap/>
            <w:vAlign w:val="center"/>
            <w:hideMark/>
          </w:tcPr>
          <w:p w14:paraId="10A316D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52,40%</w:t>
            </w:r>
          </w:p>
        </w:tc>
      </w:tr>
      <w:tr w:rsidR="001579BE" w:rsidRPr="00A947EA" w14:paraId="63856AC9" w14:textId="77777777" w:rsidTr="00377237">
        <w:trPr>
          <w:trHeight w:val="310"/>
        </w:trPr>
        <w:tc>
          <w:tcPr>
            <w:tcW w:w="1444" w:type="dxa"/>
            <w:tcBorders>
              <w:top w:val="nil"/>
              <w:left w:val="nil"/>
              <w:bottom w:val="nil"/>
              <w:right w:val="nil"/>
            </w:tcBorders>
            <w:shd w:val="clear" w:color="auto" w:fill="auto"/>
            <w:noWrap/>
            <w:vAlign w:val="center"/>
            <w:hideMark/>
          </w:tcPr>
          <w:p w14:paraId="74E5F70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Túnez</w:t>
            </w:r>
          </w:p>
        </w:tc>
        <w:tc>
          <w:tcPr>
            <w:tcW w:w="1108" w:type="dxa"/>
            <w:tcBorders>
              <w:top w:val="nil"/>
              <w:left w:val="nil"/>
              <w:bottom w:val="nil"/>
              <w:right w:val="nil"/>
            </w:tcBorders>
            <w:shd w:val="clear" w:color="auto" w:fill="auto"/>
            <w:noWrap/>
            <w:vAlign w:val="center"/>
            <w:hideMark/>
          </w:tcPr>
          <w:p w14:paraId="3541D28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3935837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134.700</w:t>
            </w:r>
          </w:p>
        </w:tc>
        <w:tc>
          <w:tcPr>
            <w:tcW w:w="1701" w:type="dxa"/>
            <w:tcBorders>
              <w:top w:val="nil"/>
              <w:left w:val="nil"/>
              <w:bottom w:val="nil"/>
              <w:right w:val="nil"/>
            </w:tcBorders>
            <w:shd w:val="clear" w:color="auto" w:fill="auto"/>
            <w:noWrap/>
            <w:vAlign w:val="center"/>
            <w:hideMark/>
          </w:tcPr>
          <w:p w14:paraId="55025070"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1.890.732</w:t>
            </w:r>
          </w:p>
        </w:tc>
        <w:tc>
          <w:tcPr>
            <w:tcW w:w="1560" w:type="dxa"/>
            <w:tcBorders>
              <w:top w:val="nil"/>
              <w:left w:val="nil"/>
              <w:bottom w:val="nil"/>
              <w:right w:val="nil"/>
            </w:tcBorders>
            <w:shd w:val="clear" w:color="auto" w:fill="auto"/>
            <w:noWrap/>
            <w:vAlign w:val="center"/>
            <w:hideMark/>
          </w:tcPr>
          <w:p w14:paraId="54D4C67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7,12%</w:t>
            </w:r>
          </w:p>
        </w:tc>
        <w:tc>
          <w:tcPr>
            <w:tcW w:w="1274" w:type="dxa"/>
            <w:vMerge w:val="restart"/>
            <w:tcBorders>
              <w:top w:val="nil"/>
              <w:left w:val="nil"/>
              <w:bottom w:val="single" w:sz="4" w:space="0" w:color="000000"/>
              <w:right w:val="nil"/>
            </w:tcBorders>
            <w:shd w:val="clear" w:color="auto" w:fill="auto"/>
            <w:noWrap/>
            <w:vAlign w:val="center"/>
            <w:hideMark/>
          </w:tcPr>
          <w:p w14:paraId="01CE545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42,34%</w:t>
            </w:r>
          </w:p>
        </w:tc>
      </w:tr>
      <w:tr w:rsidR="001579BE" w:rsidRPr="00A947EA" w14:paraId="75982F1C"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105E862E"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Túnez</w:t>
            </w:r>
          </w:p>
        </w:tc>
        <w:tc>
          <w:tcPr>
            <w:tcW w:w="1108" w:type="dxa"/>
            <w:tcBorders>
              <w:top w:val="nil"/>
              <w:left w:val="nil"/>
              <w:bottom w:val="single" w:sz="4" w:space="0" w:color="auto"/>
              <w:right w:val="nil"/>
            </w:tcBorders>
            <w:shd w:val="clear" w:color="auto" w:fill="auto"/>
            <w:noWrap/>
            <w:vAlign w:val="center"/>
            <w:hideMark/>
          </w:tcPr>
          <w:p w14:paraId="154E3F1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5D65D6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665.824</w:t>
            </w:r>
          </w:p>
        </w:tc>
        <w:tc>
          <w:tcPr>
            <w:tcW w:w="1701" w:type="dxa"/>
            <w:tcBorders>
              <w:top w:val="nil"/>
              <w:left w:val="nil"/>
              <w:bottom w:val="single" w:sz="4" w:space="0" w:color="auto"/>
              <w:right w:val="nil"/>
            </w:tcBorders>
            <w:shd w:val="clear" w:color="auto" w:fill="auto"/>
            <w:noWrap/>
            <w:vAlign w:val="center"/>
            <w:hideMark/>
          </w:tcPr>
          <w:p w14:paraId="3BC9CCF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1.890.732</w:t>
            </w:r>
          </w:p>
        </w:tc>
        <w:tc>
          <w:tcPr>
            <w:tcW w:w="1560" w:type="dxa"/>
            <w:tcBorders>
              <w:top w:val="nil"/>
              <w:left w:val="nil"/>
              <w:bottom w:val="single" w:sz="4" w:space="0" w:color="auto"/>
              <w:right w:val="nil"/>
            </w:tcBorders>
            <w:shd w:val="clear" w:color="auto" w:fill="auto"/>
            <w:noWrap/>
            <w:vAlign w:val="center"/>
            <w:hideMark/>
          </w:tcPr>
          <w:p w14:paraId="47C8576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35,22%</w:t>
            </w:r>
          </w:p>
        </w:tc>
        <w:tc>
          <w:tcPr>
            <w:tcW w:w="1274" w:type="dxa"/>
            <w:vMerge/>
            <w:tcBorders>
              <w:top w:val="nil"/>
              <w:left w:val="nil"/>
              <w:bottom w:val="single" w:sz="4" w:space="0" w:color="000000"/>
              <w:right w:val="nil"/>
            </w:tcBorders>
            <w:vAlign w:val="center"/>
            <w:hideMark/>
          </w:tcPr>
          <w:p w14:paraId="6BCEBF9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DB37DB3" w14:textId="77777777" w:rsidTr="00377237">
        <w:trPr>
          <w:trHeight w:val="310"/>
        </w:trPr>
        <w:tc>
          <w:tcPr>
            <w:tcW w:w="1444" w:type="dxa"/>
            <w:tcBorders>
              <w:top w:val="nil"/>
              <w:left w:val="nil"/>
              <w:bottom w:val="nil"/>
              <w:right w:val="nil"/>
            </w:tcBorders>
            <w:shd w:val="clear" w:color="auto" w:fill="auto"/>
            <w:noWrap/>
            <w:vAlign w:val="center"/>
            <w:hideMark/>
          </w:tcPr>
          <w:p w14:paraId="6A5434B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Turquía</w:t>
            </w:r>
          </w:p>
        </w:tc>
        <w:tc>
          <w:tcPr>
            <w:tcW w:w="1108" w:type="dxa"/>
            <w:tcBorders>
              <w:top w:val="nil"/>
              <w:left w:val="nil"/>
              <w:bottom w:val="nil"/>
              <w:right w:val="nil"/>
            </w:tcBorders>
            <w:shd w:val="clear" w:color="auto" w:fill="auto"/>
            <w:noWrap/>
            <w:vAlign w:val="center"/>
            <w:hideMark/>
          </w:tcPr>
          <w:p w14:paraId="3B78225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0AC9F16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6.241.546</w:t>
            </w:r>
          </w:p>
        </w:tc>
        <w:tc>
          <w:tcPr>
            <w:tcW w:w="1701" w:type="dxa"/>
            <w:tcBorders>
              <w:top w:val="nil"/>
              <w:left w:val="nil"/>
              <w:bottom w:val="nil"/>
              <w:right w:val="nil"/>
            </w:tcBorders>
            <w:shd w:val="clear" w:color="auto" w:fill="auto"/>
            <w:noWrap/>
            <w:vAlign w:val="center"/>
            <w:hideMark/>
          </w:tcPr>
          <w:p w14:paraId="003E735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8.877.310</w:t>
            </w:r>
          </w:p>
        </w:tc>
        <w:tc>
          <w:tcPr>
            <w:tcW w:w="1560" w:type="dxa"/>
            <w:tcBorders>
              <w:top w:val="nil"/>
              <w:left w:val="nil"/>
              <w:bottom w:val="nil"/>
              <w:right w:val="nil"/>
            </w:tcBorders>
            <w:shd w:val="clear" w:color="auto" w:fill="auto"/>
            <w:noWrap/>
            <w:vAlign w:val="center"/>
            <w:hideMark/>
          </w:tcPr>
          <w:p w14:paraId="76DC1E5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70,31%</w:t>
            </w:r>
          </w:p>
        </w:tc>
        <w:tc>
          <w:tcPr>
            <w:tcW w:w="1274" w:type="dxa"/>
            <w:vMerge w:val="restart"/>
            <w:tcBorders>
              <w:top w:val="nil"/>
              <w:left w:val="nil"/>
              <w:bottom w:val="single" w:sz="4" w:space="0" w:color="000000"/>
              <w:right w:val="nil"/>
            </w:tcBorders>
            <w:shd w:val="clear" w:color="auto" w:fill="auto"/>
            <w:noWrap/>
            <w:vAlign w:val="center"/>
            <w:hideMark/>
          </w:tcPr>
          <w:p w14:paraId="7585810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88,06%</w:t>
            </w:r>
          </w:p>
        </w:tc>
      </w:tr>
      <w:tr w:rsidR="001579BE" w:rsidRPr="00A947EA" w14:paraId="63B29A13"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9EA10A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Turquía</w:t>
            </w:r>
          </w:p>
        </w:tc>
        <w:tc>
          <w:tcPr>
            <w:tcW w:w="1108" w:type="dxa"/>
            <w:tcBorders>
              <w:top w:val="nil"/>
              <w:left w:val="nil"/>
              <w:bottom w:val="single" w:sz="4" w:space="0" w:color="auto"/>
              <w:right w:val="nil"/>
            </w:tcBorders>
            <w:shd w:val="clear" w:color="auto" w:fill="auto"/>
            <w:noWrap/>
            <w:vAlign w:val="center"/>
            <w:hideMark/>
          </w:tcPr>
          <w:p w14:paraId="738C805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025A9D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1.576.249</w:t>
            </w:r>
          </w:p>
        </w:tc>
        <w:tc>
          <w:tcPr>
            <w:tcW w:w="1701" w:type="dxa"/>
            <w:tcBorders>
              <w:top w:val="nil"/>
              <w:left w:val="nil"/>
              <w:bottom w:val="single" w:sz="4" w:space="0" w:color="auto"/>
              <w:right w:val="nil"/>
            </w:tcBorders>
            <w:shd w:val="clear" w:color="auto" w:fill="auto"/>
            <w:noWrap/>
            <w:vAlign w:val="center"/>
            <w:hideMark/>
          </w:tcPr>
          <w:p w14:paraId="6FF12AD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8.877.310</w:t>
            </w:r>
          </w:p>
        </w:tc>
        <w:tc>
          <w:tcPr>
            <w:tcW w:w="1560" w:type="dxa"/>
            <w:tcBorders>
              <w:top w:val="nil"/>
              <w:left w:val="nil"/>
              <w:bottom w:val="single" w:sz="4" w:space="0" w:color="auto"/>
              <w:right w:val="nil"/>
            </w:tcBorders>
            <w:shd w:val="clear" w:color="auto" w:fill="auto"/>
            <w:noWrap/>
            <w:vAlign w:val="center"/>
            <w:hideMark/>
          </w:tcPr>
          <w:p w14:paraId="1204770F"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17,76%</w:t>
            </w:r>
          </w:p>
        </w:tc>
        <w:tc>
          <w:tcPr>
            <w:tcW w:w="1274" w:type="dxa"/>
            <w:vMerge/>
            <w:tcBorders>
              <w:top w:val="nil"/>
              <w:left w:val="nil"/>
              <w:bottom w:val="single" w:sz="4" w:space="0" w:color="000000"/>
              <w:right w:val="nil"/>
            </w:tcBorders>
            <w:vAlign w:val="center"/>
            <w:hideMark/>
          </w:tcPr>
          <w:p w14:paraId="505839E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0B43E21" w14:textId="77777777" w:rsidTr="00377237">
        <w:trPr>
          <w:trHeight w:val="310"/>
        </w:trPr>
        <w:tc>
          <w:tcPr>
            <w:tcW w:w="1444" w:type="dxa"/>
            <w:tcBorders>
              <w:top w:val="nil"/>
              <w:left w:val="nil"/>
              <w:bottom w:val="nil"/>
              <w:right w:val="nil"/>
            </w:tcBorders>
            <w:shd w:val="clear" w:color="auto" w:fill="auto"/>
            <w:noWrap/>
            <w:vAlign w:val="center"/>
            <w:hideMark/>
          </w:tcPr>
          <w:p w14:paraId="55CDC37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Uganda</w:t>
            </w:r>
          </w:p>
        </w:tc>
        <w:tc>
          <w:tcPr>
            <w:tcW w:w="1108" w:type="dxa"/>
            <w:tcBorders>
              <w:top w:val="nil"/>
              <w:left w:val="nil"/>
              <w:bottom w:val="nil"/>
              <w:right w:val="nil"/>
            </w:tcBorders>
            <w:shd w:val="clear" w:color="auto" w:fill="auto"/>
            <w:noWrap/>
            <w:vAlign w:val="center"/>
            <w:hideMark/>
          </w:tcPr>
          <w:p w14:paraId="51D069A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4372C33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77.822</w:t>
            </w:r>
          </w:p>
        </w:tc>
        <w:tc>
          <w:tcPr>
            <w:tcW w:w="1701" w:type="dxa"/>
            <w:tcBorders>
              <w:top w:val="nil"/>
              <w:left w:val="nil"/>
              <w:bottom w:val="nil"/>
              <w:right w:val="nil"/>
            </w:tcBorders>
            <w:shd w:val="clear" w:color="auto" w:fill="auto"/>
            <w:noWrap/>
            <w:vAlign w:val="center"/>
            <w:hideMark/>
          </w:tcPr>
          <w:p w14:paraId="24B8567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377.832</w:t>
            </w:r>
          </w:p>
        </w:tc>
        <w:tc>
          <w:tcPr>
            <w:tcW w:w="1560" w:type="dxa"/>
            <w:tcBorders>
              <w:top w:val="nil"/>
              <w:left w:val="nil"/>
              <w:bottom w:val="nil"/>
              <w:right w:val="nil"/>
            </w:tcBorders>
            <w:shd w:val="clear" w:color="auto" w:fill="auto"/>
            <w:noWrap/>
            <w:vAlign w:val="center"/>
            <w:hideMark/>
          </w:tcPr>
          <w:p w14:paraId="4ED92D1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20,60%</w:t>
            </w:r>
          </w:p>
        </w:tc>
        <w:tc>
          <w:tcPr>
            <w:tcW w:w="1274" w:type="dxa"/>
            <w:vMerge w:val="restart"/>
            <w:tcBorders>
              <w:top w:val="nil"/>
              <w:left w:val="nil"/>
              <w:bottom w:val="single" w:sz="4" w:space="0" w:color="000000"/>
              <w:right w:val="nil"/>
            </w:tcBorders>
            <w:shd w:val="clear" w:color="auto" w:fill="auto"/>
            <w:noWrap/>
            <w:vAlign w:val="center"/>
            <w:hideMark/>
          </w:tcPr>
          <w:p w14:paraId="7CA4288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24,25%</w:t>
            </w:r>
          </w:p>
        </w:tc>
      </w:tr>
      <w:tr w:rsidR="001579BE" w:rsidRPr="00A947EA" w14:paraId="2FF02C9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DC0458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Uganda</w:t>
            </w:r>
          </w:p>
        </w:tc>
        <w:tc>
          <w:tcPr>
            <w:tcW w:w="1108" w:type="dxa"/>
            <w:tcBorders>
              <w:top w:val="nil"/>
              <w:left w:val="nil"/>
              <w:bottom w:val="single" w:sz="4" w:space="0" w:color="auto"/>
              <w:right w:val="nil"/>
            </w:tcBorders>
            <w:shd w:val="clear" w:color="auto" w:fill="auto"/>
            <w:noWrap/>
            <w:vAlign w:val="center"/>
            <w:hideMark/>
          </w:tcPr>
          <w:p w14:paraId="343898E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A4E7A4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13.785</w:t>
            </w:r>
          </w:p>
        </w:tc>
        <w:tc>
          <w:tcPr>
            <w:tcW w:w="1701" w:type="dxa"/>
            <w:tcBorders>
              <w:top w:val="nil"/>
              <w:left w:val="nil"/>
              <w:bottom w:val="single" w:sz="4" w:space="0" w:color="auto"/>
              <w:right w:val="nil"/>
            </w:tcBorders>
            <w:shd w:val="clear" w:color="auto" w:fill="auto"/>
            <w:noWrap/>
            <w:vAlign w:val="center"/>
            <w:hideMark/>
          </w:tcPr>
          <w:p w14:paraId="2FB5137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377.832</w:t>
            </w:r>
          </w:p>
        </w:tc>
        <w:tc>
          <w:tcPr>
            <w:tcW w:w="1560" w:type="dxa"/>
            <w:tcBorders>
              <w:top w:val="nil"/>
              <w:left w:val="nil"/>
              <w:bottom w:val="single" w:sz="4" w:space="0" w:color="auto"/>
              <w:right w:val="nil"/>
            </w:tcBorders>
            <w:shd w:val="clear" w:color="auto" w:fill="auto"/>
            <w:noWrap/>
            <w:vAlign w:val="center"/>
            <w:hideMark/>
          </w:tcPr>
          <w:p w14:paraId="50B97043"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3,65%</w:t>
            </w:r>
          </w:p>
        </w:tc>
        <w:tc>
          <w:tcPr>
            <w:tcW w:w="1274" w:type="dxa"/>
            <w:vMerge/>
            <w:tcBorders>
              <w:top w:val="nil"/>
              <w:left w:val="nil"/>
              <w:bottom w:val="single" w:sz="4" w:space="0" w:color="000000"/>
              <w:right w:val="nil"/>
            </w:tcBorders>
            <w:vAlign w:val="center"/>
            <w:hideMark/>
          </w:tcPr>
          <w:p w14:paraId="7514899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12EAF405" w14:textId="77777777" w:rsidTr="00377237">
        <w:trPr>
          <w:trHeight w:val="310"/>
        </w:trPr>
        <w:tc>
          <w:tcPr>
            <w:tcW w:w="1444" w:type="dxa"/>
            <w:tcBorders>
              <w:top w:val="nil"/>
              <w:left w:val="nil"/>
              <w:bottom w:val="nil"/>
              <w:right w:val="nil"/>
            </w:tcBorders>
            <w:shd w:val="clear" w:color="auto" w:fill="auto"/>
            <w:noWrap/>
            <w:vAlign w:val="center"/>
            <w:hideMark/>
          </w:tcPr>
          <w:p w14:paraId="2BEC887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Emiratos Árabes</w:t>
            </w:r>
          </w:p>
        </w:tc>
        <w:tc>
          <w:tcPr>
            <w:tcW w:w="1108" w:type="dxa"/>
            <w:tcBorders>
              <w:top w:val="nil"/>
              <w:left w:val="nil"/>
              <w:bottom w:val="nil"/>
              <w:right w:val="nil"/>
            </w:tcBorders>
            <w:shd w:val="clear" w:color="auto" w:fill="auto"/>
            <w:noWrap/>
            <w:vAlign w:val="center"/>
            <w:hideMark/>
          </w:tcPr>
          <w:p w14:paraId="2C3CC3C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322F951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288.637</w:t>
            </w:r>
          </w:p>
        </w:tc>
        <w:tc>
          <w:tcPr>
            <w:tcW w:w="1701" w:type="dxa"/>
            <w:tcBorders>
              <w:top w:val="nil"/>
              <w:left w:val="nil"/>
              <w:bottom w:val="nil"/>
              <w:right w:val="nil"/>
            </w:tcBorders>
            <w:shd w:val="clear" w:color="auto" w:fill="auto"/>
            <w:noWrap/>
            <w:vAlign w:val="center"/>
            <w:hideMark/>
          </w:tcPr>
          <w:p w14:paraId="667861F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1.410.154</w:t>
            </w:r>
          </w:p>
        </w:tc>
        <w:tc>
          <w:tcPr>
            <w:tcW w:w="1560" w:type="dxa"/>
            <w:tcBorders>
              <w:top w:val="nil"/>
              <w:left w:val="nil"/>
              <w:bottom w:val="nil"/>
              <w:right w:val="nil"/>
            </w:tcBorders>
            <w:shd w:val="clear" w:color="auto" w:fill="auto"/>
            <w:noWrap/>
            <w:vAlign w:val="center"/>
            <w:hideMark/>
          </w:tcPr>
          <w:p w14:paraId="3353E25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20,47%</w:t>
            </w:r>
          </w:p>
        </w:tc>
        <w:tc>
          <w:tcPr>
            <w:tcW w:w="1274" w:type="dxa"/>
            <w:vMerge w:val="restart"/>
            <w:tcBorders>
              <w:top w:val="nil"/>
              <w:left w:val="nil"/>
              <w:bottom w:val="single" w:sz="4" w:space="0" w:color="000000"/>
              <w:right w:val="nil"/>
            </w:tcBorders>
            <w:shd w:val="clear" w:color="auto" w:fill="auto"/>
            <w:noWrap/>
            <w:vAlign w:val="center"/>
            <w:hideMark/>
          </w:tcPr>
          <w:p w14:paraId="341E8BE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20,91%</w:t>
            </w:r>
          </w:p>
        </w:tc>
      </w:tr>
      <w:tr w:rsidR="001579BE" w:rsidRPr="00A947EA" w14:paraId="1BB0E1B5"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AA00D07"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Emiratos Árabes</w:t>
            </w:r>
          </w:p>
        </w:tc>
        <w:tc>
          <w:tcPr>
            <w:tcW w:w="1108" w:type="dxa"/>
            <w:tcBorders>
              <w:top w:val="nil"/>
              <w:left w:val="nil"/>
              <w:bottom w:val="single" w:sz="4" w:space="0" w:color="auto"/>
              <w:right w:val="nil"/>
            </w:tcBorders>
            <w:shd w:val="clear" w:color="auto" w:fill="auto"/>
            <w:noWrap/>
            <w:vAlign w:val="center"/>
            <w:hideMark/>
          </w:tcPr>
          <w:p w14:paraId="49209BA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2FF8AB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6.248</w:t>
            </w:r>
          </w:p>
        </w:tc>
        <w:tc>
          <w:tcPr>
            <w:tcW w:w="1701" w:type="dxa"/>
            <w:tcBorders>
              <w:top w:val="nil"/>
              <w:left w:val="nil"/>
              <w:bottom w:val="single" w:sz="4" w:space="0" w:color="auto"/>
              <w:right w:val="nil"/>
            </w:tcBorders>
            <w:shd w:val="clear" w:color="auto" w:fill="auto"/>
            <w:noWrap/>
            <w:vAlign w:val="center"/>
            <w:hideMark/>
          </w:tcPr>
          <w:p w14:paraId="207A5C4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1.410.154</w:t>
            </w:r>
          </w:p>
        </w:tc>
        <w:tc>
          <w:tcPr>
            <w:tcW w:w="1560" w:type="dxa"/>
            <w:tcBorders>
              <w:top w:val="nil"/>
              <w:left w:val="nil"/>
              <w:bottom w:val="single" w:sz="4" w:space="0" w:color="auto"/>
              <w:right w:val="nil"/>
            </w:tcBorders>
            <w:shd w:val="clear" w:color="auto" w:fill="auto"/>
            <w:noWrap/>
            <w:vAlign w:val="center"/>
            <w:hideMark/>
          </w:tcPr>
          <w:p w14:paraId="11333E6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0,44%</w:t>
            </w:r>
          </w:p>
        </w:tc>
        <w:tc>
          <w:tcPr>
            <w:tcW w:w="1274" w:type="dxa"/>
            <w:vMerge/>
            <w:tcBorders>
              <w:top w:val="nil"/>
              <w:left w:val="nil"/>
              <w:bottom w:val="single" w:sz="4" w:space="0" w:color="000000"/>
              <w:right w:val="nil"/>
            </w:tcBorders>
            <w:vAlign w:val="center"/>
            <w:hideMark/>
          </w:tcPr>
          <w:p w14:paraId="75ECE24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4FF6F94B" w14:textId="77777777" w:rsidTr="00377237">
        <w:trPr>
          <w:trHeight w:val="310"/>
        </w:trPr>
        <w:tc>
          <w:tcPr>
            <w:tcW w:w="1444" w:type="dxa"/>
            <w:tcBorders>
              <w:top w:val="nil"/>
              <w:left w:val="nil"/>
              <w:bottom w:val="nil"/>
              <w:right w:val="nil"/>
            </w:tcBorders>
            <w:shd w:val="clear" w:color="auto" w:fill="auto"/>
            <w:noWrap/>
            <w:vAlign w:val="center"/>
            <w:hideMark/>
          </w:tcPr>
          <w:p w14:paraId="6BCFAD99"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lastRenderedPageBreak/>
              <w:t>Reino Unido</w:t>
            </w:r>
          </w:p>
        </w:tc>
        <w:tc>
          <w:tcPr>
            <w:tcW w:w="1108" w:type="dxa"/>
            <w:tcBorders>
              <w:top w:val="nil"/>
              <w:left w:val="nil"/>
              <w:bottom w:val="nil"/>
              <w:right w:val="nil"/>
            </w:tcBorders>
            <w:shd w:val="clear" w:color="auto" w:fill="auto"/>
            <w:noWrap/>
            <w:vAlign w:val="center"/>
            <w:hideMark/>
          </w:tcPr>
          <w:p w14:paraId="1943C66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81F7F7D"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20.668</w:t>
            </w:r>
          </w:p>
        </w:tc>
        <w:tc>
          <w:tcPr>
            <w:tcW w:w="1701" w:type="dxa"/>
            <w:tcBorders>
              <w:top w:val="nil"/>
              <w:left w:val="nil"/>
              <w:bottom w:val="nil"/>
              <w:right w:val="nil"/>
            </w:tcBorders>
            <w:shd w:val="clear" w:color="auto" w:fill="auto"/>
            <w:noWrap/>
            <w:vAlign w:val="center"/>
            <w:hideMark/>
          </w:tcPr>
          <w:p w14:paraId="4B6AB3F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2.059.944</w:t>
            </w:r>
          </w:p>
        </w:tc>
        <w:tc>
          <w:tcPr>
            <w:tcW w:w="1560" w:type="dxa"/>
            <w:tcBorders>
              <w:top w:val="nil"/>
              <w:left w:val="nil"/>
              <w:bottom w:val="nil"/>
              <w:right w:val="nil"/>
            </w:tcBorders>
            <w:shd w:val="clear" w:color="auto" w:fill="auto"/>
            <w:noWrap/>
            <w:vAlign w:val="center"/>
            <w:hideMark/>
          </w:tcPr>
          <w:p w14:paraId="5787684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1,00%</w:t>
            </w:r>
          </w:p>
        </w:tc>
        <w:tc>
          <w:tcPr>
            <w:tcW w:w="1274" w:type="dxa"/>
            <w:vMerge w:val="restart"/>
            <w:tcBorders>
              <w:top w:val="nil"/>
              <w:left w:val="nil"/>
              <w:bottom w:val="single" w:sz="4" w:space="0" w:color="000000"/>
              <w:right w:val="nil"/>
            </w:tcBorders>
            <w:shd w:val="clear" w:color="auto" w:fill="auto"/>
            <w:noWrap/>
            <w:vAlign w:val="center"/>
            <w:hideMark/>
          </w:tcPr>
          <w:p w14:paraId="00B8E35C"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2,56%</w:t>
            </w:r>
          </w:p>
        </w:tc>
      </w:tr>
      <w:tr w:rsidR="001579BE" w:rsidRPr="00A947EA" w14:paraId="4C4918A0"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50C686E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Reino Unido</w:t>
            </w:r>
          </w:p>
        </w:tc>
        <w:tc>
          <w:tcPr>
            <w:tcW w:w="1108" w:type="dxa"/>
            <w:tcBorders>
              <w:top w:val="nil"/>
              <w:left w:val="nil"/>
              <w:bottom w:val="single" w:sz="4" w:space="0" w:color="auto"/>
              <w:right w:val="nil"/>
            </w:tcBorders>
            <w:shd w:val="clear" w:color="auto" w:fill="auto"/>
            <w:noWrap/>
            <w:vAlign w:val="center"/>
            <w:hideMark/>
          </w:tcPr>
          <w:p w14:paraId="6B32AE0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24C09E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32.011</w:t>
            </w:r>
          </w:p>
        </w:tc>
        <w:tc>
          <w:tcPr>
            <w:tcW w:w="1701" w:type="dxa"/>
            <w:tcBorders>
              <w:top w:val="nil"/>
              <w:left w:val="nil"/>
              <w:bottom w:val="single" w:sz="4" w:space="0" w:color="auto"/>
              <w:right w:val="nil"/>
            </w:tcBorders>
            <w:shd w:val="clear" w:color="auto" w:fill="auto"/>
            <w:noWrap/>
            <w:vAlign w:val="center"/>
            <w:hideMark/>
          </w:tcPr>
          <w:p w14:paraId="0A24D36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2.059.944</w:t>
            </w:r>
          </w:p>
        </w:tc>
        <w:tc>
          <w:tcPr>
            <w:tcW w:w="1560" w:type="dxa"/>
            <w:tcBorders>
              <w:top w:val="nil"/>
              <w:left w:val="nil"/>
              <w:bottom w:val="single" w:sz="4" w:space="0" w:color="auto"/>
              <w:right w:val="nil"/>
            </w:tcBorders>
            <w:shd w:val="clear" w:color="auto" w:fill="auto"/>
            <w:noWrap/>
            <w:vAlign w:val="center"/>
            <w:hideMark/>
          </w:tcPr>
          <w:p w14:paraId="41CE4918"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1,55%</w:t>
            </w:r>
          </w:p>
        </w:tc>
        <w:tc>
          <w:tcPr>
            <w:tcW w:w="1274" w:type="dxa"/>
            <w:vMerge/>
            <w:tcBorders>
              <w:top w:val="nil"/>
              <w:left w:val="nil"/>
              <w:bottom w:val="single" w:sz="4" w:space="0" w:color="000000"/>
              <w:right w:val="nil"/>
            </w:tcBorders>
            <w:vAlign w:val="center"/>
            <w:hideMark/>
          </w:tcPr>
          <w:p w14:paraId="21D6E62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64A3DC42" w14:textId="77777777" w:rsidTr="00377237">
        <w:trPr>
          <w:trHeight w:val="310"/>
        </w:trPr>
        <w:tc>
          <w:tcPr>
            <w:tcW w:w="1444" w:type="dxa"/>
            <w:tcBorders>
              <w:top w:val="nil"/>
              <w:left w:val="nil"/>
              <w:bottom w:val="nil"/>
              <w:right w:val="nil"/>
            </w:tcBorders>
            <w:shd w:val="clear" w:color="auto" w:fill="auto"/>
            <w:noWrap/>
            <w:vAlign w:val="center"/>
            <w:hideMark/>
          </w:tcPr>
          <w:p w14:paraId="2B42888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Tanzania</w:t>
            </w:r>
          </w:p>
        </w:tc>
        <w:tc>
          <w:tcPr>
            <w:tcW w:w="1108" w:type="dxa"/>
            <w:tcBorders>
              <w:top w:val="nil"/>
              <w:left w:val="nil"/>
              <w:bottom w:val="nil"/>
              <w:right w:val="nil"/>
            </w:tcBorders>
            <w:shd w:val="clear" w:color="auto" w:fill="auto"/>
            <w:noWrap/>
            <w:vAlign w:val="center"/>
            <w:hideMark/>
          </w:tcPr>
          <w:p w14:paraId="327C1A5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5E0BC5D6"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286.834</w:t>
            </w:r>
          </w:p>
        </w:tc>
        <w:tc>
          <w:tcPr>
            <w:tcW w:w="1701" w:type="dxa"/>
            <w:tcBorders>
              <w:top w:val="nil"/>
              <w:left w:val="nil"/>
              <w:bottom w:val="nil"/>
              <w:right w:val="nil"/>
            </w:tcBorders>
            <w:shd w:val="clear" w:color="auto" w:fill="auto"/>
            <w:noWrap/>
            <w:vAlign w:val="center"/>
            <w:hideMark/>
          </w:tcPr>
          <w:p w14:paraId="04B1861A"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681.090</w:t>
            </w:r>
          </w:p>
        </w:tc>
        <w:tc>
          <w:tcPr>
            <w:tcW w:w="1560" w:type="dxa"/>
            <w:tcBorders>
              <w:top w:val="nil"/>
              <w:left w:val="nil"/>
              <w:bottom w:val="nil"/>
              <w:right w:val="nil"/>
            </w:tcBorders>
            <w:shd w:val="clear" w:color="auto" w:fill="auto"/>
            <w:noWrap/>
            <w:vAlign w:val="center"/>
            <w:hideMark/>
          </w:tcPr>
          <w:p w14:paraId="2972416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42,11%</w:t>
            </w:r>
          </w:p>
        </w:tc>
        <w:tc>
          <w:tcPr>
            <w:tcW w:w="1274" w:type="dxa"/>
            <w:vMerge w:val="restart"/>
            <w:tcBorders>
              <w:top w:val="nil"/>
              <w:left w:val="nil"/>
              <w:bottom w:val="single" w:sz="4" w:space="0" w:color="000000"/>
              <w:right w:val="nil"/>
            </w:tcBorders>
            <w:shd w:val="clear" w:color="auto" w:fill="auto"/>
            <w:noWrap/>
            <w:vAlign w:val="center"/>
            <w:hideMark/>
          </w:tcPr>
          <w:p w14:paraId="1F42E6FB"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59,06%</w:t>
            </w:r>
          </w:p>
        </w:tc>
      </w:tr>
      <w:tr w:rsidR="001579BE" w:rsidRPr="00A947EA" w14:paraId="3A8F224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7D45CF3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Tanzania</w:t>
            </w:r>
          </w:p>
        </w:tc>
        <w:tc>
          <w:tcPr>
            <w:tcW w:w="1108" w:type="dxa"/>
            <w:tcBorders>
              <w:top w:val="nil"/>
              <w:left w:val="nil"/>
              <w:bottom w:val="single" w:sz="4" w:space="0" w:color="auto"/>
              <w:right w:val="nil"/>
            </w:tcBorders>
            <w:shd w:val="clear" w:color="auto" w:fill="auto"/>
            <w:noWrap/>
            <w:vAlign w:val="center"/>
            <w:hideMark/>
          </w:tcPr>
          <w:p w14:paraId="7A2AE81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B15967C"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115.398</w:t>
            </w:r>
          </w:p>
        </w:tc>
        <w:tc>
          <w:tcPr>
            <w:tcW w:w="1701" w:type="dxa"/>
            <w:tcBorders>
              <w:top w:val="nil"/>
              <w:left w:val="nil"/>
              <w:bottom w:val="single" w:sz="4" w:space="0" w:color="auto"/>
              <w:right w:val="nil"/>
            </w:tcBorders>
            <w:shd w:val="clear" w:color="auto" w:fill="auto"/>
            <w:noWrap/>
            <w:vAlign w:val="center"/>
            <w:hideMark/>
          </w:tcPr>
          <w:p w14:paraId="663B09C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681.090</w:t>
            </w:r>
          </w:p>
        </w:tc>
        <w:tc>
          <w:tcPr>
            <w:tcW w:w="1560" w:type="dxa"/>
            <w:tcBorders>
              <w:top w:val="nil"/>
              <w:left w:val="nil"/>
              <w:bottom w:val="single" w:sz="4" w:space="0" w:color="auto"/>
              <w:right w:val="nil"/>
            </w:tcBorders>
            <w:shd w:val="clear" w:color="auto" w:fill="auto"/>
            <w:noWrap/>
            <w:vAlign w:val="center"/>
            <w:hideMark/>
          </w:tcPr>
          <w:p w14:paraId="01F42039"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16,94%</w:t>
            </w:r>
          </w:p>
        </w:tc>
        <w:tc>
          <w:tcPr>
            <w:tcW w:w="1274" w:type="dxa"/>
            <w:vMerge/>
            <w:tcBorders>
              <w:top w:val="nil"/>
              <w:left w:val="nil"/>
              <w:bottom w:val="single" w:sz="4" w:space="0" w:color="000000"/>
              <w:right w:val="nil"/>
            </w:tcBorders>
            <w:vAlign w:val="center"/>
            <w:hideMark/>
          </w:tcPr>
          <w:p w14:paraId="0D84CBE7"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5AC090C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023DC7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EE.UU.</w:t>
            </w:r>
          </w:p>
        </w:tc>
        <w:tc>
          <w:tcPr>
            <w:tcW w:w="1108" w:type="dxa"/>
            <w:tcBorders>
              <w:top w:val="nil"/>
              <w:left w:val="nil"/>
              <w:bottom w:val="single" w:sz="4" w:space="0" w:color="auto"/>
              <w:right w:val="nil"/>
            </w:tcBorders>
            <w:shd w:val="clear" w:color="auto" w:fill="auto"/>
            <w:noWrap/>
            <w:vAlign w:val="center"/>
            <w:hideMark/>
          </w:tcPr>
          <w:p w14:paraId="1ACD5158"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1B6527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w:t>
            </w:r>
          </w:p>
        </w:tc>
        <w:tc>
          <w:tcPr>
            <w:tcW w:w="1701" w:type="dxa"/>
            <w:tcBorders>
              <w:top w:val="nil"/>
              <w:left w:val="nil"/>
              <w:bottom w:val="single" w:sz="4" w:space="0" w:color="auto"/>
              <w:right w:val="nil"/>
            </w:tcBorders>
            <w:shd w:val="clear" w:color="auto" w:fill="auto"/>
            <w:noWrap/>
            <w:vAlign w:val="center"/>
            <w:hideMark/>
          </w:tcPr>
          <w:p w14:paraId="5A869398"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1.450.818</w:t>
            </w:r>
          </w:p>
        </w:tc>
        <w:tc>
          <w:tcPr>
            <w:tcW w:w="1560" w:type="dxa"/>
            <w:tcBorders>
              <w:top w:val="nil"/>
              <w:left w:val="nil"/>
              <w:bottom w:val="single" w:sz="4" w:space="0" w:color="auto"/>
              <w:right w:val="nil"/>
            </w:tcBorders>
            <w:shd w:val="clear" w:color="auto" w:fill="auto"/>
            <w:noWrap/>
            <w:vAlign w:val="center"/>
            <w:hideMark/>
          </w:tcPr>
          <w:p w14:paraId="77D90B6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c>
          <w:tcPr>
            <w:tcW w:w="1274" w:type="dxa"/>
            <w:tcBorders>
              <w:top w:val="nil"/>
              <w:left w:val="nil"/>
              <w:bottom w:val="single" w:sz="4" w:space="0" w:color="auto"/>
              <w:right w:val="nil"/>
            </w:tcBorders>
            <w:shd w:val="clear" w:color="auto" w:fill="auto"/>
            <w:noWrap/>
            <w:vAlign w:val="center"/>
            <w:hideMark/>
          </w:tcPr>
          <w:p w14:paraId="5C98534D"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0,00%</w:t>
            </w:r>
          </w:p>
        </w:tc>
      </w:tr>
      <w:tr w:rsidR="001579BE" w:rsidRPr="00A947EA" w14:paraId="6377CA51" w14:textId="77777777" w:rsidTr="00377237">
        <w:trPr>
          <w:trHeight w:val="310"/>
        </w:trPr>
        <w:tc>
          <w:tcPr>
            <w:tcW w:w="1444" w:type="dxa"/>
            <w:tcBorders>
              <w:top w:val="nil"/>
              <w:left w:val="nil"/>
              <w:bottom w:val="nil"/>
              <w:right w:val="nil"/>
            </w:tcBorders>
            <w:shd w:val="clear" w:color="auto" w:fill="auto"/>
            <w:noWrap/>
            <w:vAlign w:val="center"/>
            <w:hideMark/>
          </w:tcPr>
          <w:p w14:paraId="288014E4"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Viet</w:t>
            </w:r>
            <w:r>
              <w:rPr>
                <w:rFonts w:asciiTheme="majorBidi" w:eastAsia="Times New Roman" w:hAnsiTheme="majorBidi" w:cstheme="majorBidi"/>
                <w:color w:val="000000"/>
                <w:sz w:val="20"/>
                <w:szCs w:val="20"/>
                <w:lang w:eastAsia="es-ES"/>
              </w:rPr>
              <w:t>n</w:t>
            </w:r>
            <w:r w:rsidRPr="00A947EA">
              <w:rPr>
                <w:rFonts w:asciiTheme="majorBidi" w:eastAsia="Times New Roman" w:hAnsiTheme="majorBidi" w:cstheme="majorBidi"/>
                <w:color w:val="000000"/>
                <w:sz w:val="20"/>
                <w:szCs w:val="20"/>
                <w:lang w:eastAsia="es-ES"/>
              </w:rPr>
              <w:t>am</w:t>
            </w:r>
          </w:p>
        </w:tc>
        <w:tc>
          <w:tcPr>
            <w:tcW w:w="1108" w:type="dxa"/>
            <w:tcBorders>
              <w:top w:val="nil"/>
              <w:left w:val="nil"/>
              <w:bottom w:val="nil"/>
              <w:right w:val="nil"/>
            </w:tcBorders>
            <w:shd w:val="clear" w:color="auto" w:fill="auto"/>
            <w:noWrap/>
            <w:vAlign w:val="center"/>
            <w:hideMark/>
          </w:tcPr>
          <w:p w14:paraId="54AE317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39AB81E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71.757</w:t>
            </w:r>
          </w:p>
        </w:tc>
        <w:tc>
          <w:tcPr>
            <w:tcW w:w="1701" w:type="dxa"/>
            <w:tcBorders>
              <w:top w:val="nil"/>
              <w:left w:val="nil"/>
              <w:bottom w:val="nil"/>
              <w:right w:val="nil"/>
            </w:tcBorders>
            <w:shd w:val="clear" w:color="auto" w:fill="auto"/>
            <w:noWrap/>
            <w:vAlign w:val="center"/>
            <w:hideMark/>
          </w:tcPr>
          <w:p w14:paraId="03A2A009"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4.538.738</w:t>
            </w:r>
          </w:p>
        </w:tc>
        <w:tc>
          <w:tcPr>
            <w:tcW w:w="1560" w:type="dxa"/>
            <w:tcBorders>
              <w:top w:val="nil"/>
              <w:left w:val="nil"/>
              <w:bottom w:val="nil"/>
              <w:right w:val="nil"/>
            </w:tcBorders>
            <w:shd w:val="clear" w:color="auto" w:fill="auto"/>
            <w:noWrap/>
            <w:vAlign w:val="center"/>
            <w:hideMark/>
          </w:tcPr>
          <w:p w14:paraId="10E2201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1,58%</w:t>
            </w:r>
          </w:p>
        </w:tc>
        <w:tc>
          <w:tcPr>
            <w:tcW w:w="1274" w:type="dxa"/>
            <w:vMerge w:val="restart"/>
            <w:tcBorders>
              <w:top w:val="nil"/>
              <w:left w:val="nil"/>
              <w:bottom w:val="single" w:sz="4" w:space="0" w:color="000000"/>
              <w:right w:val="nil"/>
            </w:tcBorders>
            <w:shd w:val="clear" w:color="auto" w:fill="auto"/>
            <w:noWrap/>
            <w:vAlign w:val="center"/>
            <w:hideMark/>
          </w:tcPr>
          <w:p w14:paraId="4DF5A2E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8,50%</w:t>
            </w:r>
          </w:p>
        </w:tc>
      </w:tr>
      <w:tr w:rsidR="001579BE" w:rsidRPr="00A947EA" w14:paraId="0D7A99BF"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05996111"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Viet</w:t>
            </w:r>
            <w:r>
              <w:rPr>
                <w:rFonts w:asciiTheme="majorBidi" w:eastAsia="Times New Roman" w:hAnsiTheme="majorBidi" w:cstheme="majorBidi"/>
                <w:color w:val="000000"/>
                <w:sz w:val="20"/>
                <w:szCs w:val="20"/>
                <w:lang w:eastAsia="es-ES"/>
              </w:rPr>
              <w:t>n</w:t>
            </w:r>
            <w:r w:rsidRPr="00A947EA">
              <w:rPr>
                <w:rFonts w:asciiTheme="majorBidi" w:eastAsia="Times New Roman" w:hAnsiTheme="majorBidi" w:cstheme="majorBidi"/>
                <w:color w:val="000000"/>
                <w:sz w:val="20"/>
                <w:szCs w:val="20"/>
                <w:lang w:eastAsia="es-ES"/>
              </w:rPr>
              <w:t>am</w:t>
            </w:r>
          </w:p>
        </w:tc>
        <w:tc>
          <w:tcPr>
            <w:tcW w:w="1108" w:type="dxa"/>
            <w:tcBorders>
              <w:top w:val="nil"/>
              <w:left w:val="nil"/>
              <w:bottom w:val="single" w:sz="4" w:space="0" w:color="auto"/>
              <w:right w:val="nil"/>
            </w:tcBorders>
            <w:shd w:val="clear" w:color="auto" w:fill="auto"/>
            <w:noWrap/>
            <w:vAlign w:val="center"/>
            <w:hideMark/>
          </w:tcPr>
          <w:p w14:paraId="682D824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4EB7AA4"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314.231</w:t>
            </w:r>
          </w:p>
        </w:tc>
        <w:tc>
          <w:tcPr>
            <w:tcW w:w="1701" w:type="dxa"/>
            <w:tcBorders>
              <w:top w:val="nil"/>
              <w:left w:val="nil"/>
              <w:bottom w:val="single" w:sz="4" w:space="0" w:color="auto"/>
              <w:right w:val="nil"/>
            </w:tcBorders>
            <w:shd w:val="clear" w:color="auto" w:fill="auto"/>
            <w:noWrap/>
            <w:vAlign w:val="center"/>
            <w:hideMark/>
          </w:tcPr>
          <w:p w14:paraId="48CCBCCB"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4.538.738</w:t>
            </w:r>
          </w:p>
        </w:tc>
        <w:tc>
          <w:tcPr>
            <w:tcW w:w="1560" w:type="dxa"/>
            <w:tcBorders>
              <w:top w:val="nil"/>
              <w:left w:val="nil"/>
              <w:bottom w:val="single" w:sz="4" w:space="0" w:color="auto"/>
              <w:right w:val="nil"/>
            </w:tcBorders>
            <w:shd w:val="clear" w:color="auto" w:fill="auto"/>
            <w:noWrap/>
            <w:vAlign w:val="center"/>
            <w:hideMark/>
          </w:tcPr>
          <w:p w14:paraId="7173A21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6,92%</w:t>
            </w:r>
          </w:p>
        </w:tc>
        <w:tc>
          <w:tcPr>
            <w:tcW w:w="1274" w:type="dxa"/>
            <w:vMerge/>
            <w:tcBorders>
              <w:top w:val="nil"/>
              <w:left w:val="nil"/>
              <w:bottom w:val="single" w:sz="4" w:space="0" w:color="000000"/>
              <w:right w:val="nil"/>
            </w:tcBorders>
            <w:vAlign w:val="center"/>
            <w:hideMark/>
          </w:tcPr>
          <w:p w14:paraId="7C1D5CB6"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6C074D82" w14:textId="77777777" w:rsidTr="00377237">
        <w:trPr>
          <w:trHeight w:val="310"/>
        </w:trPr>
        <w:tc>
          <w:tcPr>
            <w:tcW w:w="1444" w:type="dxa"/>
            <w:tcBorders>
              <w:top w:val="nil"/>
              <w:left w:val="nil"/>
              <w:bottom w:val="nil"/>
              <w:right w:val="nil"/>
            </w:tcBorders>
            <w:shd w:val="clear" w:color="auto" w:fill="auto"/>
            <w:noWrap/>
            <w:vAlign w:val="center"/>
            <w:hideMark/>
          </w:tcPr>
          <w:p w14:paraId="3368EFF5"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Yemen</w:t>
            </w:r>
          </w:p>
        </w:tc>
        <w:tc>
          <w:tcPr>
            <w:tcW w:w="1108" w:type="dxa"/>
            <w:tcBorders>
              <w:top w:val="nil"/>
              <w:left w:val="nil"/>
              <w:bottom w:val="nil"/>
              <w:right w:val="nil"/>
            </w:tcBorders>
            <w:shd w:val="clear" w:color="auto" w:fill="auto"/>
            <w:noWrap/>
            <w:vAlign w:val="center"/>
            <w:hideMark/>
          </w:tcPr>
          <w:p w14:paraId="5BCA4CF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7AF86E9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578.743</w:t>
            </w:r>
          </w:p>
        </w:tc>
        <w:tc>
          <w:tcPr>
            <w:tcW w:w="1701" w:type="dxa"/>
            <w:tcBorders>
              <w:top w:val="nil"/>
              <w:left w:val="nil"/>
              <w:bottom w:val="nil"/>
              <w:right w:val="nil"/>
            </w:tcBorders>
            <w:shd w:val="clear" w:color="auto" w:fill="auto"/>
            <w:noWrap/>
            <w:vAlign w:val="center"/>
            <w:hideMark/>
          </w:tcPr>
          <w:p w14:paraId="27B740D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3.065.072</w:t>
            </w:r>
          </w:p>
        </w:tc>
        <w:tc>
          <w:tcPr>
            <w:tcW w:w="1560" w:type="dxa"/>
            <w:tcBorders>
              <w:top w:val="nil"/>
              <w:left w:val="nil"/>
              <w:bottom w:val="nil"/>
              <w:right w:val="nil"/>
            </w:tcBorders>
            <w:shd w:val="clear" w:color="auto" w:fill="auto"/>
            <w:noWrap/>
            <w:vAlign w:val="center"/>
            <w:hideMark/>
          </w:tcPr>
          <w:p w14:paraId="3C3E60F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18,88%</w:t>
            </w:r>
          </w:p>
        </w:tc>
        <w:tc>
          <w:tcPr>
            <w:tcW w:w="1274" w:type="dxa"/>
            <w:vMerge w:val="restart"/>
            <w:tcBorders>
              <w:top w:val="nil"/>
              <w:left w:val="nil"/>
              <w:bottom w:val="single" w:sz="4" w:space="0" w:color="000000"/>
              <w:right w:val="nil"/>
            </w:tcBorders>
            <w:shd w:val="clear" w:color="auto" w:fill="auto"/>
            <w:noWrap/>
            <w:vAlign w:val="center"/>
            <w:hideMark/>
          </w:tcPr>
          <w:p w14:paraId="401B228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44,25%</w:t>
            </w:r>
          </w:p>
        </w:tc>
      </w:tr>
      <w:tr w:rsidR="001579BE" w:rsidRPr="00A947EA" w14:paraId="1F4B767E"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6F35593A"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Yemen</w:t>
            </w:r>
          </w:p>
        </w:tc>
        <w:tc>
          <w:tcPr>
            <w:tcW w:w="1108" w:type="dxa"/>
            <w:tcBorders>
              <w:top w:val="nil"/>
              <w:left w:val="nil"/>
              <w:bottom w:val="single" w:sz="4" w:space="0" w:color="auto"/>
              <w:right w:val="nil"/>
            </w:tcBorders>
            <w:shd w:val="clear" w:color="auto" w:fill="auto"/>
            <w:noWrap/>
            <w:vAlign w:val="center"/>
            <w:hideMark/>
          </w:tcPr>
          <w:p w14:paraId="6CAD0093"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3FC070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777.572</w:t>
            </w:r>
          </w:p>
        </w:tc>
        <w:tc>
          <w:tcPr>
            <w:tcW w:w="1701" w:type="dxa"/>
            <w:tcBorders>
              <w:top w:val="nil"/>
              <w:left w:val="nil"/>
              <w:bottom w:val="single" w:sz="4" w:space="0" w:color="auto"/>
              <w:right w:val="nil"/>
            </w:tcBorders>
            <w:shd w:val="clear" w:color="auto" w:fill="auto"/>
            <w:noWrap/>
            <w:vAlign w:val="center"/>
            <w:hideMark/>
          </w:tcPr>
          <w:p w14:paraId="36A5981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3.065.072</w:t>
            </w:r>
          </w:p>
        </w:tc>
        <w:tc>
          <w:tcPr>
            <w:tcW w:w="1560" w:type="dxa"/>
            <w:tcBorders>
              <w:top w:val="nil"/>
              <w:left w:val="nil"/>
              <w:bottom w:val="single" w:sz="4" w:space="0" w:color="auto"/>
              <w:right w:val="nil"/>
            </w:tcBorders>
            <w:shd w:val="clear" w:color="auto" w:fill="auto"/>
            <w:noWrap/>
            <w:vAlign w:val="center"/>
            <w:hideMark/>
          </w:tcPr>
          <w:p w14:paraId="09C88552"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25,37%</w:t>
            </w:r>
          </w:p>
        </w:tc>
        <w:tc>
          <w:tcPr>
            <w:tcW w:w="1274" w:type="dxa"/>
            <w:vMerge/>
            <w:tcBorders>
              <w:top w:val="nil"/>
              <w:left w:val="nil"/>
              <w:bottom w:val="single" w:sz="4" w:space="0" w:color="000000"/>
              <w:right w:val="nil"/>
            </w:tcBorders>
            <w:vAlign w:val="center"/>
            <w:hideMark/>
          </w:tcPr>
          <w:p w14:paraId="6CAF61E5"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p>
        </w:tc>
      </w:tr>
      <w:tr w:rsidR="001579BE" w:rsidRPr="00A947EA" w14:paraId="049E4652" w14:textId="77777777" w:rsidTr="00377237">
        <w:trPr>
          <w:trHeight w:val="310"/>
        </w:trPr>
        <w:tc>
          <w:tcPr>
            <w:tcW w:w="1444" w:type="dxa"/>
            <w:tcBorders>
              <w:top w:val="nil"/>
              <w:left w:val="nil"/>
              <w:bottom w:val="single" w:sz="4" w:space="0" w:color="auto"/>
              <w:right w:val="nil"/>
            </w:tcBorders>
            <w:shd w:val="clear" w:color="auto" w:fill="auto"/>
            <w:noWrap/>
            <w:vAlign w:val="center"/>
            <w:hideMark/>
          </w:tcPr>
          <w:p w14:paraId="2D0D939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Zambia</w:t>
            </w:r>
          </w:p>
        </w:tc>
        <w:tc>
          <w:tcPr>
            <w:tcW w:w="1108" w:type="dxa"/>
            <w:tcBorders>
              <w:top w:val="nil"/>
              <w:left w:val="nil"/>
              <w:bottom w:val="single" w:sz="4" w:space="0" w:color="auto"/>
              <w:right w:val="nil"/>
            </w:tcBorders>
            <w:shd w:val="clear" w:color="auto" w:fill="auto"/>
            <w:noWrap/>
            <w:vAlign w:val="center"/>
            <w:hideMark/>
          </w:tcPr>
          <w:p w14:paraId="7CE4F80D"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70CFAE3"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8.348</w:t>
            </w:r>
          </w:p>
        </w:tc>
        <w:tc>
          <w:tcPr>
            <w:tcW w:w="1701" w:type="dxa"/>
            <w:tcBorders>
              <w:top w:val="nil"/>
              <w:left w:val="nil"/>
              <w:bottom w:val="single" w:sz="4" w:space="0" w:color="auto"/>
              <w:right w:val="nil"/>
            </w:tcBorders>
            <w:shd w:val="clear" w:color="auto" w:fill="auto"/>
            <w:noWrap/>
            <w:vAlign w:val="center"/>
            <w:hideMark/>
          </w:tcPr>
          <w:p w14:paraId="4801D385"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60.566</w:t>
            </w:r>
          </w:p>
        </w:tc>
        <w:tc>
          <w:tcPr>
            <w:tcW w:w="1560" w:type="dxa"/>
            <w:tcBorders>
              <w:top w:val="nil"/>
              <w:left w:val="nil"/>
              <w:bottom w:val="single" w:sz="4" w:space="0" w:color="auto"/>
              <w:right w:val="nil"/>
            </w:tcBorders>
            <w:shd w:val="clear" w:color="auto" w:fill="auto"/>
            <w:noWrap/>
            <w:vAlign w:val="center"/>
            <w:hideMark/>
          </w:tcPr>
          <w:p w14:paraId="091C754E"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13,78%</w:t>
            </w:r>
          </w:p>
        </w:tc>
        <w:tc>
          <w:tcPr>
            <w:tcW w:w="1274" w:type="dxa"/>
            <w:tcBorders>
              <w:top w:val="nil"/>
              <w:left w:val="nil"/>
              <w:bottom w:val="single" w:sz="4" w:space="0" w:color="auto"/>
              <w:right w:val="nil"/>
            </w:tcBorders>
            <w:shd w:val="clear" w:color="auto" w:fill="auto"/>
            <w:noWrap/>
            <w:vAlign w:val="center"/>
            <w:hideMark/>
          </w:tcPr>
          <w:p w14:paraId="23CCD89A"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13,78%</w:t>
            </w:r>
          </w:p>
        </w:tc>
      </w:tr>
      <w:tr w:rsidR="001579BE" w:rsidRPr="00A947EA" w14:paraId="0C1FDA32" w14:textId="77777777" w:rsidTr="00377237">
        <w:trPr>
          <w:trHeight w:val="310"/>
        </w:trPr>
        <w:tc>
          <w:tcPr>
            <w:tcW w:w="1444" w:type="dxa"/>
            <w:tcBorders>
              <w:top w:val="nil"/>
              <w:left w:val="nil"/>
              <w:bottom w:val="nil"/>
              <w:right w:val="nil"/>
            </w:tcBorders>
            <w:shd w:val="clear" w:color="auto" w:fill="auto"/>
            <w:noWrap/>
            <w:vAlign w:val="center"/>
            <w:hideMark/>
          </w:tcPr>
          <w:p w14:paraId="46FC5802"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Zimbabue</w:t>
            </w:r>
          </w:p>
        </w:tc>
        <w:tc>
          <w:tcPr>
            <w:tcW w:w="1108" w:type="dxa"/>
            <w:tcBorders>
              <w:top w:val="nil"/>
              <w:left w:val="nil"/>
              <w:bottom w:val="nil"/>
              <w:right w:val="nil"/>
            </w:tcBorders>
            <w:shd w:val="clear" w:color="auto" w:fill="auto"/>
            <w:noWrap/>
            <w:vAlign w:val="center"/>
            <w:hideMark/>
          </w:tcPr>
          <w:p w14:paraId="59C9229C"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Rusia</w:t>
            </w:r>
          </w:p>
        </w:tc>
        <w:tc>
          <w:tcPr>
            <w:tcW w:w="1417" w:type="dxa"/>
            <w:tcBorders>
              <w:top w:val="nil"/>
              <w:left w:val="nil"/>
              <w:bottom w:val="nil"/>
              <w:right w:val="nil"/>
            </w:tcBorders>
            <w:shd w:val="clear" w:color="auto" w:fill="auto"/>
            <w:noWrap/>
            <w:vAlign w:val="center"/>
            <w:hideMark/>
          </w:tcPr>
          <w:p w14:paraId="1441AB5E"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29.687</w:t>
            </w:r>
          </w:p>
        </w:tc>
        <w:tc>
          <w:tcPr>
            <w:tcW w:w="1701" w:type="dxa"/>
            <w:tcBorders>
              <w:top w:val="nil"/>
              <w:left w:val="nil"/>
              <w:bottom w:val="nil"/>
              <w:right w:val="nil"/>
            </w:tcBorders>
            <w:shd w:val="clear" w:color="auto" w:fill="auto"/>
            <w:noWrap/>
            <w:vAlign w:val="center"/>
            <w:hideMark/>
          </w:tcPr>
          <w:p w14:paraId="3657EFD1"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180.725</w:t>
            </w:r>
          </w:p>
        </w:tc>
        <w:tc>
          <w:tcPr>
            <w:tcW w:w="1560" w:type="dxa"/>
            <w:tcBorders>
              <w:top w:val="nil"/>
              <w:left w:val="nil"/>
              <w:bottom w:val="nil"/>
              <w:right w:val="nil"/>
            </w:tcBorders>
            <w:shd w:val="clear" w:color="auto" w:fill="auto"/>
            <w:noWrap/>
            <w:vAlign w:val="center"/>
            <w:hideMark/>
          </w:tcPr>
          <w:p w14:paraId="66980761"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16,43%</w:t>
            </w:r>
          </w:p>
        </w:tc>
        <w:tc>
          <w:tcPr>
            <w:tcW w:w="1274" w:type="dxa"/>
            <w:vMerge w:val="restart"/>
            <w:tcBorders>
              <w:top w:val="nil"/>
              <w:left w:val="nil"/>
              <w:bottom w:val="nil"/>
              <w:right w:val="nil"/>
            </w:tcBorders>
            <w:shd w:val="clear" w:color="auto" w:fill="auto"/>
            <w:noWrap/>
            <w:vAlign w:val="center"/>
            <w:hideMark/>
          </w:tcPr>
          <w:p w14:paraId="71600800"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19,75%</w:t>
            </w:r>
          </w:p>
        </w:tc>
      </w:tr>
      <w:tr w:rsidR="001579BE" w:rsidRPr="00A947EA" w14:paraId="4AC2F50D" w14:textId="77777777" w:rsidTr="00377237">
        <w:trPr>
          <w:trHeight w:val="310"/>
        </w:trPr>
        <w:tc>
          <w:tcPr>
            <w:tcW w:w="1444" w:type="dxa"/>
            <w:tcBorders>
              <w:top w:val="nil"/>
              <w:left w:val="nil"/>
              <w:bottom w:val="nil"/>
              <w:right w:val="nil"/>
            </w:tcBorders>
            <w:shd w:val="clear" w:color="auto" w:fill="auto"/>
            <w:noWrap/>
            <w:vAlign w:val="center"/>
            <w:hideMark/>
          </w:tcPr>
          <w:p w14:paraId="3D025CBF"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Zimbabue</w:t>
            </w:r>
          </w:p>
        </w:tc>
        <w:tc>
          <w:tcPr>
            <w:tcW w:w="1108" w:type="dxa"/>
            <w:tcBorders>
              <w:top w:val="nil"/>
              <w:left w:val="nil"/>
              <w:bottom w:val="nil"/>
              <w:right w:val="nil"/>
            </w:tcBorders>
            <w:shd w:val="clear" w:color="auto" w:fill="auto"/>
            <w:noWrap/>
            <w:vAlign w:val="center"/>
            <w:hideMark/>
          </w:tcPr>
          <w:p w14:paraId="1EACE826"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Ucrania</w:t>
            </w:r>
          </w:p>
        </w:tc>
        <w:tc>
          <w:tcPr>
            <w:tcW w:w="1417" w:type="dxa"/>
            <w:tcBorders>
              <w:top w:val="nil"/>
              <w:left w:val="nil"/>
              <w:bottom w:val="nil"/>
              <w:right w:val="nil"/>
            </w:tcBorders>
            <w:shd w:val="clear" w:color="auto" w:fill="auto"/>
            <w:noWrap/>
            <w:vAlign w:val="center"/>
            <w:hideMark/>
          </w:tcPr>
          <w:p w14:paraId="6A52CEB2"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6.000</w:t>
            </w:r>
          </w:p>
        </w:tc>
        <w:tc>
          <w:tcPr>
            <w:tcW w:w="1701" w:type="dxa"/>
            <w:tcBorders>
              <w:top w:val="nil"/>
              <w:left w:val="nil"/>
              <w:bottom w:val="nil"/>
              <w:right w:val="nil"/>
            </w:tcBorders>
            <w:shd w:val="clear" w:color="auto" w:fill="auto"/>
            <w:noWrap/>
            <w:vAlign w:val="center"/>
            <w:hideMark/>
          </w:tcPr>
          <w:p w14:paraId="05D07B27" w14:textId="77777777" w:rsidR="001579BE" w:rsidRPr="00A947EA" w:rsidRDefault="001579BE" w:rsidP="00377237">
            <w:pPr>
              <w:spacing w:after="0" w:line="240" w:lineRule="auto"/>
              <w:jc w:val="right"/>
              <w:rPr>
                <w:rFonts w:asciiTheme="majorBidi" w:eastAsia="Times New Roman" w:hAnsiTheme="majorBidi" w:cstheme="majorBidi"/>
                <w:sz w:val="20"/>
                <w:szCs w:val="20"/>
                <w:lang w:eastAsia="es-ES"/>
              </w:rPr>
            </w:pPr>
            <w:r w:rsidRPr="00A947EA">
              <w:rPr>
                <w:rFonts w:asciiTheme="majorBidi" w:eastAsia="Times New Roman" w:hAnsiTheme="majorBidi" w:cstheme="majorBidi"/>
                <w:sz w:val="20"/>
                <w:szCs w:val="20"/>
                <w:lang w:eastAsia="es-ES"/>
              </w:rPr>
              <w:t>180.725</w:t>
            </w:r>
          </w:p>
        </w:tc>
        <w:tc>
          <w:tcPr>
            <w:tcW w:w="1560" w:type="dxa"/>
            <w:tcBorders>
              <w:top w:val="nil"/>
              <w:left w:val="nil"/>
              <w:bottom w:val="nil"/>
              <w:right w:val="nil"/>
            </w:tcBorders>
            <w:shd w:val="clear" w:color="auto" w:fill="auto"/>
            <w:noWrap/>
            <w:vAlign w:val="center"/>
            <w:hideMark/>
          </w:tcPr>
          <w:p w14:paraId="2A113DA4" w14:textId="77777777" w:rsidR="001579BE" w:rsidRPr="00A947EA" w:rsidRDefault="001579BE" w:rsidP="00377237">
            <w:pPr>
              <w:spacing w:after="0" w:line="240" w:lineRule="auto"/>
              <w:jc w:val="right"/>
              <w:rPr>
                <w:rFonts w:asciiTheme="majorBidi" w:eastAsia="Times New Roman" w:hAnsiTheme="majorBidi" w:cstheme="majorBidi"/>
                <w:color w:val="000000"/>
                <w:sz w:val="20"/>
                <w:szCs w:val="20"/>
                <w:lang w:eastAsia="es-ES"/>
              </w:rPr>
            </w:pPr>
            <w:r w:rsidRPr="00A947EA">
              <w:rPr>
                <w:rFonts w:asciiTheme="majorBidi" w:eastAsia="Times New Roman" w:hAnsiTheme="majorBidi" w:cstheme="majorBidi"/>
                <w:color w:val="000000"/>
                <w:sz w:val="20"/>
                <w:szCs w:val="20"/>
                <w:lang w:eastAsia="es-ES"/>
              </w:rPr>
              <w:t>3,32%</w:t>
            </w:r>
          </w:p>
        </w:tc>
        <w:tc>
          <w:tcPr>
            <w:tcW w:w="1274" w:type="dxa"/>
            <w:vMerge/>
            <w:tcBorders>
              <w:top w:val="nil"/>
              <w:left w:val="nil"/>
              <w:bottom w:val="nil"/>
              <w:right w:val="nil"/>
            </w:tcBorders>
            <w:vAlign w:val="center"/>
            <w:hideMark/>
          </w:tcPr>
          <w:p w14:paraId="72769870" w14:textId="77777777" w:rsidR="001579BE" w:rsidRPr="00A947EA" w:rsidRDefault="001579BE" w:rsidP="00377237">
            <w:pPr>
              <w:spacing w:after="0" w:line="240" w:lineRule="auto"/>
              <w:rPr>
                <w:rFonts w:asciiTheme="majorBidi" w:eastAsia="Times New Roman" w:hAnsiTheme="majorBidi" w:cstheme="majorBidi"/>
                <w:color w:val="000000"/>
                <w:sz w:val="20"/>
                <w:szCs w:val="20"/>
                <w:lang w:eastAsia="es-ES"/>
              </w:rPr>
            </w:pPr>
          </w:p>
        </w:tc>
      </w:tr>
    </w:tbl>
    <w:p w14:paraId="343FD102" w14:textId="77777777" w:rsidR="001579BE" w:rsidRDefault="001579BE" w:rsidP="001579BE">
      <w:pPr>
        <w:rPr>
          <w:rFonts w:asciiTheme="majorBidi" w:hAnsiTheme="majorBidi" w:cstheme="majorBidi"/>
          <w:sz w:val="20"/>
          <w:szCs w:val="20"/>
        </w:rPr>
      </w:pPr>
    </w:p>
    <w:p w14:paraId="0F42190A" w14:textId="77777777" w:rsidR="001579BE" w:rsidRDefault="001579BE" w:rsidP="001579BE">
      <w:pPr>
        <w:rPr>
          <w:rFonts w:asciiTheme="majorBidi" w:hAnsiTheme="majorBidi" w:cstheme="majorBidi"/>
          <w:sz w:val="20"/>
          <w:szCs w:val="20"/>
        </w:rPr>
      </w:pPr>
    </w:p>
    <w:p w14:paraId="75C749E7" w14:textId="77777777" w:rsidR="001579BE" w:rsidRPr="009F51ED" w:rsidRDefault="001579BE" w:rsidP="009F51ED">
      <w:pPr>
        <w:pStyle w:val="Ttulo3"/>
        <w:spacing w:line="360" w:lineRule="auto"/>
        <w:jc w:val="both"/>
        <w:rPr>
          <w:rFonts w:asciiTheme="majorBidi" w:hAnsiTheme="majorBidi"/>
          <w:b/>
          <w:bCs/>
          <w:color w:val="auto"/>
        </w:rPr>
      </w:pPr>
      <w:bookmarkStart w:id="70" w:name="_Toc137456628"/>
      <w:r w:rsidRPr="009F51ED">
        <w:rPr>
          <w:rFonts w:asciiTheme="majorBidi" w:hAnsiTheme="majorBidi"/>
          <w:b/>
          <w:bCs/>
          <w:color w:val="auto"/>
        </w:rPr>
        <w:t>Anexo IV. Dependencia de las exportaciones de maíz rusas y ucranianas, por países importadores, para el año 2021. Elaboración propia con datos de (FAOSTAT, 2022).</w:t>
      </w:r>
      <w:bookmarkEnd w:id="70"/>
    </w:p>
    <w:tbl>
      <w:tblPr>
        <w:tblW w:w="8505" w:type="dxa"/>
        <w:tblLayout w:type="fixed"/>
        <w:tblCellMar>
          <w:left w:w="70" w:type="dxa"/>
          <w:right w:w="70" w:type="dxa"/>
        </w:tblCellMar>
        <w:tblLook w:val="04A0" w:firstRow="1" w:lastRow="0" w:firstColumn="1" w:lastColumn="0" w:noHBand="0" w:noVBand="1"/>
      </w:tblPr>
      <w:tblGrid>
        <w:gridCol w:w="1443"/>
        <w:gridCol w:w="1107"/>
        <w:gridCol w:w="1417"/>
        <w:gridCol w:w="1701"/>
        <w:gridCol w:w="1562"/>
        <w:gridCol w:w="1275"/>
      </w:tblGrid>
      <w:tr w:rsidR="001579BE" w:rsidRPr="00BF0713" w14:paraId="2D6F4F0A" w14:textId="77777777" w:rsidTr="00377237">
        <w:trPr>
          <w:trHeight w:val="320"/>
        </w:trPr>
        <w:tc>
          <w:tcPr>
            <w:tcW w:w="1443" w:type="dxa"/>
            <w:tcBorders>
              <w:top w:val="nil"/>
              <w:left w:val="nil"/>
              <w:bottom w:val="single" w:sz="8" w:space="0" w:color="auto"/>
              <w:right w:val="nil"/>
            </w:tcBorders>
            <w:shd w:val="clear" w:color="auto" w:fill="auto"/>
            <w:noWrap/>
            <w:hideMark/>
          </w:tcPr>
          <w:p w14:paraId="796B28BD"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País importador</w:t>
            </w:r>
          </w:p>
        </w:tc>
        <w:tc>
          <w:tcPr>
            <w:tcW w:w="1107" w:type="dxa"/>
            <w:tcBorders>
              <w:top w:val="nil"/>
              <w:left w:val="nil"/>
              <w:bottom w:val="single" w:sz="8" w:space="0" w:color="auto"/>
              <w:right w:val="nil"/>
            </w:tcBorders>
            <w:shd w:val="clear" w:color="auto" w:fill="auto"/>
            <w:noWrap/>
            <w:hideMark/>
          </w:tcPr>
          <w:p w14:paraId="1F06C463"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País exportador</w:t>
            </w:r>
          </w:p>
        </w:tc>
        <w:tc>
          <w:tcPr>
            <w:tcW w:w="1417" w:type="dxa"/>
            <w:tcBorders>
              <w:top w:val="nil"/>
              <w:left w:val="nil"/>
              <w:bottom w:val="single" w:sz="8" w:space="0" w:color="auto"/>
              <w:right w:val="nil"/>
            </w:tcBorders>
            <w:shd w:val="clear" w:color="auto" w:fill="auto"/>
            <w:noWrap/>
            <w:vAlign w:val="center"/>
            <w:hideMark/>
          </w:tcPr>
          <w:p w14:paraId="61A8C8D4"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Importaciones (t)</w:t>
            </w:r>
          </w:p>
        </w:tc>
        <w:tc>
          <w:tcPr>
            <w:tcW w:w="1701" w:type="dxa"/>
            <w:tcBorders>
              <w:top w:val="nil"/>
              <w:left w:val="nil"/>
              <w:bottom w:val="single" w:sz="8" w:space="0" w:color="auto"/>
              <w:right w:val="nil"/>
            </w:tcBorders>
            <w:shd w:val="clear" w:color="auto" w:fill="auto"/>
            <w:noWrap/>
            <w:vAlign w:val="center"/>
            <w:hideMark/>
          </w:tcPr>
          <w:p w14:paraId="232D5611"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Total importado (t)</w:t>
            </w:r>
          </w:p>
        </w:tc>
        <w:tc>
          <w:tcPr>
            <w:tcW w:w="1562" w:type="dxa"/>
            <w:tcBorders>
              <w:top w:val="nil"/>
              <w:left w:val="nil"/>
              <w:bottom w:val="single" w:sz="8" w:space="0" w:color="auto"/>
              <w:right w:val="nil"/>
            </w:tcBorders>
            <w:shd w:val="clear" w:color="auto" w:fill="auto"/>
            <w:noWrap/>
            <w:vAlign w:val="center"/>
            <w:hideMark/>
          </w:tcPr>
          <w:p w14:paraId="1D4B96FB"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Dependencia del exportador</w:t>
            </w:r>
          </w:p>
        </w:tc>
        <w:tc>
          <w:tcPr>
            <w:tcW w:w="1275" w:type="dxa"/>
            <w:tcBorders>
              <w:top w:val="nil"/>
              <w:left w:val="nil"/>
              <w:bottom w:val="single" w:sz="8" w:space="0" w:color="auto"/>
              <w:right w:val="nil"/>
            </w:tcBorders>
            <w:shd w:val="clear" w:color="auto" w:fill="auto"/>
            <w:noWrap/>
            <w:vAlign w:val="bottom"/>
            <w:hideMark/>
          </w:tcPr>
          <w:p w14:paraId="77EBD5A0" w14:textId="77777777" w:rsidR="001579BE" w:rsidRPr="00A947EA" w:rsidRDefault="001579BE" w:rsidP="00377237">
            <w:pPr>
              <w:spacing w:after="0" w:line="240" w:lineRule="auto"/>
              <w:jc w:val="center"/>
              <w:rPr>
                <w:rFonts w:asciiTheme="majorBidi" w:eastAsia="Times New Roman" w:hAnsiTheme="majorBidi" w:cstheme="majorBidi"/>
                <w:b/>
                <w:bCs/>
                <w:sz w:val="20"/>
                <w:szCs w:val="20"/>
                <w:lang w:eastAsia="es-ES"/>
              </w:rPr>
            </w:pPr>
            <w:r w:rsidRPr="00A947EA">
              <w:rPr>
                <w:rFonts w:asciiTheme="majorBidi" w:eastAsia="Times New Roman" w:hAnsiTheme="majorBidi" w:cstheme="majorBidi"/>
                <w:b/>
                <w:bCs/>
                <w:sz w:val="20"/>
                <w:szCs w:val="20"/>
                <w:lang w:eastAsia="es-ES"/>
              </w:rPr>
              <w:t>Dependencia total</w:t>
            </w:r>
          </w:p>
        </w:tc>
      </w:tr>
      <w:tr w:rsidR="001579BE" w:rsidRPr="008937EB" w14:paraId="744B900F" w14:textId="77777777" w:rsidTr="00377237">
        <w:trPr>
          <w:trHeight w:val="260"/>
        </w:trPr>
        <w:tc>
          <w:tcPr>
            <w:tcW w:w="1443" w:type="dxa"/>
            <w:tcBorders>
              <w:top w:val="single" w:sz="8" w:space="0" w:color="auto"/>
              <w:left w:val="nil"/>
              <w:bottom w:val="single" w:sz="4" w:space="0" w:color="auto"/>
              <w:right w:val="nil"/>
            </w:tcBorders>
            <w:shd w:val="clear" w:color="auto" w:fill="auto"/>
            <w:noWrap/>
            <w:vAlign w:val="center"/>
            <w:hideMark/>
          </w:tcPr>
          <w:p w14:paraId="22380C7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Albania</w:t>
            </w:r>
          </w:p>
        </w:tc>
        <w:tc>
          <w:tcPr>
            <w:tcW w:w="1107" w:type="dxa"/>
            <w:tcBorders>
              <w:top w:val="single" w:sz="8" w:space="0" w:color="auto"/>
              <w:left w:val="nil"/>
              <w:bottom w:val="single" w:sz="4" w:space="0" w:color="auto"/>
              <w:right w:val="nil"/>
            </w:tcBorders>
            <w:shd w:val="clear" w:color="auto" w:fill="auto"/>
            <w:noWrap/>
            <w:vAlign w:val="center"/>
            <w:hideMark/>
          </w:tcPr>
          <w:p w14:paraId="5B434FA1"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single" w:sz="8" w:space="0" w:color="auto"/>
              <w:left w:val="nil"/>
              <w:bottom w:val="single" w:sz="4" w:space="0" w:color="auto"/>
              <w:right w:val="nil"/>
            </w:tcBorders>
            <w:shd w:val="clear" w:color="auto" w:fill="auto"/>
            <w:noWrap/>
            <w:vAlign w:val="center"/>
            <w:hideMark/>
          </w:tcPr>
          <w:p w14:paraId="4052ACE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w:t>
            </w:r>
          </w:p>
        </w:tc>
        <w:tc>
          <w:tcPr>
            <w:tcW w:w="1701" w:type="dxa"/>
            <w:tcBorders>
              <w:top w:val="single" w:sz="8" w:space="0" w:color="auto"/>
              <w:left w:val="nil"/>
              <w:bottom w:val="single" w:sz="4" w:space="0" w:color="auto"/>
              <w:right w:val="nil"/>
            </w:tcBorders>
            <w:shd w:val="clear" w:color="auto" w:fill="auto"/>
            <w:noWrap/>
            <w:vAlign w:val="center"/>
            <w:hideMark/>
          </w:tcPr>
          <w:p w14:paraId="3EBF01F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72.185</w:t>
            </w:r>
          </w:p>
        </w:tc>
        <w:tc>
          <w:tcPr>
            <w:tcW w:w="1562" w:type="dxa"/>
            <w:tcBorders>
              <w:top w:val="single" w:sz="8" w:space="0" w:color="auto"/>
              <w:left w:val="nil"/>
              <w:bottom w:val="single" w:sz="4" w:space="0" w:color="auto"/>
              <w:right w:val="nil"/>
            </w:tcBorders>
            <w:shd w:val="clear" w:color="auto" w:fill="auto"/>
            <w:noWrap/>
            <w:vAlign w:val="center"/>
            <w:hideMark/>
          </w:tcPr>
          <w:p w14:paraId="40BB2C7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0,03%</w:t>
            </w:r>
          </w:p>
        </w:tc>
        <w:tc>
          <w:tcPr>
            <w:tcW w:w="1275" w:type="dxa"/>
            <w:tcBorders>
              <w:top w:val="single" w:sz="8" w:space="0" w:color="auto"/>
              <w:left w:val="nil"/>
              <w:bottom w:val="single" w:sz="4" w:space="0" w:color="auto"/>
              <w:right w:val="nil"/>
            </w:tcBorders>
            <w:shd w:val="clear" w:color="auto" w:fill="auto"/>
            <w:noWrap/>
            <w:vAlign w:val="center"/>
            <w:hideMark/>
          </w:tcPr>
          <w:p w14:paraId="67A65D0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0,03%</w:t>
            </w:r>
          </w:p>
        </w:tc>
      </w:tr>
      <w:tr w:rsidR="001579BE" w:rsidRPr="008937EB" w14:paraId="00F2ECDE" w14:textId="77777777" w:rsidTr="00377237">
        <w:trPr>
          <w:trHeight w:val="260"/>
        </w:trPr>
        <w:tc>
          <w:tcPr>
            <w:tcW w:w="1443" w:type="dxa"/>
            <w:tcBorders>
              <w:top w:val="nil"/>
              <w:left w:val="nil"/>
              <w:bottom w:val="nil"/>
              <w:right w:val="nil"/>
            </w:tcBorders>
            <w:shd w:val="clear" w:color="auto" w:fill="auto"/>
            <w:noWrap/>
            <w:vAlign w:val="center"/>
            <w:hideMark/>
          </w:tcPr>
          <w:p w14:paraId="11E28A56"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Argelia</w:t>
            </w:r>
          </w:p>
        </w:tc>
        <w:tc>
          <w:tcPr>
            <w:tcW w:w="1107" w:type="dxa"/>
            <w:tcBorders>
              <w:top w:val="nil"/>
              <w:left w:val="nil"/>
              <w:bottom w:val="nil"/>
              <w:right w:val="nil"/>
            </w:tcBorders>
            <w:shd w:val="clear" w:color="auto" w:fill="auto"/>
            <w:noWrap/>
            <w:vAlign w:val="center"/>
            <w:hideMark/>
          </w:tcPr>
          <w:p w14:paraId="3AE1B48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7FD743C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319.069</w:t>
            </w:r>
          </w:p>
        </w:tc>
        <w:tc>
          <w:tcPr>
            <w:tcW w:w="1701" w:type="dxa"/>
            <w:tcBorders>
              <w:top w:val="nil"/>
              <w:left w:val="nil"/>
              <w:bottom w:val="nil"/>
              <w:right w:val="nil"/>
            </w:tcBorders>
            <w:shd w:val="clear" w:color="auto" w:fill="auto"/>
            <w:noWrap/>
            <w:vAlign w:val="center"/>
            <w:hideMark/>
          </w:tcPr>
          <w:p w14:paraId="004F437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3.669.650</w:t>
            </w:r>
          </w:p>
        </w:tc>
        <w:tc>
          <w:tcPr>
            <w:tcW w:w="1562" w:type="dxa"/>
            <w:tcBorders>
              <w:top w:val="nil"/>
              <w:left w:val="nil"/>
              <w:bottom w:val="nil"/>
              <w:right w:val="nil"/>
            </w:tcBorders>
            <w:shd w:val="clear" w:color="auto" w:fill="auto"/>
            <w:noWrap/>
            <w:vAlign w:val="center"/>
            <w:hideMark/>
          </w:tcPr>
          <w:p w14:paraId="7BDC0BE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8,69%</w:t>
            </w:r>
          </w:p>
        </w:tc>
        <w:tc>
          <w:tcPr>
            <w:tcW w:w="1275" w:type="dxa"/>
            <w:vMerge w:val="restart"/>
            <w:tcBorders>
              <w:top w:val="nil"/>
              <w:left w:val="nil"/>
              <w:bottom w:val="single" w:sz="4" w:space="0" w:color="000000"/>
              <w:right w:val="nil"/>
            </w:tcBorders>
            <w:shd w:val="clear" w:color="auto" w:fill="auto"/>
            <w:noWrap/>
            <w:vAlign w:val="center"/>
            <w:hideMark/>
          </w:tcPr>
          <w:p w14:paraId="43C1E82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8,70%</w:t>
            </w:r>
          </w:p>
        </w:tc>
      </w:tr>
      <w:tr w:rsidR="001579BE" w:rsidRPr="008937EB" w14:paraId="21077DFC"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275C0F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Argelia</w:t>
            </w:r>
          </w:p>
        </w:tc>
        <w:tc>
          <w:tcPr>
            <w:tcW w:w="1107" w:type="dxa"/>
            <w:tcBorders>
              <w:top w:val="nil"/>
              <w:left w:val="nil"/>
              <w:bottom w:val="single" w:sz="4" w:space="0" w:color="auto"/>
              <w:right w:val="nil"/>
            </w:tcBorders>
            <w:shd w:val="clear" w:color="auto" w:fill="auto"/>
            <w:noWrap/>
            <w:vAlign w:val="center"/>
            <w:hideMark/>
          </w:tcPr>
          <w:p w14:paraId="7A778B2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572360C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100</w:t>
            </w:r>
          </w:p>
        </w:tc>
        <w:tc>
          <w:tcPr>
            <w:tcW w:w="1701" w:type="dxa"/>
            <w:tcBorders>
              <w:top w:val="nil"/>
              <w:left w:val="nil"/>
              <w:bottom w:val="single" w:sz="4" w:space="0" w:color="auto"/>
              <w:right w:val="nil"/>
            </w:tcBorders>
            <w:shd w:val="clear" w:color="auto" w:fill="auto"/>
            <w:noWrap/>
            <w:vAlign w:val="center"/>
            <w:hideMark/>
          </w:tcPr>
          <w:p w14:paraId="0345782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3.669.650</w:t>
            </w:r>
          </w:p>
        </w:tc>
        <w:tc>
          <w:tcPr>
            <w:tcW w:w="1562" w:type="dxa"/>
            <w:tcBorders>
              <w:top w:val="nil"/>
              <w:left w:val="nil"/>
              <w:bottom w:val="single" w:sz="4" w:space="0" w:color="auto"/>
              <w:right w:val="nil"/>
            </w:tcBorders>
            <w:shd w:val="clear" w:color="auto" w:fill="auto"/>
            <w:noWrap/>
            <w:vAlign w:val="center"/>
            <w:hideMark/>
          </w:tcPr>
          <w:p w14:paraId="1B1F6EA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1FE4A12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280513D2"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778E91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Angola</w:t>
            </w:r>
          </w:p>
        </w:tc>
        <w:tc>
          <w:tcPr>
            <w:tcW w:w="1107" w:type="dxa"/>
            <w:tcBorders>
              <w:top w:val="nil"/>
              <w:left w:val="nil"/>
              <w:bottom w:val="single" w:sz="4" w:space="0" w:color="auto"/>
              <w:right w:val="nil"/>
            </w:tcBorders>
            <w:shd w:val="clear" w:color="auto" w:fill="auto"/>
            <w:noWrap/>
            <w:vAlign w:val="center"/>
            <w:hideMark/>
          </w:tcPr>
          <w:p w14:paraId="3492E83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2E2EC5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w:t>
            </w:r>
          </w:p>
        </w:tc>
        <w:tc>
          <w:tcPr>
            <w:tcW w:w="1701" w:type="dxa"/>
            <w:tcBorders>
              <w:top w:val="nil"/>
              <w:left w:val="nil"/>
              <w:bottom w:val="single" w:sz="4" w:space="0" w:color="auto"/>
              <w:right w:val="nil"/>
            </w:tcBorders>
            <w:shd w:val="clear" w:color="auto" w:fill="auto"/>
            <w:noWrap/>
            <w:vAlign w:val="center"/>
            <w:hideMark/>
          </w:tcPr>
          <w:p w14:paraId="5692344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49.782</w:t>
            </w:r>
          </w:p>
        </w:tc>
        <w:tc>
          <w:tcPr>
            <w:tcW w:w="1562" w:type="dxa"/>
            <w:tcBorders>
              <w:top w:val="nil"/>
              <w:left w:val="nil"/>
              <w:bottom w:val="single" w:sz="4" w:space="0" w:color="auto"/>
              <w:right w:val="nil"/>
            </w:tcBorders>
            <w:shd w:val="clear" w:color="auto" w:fill="auto"/>
            <w:noWrap/>
            <w:vAlign w:val="center"/>
            <w:hideMark/>
          </w:tcPr>
          <w:p w14:paraId="41EB693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0,04%</w:t>
            </w:r>
          </w:p>
        </w:tc>
        <w:tc>
          <w:tcPr>
            <w:tcW w:w="1275" w:type="dxa"/>
            <w:tcBorders>
              <w:top w:val="nil"/>
              <w:left w:val="nil"/>
              <w:bottom w:val="single" w:sz="4" w:space="0" w:color="auto"/>
              <w:right w:val="nil"/>
            </w:tcBorders>
            <w:shd w:val="clear" w:color="auto" w:fill="auto"/>
            <w:noWrap/>
            <w:vAlign w:val="center"/>
            <w:hideMark/>
          </w:tcPr>
          <w:p w14:paraId="7F31793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0,04%</w:t>
            </w:r>
          </w:p>
        </w:tc>
      </w:tr>
      <w:tr w:rsidR="001579BE" w:rsidRPr="008937EB" w14:paraId="113BB8E2" w14:textId="77777777" w:rsidTr="00377237">
        <w:trPr>
          <w:trHeight w:val="260"/>
        </w:trPr>
        <w:tc>
          <w:tcPr>
            <w:tcW w:w="1443" w:type="dxa"/>
            <w:tcBorders>
              <w:top w:val="nil"/>
              <w:left w:val="nil"/>
              <w:bottom w:val="nil"/>
              <w:right w:val="nil"/>
            </w:tcBorders>
            <w:shd w:val="clear" w:color="auto" w:fill="auto"/>
            <w:noWrap/>
            <w:vAlign w:val="center"/>
            <w:hideMark/>
          </w:tcPr>
          <w:p w14:paraId="65D6201A"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Armenia</w:t>
            </w:r>
          </w:p>
        </w:tc>
        <w:tc>
          <w:tcPr>
            <w:tcW w:w="1107" w:type="dxa"/>
            <w:tcBorders>
              <w:top w:val="nil"/>
              <w:left w:val="nil"/>
              <w:bottom w:val="nil"/>
              <w:right w:val="nil"/>
            </w:tcBorders>
            <w:shd w:val="clear" w:color="auto" w:fill="auto"/>
            <w:noWrap/>
            <w:vAlign w:val="center"/>
            <w:hideMark/>
          </w:tcPr>
          <w:p w14:paraId="629A63D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57F59D4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66.110</w:t>
            </w:r>
          </w:p>
        </w:tc>
        <w:tc>
          <w:tcPr>
            <w:tcW w:w="1701" w:type="dxa"/>
            <w:tcBorders>
              <w:top w:val="nil"/>
              <w:left w:val="nil"/>
              <w:bottom w:val="nil"/>
              <w:right w:val="nil"/>
            </w:tcBorders>
            <w:shd w:val="clear" w:color="auto" w:fill="auto"/>
            <w:noWrap/>
            <w:vAlign w:val="center"/>
            <w:hideMark/>
          </w:tcPr>
          <w:p w14:paraId="04A07D8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66.665</w:t>
            </w:r>
          </w:p>
        </w:tc>
        <w:tc>
          <w:tcPr>
            <w:tcW w:w="1562" w:type="dxa"/>
            <w:tcBorders>
              <w:top w:val="nil"/>
              <w:left w:val="nil"/>
              <w:bottom w:val="nil"/>
              <w:right w:val="nil"/>
            </w:tcBorders>
            <w:shd w:val="clear" w:color="auto" w:fill="auto"/>
            <w:noWrap/>
            <w:vAlign w:val="center"/>
            <w:hideMark/>
          </w:tcPr>
          <w:p w14:paraId="1BFC3C6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99,17%</w:t>
            </w:r>
          </w:p>
        </w:tc>
        <w:tc>
          <w:tcPr>
            <w:tcW w:w="1275" w:type="dxa"/>
            <w:vMerge w:val="restart"/>
            <w:tcBorders>
              <w:top w:val="nil"/>
              <w:left w:val="nil"/>
              <w:bottom w:val="single" w:sz="4" w:space="0" w:color="000000"/>
              <w:right w:val="nil"/>
            </w:tcBorders>
            <w:shd w:val="clear" w:color="auto" w:fill="auto"/>
            <w:noWrap/>
            <w:vAlign w:val="center"/>
            <w:hideMark/>
          </w:tcPr>
          <w:p w14:paraId="36A5C9C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99,17%</w:t>
            </w:r>
          </w:p>
        </w:tc>
      </w:tr>
      <w:tr w:rsidR="001579BE" w:rsidRPr="008937EB" w14:paraId="693A4E8F"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B306FC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Armenia</w:t>
            </w:r>
          </w:p>
        </w:tc>
        <w:tc>
          <w:tcPr>
            <w:tcW w:w="1107" w:type="dxa"/>
            <w:tcBorders>
              <w:top w:val="nil"/>
              <w:left w:val="nil"/>
              <w:bottom w:val="single" w:sz="4" w:space="0" w:color="auto"/>
              <w:right w:val="nil"/>
            </w:tcBorders>
            <w:shd w:val="clear" w:color="auto" w:fill="auto"/>
            <w:noWrap/>
            <w:vAlign w:val="center"/>
            <w:hideMark/>
          </w:tcPr>
          <w:p w14:paraId="4C3DB9B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70A0B0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w:t>
            </w:r>
          </w:p>
        </w:tc>
        <w:tc>
          <w:tcPr>
            <w:tcW w:w="1701" w:type="dxa"/>
            <w:tcBorders>
              <w:top w:val="nil"/>
              <w:left w:val="nil"/>
              <w:bottom w:val="single" w:sz="4" w:space="0" w:color="auto"/>
              <w:right w:val="nil"/>
            </w:tcBorders>
            <w:shd w:val="clear" w:color="auto" w:fill="auto"/>
            <w:noWrap/>
            <w:vAlign w:val="center"/>
            <w:hideMark/>
          </w:tcPr>
          <w:p w14:paraId="5754EC5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66.665</w:t>
            </w:r>
          </w:p>
        </w:tc>
        <w:tc>
          <w:tcPr>
            <w:tcW w:w="1562" w:type="dxa"/>
            <w:tcBorders>
              <w:top w:val="nil"/>
              <w:left w:val="nil"/>
              <w:bottom w:val="single" w:sz="4" w:space="0" w:color="auto"/>
              <w:right w:val="nil"/>
            </w:tcBorders>
            <w:shd w:val="clear" w:color="auto" w:fill="auto"/>
            <w:noWrap/>
            <w:vAlign w:val="center"/>
            <w:hideMark/>
          </w:tcPr>
          <w:p w14:paraId="6FFAE03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0678F42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39AEB34F" w14:textId="77777777" w:rsidTr="00377237">
        <w:trPr>
          <w:trHeight w:val="260"/>
        </w:trPr>
        <w:tc>
          <w:tcPr>
            <w:tcW w:w="1443" w:type="dxa"/>
            <w:tcBorders>
              <w:top w:val="nil"/>
              <w:left w:val="nil"/>
              <w:bottom w:val="nil"/>
              <w:right w:val="nil"/>
            </w:tcBorders>
            <w:shd w:val="clear" w:color="auto" w:fill="auto"/>
            <w:noWrap/>
            <w:vAlign w:val="center"/>
            <w:hideMark/>
          </w:tcPr>
          <w:p w14:paraId="7CE4A31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Austria</w:t>
            </w:r>
          </w:p>
        </w:tc>
        <w:tc>
          <w:tcPr>
            <w:tcW w:w="1107" w:type="dxa"/>
            <w:tcBorders>
              <w:top w:val="nil"/>
              <w:left w:val="nil"/>
              <w:bottom w:val="nil"/>
              <w:right w:val="nil"/>
            </w:tcBorders>
            <w:shd w:val="clear" w:color="auto" w:fill="auto"/>
            <w:noWrap/>
            <w:vAlign w:val="center"/>
            <w:hideMark/>
          </w:tcPr>
          <w:p w14:paraId="6A5236DF"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6F0FF0C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337</w:t>
            </w:r>
          </w:p>
        </w:tc>
        <w:tc>
          <w:tcPr>
            <w:tcW w:w="1701" w:type="dxa"/>
            <w:tcBorders>
              <w:top w:val="nil"/>
              <w:left w:val="nil"/>
              <w:bottom w:val="nil"/>
              <w:right w:val="nil"/>
            </w:tcBorders>
            <w:shd w:val="clear" w:color="auto" w:fill="auto"/>
            <w:noWrap/>
            <w:vAlign w:val="center"/>
            <w:hideMark/>
          </w:tcPr>
          <w:p w14:paraId="51953ED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1.085.358</w:t>
            </w:r>
          </w:p>
        </w:tc>
        <w:tc>
          <w:tcPr>
            <w:tcW w:w="1562" w:type="dxa"/>
            <w:tcBorders>
              <w:top w:val="nil"/>
              <w:left w:val="nil"/>
              <w:bottom w:val="nil"/>
              <w:right w:val="nil"/>
            </w:tcBorders>
            <w:shd w:val="clear" w:color="auto" w:fill="auto"/>
            <w:noWrap/>
            <w:vAlign w:val="center"/>
            <w:hideMark/>
          </w:tcPr>
          <w:p w14:paraId="65978BB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0,03%</w:t>
            </w:r>
          </w:p>
        </w:tc>
        <w:tc>
          <w:tcPr>
            <w:tcW w:w="1275" w:type="dxa"/>
            <w:vMerge w:val="restart"/>
            <w:tcBorders>
              <w:top w:val="nil"/>
              <w:left w:val="nil"/>
              <w:bottom w:val="single" w:sz="4" w:space="0" w:color="000000"/>
              <w:right w:val="nil"/>
            </w:tcBorders>
            <w:shd w:val="clear" w:color="auto" w:fill="auto"/>
            <w:noWrap/>
            <w:vAlign w:val="center"/>
            <w:hideMark/>
          </w:tcPr>
          <w:p w14:paraId="01D73F9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0,03%</w:t>
            </w:r>
          </w:p>
        </w:tc>
      </w:tr>
      <w:tr w:rsidR="001579BE" w:rsidRPr="008937EB" w14:paraId="302EFB1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E21AD6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Austria</w:t>
            </w:r>
          </w:p>
        </w:tc>
        <w:tc>
          <w:tcPr>
            <w:tcW w:w="1107" w:type="dxa"/>
            <w:tcBorders>
              <w:top w:val="nil"/>
              <w:left w:val="nil"/>
              <w:bottom w:val="single" w:sz="4" w:space="0" w:color="auto"/>
              <w:right w:val="nil"/>
            </w:tcBorders>
            <w:shd w:val="clear" w:color="auto" w:fill="auto"/>
            <w:noWrap/>
            <w:vAlign w:val="center"/>
            <w:hideMark/>
          </w:tcPr>
          <w:p w14:paraId="6D07034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1152B6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30</w:t>
            </w:r>
          </w:p>
        </w:tc>
        <w:tc>
          <w:tcPr>
            <w:tcW w:w="1701" w:type="dxa"/>
            <w:tcBorders>
              <w:top w:val="nil"/>
              <w:left w:val="nil"/>
              <w:bottom w:val="single" w:sz="4" w:space="0" w:color="auto"/>
              <w:right w:val="nil"/>
            </w:tcBorders>
            <w:shd w:val="clear" w:color="auto" w:fill="auto"/>
            <w:noWrap/>
            <w:vAlign w:val="center"/>
            <w:hideMark/>
          </w:tcPr>
          <w:p w14:paraId="6430122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1.085.358</w:t>
            </w:r>
          </w:p>
        </w:tc>
        <w:tc>
          <w:tcPr>
            <w:tcW w:w="1562" w:type="dxa"/>
            <w:tcBorders>
              <w:top w:val="nil"/>
              <w:left w:val="nil"/>
              <w:bottom w:val="single" w:sz="4" w:space="0" w:color="auto"/>
              <w:right w:val="nil"/>
            </w:tcBorders>
            <w:shd w:val="clear" w:color="auto" w:fill="auto"/>
            <w:noWrap/>
            <w:vAlign w:val="center"/>
            <w:hideMark/>
          </w:tcPr>
          <w:p w14:paraId="2335FB7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68FC3FF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5059453" w14:textId="77777777" w:rsidTr="00377237">
        <w:trPr>
          <w:trHeight w:val="260"/>
        </w:trPr>
        <w:tc>
          <w:tcPr>
            <w:tcW w:w="1443" w:type="dxa"/>
            <w:tcBorders>
              <w:top w:val="nil"/>
              <w:left w:val="nil"/>
              <w:bottom w:val="nil"/>
              <w:right w:val="nil"/>
            </w:tcBorders>
            <w:shd w:val="clear" w:color="auto" w:fill="auto"/>
            <w:noWrap/>
            <w:vAlign w:val="center"/>
            <w:hideMark/>
          </w:tcPr>
          <w:p w14:paraId="15636DB6"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Azerbaiyán</w:t>
            </w:r>
          </w:p>
        </w:tc>
        <w:tc>
          <w:tcPr>
            <w:tcW w:w="1107" w:type="dxa"/>
            <w:tcBorders>
              <w:top w:val="nil"/>
              <w:left w:val="nil"/>
              <w:bottom w:val="nil"/>
              <w:right w:val="nil"/>
            </w:tcBorders>
            <w:shd w:val="clear" w:color="auto" w:fill="auto"/>
            <w:noWrap/>
            <w:vAlign w:val="center"/>
            <w:hideMark/>
          </w:tcPr>
          <w:p w14:paraId="2274961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6DAFBCC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28.957</w:t>
            </w:r>
          </w:p>
        </w:tc>
        <w:tc>
          <w:tcPr>
            <w:tcW w:w="1701" w:type="dxa"/>
            <w:tcBorders>
              <w:top w:val="nil"/>
              <w:left w:val="nil"/>
              <w:bottom w:val="nil"/>
              <w:right w:val="nil"/>
            </w:tcBorders>
            <w:shd w:val="clear" w:color="auto" w:fill="auto"/>
            <w:noWrap/>
            <w:vAlign w:val="center"/>
            <w:hideMark/>
          </w:tcPr>
          <w:p w14:paraId="09EB4F1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30.884</w:t>
            </w:r>
          </w:p>
        </w:tc>
        <w:tc>
          <w:tcPr>
            <w:tcW w:w="1562" w:type="dxa"/>
            <w:tcBorders>
              <w:top w:val="nil"/>
              <w:left w:val="nil"/>
              <w:bottom w:val="nil"/>
              <w:right w:val="nil"/>
            </w:tcBorders>
            <w:shd w:val="clear" w:color="auto" w:fill="auto"/>
            <w:noWrap/>
            <w:vAlign w:val="center"/>
            <w:hideMark/>
          </w:tcPr>
          <w:p w14:paraId="2345921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93,76%</w:t>
            </w:r>
          </w:p>
        </w:tc>
        <w:tc>
          <w:tcPr>
            <w:tcW w:w="1275" w:type="dxa"/>
            <w:vMerge w:val="restart"/>
            <w:tcBorders>
              <w:top w:val="nil"/>
              <w:left w:val="nil"/>
              <w:bottom w:val="single" w:sz="4" w:space="0" w:color="000000"/>
              <w:right w:val="nil"/>
            </w:tcBorders>
            <w:shd w:val="clear" w:color="auto" w:fill="auto"/>
            <w:noWrap/>
            <w:vAlign w:val="center"/>
            <w:hideMark/>
          </w:tcPr>
          <w:p w14:paraId="3F02AF2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93,98%</w:t>
            </w:r>
          </w:p>
        </w:tc>
      </w:tr>
      <w:tr w:rsidR="001579BE" w:rsidRPr="008937EB" w14:paraId="035CABE5"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218205A"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Azerbaiyán</w:t>
            </w:r>
          </w:p>
        </w:tc>
        <w:tc>
          <w:tcPr>
            <w:tcW w:w="1107" w:type="dxa"/>
            <w:tcBorders>
              <w:top w:val="nil"/>
              <w:left w:val="nil"/>
              <w:bottom w:val="single" w:sz="4" w:space="0" w:color="auto"/>
              <w:right w:val="nil"/>
            </w:tcBorders>
            <w:shd w:val="clear" w:color="auto" w:fill="auto"/>
            <w:noWrap/>
            <w:vAlign w:val="center"/>
            <w:hideMark/>
          </w:tcPr>
          <w:p w14:paraId="129DDB4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CF1668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69</w:t>
            </w:r>
          </w:p>
        </w:tc>
        <w:tc>
          <w:tcPr>
            <w:tcW w:w="1701" w:type="dxa"/>
            <w:tcBorders>
              <w:top w:val="nil"/>
              <w:left w:val="nil"/>
              <w:bottom w:val="single" w:sz="4" w:space="0" w:color="auto"/>
              <w:right w:val="nil"/>
            </w:tcBorders>
            <w:shd w:val="clear" w:color="auto" w:fill="auto"/>
            <w:noWrap/>
            <w:vAlign w:val="center"/>
            <w:hideMark/>
          </w:tcPr>
          <w:p w14:paraId="63F6B33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30.884</w:t>
            </w:r>
          </w:p>
        </w:tc>
        <w:tc>
          <w:tcPr>
            <w:tcW w:w="1562" w:type="dxa"/>
            <w:tcBorders>
              <w:top w:val="nil"/>
              <w:left w:val="nil"/>
              <w:bottom w:val="single" w:sz="4" w:space="0" w:color="auto"/>
              <w:right w:val="nil"/>
            </w:tcBorders>
            <w:shd w:val="clear" w:color="auto" w:fill="auto"/>
            <w:noWrap/>
            <w:vAlign w:val="center"/>
            <w:hideMark/>
          </w:tcPr>
          <w:p w14:paraId="0A470A7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0,22%</w:t>
            </w:r>
          </w:p>
        </w:tc>
        <w:tc>
          <w:tcPr>
            <w:tcW w:w="1275" w:type="dxa"/>
            <w:vMerge/>
            <w:tcBorders>
              <w:top w:val="nil"/>
              <w:left w:val="nil"/>
              <w:bottom w:val="single" w:sz="4" w:space="0" w:color="000000"/>
              <w:right w:val="nil"/>
            </w:tcBorders>
            <w:vAlign w:val="center"/>
            <w:hideMark/>
          </w:tcPr>
          <w:p w14:paraId="6269793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0E711462" w14:textId="77777777" w:rsidTr="00377237">
        <w:trPr>
          <w:trHeight w:val="260"/>
        </w:trPr>
        <w:tc>
          <w:tcPr>
            <w:tcW w:w="1443" w:type="dxa"/>
            <w:tcBorders>
              <w:top w:val="nil"/>
              <w:left w:val="nil"/>
              <w:bottom w:val="nil"/>
              <w:right w:val="nil"/>
            </w:tcBorders>
            <w:shd w:val="clear" w:color="auto" w:fill="auto"/>
            <w:noWrap/>
            <w:vAlign w:val="center"/>
            <w:hideMark/>
          </w:tcPr>
          <w:p w14:paraId="153B3368"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Bielorrusia</w:t>
            </w:r>
          </w:p>
        </w:tc>
        <w:tc>
          <w:tcPr>
            <w:tcW w:w="1107" w:type="dxa"/>
            <w:tcBorders>
              <w:top w:val="nil"/>
              <w:left w:val="nil"/>
              <w:bottom w:val="nil"/>
              <w:right w:val="nil"/>
            </w:tcBorders>
            <w:shd w:val="clear" w:color="auto" w:fill="auto"/>
            <w:noWrap/>
            <w:vAlign w:val="center"/>
            <w:hideMark/>
          </w:tcPr>
          <w:p w14:paraId="1B2FCDA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13F0AA2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40.128</w:t>
            </w:r>
          </w:p>
        </w:tc>
        <w:tc>
          <w:tcPr>
            <w:tcW w:w="1701" w:type="dxa"/>
            <w:tcBorders>
              <w:top w:val="nil"/>
              <w:left w:val="nil"/>
              <w:bottom w:val="nil"/>
              <w:right w:val="nil"/>
            </w:tcBorders>
            <w:shd w:val="clear" w:color="auto" w:fill="auto"/>
            <w:noWrap/>
            <w:vAlign w:val="center"/>
            <w:hideMark/>
          </w:tcPr>
          <w:p w14:paraId="12BD508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57.379</w:t>
            </w:r>
          </w:p>
        </w:tc>
        <w:tc>
          <w:tcPr>
            <w:tcW w:w="1562" w:type="dxa"/>
            <w:tcBorders>
              <w:top w:val="nil"/>
              <w:left w:val="nil"/>
              <w:bottom w:val="nil"/>
              <w:right w:val="nil"/>
            </w:tcBorders>
            <w:shd w:val="clear" w:color="auto" w:fill="auto"/>
            <w:noWrap/>
            <w:vAlign w:val="center"/>
            <w:hideMark/>
          </w:tcPr>
          <w:p w14:paraId="03C6E5C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69,94%</w:t>
            </w:r>
          </w:p>
        </w:tc>
        <w:tc>
          <w:tcPr>
            <w:tcW w:w="1275" w:type="dxa"/>
            <w:vMerge w:val="restart"/>
            <w:tcBorders>
              <w:top w:val="nil"/>
              <w:left w:val="nil"/>
              <w:bottom w:val="single" w:sz="4" w:space="0" w:color="000000"/>
              <w:right w:val="nil"/>
            </w:tcBorders>
            <w:shd w:val="clear" w:color="auto" w:fill="auto"/>
            <w:noWrap/>
            <w:vAlign w:val="center"/>
            <w:hideMark/>
          </w:tcPr>
          <w:p w14:paraId="006A70A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86,56%</w:t>
            </w:r>
          </w:p>
        </w:tc>
      </w:tr>
      <w:tr w:rsidR="001579BE" w:rsidRPr="008937EB" w14:paraId="0C33F4C6"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327B94A"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Bielorrusia</w:t>
            </w:r>
          </w:p>
        </w:tc>
        <w:tc>
          <w:tcPr>
            <w:tcW w:w="1107" w:type="dxa"/>
            <w:tcBorders>
              <w:top w:val="nil"/>
              <w:left w:val="nil"/>
              <w:bottom w:val="single" w:sz="4" w:space="0" w:color="auto"/>
              <w:right w:val="nil"/>
            </w:tcBorders>
            <w:shd w:val="clear" w:color="auto" w:fill="auto"/>
            <w:noWrap/>
            <w:vAlign w:val="center"/>
            <w:hideMark/>
          </w:tcPr>
          <w:p w14:paraId="45FC080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0CC3F2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9.538</w:t>
            </w:r>
          </w:p>
        </w:tc>
        <w:tc>
          <w:tcPr>
            <w:tcW w:w="1701" w:type="dxa"/>
            <w:tcBorders>
              <w:top w:val="nil"/>
              <w:left w:val="nil"/>
              <w:bottom w:val="single" w:sz="4" w:space="0" w:color="auto"/>
              <w:right w:val="nil"/>
            </w:tcBorders>
            <w:shd w:val="clear" w:color="auto" w:fill="auto"/>
            <w:noWrap/>
            <w:vAlign w:val="center"/>
            <w:hideMark/>
          </w:tcPr>
          <w:p w14:paraId="669FBE7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57.379</w:t>
            </w:r>
          </w:p>
        </w:tc>
        <w:tc>
          <w:tcPr>
            <w:tcW w:w="1562" w:type="dxa"/>
            <w:tcBorders>
              <w:top w:val="nil"/>
              <w:left w:val="nil"/>
              <w:bottom w:val="single" w:sz="4" w:space="0" w:color="auto"/>
              <w:right w:val="nil"/>
            </w:tcBorders>
            <w:shd w:val="clear" w:color="auto" w:fill="auto"/>
            <w:noWrap/>
            <w:vAlign w:val="center"/>
            <w:hideMark/>
          </w:tcPr>
          <w:p w14:paraId="1959D7E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16,62%</w:t>
            </w:r>
          </w:p>
        </w:tc>
        <w:tc>
          <w:tcPr>
            <w:tcW w:w="1275" w:type="dxa"/>
            <w:vMerge/>
            <w:tcBorders>
              <w:top w:val="nil"/>
              <w:left w:val="nil"/>
              <w:bottom w:val="single" w:sz="4" w:space="0" w:color="000000"/>
              <w:right w:val="nil"/>
            </w:tcBorders>
            <w:vAlign w:val="center"/>
            <w:hideMark/>
          </w:tcPr>
          <w:p w14:paraId="26BBC2F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03A3930F"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4041FE63"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Bélgica</w:t>
            </w:r>
          </w:p>
        </w:tc>
        <w:tc>
          <w:tcPr>
            <w:tcW w:w="1107" w:type="dxa"/>
            <w:tcBorders>
              <w:top w:val="nil"/>
              <w:left w:val="nil"/>
              <w:bottom w:val="single" w:sz="4" w:space="0" w:color="auto"/>
              <w:right w:val="nil"/>
            </w:tcBorders>
            <w:shd w:val="clear" w:color="auto" w:fill="auto"/>
            <w:noWrap/>
            <w:vAlign w:val="center"/>
            <w:hideMark/>
          </w:tcPr>
          <w:p w14:paraId="3EC8E71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C574AD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644.326</w:t>
            </w:r>
          </w:p>
        </w:tc>
        <w:tc>
          <w:tcPr>
            <w:tcW w:w="1701" w:type="dxa"/>
            <w:tcBorders>
              <w:top w:val="nil"/>
              <w:left w:val="nil"/>
              <w:bottom w:val="single" w:sz="4" w:space="0" w:color="auto"/>
              <w:right w:val="nil"/>
            </w:tcBorders>
            <w:shd w:val="clear" w:color="auto" w:fill="auto"/>
            <w:noWrap/>
            <w:vAlign w:val="center"/>
            <w:hideMark/>
          </w:tcPr>
          <w:p w14:paraId="7BDF8F0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1.919.146</w:t>
            </w:r>
          </w:p>
        </w:tc>
        <w:tc>
          <w:tcPr>
            <w:tcW w:w="1562" w:type="dxa"/>
            <w:tcBorders>
              <w:top w:val="nil"/>
              <w:left w:val="nil"/>
              <w:bottom w:val="single" w:sz="4" w:space="0" w:color="auto"/>
              <w:right w:val="nil"/>
            </w:tcBorders>
            <w:shd w:val="clear" w:color="auto" w:fill="auto"/>
            <w:noWrap/>
            <w:vAlign w:val="center"/>
            <w:hideMark/>
          </w:tcPr>
          <w:p w14:paraId="4A7F90E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33,57%</w:t>
            </w:r>
          </w:p>
        </w:tc>
        <w:tc>
          <w:tcPr>
            <w:tcW w:w="1275" w:type="dxa"/>
            <w:tcBorders>
              <w:top w:val="nil"/>
              <w:left w:val="nil"/>
              <w:bottom w:val="single" w:sz="4" w:space="0" w:color="auto"/>
              <w:right w:val="nil"/>
            </w:tcBorders>
            <w:shd w:val="clear" w:color="auto" w:fill="auto"/>
            <w:noWrap/>
            <w:vAlign w:val="center"/>
            <w:hideMark/>
          </w:tcPr>
          <w:p w14:paraId="1AE5F98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33,57%</w:t>
            </w:r>
          </w:p>
        </w:tc>
      </w:tr>
      <w:tr w:rsidR="001579BE" w:rsidRPr="008937EB" w14:paraId="1ED7D1C1" w14:textId="77777777" w:rsidTr="00377237">
        <w:trPr>
          <w:trHeight w:val="260"/>
        </w:trPr>
        <w:tc>
          <w:tcPr>
            <w:tcW w:w="1443" w:type="dxa"/>
            <w:tcBorders>
              <w:top w:val="nil"/>
              <w:left w:val="nil"/>
              <w:bottom w:val="nil"/>
              <w:right w:val="nil"/>
            </w:tcBorders>
            <w:shd w:val="clear" w:color="auto" w:fill="auto"/>
            <w:noWrap/>
            <w:vAlign w:val="center"/>
            <w:hideMark/>
          </w:tcPr>
          <w:p w14:paraId="354D4B1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Bulgaria</w:t>
            </w:r>
          </w:p>
        </w:tc>
        <w:tc>
          <w:tcPr>
            <w:tcW w:w="1107" w:type="dxa"/>
            <w:tcBorders>
              <w:top w:val="nil"/>
              <w:left w:val="nil"/>
              <w:bottom w:val="nil"/>
              <w:right w:val="nil"/>
            </w:tcBorders>
            <w:shd w:val="clear" w:color="auto" w:fill="auto"/>
            <w:noWrap/>
            <w:vAlign w:val="center"/>
            <w:hideMark/>
          </w:tcPr>
          <w:p w14:paraId="71468460"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39513A9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721</w:t>
            </w:r>
          </w:p>
        </w:tc>
        <w:tc>
          <w:tcPr>
            <w:tcW w:w="1701" w:type="dxa"/>
            <w:tcBorders>
              <w:top w:val="nil"/>
              <w:left w:val="nil"/>
              <w:bottom w:val="nil"/>
              <w:right w:val="nil"/>
            </w:tcBorders>
            <w:shd w:val="clear" w:color="auto" w:fill="auto"/>
            <w:noWrap/>
            <w:vAlign w:val="center"/>
            <w:hideMark/>
          </w:tcPr>
          <w:p w14:paraId="7C421D2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88.126</w:t>
            </w:r>
          </w:p>
        </w:tc>
        <w:tc>
          <w:tcPr>
            <w:tcW w:w="1562" w:type="dxa"/>
            <w:tcBorders>
              <w:top w:val="nil"/>
              <w:left w:val="nil"/>
              <w:bottom w:val="nil"/>
              <w:right w:val="nil"/>
            </w:tcBorders>
            <w:shd w:val="clear" w:color="auto" w:fill="auto"/>
            <w:noWrap/>
            <w:vAlign w:val="center"/>
            <w:hideMark/>
          </w:tcPr>
          <w:p w14:paraId="0F65610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0,82%</w:t>
            </w:r>
          </w:p>
        </w:tc>
        <w:tc>
          <w:tcPr>
            <w:tcW w:w="1275" w:type="dxa"/>
            <w:vMerge w:val="restart"/>
            <w:tcBorders>
              <w:top w:val="nil"/>
              <w:left w:val="nil"/>
              <w:bottom w:val="single" w:sz="4" w:space="0" w:color="000000"/>
              <w:right w:val="nil"/>
            </w:tcBorders>
            <w:shd w:val="clear" w:color="auto" w:fill="auto"/>
            <w:noWrap/>
            <w:vAlign w:val="center"/>
            <w:hideMark/>
          </w:tcPr>
          <w:p w14:paraId="3F46EBF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1,31%</w:t>
            </w:r>
          </w:p>
        </w:tc>
      </w:tr>
      <w:tr w:rsidR="001579BE" w:rsidRPr="008937EB" w14:paraId="42A58D94"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8969D3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Bulgaria</w:t>
            </w:r>
          </w:p>
        </w:tc>
        <w:tc>
          <w:tcPr>
            <w:tcW w:w="1107" w:type="dxa"/>
            <w:tcBorders>
              <w:top w:val="nil"/>
              <w:left w:val="nil"/>
              <w:bottom w:val="single" w:sz="4" w:space="0" w:color="auto"/>
              <w:right w:val="nil"/>
            </w:tcBorders>
            <w:shd w:val="clear" w:color="auto" w:fill="auto"/>
            <w:noWrap/>
            <w:vAlign w:val="center"/>
            <w:hideMark/>
          </w:tcPr>
          <w:p w14:paraId="251A71D2"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28D3E2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431</w:t>
            </w:r>
          </w:p>
        </w:tc>
        <w:tc>
          <w:tcPr>
            <w:tcW w:w="1701" w:type="dxa"/>
            <w:tcBorders>
              <w:top w:val="nil"/>
              <w:left w:val="nil"/>
              <w:bottom w:val="single" w:sz="4" w:space="0" w:color="auto"/>
              <w:right w:val="nil"/>
            </w:tcBorders>
            <w:shd w:val="clear" w:color="auto" w:fill="auto"/>
            <w:noWrap/>
            <w:vAlign w:val="center"/>
            <w:hideMark/>
          </w:tcPr>
          <w:p w14:paraId="7F967F8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88.126</w:t>
            </w:r>
          </w:p>
        </w:tc>
        <w:tc>
          <w:tcPr>
            <w:tcW w:w="1562" w:type="dxa"/>
            <w:tcBorders>
              <w:top w:val="nil"/>
              <w:left w:val="nil"/>
              <w:bottom w:val="single" w:sz="4" w:space="0" w:color="auto"/>
              <w:right w:val="nil"/>
            </w:tcBorders>
            <w:shd w:val="clear" w:color="auto" w:fill="auto"/>
            <w:noWrap/>
            <w:vAlign w:val="center"/>
            <w:hideMark/>
          </w:tcPr>
          <w:p w14:paraId="4BA89AE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0,49%</w:t>
            </w:r>
          </w:p>
        </w:tc>
        <w:tc>
          <w:tcPr>
            <w:tcW w:w="1275" w:type="dxa"/>
            <w:vMerge/>
            <w:tcBorders>
              <w:top w:val="nil"/>
              <w:left w:val="nil"/>
              <w:bottom w:val="single" w:sz="4" w:space="0" w:color="000000"/>
              <w:right w:val="nil"/>
            </w:tcBorders>
            <w:vAlign w:val="center"/>
            <w:hideMark/>
          </w:tcPr>
          <w:p w14:paraId="1E4B1D0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481B9A3D"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6435402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Camerún</w:t>
            </w:r>
          </w:p>
        </w:tc>
        <w:tc>
          <w:tcPr>
            <w:tcW w:w="1107" w:type="dxa"/>
            <w:tcBorders>
              <w:top w:val="nil"/>
              <w:left w:val="nil"/>
              <w:bottom w:val="single" w:sz="4" w:space="0" w:color="auto"/>
              <w:right w:val="nil"/>
            </w:tcBorders>
            <w:shd w:val="clear" w:color="auto" w:fill="auto"/>
            <w:noWrap/>
            <w:vAlign w:val="center"/>
            <w:hideMark/>
          </w:tcPr>
          <w:p w14:paraId="69EB0CC1"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9553A3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4.800</w:t>
            </w:r>
          </w:p>
        </w:tc>
        <w:tc>
          <w:tcPr>
            <w:tcW w:w="1701" w:type="dxa"/>
            <w:tcBorders>
              <w:top w:val="nil"/>
              <w:left w:val="nil"/>
              <w:bottom w:val="single" w:sz="4" w:space="0" w:color="auto"/>
              <w:right w:val="nil"/>
            </w:tcBorders>
            <w:shd w:val="clear" w:color="auto" w:fill="auto"/>
            <w:noWrap/>
            <w:vAlign w:val="center"/>
            <w:hideMark/>
          </w:tcPr>
          <w:p w14:paraId="55A7B56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22.401</w:t>
            </w:r>
          </w:p>
        </w:tc>
        <w:tc>
          <w:tcPr>
            <w:tcW w:w="1562" w:type="dxa"/>
            <w:tcBorders>
              <w:top w:val="nil"/>
              <w:left w:val="nil"/>
              <w:bottom w:val="single" w:sz="4" w:space="0" w:color="auto"/>
              <w:right w:val="nil"/>
            </w:tcBorders>
            <w:shd w:val="clear" w:color="auto" w:fill="auto"/>
            <w:noWrap/>
            <w:vAlign w:val="center"/>
            <w:hideMark/>
          </w:tcPr>
          <w:p w14:paraId="1DE75E2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21,43%</w:t>
            </w:r>
          </w:p>
        </w:tc>
        <w:tc>
          <w:tcPr>
            <w:tcW w:w="1275" w:type="dxa"/>
            <w:tcBorders>
              <w:top w:val="nil"/>
              <w:left w:val="nil"/>
              <w:bottom w:val="single" w:sz="4" w:space="0" w:color="auto"/>
              <w:right w:val="nil"/>
            </w:tcBorders>
            <w:shd w:val="clear" w:color="auto" w:fill="auto"/>
            <w:noWrap/>
            <w:vAlign w:val="center"/>
            <w:hideMark/>
          </w:tcPr>
          <w:p w14:paraId="5014C6C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21,43%</w:t>
            </w:r>
          </w:p>
        </w:tc>
      </w:tr>
      <w:tr w:rsidR="001579BE" w:rsidRPr="008937EB" w14:paraId="2BFA1B5D"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65F8E1F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Canad</w:t>
            </w:r>
            <w:r>
              <w:rPr>
                <w:rFonts w:ascii="Times New Roman" w:eastAsia="Times New Roman" w:hAnsi="Times New Roman" w:cs="Times New Roman"/>
                <w:color w:val="000000"/>
                <w:sz w:val="20"/>
                <w:szCs w:val="20"/>
                <w:lang w:eastAsia="es-ES"/>
              </w:rPr>
              <w:t>á</w:t>
            </w:r>
          </w:p>
        </w:tc>
        <w:tc>
          <w:tcPr>
            <w:tcW w:w="1107" w:type="dxa"/>
            <w:tcBorders>
              <w:top w:val="nil"/>
              <w:left w:val="nil"/>
              <w:bottom w:val="single" w:sz="4" w:space="0" w:color="auto"/>
              <w:right w:val="nil"/>
            </w:tcBorders>
            <w:shd w:val="clear" w:color="auto" w:fill="auto"/>
            <w:noWrap/>
            <w:vAlign w:val="center"/>
            <w:hideMark/>
          </w:tcPr>
          <w:p w14:paraId="180279DC"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209A35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w:t>
            </w:r>
          </w:p>
        </w:tc>
        <w:tc>
          <w:tcPr>
            <w:tcW w:w="1701" w:type="dxa"/>
            <w:tcBorders>
              <w:top w:val="nil"/>
              <w:left w:val="nil"/>
              <w:bottom w:val="single" w:sz="4" w:space="0" w:color="auto"/>
              <w:right w:val="nil"/>
            </w:tcBorders>
            <w:shd w:val="clear" w:color="auto" w:fill="auto"/>
            <w:noWrap/>
            <w:vAlign w:val="center"/>
            <w:hideMark/>
          </w:tcPr>
          <w:p w14:paraId="36CB55A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2.844.303</w:t>
            </w:r>
          </w:p>
        </w:tc>
        <w:tc>
          <w:tcPr>
            <w:tcW w:w="1562" w:type="dxa"/>
            <w:tcBorders>
              <w:top w:val="nil"/>
              <w:left w:val="nil"/>
              <w:bottom w:val="single" w:sz="4" w:space="0" w:color="auto"/>
              <w:right w:val="nil"/>
            </w:tcBorders>
            <w:shd w:val="clear" w:color="auto" w:fill="auto"/>
            <w:noWrap/>
            <w:vAlign w:val="center"/>
            <w:hideMark/>
          </w:tcPr>
          <w:p w14:paraId="31A2ECB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tcBorders>
              <w:top w:val="nil"/>
              <w:left w:val="nil"/>
              <w:bottom w:val="single" w:sz="4" w:space="0" w:color="auto"/>
              <w:right w:val="nil"/>
            </w:tcBorders>
            <w:shd w:val="clear" w:color="auto" w:fill="auto"/>
            <w:noWrap/>
            <w:vAlign w:val="center"/>
            <w:hideMark/>
          </w:tcPr>
          <w:p w14:paraId="525F458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286D5778" w14:textId="77777777" w:rsidTr="00377237">
        <w:trPr>
          <w:trHeight w:val="260"/>
        </w:trPr>
        <w:tc>
          <w:tcPr>
            <w:tcW w:w="1443" w:type="dxa"/>
            <w:tcBorders>
              <w:top w:val="nil"/>
              <w:left w:val="nil"/>
              <w:bottom w:val="nil"/>
              <w:right w:val="nil"/>
            </w:tcBorders>
            <w:shd w:val="clear" w:color="auto" w:fill="auto"/>
            <w:noWrap/>
            <w:vAlign w:val="center"/>
            <w:hideMark/>
          </w:tcPr>
          <w:p w14:paraId="34F88CC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Chile</w:t>
            </w:r>
          </w:p>
        </w:tc>
        <w:tc>
          <w:tcPr>
            <w:tcW w:w="1107" w:type="dxa"/>
            <w:tcBorders>
              <w:top w:val="nil"/>
              <w:left w:val="nil"/>
              <w:bottom w:val="nil"/>
              <w:right w:val="nil"/>
            </w:tcBorders>
            <w:shd w:val="clear" w:color="auto" w:fill="auto"/>
            <w:noWrap/>
            <w:vAlign w:val="center"/>
            <w:hideMark/>
          </w:tcPr>
          <w:p w14:paraId="3E3DD83B"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659D27C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nil"/>
              <w:right w:val="nil"/>
            </w:tcBorders>
            <w:shd w:val="clear" w:color="auto" w:fill="auto"/>
            <w:noWrap/>
            <w:vAlign w:val="center"/>
            <w:hideMark/>
          </w:tcPr>
          <w:p w14:paraId="590BB6B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2.400.782</w:t>
            </w:r>
          </w:p>
        </w:tc>
        <w:tc>
          <w:tcPr>
            <w:tcW w:w="1562" w:type="dxa"/>
            <w:tcBorders>
              <w:top w:val="nil"/>
              <w:left w:val="nil"/>
              <w:bottom w:val="nil"/>
              <w:right w:val="nil"/>
            </w:tcBorders>
            <w:shd w:val="clear" w:color="auto" w:fill="auto"/>
            <w:noWrap/>
            <w:vAlign w:val="center"/>
            <w:hideMark/>
          </w:tcPr>
          <w:p w14:paraId="316C5D0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val="restart"/>
            <w:tcBorders>
              <w:top w:val="nil"/>
              <w:left w:val="nil"/>
              <w:bottom w:val="single" w:sz="4" w:space="0" w:color="000000"/>
              <w:right w:val="nil"/>
            </w:tcBorders>
            <w:shd w:val="clear" w:color="auto" w:fill="auto"/>
            <w:noWrap/>
            <w:vAlign w:val="center"/>
            <w:hideMark/>
          </w:tcPr>
          <w:p w14:paraId="253975E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5C0A421F"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5C158A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Chile</w:t>
            </w:r>
          </w:p>
        </w:tc>
        <w:tc>
          <w:tcPr>
            <w:tcW w:w="1107" w:type="dxa"/>
            <w:tcBorders>
              <w:top w:val="nil"/>
              <w:left w:val="nil"/>
              <w:bottom w:val="single" w:sz="4" w:space="0" w:color="auto"/>
              <w:right w:val="nil"/>
            </w:tcBorders>
            <w:shd w:val="clear" w:color="auto" w:fill="auto"/>
            <w:noWrap/>
            <w:vAlign w:val="center"/>
            <w:hideMark/>
          </w:tcPr>
          <w:p w14:paraId="6573ECF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2B57A7B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5CC8D57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2.400.782</w:t>
            </w:r>
          </w:p>
        </w:tc>
        <w:tc>
          <w:tcPr>
            <w:tcW w:w="1562" w:type="dxa"/>
            <w:tcBorders>
              <w:top w:val="nil"/>
              <w:left w:val="nil"/>
              <w:bottom w:val="single" w:sz="4" w:space="0" w:color="auto"/>
              <w:right w:val="nil"/>
            </w:tcBorders>
            <w:shd w:val="clear" w:color="auto" w:fill="auto"/>
            <w:noWrap/>
            <w:vAlign w:val="center"/>
            <w:hideMark/>
          </w:tcPr>
          <w:p w14:paraId="1FB3125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33D3B66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766F1834" w14:textId="77777777" w:rsidTr="00377237">
        <w:trPr>
          <w:trHeight w:val="260"/>
        </w:trPr>
        <w:tc>
          <w:tcPr>
            <w:tcW w:w="1443" w:type="dxa"/>
            <w:tcBorders>
              <w:top w:val="nil"/>
              <w:left w:val="nil"/>
              <w:bottom w:val="nil"/>
              <w:right w:val="nil"/>
            </w:tcBorders>
            <w:shd w:val="clear" w:color="auto" w:fill="auto"/>
            <w:noWrap/>
            <w:vAlign w:val="center"/>
            <w:hideMark/>
          </w:tcPr>
          <w:p w14:paraId="109786E4"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China</w:t>
            </w:r>
          </w:p>
        </w:tc>
        <w:tc>
          <w:tcPr>
            <w:tcW w:w="1107" w:type="dxa"/>
            <w:tcBorders>
              <w:top w:val="nil"/>
              <w:left w:val="nil"/>
              <w:bottom w:val="nil"/>
              <w:right w:val="nil"/>
            </w:tcBorders>
            <w:shd w:val="clear" w:color="auto" w:fill="auto"/>
            <w:noWrap/>
            <w:vAlign w:val="center"/>
            <w:hideMark/>
          </w:tcPr>
          <w:p w14:paraId="201E945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502CF02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8.233.917</w:t>
            </w:r>
          </w:p>
        </w:tc>
        <w:tc>
          <w:tcPr>
            <w:tcW w:w="1701" w:type="dxa"/>
            <w:tcBorders>
              <w:top w:val="nil"/>
              <w:left w:val="nil"/>
              <w:bottom w:val="nil"/>
              <w:right w:val="nil"/>
            </w:tcBorders>
            <w:shd w:val="clear" w:color="auto" w:fill="auto"/>
            <w:noWrap/>
            <w:vAlign w:val="center"/>
            <w:hideMark/>
          </w:tcPr>
          <w:p w14:paraId="67068E6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28.348.177</w:t>
            </w:r>
          </w:p>
        </w:tc>
        <w:tc>
          <w:tcPr>
            <w:tcW w:w="1562" w:type="dxa"/>
            <w:tcBorders>
              <w:top w:val="nil"/>
              <w:left w:val="nil"/>
              <w:bottom w:val="nil"/>
              <w:right w:val="nil"/>
            </w:tcBorders>
            <w:shd w:val="clear" w:color="auto" w:fill="auto"/>
            <w:noWrap/>
            <w:vAlign w:val="center"/>
            <w:hideMark/>
          </w:tcPr>
          <w:p w14:paraId="01926ED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29,05%</w:t>
            </w:r>
          </w:p>
        </w:tc>
        <w:tc>
          <w:tcPr>
            <w:tcW w:w="1275" w:type="dxa"/>
            <w:vMerge w:val="restart"/>
            <w:tcBorders>
              <w:top w:val="nil"/>
              <w:left w:val="nil"/>
              <w:bottom w:val="single" w:sz="4" w:space="0" w:color="000000"/>
              <w:right w:val="nil"/>
            </w:tcBorders>
            <w:shd w:val="clear" w:color="auto" w:fill="auto"/>
            <w:noWrap/>
            <w:vAlign w:val="center"/>
            <w:hideMark/>
          </w:tcPr>
          <w:p w14:paraId="69B240D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29,36%</w:t>
            </w:r>
          </w:p>
        </w:tc>
      </w:tr>
      <w:tr w:rsidR="001579BE" w:rsidRPr="008937EB" w14:paraId="03190168"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F0077D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China</w:t>
            </w:r>
          </w:p>
        </w:tc>
        <w:tc>
          <w:tcPr>
            <w:tcW w:w="1107" w:type="dxa"/>
            <w:tcBorders>
              <w:top w:val="nil"/>
              <w:left w:val="nil"/>
              <w:bottom w:val="single" w:sz="4" w:space="0" w:color="auto"/>
              <w:right w:val="nil"/>
            </w:tcBorders>
            <w:shd w:val="clear" w:color="auto" w:fill="auto"/>
            <w:noWrap/>
            <w:vAlign w:val="center"/>
            <w:hideMark/>
          </w:tcPr>
          <w:p w14:paraId="7002D4DD"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7AD06F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89.257</w:t>
            </w:r>
          </w:p>
        </w:tc>
        <w:tc>
          <w:tcPr>
            <w:tcW w:w="1701" w:type="dxa"/>
            <w:tcBorders>
              <w:top w:val="nil"/>
              <w:left w:val="nil"/>
              <w:bottom w:val="single" w:sz="4" w:space="0" w:color="auto"/>
              <w:right w:val="nil"/>
            </w:tcBorders>
            <w:shd w:val="clear" w:color="auto" w:fill="auto"/>
            <w:noWrap/>
            <w:vAlign w:val="center"/>
            <w:hideMark/>
          </w:tcPr>
          <w:p w14:paraId="03F1F68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28.348.177</w:t>
            </w:r>
          </w:p>
        </w:tc>
        <w:tc>
          <w:tcPr>
            <w:tcW w:w="1562" w:type="dxa"/>
            <w:tcBorders>
              <w:top w:val="nil"/>
              <w:left w:val="nil"/>
              <w:bottom w:val="single" w:sz="4" w:space="0" w:color="auto"/>
              <w:right w:val="nil"/>
            </w:tcBorders>
            <w:shd w:val="clear" w:color="auto" w:fill="auto"/>
            <w:noWrap/>
            <w:vAlign w:val="center"/>
            <w:hideMark/>
          </w:tcPr>
          <w:p w14:paraId="748C1C2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0,31%</w:t>
            </w:r>
          </w:p>
        </w:tc>
        <w:tc>
          <w:tcPr>
            <w:tcW w:w="1275" w:type="dxa"/>
            <w:vMerge/>
            <w:tcBorders>
              <w:top w:val="nil"/>
              <w:left w:val="nil"/>
              <w:bottom w:val="single" w:sz="4" w:space="0" w:color="000000"/>
              <w:right w:val="nil"/>
            </w:tcBorders>
            <w:vAlign w:val="center"/>
            <w:hideMark/>
          </w:tcPr>
          <w:p w14:paraId="3E2095A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7820E655"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157A3EE"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Taiwán</w:t>
            </w:r>
          </w:p>
        </w:tc>
        <w:tc>
          <w:tcPr>
            <w:tcW w:w="1107" w:type="dxa"/>
            <w:tcBorders>
              <w:top w:val="nil"/>
              <w:left w:val="nil"/>
              <w:bottom w:val="single" w:sz="4" w:space="0" w:color="auto"/>
              <w:right w:val="nil"/>
            </w:tcBorders>
            <w:shd w:val="clear" w:color="auto" w:fill="auto"/>
            <w:noWrap/>
            <w:vAlign w:val="center"/>
            <w:hideMark/>
          </w:tcPr>
          <w:p w14:paraId="4A38E7A9"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41C151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70.721</w:t>
            </w:r>
          </w:p>
        </w:tc>
        <w:tc>
          <w:tcPr>
            <w:tcW w:w="1701" w:type="dxa"/>
            <w:tcBorders>
              <w:top w:val="nil"/>
              <w:left w:val="nil"/>
              <w:bottom w:val="single" w:sz="4" w:space="0" w:color="auto"/>
              <w:right w:val="nil"/>
            </w:tcBorders>
            <w:shd w:val="clear" w:color="auto" w:fill="auto"/>
            <w:noWrap/>
            <w:vAlign w:val="center"/>
            <w:hideMark/>
          </w:tcPr>
          <w:p w14:paraId="4461CCE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4.340.722</w:t>
            </w:r>
          </w:p>
        </w:tc>
        <w:tc>
          <w:tcPr>
            <w:tcW w:w="1562" w:type="dxa"/>
            <w:tcBorders>
              <w:top w:val="nil"/>
              <w:left w:val="nil"/>
              <w:bottom w:val="single" w:sz="4" w:space="0" w:color="auto"/>
              <w:right w:val="nil"/>
            </w:tcBorders>
            <w:shd w:val="clear" w:color="auto" w:fill="auto"/>
            <w:noWrap/>
            <w:vAlign w:val="center"/>
            <w:hideMark/>
          </w:tcPr>
          <w:p w14:paraId="76FE809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1,63%</w:t>
            </w:r>
          </w:p>
        </w:tc>
        <w:tc>
          <w:tcPr>
            <w:tcW w:w="1275" w:type="dxa"/>
            <w:tcBorders>
              <w:top w:val="nil"/>
              <w:left w:val="nil"/>
              <w:bottom w:val="single" w:sz="4" w:space="0" w:color="auto"/>
              <w:right w:val="nil"/>
            </w:tcBorders>
            <w:shd w:val="clear" w:color="auto" w:fill="auto"/>
            <w:noWrap/>
            <w:vAlign w:val="center"/>
            <w:hideMark/>
          </w:tcPr>
          <w:p w14:paraId="1C976C4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1,63%</w:t>
            </w:r>
          </w:p>
        </w:tc>
      </w:tr>
      <w:tr w:rsidR="001579BE" w:rsidRPr="008937EB" w14:paraId="1EB5B0C4"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1313A3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Costa Rica</w:t>
            </w:r>
          </w:p>
        </w:tc>
        <w:tc>
          <w:tcPr>
            <w:tcW w:w="1107" w:type="dxa"/>
            <w:tcBorders>
              <w:top w:val="nil"/>
              <w:left w:val="nil"/>
              <w:bottom w:val="single" w:sz="4" w:space="0" w:color="auto"/>
              <w:right w:val="nil"/>
            </w:tcBorders>
            <w:shd w:val="clear" w:color="auto" w:fill="auto"/>
            <w:noWrap/>
            <w:vAlign w:val="center"/>
            <w:hideMark/>
          </w:tcPr>
          <w:p w14:paraId="7893738C"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BC4AFB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574</w:t>
            </w:r>
          </w:p>
        </w:tc>
        <w:tc>
          <w:tcPr>
            <w:tcW w:w="1701" w:type="dxa"/>
            <w:tcBorders>
              <w:top w:val="nil"/>
              <w:left w:val="nil"/>
              <w:bottom w:val="single" w:sz="4" w:space="0" w:color="auto"/>
              <w:right w:val="nil"/>
            </w:tcBorders>
            <w:shd w:val="clear" w:color="auto" w:fill="auto"/>
            <w:noWrap/>
            <w:vAlign w:val="center"/>
            <w:hideMark/>
          </w:tcPr>
          <w:p w14:paraId="5395715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1.065.450</w:t>
            </w:r>
          </w:p>
        </w:tc>
        <w:tc>
          <w:tcPr>
            <w:tcW w:w="1562" w:type="dxa"/>
            <w:tcBorders>
              <w:top w:val="nil"/>
              <w:left w:val="nil"/>
              <w:bottom w:val="single" w:sz="4" w:space="0" w:color="auto"/>
              <w:right w:val="nil"/>
            </w:tcBorders>
            <w:shd w:val="clear" w:color="auto" w:fill="auto"/>
            <w:noWrap/>
            <w:vAlign w:val="center"/>
            <w:hideMark/>
          </w:tcPr>
          <w:p w14:paraId="272923F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0,05%</w:t>
            </w:r>
          </w:p>
        </w:tc>
        <w:tc>
          <w:tcPr>
            <w:tcW w:w="1275" w:type="dxa"/>
            <w:tcBorders>
              <w:top w:val="nil"/>
              <w:left w:val="nil"/>
              <w:bottom w:val="single" w:sz="4" w:space="0" w:color="auto"/>
              <w:right w:val="nil"/>
            </w:tcBorders>
            <w:shd w:val="clear" w:color="auto" w:fill="auto"/>
            <w:noWrap/>
            <w:vAlign w:val="center"/>
            <w:hideMark/>
          </w:tcPr>
          <w:p w14:paraId="7055980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0,05%</w:t>
            </w:r>
          </w:p>
        </w:tc>
      </w:tr>
      <w:tr w:rsidR="001579BE" w:rsidRPr="008937EB" w14:paraId="00637B29"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B4B047A"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Pr>
                <w:rFonts w:ascii="Times New Roman" w:eastAsia="Times New Roman" w:hAnsi="Times New Roman" w:cs="Times New Roman"/>
                <w:color w:val="000000"/>
                <w:sz w:val="20"/>
                <w:szCs w:val="20"/>
                <w:lang w:eastAsia="es-ES"/>
              </w:rPr>
              <w:t>Costa de Marfil</w:t>
            </w:r>
          </w:p>
        </w:tc>
        <w:tc>
          <w:tcPr>
            <w:tcW w:w="1107" w:type="dxa"/>
            <w:tcBorders>
              <w:top w:val="nil"/>
              <w:left w:val="nil"/>
              <w:bottom w:val="single" w:sz="4" w:space="0" w:color="auto"/>
              <w:right w:val="nil"/>
            </w:tcBorders>
            <w:shd w:val="clear" w:color="auto" w:fill="auto"/>
            <w:noWrap/>
            <w:vAlign w:val="center"/>
            <w:hideMark/>
          </w:tcPr>
          <w:p w14:paraId="47F79BC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1200AD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5.200</w:t>
            </w:r>
          </w:p>
        </w:tc>
        <w:tc>
          <w:tcPr>
            <w:tcW w:w="1701" w:type="dxa"/>
            <w:tcBorders>
              <w:top w:val="nil"/>
              <w:left w:val="nil"/>
              <w:bottom w:val="single" w:sz="4" w:space="0" w:color="auto"/>
              <w:right w:val="nil"/>
            </w:tcBorders>
            <w:shd w:val="clear" w:color="auto" w:fill="auto"/>
            <w:noWrap/>
            <w:vAlign w:val="center"/>
            <w:hideMark/>
          </w:tcPr>
          <w:p w14:paraId="454DBDD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10.243</w:t>
            </w:r>
          </w:p>
        </w:tc>
        <w:tc>
          <w:tcPr>
            <w:tcW w:w="1562" w:type="dxa"/>
            <w:tcBorders>
              <w:top w:val="nil"/>
              <w:left w:val="nil"/>
              <w:bottom w:val="single" w:sz="4" w:space="0" w:color="auto"/>
              <w:right w:val="nil"/>
            </w:tcBorders>
            <w:shd w:val="clear" w:color="auto" w:fill="auto"/>
            <w:noWrap/>
            <w:vAlign w:val="center"/>
            <w:hideMark/>
          </w:tcPr>
          <w:p w14:paraId="5279B19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50,77%</w:t>
            </w:r>
          </w:p>
        </w:tc>
        <w:tc>
          <w:tcPr>
            <w:tcW w:w="1275" w:type="dxa"/>
            <w:tcBorders>
              <w:top w:val="nil"/>
              <w:left w:val="nil"/>
              <w:bottom w:val="single" w:sz="4" w:space="0" w:color="auto"/>
              <w:right w:val="nil"/>
            </w:tcBorders>
            <w:shd w:val="clear" w:color="auto" w:fill="auto"/>
            <w:noWrap/>
            <w:vAlign w:val="center"/>
            <w:hideMark/>
          </w:tcPr>
          <w:p w14:paraId="219F895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50,77%</w:t>
            </w:r>
          </w:p>
        </w:tc>
      </w:tr>
      <w:tr w:rsidR="001579BE" w:rsidRPr="008937EB" w14:paraId="30CAD284"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378971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Croacia</w:t>
            </w:r>
          </w:p>
        </w:tc>
        <w:tc>
          <w:tcPr>
            <w:tcW w:w="1107" w:type="dxa"/>
            <w:tcBorders>
              <w:top w:val="nil"/>
              <w:left w:val="nil"/>
              <w:bottom w:val="single" w:sz="4" w:space="0" w:color="auto"/>
              <w:right w:val="nil"/>
            </w:tcBorders>
            <w:shd w:val="clear" w:color="auto" w:fill="auto"/>
            <w:noWrap/>
            <w:vAlign w:val="center"/>
            <w:hideMark/>
          </w:tcPr>
          <w:p w14:paraId="4449BE0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C0BE4E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132</w:t>
            </w:r>
          </w:p>
        </w:tc>
        <w:tc>
          <w:tcPr>
            <w:tcW w:w="1701" w:type="dxa"/>
            <w:tcBorders>
              <w:top w:val="nil"/>
              <w:left w:val="nil"/>
              <w:bottom w:val="single" w:sz="4" w:space="0" w:color="auto"/>
              <w:right w:val="nil"/>
            </w:tcBorders>
            <w:shd w:val="clear" w:color="auto" w:fill="auto"/>
            <w:noWrap/>
            <w:vAlign w:val="center"/>
            <w:hideMark/>
          </w:tcPr>
          <w:p w14:paraId="4F58404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49.162</w:t>
            </w:r>
          </w:p>
        </w:tc>
        <w:tc>
          <w:tcPr>
            <w:tcW w:w="1562" w:type="dxa"/>
            <w:tcBorders>
              <w:top w:val="nil"/>
              <w:left w:val="nil"/>
              <w:bottom w:val="single" w:sz="4" w:space="0" w:color="auto"/>
              <w:right w:val="nil"/>
            </w:tcBorders>
            <w:shd w:val="clear" w:color="auto" w:fill="auto"/>
            <w:noWrap/>
            <w:vAlign w:val="center"/>
            <w:hideMark/>
          </w:tcPr>
          <w:p w14:paraId="07A630D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0,27%</w:t>
            </w:r>
          </w:p>
        </w:tc>
        <w:tc>
          <w:tcPr>
            <w:tcW w:w="1275" w:type="dxa"/>
            <w:tcBorders>
              <w:top w:val="nil"/>
              <w:left w:val="nil"/>
              <w:bottom w:val="single" w:sz="4" w:space="0" w:color="auto"/>
              <w:right w:val="nil"/>
            </w:tcBorders>
            <w:shd w:val="clear" w:color="auto" w:fill="auto"/>
            <w:noWrap/>
            <w:vAlign w:val="center"/>
            <w:hideMark/>
          </w:tcPr>
          <w:p w14:paraId="0DAC948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0,27%</w:t>
            </w:r>
          </w:p>
        </w:tc>
      </w:tr>
      <w:tr w:rsidR="001579BE" w:rsidRPr="008937EB" w14:paraId="2A4D4B7C" w14:textId="77777777" w:rsidTr="00377237">
        <w:trPr>
          <w:trHeight w:val="260"/>
        </w:trPr>
        <w:tc>
          <w:tcPr>
            <w:tcW w:w="1443" w:type="dxa"/>
            <w:tcBorders>
              <w:top w:val="nil"/>
              <w:left w:val="nil"/>
              <w:bottom w:val="nil"/>
              <w:right w:val="nil"/>
            </w:tcBorders>
            <w:shd w:val="clear" w:color="auto" w:fill="auto"/>
            <w:noWrap/>
            <w:vAlign w:val="center"/>
            <w:hideMark/>
          </w:tcPr>
          <w:p w14:paraId="6FFAD2C3"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Chipre</w:t>
            </w:r>
          </w:p>
        </w:tc>
        <w:tc>
          <w:tcPr>
            <w:tcW w:w="1107" w:type="dxa"/>
            <w:tcBorders>
              <w:top w:val="nil"/>
              <w:left w:val="nil"/>
              <w:bottom w:val="nil"/>
              <w:right w:val="nil"/>
            </w:tcBorders>
            <w:shd w:val="clear" w:color="auto" w:fill="auto"/>
            <w:noWrap/>
            <w:vAlign w:val="center"/>
            <w:hideMark/>
          </w:tcPr>
          <w:p w14:paraId="0474879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058366C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26.928</w:t>
            </w:r>
          </w:p>
        </w:tc>
        <w:tc>
          <w:tcPr>
            <w:tcW w:w="1701" w:type="dxa"/>
            <w:tcBorders>
              <w:top w:val="nil"/>
              <w:left w:val="nil"/>
              <w:bottom w:val="nil"/>
              <w:right w:val="nil"/>
            </w:tcBorders>
            <w:shd w:val="clear" w:color="auto" w:fill="auto"/>
            <w:noWrap/>
            <w:vAlign w:val="center"/>
            <w:hideMark/>
          </w:tcPr>
          <w:p w14:paraId="1D0ACAD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270.323</w:t>
            </w:r>
          </w:p>
        </w:tc>
        <w:tc>
          <w:tcPr>
            <w:tcW w:w="1562" w:type="dxa"/>
            <w:tcBorders>
              <w:top w:val="nil"/>
              <w:left w:val="nil"/>
              <w:bottom w:val="nil"/>
              <w:right w:val="nil"/>
            </w:tcBorders>
            <w:shd w:val="clear" w:color="auto" w:fill="auto"/>
            <w:noWrap/>
            <w:vAlign w:val="center"/>
            <w:hideMark/>
          </w:tcPr>
          <w:p w14:paraId="42147F2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9,96%</w:t>
            </w:r>
          </w:p>
        </w:tc>
        <w:tc>
          <w:tcPr>
            <w:tcW w:w="1275" w:type="dxa"/>
            <w:vMerge w:val="restart"/>
            <w:tcBorders>
              <w:top w:val="nil"/>
              <w:left w:val="nil"/>
              <w:bottom w:val="single" w:sz="4" w:space="0" w:color="000000"/>
              <w:right w:val="nil"/>
            </w:tcBorders>
            <w:shd w:val="clear" w:color="auto" w:fill="auto"/>
            <w:noWrap/>
            <w:vAlign w:val="center"/>
            <w:hideMark/>
          </w:tcPr>
          <w:p w14:paraId="2760093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16,13%</w:t>
            </w:r>
          </w:p>
        </w:tc>
      </w:tr>
      <w:tr w:rsidR="001579BE" w:rsidRPr="008937EB" w14:paraId="73462863"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2558DBD"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Chipre</w:t>
            </w:r>
          </w:p>
        </w:tc>
        <w:tc>
          <w:tcPr>
            <w:tcW w:w="1107" w:type="dxa"/>
            <w:tcBorders>
              <w:top w:val="nil"/>
              <w:left w:val="nil"/>
              <w:bottom w:val="single" w:sz="4" w:space="0" w:color="auto"/>
              <w:right w:val="nil"/>
            </w:tcBorders>
            <w:shd w:val="clear" w:color="auto" w:fill="auto"/>
            <w:noWrap/>
            <w:vAlign w:val="center"/>
            <w:hideMark/>
          </w:tcPr>
          <w:p w14:paraId="572B869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BD8381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16.662</w:t>
            </w:r>
          </w:p>
        </w:tc>
        <w:tc>
          <w:tcPr>
            <w:tcW w:w="1701" w:type="dxa"/>
            <w:tcBorders>
              <w:top w:val="nil"/>
              <w:left w:val="nil"/>
              <w:bottom w:val="single" w:sz="4" w:space="0" w:color="auto"/>
              <w:right w:val="nil"/>
            </w:tcBorders>
            <w:shd w:val="clear" w:color="auto" w:fill="auto"/>
            <w:noWrap/>
            <w:vAlign w:val="center"/>
            <w:hideMark/>
          </w:tcPr>
          <w:p w14:paraId="70EC71E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270.323</w:t>
            </w:r>
          </w:p>
        </w:tc>
        <w:tc>
          <w:tcPr>
            <w:tcW w:w="1562" w:type="dxa"/>
            <w:tcBorders>
              <w:top w:val="nil"/>
              <w:left w:val="nil"/>
              <w:bottom w:val="single" w:sz="4" w:space="0" w:color="auto"/>
              <w:right w:val="nil"/>
            </w:tcBorders>
            <w:shd w:val="clear" w:color="auto" w:fill="auto"/>
            <w:noWrap/>
            <w:vAlign w:val="center"/>
            <w:hideMark/>
          </w:tcPr>
          <w:p w14:paraId="39DB1A9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6,16%</w:t>
            </w:r>
          </w:p>
        </w:tc>
        <w:tc>
          <w:tcPr>
            <w:tcW w:w="1275" w:type="dxa"/>
            <w:vMerge/>
            <w:tcBorders>
              <w:top w:val="nil"/>
              <w:left w:val="nil"/>
              <w:bottom w:val="single" w:sz="4" w:space="0" w:color="000000"/>
              <w:right w:val="nil"/>
            </w:tcBorders>
            <w:vAlign w:val="center"/>
            <w:hideMark/>
          </w:tcPr>
          <w:p w14:paraId="2598D59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2A6AF6EE" w14:textId="77777777" w:rsidTr="00377237">
        <w:trPr>
          <w:trHeight w:val="260"/>
        </w:trPr>
        <w:tc>
          <w:tcPr>
            <w:tcW w:w="1443" w:type="dxa"/>
            <w:tcBorders>
              <w:top w:val="nil"/>
              <w:left w:val="nil"/>
              <w:bottom w:val="nil"/>
              <w:right w:val="nil"/>
            </w:tcBorders>
            <w:shd w:val="clear" w:color="auto" w:fill="auto"/>
            <w:noWrap/>
            <w:vAlign w:val="center"/>
            <w:hideMark/>
          </w:tcPr>
          <w:p w14:paraId="658862D0"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Dinamarca</w:t>
            </w:r>
          </w:p>
        </w:tc>
        <w:tc>
          <w:tcPr>
            <w:tcW w:w="1107" w:type="dxa"/>
            <w:tcBorders>
              <w:top w:val="nil"/>
              <w:left w:val="nil"/>
              <w:bottom w:val="nil"/>
              <w:right w:val="nil"/>
            </w:tcBorders>
            <w:shd w:val="clear" w:color="auto" w:fill="auto"/>
            <w:noWrap/>
            <w:vAlign w:val="center"/>
            <w:hideMark/>
          </w:tcPr>
          <w:p w14:paraId="3C43A15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0991C0B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5.270</w:t>
            </w:r>
          </w:p>
        </w:tc>
        <w:tc>
          <w:tcPr>
            <w:tcW w:w="1701" w:type="dxa"/>
            <w:tcBorders>
              <w:top w:val="nil"/>
              <w:left w:val="nil"/>
              <w:bottom w:val="nil"/>
              <w:right w:val="nil"/>
            </w:tcBorders>
            <w:shd w:val="clear" w:color="auto" w:fill="auto"/>
            <w:noWrap/>
            <w:vAlign w:val="center"/>
            <w:hideMark/>
          </w:tcPr>
          <w:p w14:paraId="379B80E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147.188</w:t>
            </w:r>
          </w:p>
        </w:tc>
        <w:tc>
          <w:tcPr>
            <w:tcW w:w="1562" w:type="dxa"/>
            <w:tcBorders>
              <w:top w:val="nil"/>
              <w:left w:val="nil"/>
              <w:bottom w:val="nil"/>
              <w:right w:val="nil"/>
            </w:tcBorders>
            <w:shd w:val="clear" w:color="auto" w:fill="auto"/>
            <w:noWrap/>
            <w:vAlign w:val="center"/>
            <w:hideMark/>
          </w:tcPr>
          <w:p w14:paraId="63ACF5E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3,58%</w:t>
            </w:r>
          </w:p>
        </w:tc>
        <w:tc>
          <w:tcPr>
            <w:tcW w:w="1275" w:type="dxa"/>
            <w:vMerge w:val="restart"/>
            <w:tcBorders>
              <w:top w:val="nil"/>
              <w:left w:val="nil"/>
              <w:bottom w:val="single" w:sz="4" w:space="0" w:color="000000"/>
              <w:right w:val="nil"/>
            </w:tcBorders>
            <w:shd w:val="clear" w:color="auto" w:fill="auto"/>
            <w:noWrap/>
            <w:vAlign w:val="center"/>
            <w:hideMark/>
          </w:tcPr>
          <w:p w14:paraId="7D61C26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5,96%</w:t>
            </w:r>
          </w:p>
        </w:tc>
      </w:tr>
      <w:tr w:rsidR="001579BE" w:rsidRPr="008937EB" w14:paraId="3859D6B8"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648FCD5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Dinamarca</w:t>
            </w:r>
          </w:p>
        </w:tc>
        <w:tc>
          <w:tcPr>
            <w:tcW w:w="1107" w:type="dxa"/>
            <w:tcBorders>
              <w:top w:val="nil"/>
              <w:left w:val="nil"/>
              <w:bottom w:val="single" w:sz="4" w:space="0" w:color="auto"/>
              <w:right w:val="nil"/>
            </w:tcBorders>
            <w:shd w:val="clear" w:color="auto" w:fill="auto"/>
            <w:noWrap/>
            <w:vAlign w:val="center"/>
            <w:hideMark/>
          </w:tcPr>
          <w:p w14:paraId="7BC499D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04F42F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3.500</w:t>
            </w:r>
          </w:p>
        </w:tc>
        <w:tc>
          <w:tcPr>
            <w:tcW w:w="1701" w:type="dxa"/>
            <w:tcBorders>
              <w:top w:val="nil"/>
              <w:left w:val="nil"/>
              <w:bottom w:val="single" w:sz="4" w:space="0" w:color="auto"/>
              <w:right w:val="nil"/>
            </w:tcBorders>
            <w:shd w:val="clear" w:color="auto" w:fill="auto"/>
            <w:noWrap/>
            <w:vAlign w:val="center"/>
            <w:hideMark/>
          </w:tcPr>
          <w:p w14:paraId="3BC8166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147.188</w:t>
            </w:r>
          </w:p>
        </w:tc>
        <w:tc>
          <w:tcPr>
            <w:tcW w:w="1562" w:type="dxa"/>
            <w:tcBorders>
              <w:top w:val="nil"/>
              <w:left w:val="nil"/>
              <w:bottom w:val="single" w:sz="4" w:space="0" w:color="auto"/>
              <w:right w:val="nil"/>
            </w:tcBorders>
            <w:shd w:val="clear" w:color="auto" w:fill="auto"/>
            <w:noWrap/>
            <w:vAlign w:val="center"/>
            <w:hideMark/>
          </w:tcPr>
          <w:p w14:paraId="06105B1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2,38%</w:t>
            </w:r>
          </w:p>
        </w:tc>
        <w:tc>
          <w:tcPr>
            <w:tcW w:w="1275" w:type="dxa"/>
            <w:vMerge/>
            <w:tcBorders>
              <w:top w:val="nil"/>
              <w:left w:val="nil"/>
              <w:bottom w:val="single" w:sz="4" w:space="0" w:color="000000"/>
              <w:right w:val="nil"/>
            </w:tcBorders>
            <w:vAlign w:val="center"/>
            <w:hideMark/>
          </w:tcPr>
          <w:p w14:paraId="3C843E6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203D10E4" w14:textId="77777777" w:rsidTr="00377237">
        <w:trPr>
          <w:trHeight w:val="260"/>
        </w:trPr>
        <w:tc>
          <w:tcPr>
            <w:tcW w:w="1443" w:type="dxa"/>
            <w:tcBorders>
              <w:top w:val="nil"/>
              <w:left w:val="nil"/>
              <w:bottom w:val="nil"/>
              <w:right w:val="nil"/>
            </w:tcBorders>
            <w:shd w:val="clear" w:color="auto" w:fill="auto"/>
            <w:noWrap/>
            <w:vAlign w:val="center"/>
            <w:hideMark/>
          </w:tcPr>
          <w:p w14:paraId="698F359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lastRenderedPageBreak/>
              <w:t>Egipto</w:t>
            </w:r>
          </w:p>
        </w:tc>
        <w:tc>
          <w:tcPr>
            <w:tcW w:w="1107" w:type="dxa"/>
            <w:tcBorders>
              <w:top w:val="nil"/>
              <w:left w:val="nil"/>
              <w:bottom w:val="nil"/>
              <w:right w:val="nil"/>
            </w:tcBorders>
            <w:shd w:val="clear" w:color="auto" w:fill="auto"/>
            <w:noWrap/>
            <w:vAlign w:val="center"/>
            <w:hideMark/>
          </w:tcPr>
          <w:p w14:paraId="3608FA5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1179A75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1.278.157</w:t>
            </w:r>
          </w:p>
        </w:tc>
        <w:tc>
          <w:tcPr>
            <w:tcW w:w="1701" w:type="dxa"/>
            <w:tcBorders>
              <w:top w:val="nil"/>
              <w:left w:val="nil"/>
              <w:bottom w:val="nil"/>
              <w:right w:val="nil"/>
            </w:tcBorders>
            <w:shd w:val="clear" w:color="auto" w:fill="auto"/>
            <w:noWrap/>
            <w:vAlign w:val="center"/>
            <w:hideMark/>
          </w:tcPr>
          <w:p w14:paraId="031486A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6.982.001</w:t>
            </w:r>
          </w:p>
        </w:tc>
        <w:tc>
          <w:tcPr>
            <w:tcW w:w="1562" w:type="dxa"/>
            <w:tcBorders>
              <w:top w:val="nil"/>
              <w:left w:val="nil"/>
              <w:bottom w:val="nil"/>
              <w:right w:val="nil"/>
            </w:tcBorders>
            <w:shd w:val="clear" w:color="auto" w:fill="auto"/>
            <w:noWrap/>
            <w:vAlign w:val="center"/>
            <w:hideMark/>
          </w:tcPr>
          <w:p w14:paraId="457D647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18,31%</w:t>
            </w:r>
          </w:p>
        </w:tc>
        <w:tc>
          <w:tcPr>
            <w:tcW w:w="1275" w:type="dxa"/>
            <w:vMerge w:val="restart"/>
            <w:tcBorders>
              <w:top w:val="nil"/>
              <w:left w:val="nil"/>
              <w:bottom w:val="single" w:sz="4" w:space="0" w:color="000000"/>
              <w:right w:val="nil"/>
            </w:tcBorders>
            <w:shd w:val="clear" w:color="auto" w:fill="auto"/>
            <w:noWrap/>
            <w:vAlign w:val="center"/>
            <w:hideMark/>
          </w:tcPr>
          <w:p w14:paraId="7683255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18,49%</w:t>
            </w:r>
          </w:p>
        </w:tc>
      </w:tr>
      <w:tr w:rsidR="001579BE" w:rsidRPr="008937EB" w14:paraId="791B9EAB"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61BDC5F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Egipto</w:t>
            </w:r>
          </w:p>
        </w:tc>
        <w:tc>
          <w:tcPr>
            <w:tcW w:w="1107" w:type="dxa"/>
            <w:tcBorders>
              <w:top w:val="nil"/>
              <w:left w:val="nil"/>
              <w:bottom w:val="single" w:sz="4" w:space="0" w:color="auto"/>
              <w:right w:val="nil"/>
            </w:tcBorders>
            <w:shd w:val="clear" w:color="auto" w:fill="auto"/>
            <w:noWrap/>
            <w:vAlign w:val="center"/>
            <w:hideMark/>
          </w:tcPr>
          <w:p w14:paraId="48610F2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E8EB39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12.903</w:t>
            </w:r>
          </w:p>
        </w:tc>
        <w:tc>
          <w:tcPr>
            <w:tcW w:w="1701" w:type="dxa"/>
            <w:tcBorders>
              <w:top w:val="nil"/>
              <w:left w:val="nil"/>
              <w:bottom w:val="single" w:sz="4" w:space="0" w:color="auto"/>
              <w:right w:val="nil"/>
            </w:tcBorders>
            <w:shd w:val="clear" w:color="auto" w:fill="auto"/>
            <w:noWrap/>
            <w:vAlign w:val="center"/>
            <w:hideMark/>
          </w:tcPr>
          <w:p w14:paraId="538B933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6.982.001</w:t>
            </w:r>
          </w:p>
        </w:tc>
        <w:tc>
          <w:tcPr>
            <w:tcW w:w="1562" w:type="dxa"/>
            <w:tcBorders>
              <w:top w:val="nil"/>
              <w:left w:val="nil"/>
              <w:bottom w:val="single" w:sz="4" w:space="0" w:color="auto"/>
              <w:right w:val="nil"/>
            </w:tcBorders>
            <w:shd w:val="clear" w:color="auto" w:fill="auto"/>
            <w:noWrap/>
            <w:vAlign w:val="center"/>
            <w:hideMark/>
          </w:tcPr>
          <w:p w14:paraId="2C9AD6F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0,18%</w:t>
            </w:r>
          </w:p>
        </w:tc>
        <w:tc>
          <w:tcPr>
            <w:tcW w:w="1275" w:type="dxa"/>
            <w:vMerge/>
            <w:tcBorders>
              <w:top w:val="nil"/>
              <w:left w:val="nil"/>
              <w:bottom w:val="single" w:sz="4" w:space="0" w:color="000000"/>
              <w:right w:val="nil"/>
            </w:tcBorders>
            <w:vAlign w:val="center"/>
            <w:hideMark/>
          </w:tcPr>
          <w:p w14:paraId="4B3631A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58A0C84B"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3A2FF8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Estonia</w:t>
            </w:r>
          </w:p>
        </w:tc>
        <w:tc>
          <w:tcPr>
            <w:tcW w:w="1107" w:type="dxa"/>
            <w:tcBorders>
              <w:top w:val="nil"/>
              <w:left w:val="nil"/>
              <w:bottom w:val="single" w:sz="4" w:space="0" w:color="auto"/>
              <w:right w:val="nil"/>
            </w:tcBorders>
            <w:shd w:val="clear" w:color="auto" w:fill="auto"/>
            <w:noWrap/>
            <w:vAlign w:val="center"/>
            <w:hideMark/>
          </w:tcPr>
          <w:p w14:paraId="0F30DB99"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06526F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900</w:t>
            </w:r>
          </w:p>
        </w:tc>
        <w:tc>
          <w:tcPr>
            <w:tcW w:w="1701" w:type="dxa"/>
            <w:tcBorders>
              <w:top w:val="nil"/>
              <w:left w:val="nil"/>
              <w:bottom w:val="single" w:sz="4" w:space="0" w:color="auto"/>
              <w:right w:val="nil"/>
            </w:tcBorders>
            <w:shd w:val="clear" w:color="auto" w:fill="auto"/>
            <w:noWrap/>
            <w:vAlign w:val="center"/>
            <w:hideMark/>
          </w:tcPr>
          <w:p w14:paraId="2395B0C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24.192</w:t>
            </w:r>
          </w:p>
        </w:tc>
        <w:tc>
          <w:tcPr>
            <w:tcW w:w="1562" w:type="dxa"/>
            <w:tcBorders>
              <w:top w:val="nil"/>
              <w:left w:val="nil"/>
              <w:bottom w:val="single" w:sz="4" w:space="0" w:color="auto"/>
              <w:right w:val="nil"/>
            </w:tcBorders>
            <w:shd w:val="clear" w:color="auto" w:fill="auto"/>
            <w:noWrap/>
            <w:vAlign w:val="center"/>
            <w:hideMark/>
          </w:tcPr>
          <w:p w14:paraId="40AB4EE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3,72%</w:t>
            </w:r>
          </w:p>
        </w:tc>
        <w:tc>
          <w:tcPr>
            <w:tcW w:w="1275" w:type="dxa"/>
            <w:tcBorders>
              <w:top w:val="nil"/>
              <w:left w:val="nil"/>
              <w:bottom w:val="single" w:sz="4" w:space="0" w:color="auto"/>
              <w:right w:val="nil"/>
            </w:tcBorders>
            <w:shd w:val="clear" w:color="auto" w:fill="auto"/>
            <w:noWrap/>
            <w:vAlign w:val="center"/>
            <w:hideMark/>
          </w:tcPr>
          <w:p w14:paraId="06FDFB5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3,72%</w:t>
            </w:r>
          </w:p>
        </w:tc>
      </w:tr>
      <w:tr w:rsidR="001579BE" w:rsidRPr="008937EB" w14:paraId="79EEF6C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B30D73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Finlandia</w:t>
            </w:r>
          </w:p>
        </w:tc>
        <w:tc>
          <w:tcPr>
            <w:tcW w:w="1107" w:type="dxa"/>
            <w:tcBorders>
              <w:top w:val="nil"/>
              <w:left w:val="nil"/>
              <w:bottom w:val="single" w:sz="4" w:space="0" w:color="auto"/>
              <w:right w:val="nil"/>
            </w:tcBorders>
            <w:shd w:val="clear" w:color="auto" w:fill="auto"/>
            <w:noWrap/>
            <w:vAlign w:val="center"/>
            <w:hideMark/>
          </w:tcPr>
          <w:p w14:paraId="0BBD170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02903F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4.638</w:t>
            </w:r>
          </w:p>
        </w:tc>
        <w:tc>
          <w:tcPr>
            <w:tcW w:w="1701" w:type="dxa"/>
            <w:tcBorders>
              <w:top w:val="nil"/>
              <w:left w:val="nil"/>
              <w:bottom w:val="single" w:sz="4" w:space="0" w:color="auto"/>
              <w:right w:val="nil"/>
            </w:tcBorders>
            <w:shd w:val="clear" w:color="auto" w:fill="auto"/>
            <w:noWrap/>
            <w:vAlign w:val="center"/>
            <w:hideMark/>
          </w:tcPr>
          <w:p w14:paraId="7089085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32.238</w:t>
            </w:r>
          </w:p>
        </w:tc>
        <w:tc>
          <w:tcPr>
            <w:tcW w:w="1562" w:type="dxa"/>
            <w:tcBorders>
              <w:top w:val="nil"/>
              <w:left w:val="nil"/>
              <w:bottom w:val="single" w:sz="4" w:space="0" w:color="auto"/>
              <w:right w:val="nil"/>
            </w:tcBorders>
            <w:shd w:val="clear" w:color="auto" w:fill="auto"/>
            <w:noWrap/>
            <w:vAlign w:val="center"/>
            <w:hideMark/>
          </w:tcPr>
          <w:p w14:paraId="54110EA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14,39%</w:t>
            </w:r>
          </w:p>
        </w:tc>
        <w:tc>
          <w:tcPr>
            <w:tcW w:w="1275" w:type="dxa"/>
            <w:tcBorders>
              <w:top w:val="nil"/>
              <w:left w:val="nil"/>
              <w:bottom w:val="single" w:sz="4" w:space="0" w:color="auto"/>
              <w:right w:val="nil"/>
            </w:tcBorders>
            <w:shd w:val="clear" w:color="auto" w:fill="auto"/>
            <w:noWrap/>
            <w:vAlign w:val="center"/>
            <w:hideMark/>
          </w:tcPr>
          <w:p w14:paraId="2D6AEC1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14,39%</w:t>
            </w:r>
          </w:p>
        </w:tc>
      </w:tr>
      <w:tr w:rsidR="001579BE" w:rsidRPr="008937EB" w14:paraId="661EB602" w14:textId="77777777" w:rsidTr="00377237">
        <w:trPr>
          <w:trHeight w:val="260"/>
        </w:trPr>
        <w:tc>
          <w:tcPr>
            <w:tcW w:w="1443" w:type="dxa"/>
            <w:tcBorders>
              <w:top w:val="nil"/>
              <w:left w:val="nil"/>
              <w:bottom w:val="nil"/>
              <w:right w:val="nil"/>
            </w:tcBorders>
            <w:shd w:val="clear" w:color="auto" w:fill="auto"/>
            <w:noWrap/>
            <w:vAlign w:val="center"/>
            <w:hideMark/>
          </w:tcPr>
          <w:p w14:paraId="5F7E2FB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Francia</w:t>
            </w:r>
          </w:p>
        </w:tc>
        <w:tc>
          <w:tcPr>
            <w:tcW w:w="1107" w:type="dxa"/>
            <w:tcBorders>
              <w:top w:val="nil"/>
              <w:left w:val="nil"/>
              <w:bottom w:val="nil"/>
              <w:right w:val="nil"/>
            </w:tcBorders>
            <w:shd w:val="clear" w:color="auto" w:fill="auto"/>
            <w:noWrap/>
            <w:vAlign w:val="center"/>
            <w:hideMark/>
          </w:tcPr>
          <w:p w14:paraId="06FA8B2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54BA208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99</w:t>
            </w:r>
          </w:p>
        </w:tc>
        <w:tc>
          <w:tcPr>
            <w:tcW w:w="1701" w:type="dxa"/>
            <w:tcBorders>
              <w:top w:val="nil"/>
              <w:left w:val="nil"/>
              <w:bottom w:val="nil"/>
              <w:right w:val="nil"/>
            </w:tcBorders>
            <w:shd w:val="clear" w:color="auto" w:fill="auto"/>
            <w:noWrap/>
            <w:vAlign w:val="center"/>
            <w:hideMark/>
          </w:tcPr>
          <w:p w14:paraId="037FADF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568.237</w:t>
            </w:r>
          </w:p>
        </w:tc>
        <w:tc>
          <w:tcPr>
            <w:tcW w:w="1562" w:type="dxa"/>
            <w:tcBorders>
              <w:top w:val="nil"/>
              <w:left w:val="nil"/>
              <w:bottom w:val="nil"/>
              <w:right w:val="nil"/>
            </w:tcBorders>
            <w:shd w:val="clear" w:color="auto" w:fill="auto"/>
            <w:noWrap/>
            <w:vAlign w:val="center"/>
            <w:hideMark/>
          </w:tcPr>
          <w:p w14:paraId="5440E5E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0,02%</w:t>
            </w:r>
          </w:p>
        </w:tc>
        <w:tc>
          <w:tcPr>
            <w:tcW w:w="1275" w:type="dxa"/>
            <w:vMerge w:val="restart"/>
            <w:tcBorders>
              <w:top w:val="nil"/>
              <w:left w:val="nil"/>
              <w:bottom w:val="single" w:sz="4" w:space="0" w:color="000000"/>
              <w:right w:val="nil"/>
            </w:tcBorders>
            <w:shd w:val="clear" w:color="auto" w:fill="auto"/>
            <w:noWrap/>
            <w:vAlign w:val="center"/>
            <w:hideMark/>
          </w:tcPr>
          <w:p w14:paraId="58C058E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0,02%</w:t>
            </w:r>
          </w:p>
        </w:tc>
      </w:tr>
      <w:tr w:rsidR="001579BE" w:rsidRPr="008937EB" w14:paraId="043891D2"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433957B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Francia</w:t>
            </w:r>
          </w:p>
        </w:tc>
        <w:tc>
          <w:tcPr>
            <w:tcW w:w="1107" w:type="dxa"/>
            <w:tcBorders>
              <w:top w:val="nil"/>
              <w:left w:val="nil"/>
              <w:bottom w:val="single" w:sz="4" w:space="0" w:color="auto"/>
              <w:right w:val="nil"/>
            </w:tcBorders>
            <w:shd w:val="clear" w:color="auto" w:fill="auto"/>
            <w:noWrap/>
            <w:vAlign w:val="center"/>
            <w:hideMark/>
          </w:tcPr>
          <w:p w14:paraId="09E81F3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290353B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19</w:t>
            </w:r>
          </w:p>
        </w:tc>
        <w:tc>
          <w:tcPr>
            <w:tcW w:w="1701" w:type="dxa"/>
            <w:tcBorders>
              <w:top w:val="nil"/>
              <w:left w:val="nil"/>
              <w:bottom w:val="single" w:sz="4" w:space="0" w:color="auto"/>
              <w:right w:val="nil"/>
            </w:tcBorders>
            <w:shd w:val="clear" w:color="auto" w:fill="auto"/>
            <w:noWrap/>
            <w:vAlign w:val="center"/>
            <w:hideMark/>
          </w:tcPr>
          <w:p w14:paraId="7FB00E5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568.237</w:t>
            </w:r>
          </w:p>
        </w:tc>
        <w:tc>
          <w:tcPr>
            <w:tcW w:w="1562" w:type="dxa"/>
            <w:tcBorders>
              <w:top w:val="nil"/>
              <w:left w:val="nil"/>
              <w:bottom w:val="single" w:sz="4" w:space="0" w:color="auto"/>
              <w:right w:val="nil"/>
            </w:tcBorders>
            <w:shd w:val="clear" w:color="auto" w:fill="auto"/>
            <w:noWrap/>
            <w:vAlign w:val="center"/>
            <w:hideMark/>
          </w:tcPr>
          <w:p w14:paraId="2022FE8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798BD35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79C87C6"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93EE2A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Gambia</w:t>
            </w:r>
          </w:p>
        </w:tc>
        <w:tc>
          <w:tcPr>
            <w:tcW w:w="1107" w:type="dxa"/>
            <w:tcBorders>
              <w:top w:val="nil"/>
              <w:left w:val="nil"/>
              <w:bottom w:val="single" w:sz="4" w:space="0" w:color="auto"/>
              <w:right w:val="nil"/>
            </w:tcBorders>
            <w:shd w:val="clear" w:color="auto" w:fill="auto"/>
            <w:noWrap/>
            <w:vAlign w:val="center"/>
            <w:hideMark/>
          </w:tcPr>
          <w:p w14:paraId="4C8A17C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68C00C5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20</w:t>
            </w:r>
          </w:p>
        </w:tc>
        <w:tc>
          <w:tcPr>
            <w:tcW w:w="1701" w:type="dxa"/>
            <w:tcBorders>
              <w:top w:val="nil"/>
              <w:left w:val="nil"/>
              <w:bottom w:val="single" w:sz="4" w:space="0" w:color="auto"/>
              <w:right w:val="nil"/>
            </w:tcBorders>
            <w:shd w:val="clear" w:color="auto" w:fill="auto"/>
            <w:noWrap/>
            <w:vAlign w:val="center"/>
            <w:hideMark/>
          </w:tcPr>
          <w:p w14:paraId="2AA5F23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488</w:t>
            </w:r>
          </w:p>
        </w:tc>
        <w:tc>
          <w:tcPr>
            <w:tcW w:w="1562" w:type="dxa"/>
            <w:tcBorders>
              <w:top w:val="nil"/>
              <w:left w:val="nil"/>
              <w:bottom w:val="single" w:sz="4" w:space="0" w:color="auto"/>
              <w:right w:val="nil"/>
            </w:tcBorders>
            <w:shd w:val="clear" w:color="auto" w:fill="auto"/>
            <w:noWrap/>
            <w:vAlign w:val="center"/>
            <w:hideMark/>
          </w:tcPr>
          <w:p w14:paraId="3B492F6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4,03%</w:t>
            </w:r>
          </w:p>
        </w:tc>
        <w:tc>
          <w:tcPr>
            <w:tcW w:w="1275" w:type="dxa"/>
            <w:tcBorders>
              <w:top w:val="nil"/>
              <w:left w:val="nil"/>
              <w:bottom w:val="single" w:sz="4" w:space="0" w:color="auto"/>
              <w:right w:val="nil"/>
            </w:tcBorders>
            <w:shd w:val="clear" w:color="auto" w:fill="auto"/>
            <w:noWrap/>
            <w:vAlign w:val="center"/>
            <w:hideMark/>
          </w:tcPr>
          <w:p w14:paraId="01AD121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4,03%</w:t>
            </w:r>
          </w:p>
        </w:tc>
      </w:tr>
      <w:tr w:rsidR="001579BE" w:rsidRPr="008937EB" w14:paraId="56214C7B" w14:textId="77777777" w:rsidTr="00377237">
        <w:trPr>
          <w:trHeight w:val="260"/>
        </w:trPr>
        <w:tc>
          <w:tcPr>
            <w:tcW w:w="1443" w:type="dxa"/>
            <w:tcBorders>
              <w:top w:val="nil"/>
              <w:left w:val="nil"/>
              <w:bottom w:val="nil"/>
              <w:right w:val="nil"/>
            </w:tcBorders>
            <w:shd w:val="clear" w:color="auto" w:fill="auto"/>
            <w:noWrap/>
            <w:vAlign w:val="center"/>
            <w:hideMark/>
          </w:tcPr>
          <w:p w14:paraId="7B119B55"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Georgia</w:t>
            </w:r>
          </w:p>
        </w:tc>
        <w:tc>
          <w:tcPr>
            <w:tcW w:w="1107" w:type="dxa"/>
            <w:tcBorders>
              <w:top w:val="nil"/>
              <w:left w:val="nil"/>
              <w:bottom w:val="nil"/>
              <w:right w:val="nil"/>
            </w:tcBorders>
            <w:shd w:val="clear" w:color="auto" w:fill="auto"/>
            <w:noWrap/>
            <w:vAlign w:val="center"/>
            <w:hideMark/>
          </w:tcPr>
          <w:p w14:paraId="6D810C01"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0AB6739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77.947</w:t>
            </w:r>
          </w:p>
        </w:tc>
        <w:tc>
          <w:tcPr>
            <w:tcW w:w="1701" w:type="dxa"/>
            <w:tcBorders>
              <w:top w:val="nil"/>
              <w:left w:val="nil"/>
              <w:bottom w:val="nil"/>
              <w:right w:val="nil"/>
            </w:tcBorders>
            <w:shd w:val="clear" w:color="auto" w:fill="auto"/>
            <w:noWrap/>
            <w:vAlign w:val="center"/>
            <w:hideMark/>
          </w:tcPr>
          <w:p w14:paraId="147CE04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79.802</w:t>
            </w:r>
          </w:p>
        </w:tc>
        <w:tc>
          <w:tcPr>
            <w:tcW w:w="1562" w:type="dxa"/>
            <w:tcBorders>
              <w:top w:val="nil"/>
              <w:left w:val="nil"/>
              <w:bottom w:val="nil"/>
              <w:right w:val="nil"/>
            </w:tcBorders>
            <w:shd w:val="clear" w:color="auto" w:fill="auto"/>
            <w:noWrap/>
            <w:vAlign w:val="center"/>
            <w:hideMark/>
          </w:tcPr>
          <w:p w14:paraId="15B5437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97,68%</w:t>
            </w:r>
          </w:p>
        </w:tc>
        <w:tc>
          <w:tcPr>
            <w:tcW w:w="1275" w:type="dxa"/>
            <w:vMerge w:val="restart"/>
            <w:tcBorders>
              <w:top w:val="nil"/>
              <w:left w:val="nil"/>
              <w:bottom w:val="single" w:sz="4" w:space="0" w:color="000000"/>
              <w:right w:val="nil"/>
            </w:tcBorders>
            <w:shd w:val="clear" w:color="auto" w:fill="auto"/>
            <w:noWrap/>
            <w:vAlign w:val="center"/>
            <w:hideMark/>
          </w:tcPr>
          <w:p w14:paraId="65E9D1C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98,13%</w:t>
            </w:r>
          </w:p>
        </w:tc>
      </w:tr>
      <w:tr w:rsidR="001579BE" w:rsidRPr="008937EB" w14:paraId="16C0334C"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67FE353"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Georgia</w:t>
            </w:r>
          </w:p>
        </w:tc>
        <w:tc>
          <w:tcPr>
            <w:tcW w:w="1107" w:type="dxa"/>
            <w:tcBorders>
              <w:top w:val="nil"/>
              <w:left w:val="nil"/>
              <w:bottom w:val="single" w:sz="4" w:space="0" w:color="auto"/>
              <w:right w:val="nil"/>
            </w:tcBorders>
            <w:shd w:val="clear" w:color="auto" w:fill="auto"/>
            <w:noWrap/>
            <w:vAlign w:val="center"/>
            <w:hideMark/>
          </w:tcPr>
          <w:p w14:paraId="0340BC6D"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58949D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360</w:t>
            </w:r>
          </w:p>
        </w:tc>
        <w:tc>
          <w:tcPr>
            <w:tcW w:w="1701" w:type="dxa"/>
            <w:tcBorders>
              <w:top w:val="nil"/>
              <w:left w:val="nil"/>
              <w:bottom w:val="single" w:sz="4" w:space="0" w:color="auto"/>
              <w:right w:val="nil"/>
            </w:tcBorders>
            <w:shd w:val="clear" w:color="auto" w:fill="auto"/>
            <w:noWrap/>
            <w:vAlign w:val="center"/>
            <w:hideMark/>
          </w:tcPr>
          <w:p w14:paraId="5EE25EF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79.802</w:t>
            </w:r>
          </w:p>
        </w:tc>
        <w:tc>
          <w:tcPr>
            <w:tcW w:w="1562" w:type="dxa"/>
            <w:tcBorders>
              <w:top w:val="nil"/>
              <w:left w:val="nil"/>
              <w:bottom w:val="single" w:sz="4" w:space="0" w:color="auto"/>
              <w:right w:val="nil"/>
            </w:tcBorders>
            <w:shd w:val="clear" w:color="auto" w:fill="auto"/>
            <w:noWrap/>
            <w:vAlign w:val="center"/>
            <w:hideMark/>
          </w:tcPr>
          <w:p w14:paraId="2D626B3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0,45%</w:t>
            </w:r>
          </w:p>
        </w:tc>
        <w:tc>
          <w:tcPr>
            <w:tcW w:w="1275" w:type="dxa"/>
            <w:vMerge/>
            <w:tcBorders>
              <w:top w:val="nil"/>
              <w:left w:val="nil"/>
              <w:bottom w:val="single" w:sz="4" w:space="0" w:color="000000"/>
              <w:right w:val="nil"/>
            </w:tcBorders>
            <w:vAlign w:val="center"/>
            <w:hideMark/>
          </w:tcPr>
          <w:p w14:paraId="33B736D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184C689C" w14:textId="77777777" w:rsidTr="00377237">
        <w:trPr>
          <w:trHeight w:val="260"/>
        </w:trPr>
        <w:tc>
          <w:tcPr>
            <w:tcW w:w="1443" w:type="dxa"/>
            <w:tcBorders>
              <w:top w:val="nil"/>
              <w:left w:val="nil"/>
              <w:bottom w:val="nil"/>
              <w:right w:val="nil"/>
            </w:tcBorders>
            <w:shd w:val="clear" w:color="auto" w:fill="auto"/>
            <w:noWrap/>
            <w:vAlign w:val="center"/>
            <w:hideMark/>
          </w:tcPr>
          <w:p w14:paraId="667CA5E0"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Alemania</w:t>
            </w:r>
          </w:p>
        </w:tc>
        <w:tc>
          <w:tcPr>
            <w:tcW w:w="1107" w:type="dxa"/>
            <w:tcBorders>
              <w:top w:val="nil"/>
              <w:left w:val="nil"/>
              <w:bottom w:val="nil"/>
              <w:right w:val="nil"/>
            </w:tcBorders>
            <w:shd w:val="clear" w:color="auto" w:fill="auto"/>
            <w:noWrap/>
            <w:vAlign w:val="center"/>
            <w:hideMark/>
          </w:tcPr>
          <w:p w14:paraId="56F4763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7B67EEC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175.053</w:t>
            </w:r>
          </w:p>
        </w:tc>
        <w:tc>
          <w:tcPr>
            <w:tcW w:w="1701" w:type="dxa"/>
            <w:tcBorders>
              <w:top w:val="nil"/>
              <w:left w:val="nil"/>
              <w:bottom w:val="nil"/>
              <w:right w:val="nil"/>
            </w:tcBorders>
            <w:shd w:val="clear" w:color="auto" w:fill="auto"/>
            <w:noWrap/>
            <w:vAlign w:val="center"/>
            <w:hideMark/>
          </w:tcPr>
          <w:p w14:paraId="5D40171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2.976.665</w:t>
            </w:r>
          </w:p>
        </w:tc>
        <w:tc>
          <w:tcPr>
            <w:tcW w:w="1562" w:type="dxa"/>
            <w:tcBorders>
              <w:top w:val="nil"/>
              <w:left w:val="nil"/>
              <w:bottom w:val="nil"/>
              <w:right w:val="nil"/>
            </w:tcBorders>
            <w:shd w:val="clear" w:color="auto" w:fill="auto"/>
            <w:noWrap/>
            <w:vAlign w:val="center"/>
            <w:hideMark/>
          </w:tcPr>
          <w:p w14:paraId="7EC3B70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5,88%</w:t>
            </w:r>
          </w:p>
        </w:tc>
        <w:tc>
          <w:tcPr>
            <w:tcW w:w="1275" w:type="dxa"/>
            <w:vMerge w:val="restart"/>
            <w:tcBorders>
              <w:top w:val="nil"/>
              <w:left w:val="nil"/>
              <w:bottom w:val="single" w:sz="4" w:space="0" w:color="000000"/>
              <w:right w:val="nil"/>
            </w:tcBorders>
            <w:shd w:val="clear" w:color="auto" w:fill="auto"/>
            <w:noWrap/>
            <w:vAlign w:val="center"/>
            <w:hideMark/>
          </w:tcPr>
          <w:p w14:paraId="3551A5A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5,98%</w:t>
            </w:r>
          </w:p>
        </w:tc>
      </w:tr>
      <w:tr w:rsidR="001579BE" w:rsidRPr="008937EB" w14:paraId="222ACEB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4655EEF4"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Alemania</w:t>
            </w:r>
          </w:p>
        </w:tc>
        <w:tc>
          <w:tcPr>
            <w:tcW w:w="1107" w:type="dxa"/>
            <w:tcBorders>
              <w:top w:val="nil"/>
              <w:left w:val="nil"/>
              <w:bottom w:val="single" w:sz="4" w:space="0" w:color="auto"/>
              <w:right w:val="nil"/>
            </w:tcBorders>
            <w:shd w:val="clear" w:color="auto" w:fill="auto"/>
            <w:noWrap/>
            <w:vAlign w:val="center"/>
            <w:hideMark/>
          </w:tcPr>
          <w:p w14:paraId="69BCEF0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02A474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2.921</w:t>
            </w:r>
          </w:p>
        </w:tc>
        <w:tc>
          <w:tcPr>
            <w:tcW w:w="1701" w:type="dxa"/>
            <w:tcBorders>
              <w:top w:val="nil"/>
              <w:left w:val="nil"/>
              <w:bottom w:val="single" w:sz="4" w:space="0" w:color="auto"/>
              <w:right w:val="nil"/>
            </w:tcBorders>
            <w:shd w:val="clear" w:color="auto" w:fill="auto"/>
            <w:noWrap/>
            <w:vAlign w:val="center"/>
            <w:hideMark/>
          </w:tcPr>
          <w:p w14:paraId="40FCDB3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2.976.665</w:t>
            </w:r>
          </w:p>
        </w:tc>
        <w:tc>
          <w:tcPr>
            <w:tcW w:w="1562" w:type="dxa"/>
            <w:tcBorders>
              <w:top w:val="nil"/>
              <w:left w:val="nil"/>
              <w:bottom w:val="single" w:sz="4" w:space="0" w:color="auto"/>
              <w:right w:val="nil"/>
            </w:tcBorders>
            <w:shd w:val="clear" w:color="auto" w:fill="auto"/>
            <w:noWrap/>
            <w:vAlign w:val="center"/>
            <w:hideMark/>
          </w:tcPr>
          <w:p w14:paraId="3F737D5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0,10%</w:t>
            </w:r>
          </w:p>
        </w:tc>
        <w:tc>
          <w:tcPr>
            <w:tcW w:w="1275" w:type="dxa"/>
            <w:vMerge/>
            <w:tcBorders>
              <w:top w:val="nil"/>
              <w:left w:val="nil"/>
              <w:bottom w:val="single" w:sz="4" w:space="0" w:color="000000"/>
              <w:right w:val="nil"/>
            </w:tcBorders>
            <w:vAlign w:val="center"/>
            <w:hideMark/>
          </w:tcPr>
          <w:p w14:paraId="4C9C45B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4DD03E7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F498238"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Ghana</w:t>
            </w:r>
          </w:p>
        </w:tc>
        <w:tc>
          <w:tcPr>
            <w:tcW w:w="1107" w:type="dxa"/>
            <w:tcBorders>
              <w:top w:val="nil"/>
              <w:left w:val="nil"/>
              <w:bottom w:val="single" w:sz="4" w:space="0" w:color="auto"/>
              <w:right w:val="nil"/>
            </w:tcBorders>
            <w:shd w:val="clear" w:color="auto" w:fill="auto"/>
            <w:noWrap/>
            <w:vAlign w:val="center"/>
            <w:hideMark/>
          </w:tcPr>
          <w:p w14:paraId="2215979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164DE8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18</w:t>
            </w:r>
          </w:p>
        </w:tc>
        <w:tc>
          <w:tcPr>
            <w:tcW w:w="1701" w:type="dxa"/>
            <w:tcBorders>
              <w:top w:val="nil"/>
              <w:left w:val="nil"/>
              <w:bottom w:val="single" w:sz="4" w:space="0" w:color="auto"/>
              <w:right w:val="nil"/>
            </w:tcBorders>
            <w:shd w:val="clear" w:color="auto" w:fill="auto"/>
            <w:noWrap/>
            <w:vAlign w:val="center"/>
            <w:hideMark/>
          </w:tcPr>
          <w:p w14:paraId="05BAECF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86.986</w:t>
            </w:r>
          </w:p>
        </w:tc>
        <w:tc>
          <w:tcPr>
            <w:tcW w:w="1562" w:type="dxa"/>
            <w:tcBorders>
              <w:top w:val="nil"/>
              <w:left w:val="nil"/>
              <w:bottom w:val="single" w:sz="4" w:space="0" w:color="auto"/>
              <w:right w:val="nil"/>
            </w:tcBorders>
            <w:shd w:val="clear" w:color="auto" w:fill="auto"/>
            <w:noWrap/>
            <w:vAlign w:val="center"/>
            <w:hideMark/>
          </w:tcPr>
          <w:p w14:paraId="6F21917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0,02%</w:t>
            </w:r>
          </w:p>
        </w:tc>
        <w:tc>
          <w:tcPr>
            <w:tcW w:w="1275" w:type="dxa"/>
            <w:tcBorders>
              <w:top w:val="nil"/>
              <w:left w:val="nil"/>
              <w:bottom w:val="single" w:sz="4" w:space="0" w:color="auto"/>
              <w:right w:val="nil"/>
            </w:tcBorders>
            <w:shd w:val="clear" w:color="auto" w:fill="auto"/>
            <w:noWrap/>
            <w:vAlign w:val="center"/>
            <w:hideMark/>
          </w:tcPr>
          <w:p w14:paraId="75D6D5A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0,02%</w:t>
            </w:r>
          </w:p>
        </w:tc>
      </w:tr>
      <w:tr w:rsidR="001579BE" w:rsidRPr="008937EB" w14:paraId="1DF4D7C6" w14:textId="77777777" w:rsidTr="00377237">
        <w:trPr>
          <w:trHeight w:val="260"/>
        </w:trPr>
        <w:tc>
          <w:tcPr>
            <w:tcW w:w="1443" w:type="dxa"/>
            <w:tcBorders>
              <w:top w:val="nil"/>
              <w:left w:val="nil"/>
              <w:bottom w:val="nil"/>
              <w:right w:val="nil"/>
            </w:tcBorders>
            <w:shd w:val="clear" w:color="auto" w:fill="auto"/>
            <w:noWrap/>
            <w:vAlign w:val="center"/>
            <w:hideMark/>
          </w:tcPr>
          <w:p w14:paraId="48F9355E"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Grecia</w:t>
            </w:r>
          </w:p>
        </w:tc>
        <w:tc>
          <w:tcPr>
            <w:tcW w:w="1107" w:type="dxa"/>
            <w:tcBorders>
              <w:top w:val="nil"/>
              <w:left w:val="nil"/>
              <w:bottom w:val="nil"/>
              <w:right w:val="nil"/>
            </w:tcBorders>
            <w:shd w:val="clear" w:color="auto" w:fill="auto"/>
            <w:noWrap/>
            <w:vAlign w:val="center"/>
            <w:hideMark/>
          </w:tcPr>
          <w:p w14:paraId="1B8144B2"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4935299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135.000</w:t>
            </w:r>
          </w:p>
        </w:tc>
        <w:tc>
          <w:tcPr>
            <w:tcW w:w="1701" w:type="dxa"/>
            <w:tcBorders>
              <w:top w:val="nil"/>
              <w:left w:val="nil"/>
              <w:bottom w:val="nil"/>
              <w:right w:val="nil"/>
            </w:tcBorders>
            <w:shd w:val="clear" w:color="auto" w:fill="auto"/>
            <w:noWrap/>
            <w:vAlign w:val="center"/>
            <w:hideMark/>
          </w:tcPr>
          <w:p w14:paraId="178895C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667.702</w:t>
            </w:r>
          </w:p>
        </w:tc>
        <w:tc>
          <w:tcPr>
            <w:tcW w:w="1562" w:type="dxa"/>
            <w:tcBorders>
              <w:top w:val="nil"/>
              <w:left w:val="nil"/>
              <w:bottom w:val="nil"/>
              <w:right w:val="nil"/>
            </w:tcBorders>
            <w:shd w:val="clear" w:color="auto" w:fill="auto"/>
            <w:noWrap/>
            <w:vAlign w:val="center"/>
            <w:hideMark/>
          </w:tcPr>
          <w:p w14:paraId="6DE63DD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20,22%</w:t>
            </w:r>
          </w:p>
        </w:tc>
        <w:tc>
          <w:tcPr>
            <w:tcW w:w="1275" w:type="dxa"/>
            <w:vMerge w:val="restart"/>
            <w:tcBorders>
              <w:top w:val="nil"/>
              <w:left w:val="nil"/>
              <w:bottom w:val="single" w:sz="4" w:space="0" w:color="000000"/>
              <w:right w:val="nil"/>
            </w:tcBorders>
            <w:shd w:val="clear" w:color="auto" w:fill="auto"/>
            <w:noWrap/>
            <w:vAlign w:val="center"/>
            <w:hideMark/>
          </w:tcPr>
          <w:p w14:paraId="34E05A4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21,64%</w:t>
            </w:r>
          </w:p>
        </w:tc>
      </w:tr>
      <w:tr w:rsidR="001579BE" w:rsidRPr="008937EB" w14:paraId="5059450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506895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Grecia</w:t>
            </w:r>
          </w:p>
        </w:tc>
        <w:tc>
          <w:tcPr>
            <w:tcW w:w="1107" w:type="dxa"/>
            <w:tcBorders>
              <w:top w:val="nil"/>
              <w:left w:val="nil"/>
              <w:bottom w:val="single" w:sz="4" w:space="0" w:color="auto"/>
              <w:right w:val="nil"/>
            </w:tcBorders>
            <w:shd w:val="clear" w:color="auto" w:fill="auto"/>
            <w:noWrap/>
            <w:vAlign w:val="center"/>
            <w:hideMark/>
          </w:tcPr>
          <w:p w14:paraId="76CEBFB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49DC0C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9.517</w:t>
            </w:r>
          </w:p>
        </w:tc>
        <w:tc>
          <w:tcPr>
            <w:tcW w:w="1701" w:type="dxa"/>
            <w:tcBorders>
              <w:top w:val="nil"/>
              <w:left w:val="nil"/>
              <w:bottom w:val="single" w:sz="4" w:space="0" w:color="auto"/>
              <w:right w:val="nil"/>
            </w:tcBorders>
            <w:shd w:val="clear" w:color="auto" w:fill="auto"/>
            <w:noWrap/>
            <w:vAlign w:val="center"/>
            <w:hideMark/>
          </w:tcPr>
          <w:p w14:paraId="62F937F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667.702</w:t>
            </w:r>
          </w:p>
        </w:tc>
        <w:tc>
          <w:tcPr>
            <w:tcW w:w="1562" w:type="dxa"/>
            <w:tcBorders>
              <w:top w:val="nil"/>
              <w:left w:val="nil"/>
              <w:bottom w:val="single" w:sz="4" w:space="0" w:color="auto"/>
              <w:right w:val="nil"/>
            </w:tcBorders>
            <w:shd w:val="clear" w:color="auto" w:fill="auto"/>
            <w:noWrap/>
            <w:vAlign w:val="center"/>
            <w:hideMark/>
          </w:tcPr>
          <w:p w14:paraId="0DE5801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1,43%</w:t>
            </w:r>
          </w:p>
        </w:tc>
        <w:tc>
          <w:tcPr>
            <w:tcW w:w="1275" w:type="dxa"/>
            <w:vMerge/>
            <w:tcBorders>
              <w:top w:val="nil"/>
              <w:left w:val="nil"/>
              <w:bottom w:val="single" w:sz="4" w:space="0" w:color="000000"/>
              <w:right w:val="nil"/>
            </w:tcBorders>
            <w:vAlign w:val="center"/>
            <w:hideMark/>
          </w:tcPr>
          <w:p w14:paraId="3870898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3DE5C548" w14:textId="77777777" w:rsidTr="00377237">
        <w:trPr>
          <w:trHeight w:val="260"/>
        </w:trPr>
        <w:tc>
          <w:tcPr>
            <w:tcW w:w="1443" w:type="dxa"/>
            <w:tcBorders>
              <w:top w:val="nil"/>
              <w:left w:val="nil"/>
              <w:bottom w:val="nil"/>
              <w:right w:val="nil"/>
            </w:tcBorders>
            <w:shd w:val="clear" w:color="auto" w:fill="auto"/>
            <w:noWrap/>
            <w:vAlign w:val="center"/>
            <w:hideMark/>
          </w:tcPr>
          <w:p w14:paraId="0BBA0BD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Hungría</w:t>
            </w:r>
          </w:p>
        </w:tc>
        <w:tc>
          <w:tcPr>
            <w:tcW w:w="1107" w:type="dxa"/>
            <w:tcBorders>
              <w:top w:val="nil"/>
              <w:left w:val="nil"/>
              <w:bottom w:val="nil"/>
              <w:right w:val="nil"/>
            </w:tcBorders>
            <w:shd w:val="clear" w:color="auto" w:fill="auto"/>
            <w:noWrap/>
            <w:vAlign w:val="center"/>
            <w:hideMark/>
          </w:tcPr>
          <w:p w14:paraId="7B64F8F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6BB00EF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15.875</w:t>
            </w:r>
          </w:p>
        </w:tc>
        <w:tc>
          <w:tcPr>
            <w:tcW w:w="1701" w:type="dxa"/>
            <w:tcBorders>
              <w:top w:val="nil"/>
              <w:left w:val="nil"/>
              <w:bottom w:val="nil"/>
              <w:right w:val="nil"/>
            </w:tcBorders>
            <w:shd w:val="clear" w:color="auto" w:fill="auto"/>
            <w:noWrap/>
            <w:vAlign w:val="center"/>
            <w:hideMark/>
          </w:tcPr>
          <w:p w14:paraId="5C3B280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439.421</w:t>
            </w:r>
          </w:p>
        </w:tc>
        <w:tc>
          <w:tcPr>
            <w:tcW w:w="1562" w:type="dxa"/>
            <w:tcBorders>
              <w:top w:val="nil"/>
              <w:left w:val="nil"/>
              <w:bottom w:val="nil"/>
              <w:right w:val="nil"/>
            </w:tcBorders>
            <w:shd w:val="clear" w:color="auto" w:fill="auto"/>
            <w:noWrap/>
            <w:vAlign w:val="center"/>
            <w:hideMark/>
          </w:tcPr>
          <w:p w14:paraId="647B1F4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3,61%</w:t>
            </w:r>
          </w:p>
        </w:tc>
        <w:tc>
          <w:tcPr>
            <w:tcW w:w="1275" w:type="dxa"/>
            <w:vMerge w:val="restart"/>
            <w:tcBorders>
              <w:top w:val="nil"/>
              <w:left w:val="nil"/>
              <w:bottom w:val="single" w:sz="4" w:space="0" w:color="000000"/>
              <w:right w:val="nil"/>
            </w:tcBorders>
            <w:shd w:val="clear" w:color="auto" w:fill="auto"/>
            <w:noWrap/>
            <w:vAlign w:val="center"/>
            <w:hideMark/>
          </w:tcPr>
          <w:p w14:paraId="626AFFD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3,61%</w:t>
            </w:r>
          </w:p>
        </w:tc>
      </w:tr>
      <w:tr w:rsidR="001579BE" w:rsidRPr="008937EB" w14:paraId="76F8001B"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2CE1D65"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Hungría</w:t>
            </w:r>
          </w:p>
        </w:tc>
        <w:tc>
          <w:tcPr>
            <w:tcW w:w="1107" w:type="dxa"/>
            <w:tcBorders>
              <w:top w:val="nil"/>
              <w:left w:val="nil"/>
              <w:bottom w:val="single" w:sz="4" w:space="0" w:color="auto"/>
              <w:right w:val="nil"/>
            </w:tcBorders>
            <w:shd w:val="clear" w:color="auto" w:fill="auto"/>
            <w:noWrap/>
            <w:vAlign w:val="center"/>
            <w:hideMark/>
          </w:tcPr>
          <w:p w14:paraId="284A750C"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B79208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00E1CCB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439.421</w:t>
            </w:r>
          </w:p>
        </w:tc>
        <w:tc>
          <w:tcPr>
            <w:tcW w:w="1562" w:type="dxa"/>
            <w:tcBorders>
              <w:top w:val="nil"/>
              <w:left w:val="nil"/>
              <w:bottom w:val="single" w:sz="4" w:space="0" w:color="auto"/>
              <w:right w:val="nil"/>
            </w:tcBorders>
            <w:shd w:val="clear" w:color="auto" w:fill="auto"/>
            <w:noWrap/>
            <w:vAlign w:val="center"/>
            <w:hideMark/>
          </w:tcPr>
          <w:p w14:paraId="71772AA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03ABF58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16FDA4B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328FC8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Indonesia</w:t>
            </w:r>
          </w:p>
        </w:tc>
        <w:tc>
          <w:tcPr>
            <w:tcW w:w="1107" w:type="dxa"/>
            <w:tcBorders>
              <w:top w:val="nil"/>
              <w:left w:val="nil"/>
              <w:bottom w:val="single" w:sz="4" w:space="0" w:color="auto"/>
              <w:right w:val="nil"/>
            </w:tcBorders>
            <w:shd w:val="clear" w:color="auto" w:fill="auto"/>
            <w:noWrap/>
            <w:vAlign w:val="center"/>
            <w:hideMark/>
          </w:tcPr>
          <w:p w14:paraId="766B9B8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93A92D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27.834</w:t>
            </w:r>
          </w:p>
        </w:tc>
        <w:tc>
          <w:tcPr>
            <w:tcW w:w="1701" w:type="dxa"/>
            <w:tcBorders>
              <w:top w:val="nil"/>
              <w:left w:val="nil"/>
              <w:bottom w:val="single" w:sz="4" w:space="0" w:color="auto"/>
              <w:right w:val="nil"/>
            </w:tcBorders>
            <w:shd w:val="clear" w:color="auto" w:fill="auto"/>
            <w:noWrap/>
            <w:vAlign w:val="center"/>
            <w:hideMark/>
          </w:tcPr>
          <w:p w14:paraId="7720F5D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995.999</w:t>
            </w:r>
          </w:p>
        </w:tc>
        <w:tc>
          <w:tcPr>
            <w:tcW w:w="1562" w:type="dxa"/>
            <w:tcBorders>
              <w:top w:val="nil"/>
              <w:left w:val="nil"/>
              <w:bottom w:val="single" w:sz="4" w:space="0" w:color="auto"/>
              <w:right w:val="nil"/>
            </w:tcBorders>
            <w:shd w:val="clear" w:color="auto" w:fill="auto"/>
            <w:noWrap/>
            <w:vAlign w:val="center"/>
            <w:hideMark/>
          </w:tcPr>
          <w:p w14:paraId="4683EC8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2,79%</w:t>
            </w:r>
          </w:p>
        </w:tc>
        <w:tc>
          <w:tcPr>
            <w:tcW w:w="1275" w:type="dxa"/>
            <w:tcBorders>
              <w:top w:val="nil"/>
              <w:left w:val="nil"/>
              <w:bottom w:val="single" w:sz="4" w:space="0" w:color="auto"/>
              <w:right w:val="nil"/>
            </w:tcBorders>
            <w:shd w:val="clear" w:color="auto" w:fill="auto"/>
            <w:noWrap/>
            <w:vAlign w:val="center"/>
            <w:hideMark/>
          </w:tcPr>
          <w:p w14:paraId="4E15021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2,79%</w:t>
            </w:r>
          </w:p>
        </w:tc>
      </w:tr>
      <w:tr w:rsidR="001579BE" w:rsidRPr="008937EB" w14:paraId="21960434"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BA4C61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Irán</w:t>
            </w:r>
          </w:p>
        </w:tc>
        <w:tc>
          <w:tcPr>
            <w:tcW w:w="1107" w:type="dxa"/>
            <w:tcBorders>
              <w:top w:val="nil"/>
              <w:left w:val="nil"/>
              <w:bottom w:val="single" w:sz="4" w:space="0" w:color="auto"/>
              <w:right w:val="nil"/>
            </w:tcBorders>
            <w:shd w:val="clear" w:color="auto" w:fill="auto"/>
            <w:noWrap/>
            <w:vAlign w:val="center"/>
            <w:hideMark/>
          </w:tcPr>
          <w:p w14:paraId="1B503062"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E5CD2C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1.678.991</w:t>
            </w:r>
          </w:p>
        </w:tc>
        <w:tc>
          <w:tcPr>
            <w:tcW w:w="1701" w:type="dxa"/>
            <w:tcBorders>
              <w:top w:val="nil"/>
              <w:left w:val="nil"/>
              <w:bottom w:val="single" w:sz="4" w:space="0" w:color="auto"/>
              <w:right w:val="nil"/>
            </w:tcBorders>
            <w:shd w:val="clear" w:color="auto" w:fill="auto"/>
            <w:noWrap/>
            <w:vAlign w:val="center"/>
            <w:hideMark/>
          </w:tcPr>
          <w:p w14:paraId="7A0EF87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9.778.758</w:t>
            </w:r>
          </w:p>
        </w:tc>
        <w:tc>
          <w:tcPr>
            <w:tcW w:w="1562" w:type="dxa"/>
            <w:tcBorders>
              <w:top w:val="nil"/>
              <w:left w:val="nil"/>
              <w:bottom w:val="single" w:sz="4" w:space="0" w:color="auto"/>
              <w:right w:val="nil"/>
            </w:tcBorders>
            <w:shd w:val="clear" w:color="auto" w:fill="auto"/>
            <w:noWrap/>
            <w:vAlign w:val="center"/>
            <w:hideMark/>
          </w:tcPr>
          <w:p w14:paraId="2B5E642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17,17%</w:t>
            </w:r>
          </w:p>
        </w:tc>
        <w:tc>
          <w:tcPr>
            <w:tcW w:w="1275" w:type="dxa"/>
            <w:tcBorders>
              <w:top w:val="nil"/>
              <w:left w:val="nil"/>
              <w:bottom w:val="single" w:sz="4" w:space="0" w:color="auto"/>
              <w:right w:val="nil"/>
            </w:tcBorders>
            <w:shd w:val="clear" w:color="auto" w:fill="auto"/>
            <w:noWrap/>
            <w:vAlign w:val="center"/>
            <w:hideMark/>
          </w:tcPr>
          <w:p w14:paraId="5F3579F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17,17%</w:t>
            </w:r>
          </w:p>
        </w:tc>
      </w:tr>
      <w:tr w:rsidR="001579BE" w:rsidRPr="008937EB" w14:paraId="31E4CAB9"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32C0D3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Irlanda</w:t>
            </w:r>
          </w:p>
        </w:tc>
        <w:tc>
          <w:tcPr>
            <w:tcW w:w="1107" w:type="dxa"/>
            <w:tcBorders>
              <w:top w:val="nil"/>
              <w:left w:val="nil"/>
              <w:bottom w:val="single" w:sz="4" w:space="0" w:color="auto"/>
              <w:right w:val="nil"/>
            </w:tcBorders>
            <w:shd w:val="clear" w:color="auto" w:fill="auto"/>
            <w:noWrap/>
            <w:vAlign w:val="center"/>
            <w:hideMark/>
          </w:tcPr>
          <w:p w14:paraId="1C02E38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5DF538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189.177</w:t>
            </w:r>
          </w:p>
        </w:tc>
        <w:tc>
          <w:tcPr>
            <w:tcW w:w="1701" w:type="dxa"/>
            <w:tcBorders>
              <w:top w:val="nil"/>
              <w:left w:val="nil"/>
              <w:bottom w:val="single" w:sz="4" w:space="0" w:color="auto"/>
              <w:right w:val="nil"/>
            </w:tcBorders>
            <w:shd w:val="clear" w:color="auto" w:fill="auto"/>
            <w:noWrap/>
            <w:vAlign w:val="center"/>
            <w:hideMark/>
          </w:tcPr>
          <w:p w14:paraId="5394900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1.219.959</w:t>
            </w:r>
          </w:p>
        </w:tc>
        <w:tc>
          <w:tcPr>
            <w:tcW w:w="1562" w:type="dxa"/>
            <w:tcBorders>
              <w:top w:val="nil"/>
              <w:left w:val="nil"/>
              <w:bottom w:val="single" w:sz="4" w:space="0" w:color="auto"/>
              <w:right w:val="nil"/>
            </w:tcBorders>
            <w:shd w:val="clear" w:color="auto" w:fill="auto"/>
            <w:noWrap/>
            <w:vAlign w:val="center"/>
            <w:hideMark/>
          </w:tcPr>
          <w:p w14:paraId="05662D8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15,51%</w:t>
            </w:r>
          </w:p>
        </w:tc>
        <w:tc>
          <w:tcPr>
            <w:tcW w:w="1275" w:type="dxa"/>
            <w:tcBorders>
              <w:top w:val="nil"/>
              <w:left w:val="nil"/>
              <w:bottom w:val="single" w:sz="4" w:space="0" w:color="auto"/>
              <w:right w:val="nil"/>
            </w:tcBorders>
            <w:shd w:val="clear" w:color="auto" w:fill="auto"/>
            <w:noWrap/>
            <w:vAlign w:val="center"/>
            <w:hideMark/>
          </w:tcPr>
          <w:p w14:paraId="3BEDEE8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15,51%</w:t>
            </w:r>
          </w:p>
        </w:tc>
      </w:tr>
      <w:tr w:rsidR="001579BE" w:rsidRPr="008937EB" w14:paraId="6BB6D26D" w14:textId="77777777" w:rsidTr="00377237">
        <w:trPr>
          <w:trHeight w:val="260"/>
        </w:trPr>
        <w:tc>
          <w:tcPr>
            <w:tcW w:w="1443" w:type="dxa"/>
            <w:tcBorders>
              <w:top w:val="nil"/>
              <w:left w:val="nil"/>
              <w:bottom w:val="nil"/>
              <w:right w:val="nil"/>
            </w:tcBorders>
            <w:shd w:val="clear" w:color="auto" w:fill="auto"/>
            <w:noWrap/>
            <w:vAlign w:val="center"/>
            <w:hideMark/>
          </w:tcPr>
          <w:p w14:paraId="3141E39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Israel</w:t>
            </w:r>
          </w:p>
        </w:tc>
        <w:tc>
          <w:tcPr>
            <w:tcW w:w="1107" w:type="dxa"/>
            <w:tcBorders>
              <w:top w:val="nil"/>
              <w:left w:val="nil"/>
              <w:bottom w:val="nil"/>
              <w:right w:val="nil"/>
            </w:tcBorders>
            <w:shd w:val="clear" w:color="auto" w:fill="auto"/>
            <w:noWrap/>
            <w:vAlign w:val="center"/>
            <w:hideMark/>
          </w:tcPr>
          <w:p w14:paraId="47C4DD2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66656EC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394.139</w:t>
            </w:r>
          </w:p>
        </w:tc>
        <w:tc>
          <w:tcPr>
            <w:tcW w:w="1701" w:type="dxa"/>
            <w:tcBorders>
              <w:top w:val="nil"/>
              <w:left w:val="nil"/>
              <w:bottom w:val="nil"/>
              <w:right w:val="nil"/>
            </w:tcBorders>
            <w:shd w:val="clear" w:color="auto" w:fill="auto"/>
            <w:noWrap/>
            <w:vAlign w:val="center"/>
            <w:hideMark/>
          </w:tcPr>
          <w:p w14:paraId="5C57659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1.230.800</w:t>
            </w:r>
          </w:p>
        </w:tc>
        <w:tc>
          <w:tcPr>
            <w:tcW w:w="1562" w:type="dxa"/>
            <w:tcBorders>
              <w:top w:val="nil"/>
              <w:left w:val="nil"/>
              <w:bottom w:val="nil"/>
              <w:right w:val="nil"/>
            </w:tcBorders>
            <w:shd w:val="clear" w:color="auto" w:fill="auto"/>
            <w:noWrap/>
            <w:vAlign w:val="center"/>
            <w:hideMark/>
          </w:tcPr>
          <w:p w14:paraId="1FE12C8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32,02%</w:t>
            </w:r>
          </w:p>
        </w:tc>
        <w:tc>
          <w:tcPr>
            <w:tcW w:w="1275" w:type="dxa"/>
            <w:vMerge w:val="restart"/>
            <w:tcBorders>
              <w:top w:val="nil"/>
              <w:left w:val="nil"/>
              <w:bottom w:val="single" w:sz="4" w:space="0" w:color="000000"/>
              <w:right w:val="nil"/>
            </w:tcBorders>
            <w:shd w:val="clear" w:color="auto" w:fill="auto"/>
            <w:noWrap/>
            <w:vAlign w:val="center"/>
            <w:hideMark/>
          </w:tcPr>
          <w:p w14:paraId="1C75BBE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34,34%</w:t>
            </w:r>
          </w:p>
        </w:tc>
      </w:tr>
      <w:tr w:rsidR="001579BE" w:rsidRPr="008937EB" w14:paraId="0C0066BB"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FB3984E"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Israel</w:t>
            </w:r>
          </w:p>
        </w:tc>
        <w:tc>
          <w:tcPr>
            <w:tcW w:w="1107" w:type="dxa"/>
            <w:tcBorders>
              <w:top w:val="nil"/>
              <w:left w:val="nil"/>
              <w:bottom w:val="single" w:sz="4" w:space="0" w:color="auto"/>
              <w:right w:val="nil"/>
            </w:tcBorders>
            <w:shd w:val="clear" w:color="auto" w:fill="auto"/>
            <w:noWrap/>
            <w:vAlign w:val="center"/>
            <w:hideMark/>
          </w:tcPr>
          <w:p w14:paraId="07E6DA28"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E4BE0A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28.471</w:t>
            </w:r>
          </w:p>
        </w:tc>
        <w:tc>
          <w:tcPr>
            <w:tcW w:w="1701" w:type="dxa"/>
            <w:tcBorders>
              <w:top w:val="nil"/>
              <w:left w:val="nil"/>
              <w:bottom w:val="single" w:sz="4" w:space="0" w:color="auto"/>
              <w:right w:val="nil"/>
            </w:tcBorders>
            <w:shd w:val="clear" w:color="auto" w:fill="auto"/>
            <w:noWrap/>
            <w:vAlign w:val="center"/>
            <w:hideMark/>
          </w:tcPr>
          <w:p w14:paraId="7FF5983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1.230.800</w:t>
            </w:r>
          </w:p>
        </w:tc>
        <w:tc>
          <w:tcPr>
            <w:tcW w:w="1562" w:type="dxa"/>
            <w:tcBorders>
              <w:top w:val="nil"/>
              <w:left w:val="nil"/>
              <w:bottom w:val="single" w:sz="4" w:space="0" w:color="auto"/>
              <w:right w:val="nil"/>
            </w:tcBorders>
            <w:shd w:val="clear" w:color="auto" w:fill="auto"/>
            <w:noWrap/>
            <w:vAlign w:val="center"/>
            <w:hideMark/>
          </w:tcPr>
          <w:p w14:paraId="0BDD6F5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2,31%</w:t>
            </w:r>
          </w:p>
        </w:tc>
        <w:tc>
          <w:tcPr>
            <w:tcW w:w="1275" w:type="dxa"/>
            <w:vMerge/>
            <w:tcBorders>
              <w:top w:val="nil"/>
              <w:left w:val="nil"/>
              <w:bottom w:val="single" w:sz="4" w:space="0" w:color="000000"/>
              <w:right w:val="nil"/>
            </w:tcBorders>
            <w:vAlign w:val="center"/>
            <w:hideMark/>
          </w:tcPr>
          <w:p w14:paraId="4906268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A02BAA8" w14:textId="77777777" w:rsidTr="00377237">
        <w:trPr>
          <w:trHeight w:val="260"/>
        </w:trPr>
        <w:tc>
          <w:tcPr>
            <w:tcW w:w="1443" w:type="dxa"/>
            <w:tcBorders>
              <w:top w:val="nil"/>
              <w:left w:val="nil"/>
              <w:bottom w:val="nil"/>
              <w:right w:val="nil"/>
            </w:tcBorders>
            <w:shd w:val="clear" w:color="auto" w:fill="auto"/>
            <w:noWrap/>
            <w:vAlign w:val="center"/>
            <w:hideMark/>
          </w:tcPr>
          <w:p w14:paraId="0671C01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Italia</w:t>
            </w:r>
          </w:p>
        </w:tc>
        <w:tc>
          <w:tcPr>
            <w:tcW w:w="1107" w:type="dxa"/>
            <w:tcBorders>
              <w:top w:val="nil"/>
              <w:left w:val="nil"/>
              <w:bottom w:val="nil"/>
              <w:right w:val="nil"/>
            </w:tcBorders>
            <w:shd w:val="clear" w:color="auto" w:fill="auto"/>
            <w:noWrap/>
            <w:vAlign w:val="center"/>
            <w:hideMark/>
          </w:tcPr>
          <w:p w14:paraId="54E2257D"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02C51A0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785.176</w:t>
            </w:r>
          </w:p>
        </w:tc>
        <w:tc>
          <w:tcPr>
            <w:tcW w:w="1701" w:type="dxa"/>
            <w:tcBorders>
              <w:top w:val="nil"/>
              <w:left w:val="nil"/>
              <w:bottom w:val="nil"/>
              <w:right w:val="nil"/>
            </w:tcBorders>
            <w:shd w:val="clear" w:color="auto" w:fill="auto"/>
            <w:noWrap/>
            <w:vAlign w:val="center"/>
            <w:hideMark/>
          </w:tcPr>
          <w:p w14:paraId="5E8474C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5.210.451</w:t>
            </w:r>
          </w:p>
        </w:tc>
        <w:tc>
          <w:tcPr>
            <w:tcW w:w="1562" w:type="dxa"/>
            <w:tcBorders>
              <w:top w:val="nil"/>
              <w:left w:val="nil"/>
              <w:bottom w:val="nil"/>
              <w:right w:val="nil"/>
            </w:tcBorders>
            <w:shd w:val="clear" w:color="auto" w:fill="auto"/>
            <w:noWrap/>
            <w:vAlign w:val="center"/>
            <w:hideMark/>
          </w:tcPr>
          <w:p w14:paraId="1A80E84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15,07%</w:t>
            </w:r>
          </w:p>
        </w:tc>
        <w:tc>
          <w:tcPr>
            <w:tcW w:w="1275" w:type="dxa"/>
            <w:vMerge w:val="restart"/>
            <w:tcBorders>
              <w:top w:val="nil"/>
              <w:left w:val="nil"/>
              <w:bottom w:val="single" w:sz="4" w:space="0" w:color="000000"/>
              <w:right w:val="nil"/>
            </w:tcBorders>
            <w:shd w:val="clear" w:color="auto" w:fill="auto"/>
            <w:noWrap/>
            <w:vAlign w:val="center"/>
            <w:hideMark/>
          </w:tcPr>
          <w:p w14:paraId="5E5B276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17,03%</w:t>
            </w:r>
          </w:p>
        </w:tc>
      </w:tr>
      <w:tr w:rsidR="001579BE" w:rsidRPr="008937EB" w14:paraId="096CEA4C"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5BFB9FE"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Italia</w:t>
            </w:r>
          </w:p>
        </w:tc>
        <w:tc>
          <w:tcPr>
            <w:tcW w:w="1107" w:type="dxa"/>
            <w:tcBorders>
              <w:top w:val="nil"/>
              <w:left w:val="nil"/>
              <w:bottom w:val="single" w:sz="4" w:space="0" w:color="auto"/>
              <w:right w:val="nil"/>
            </w:tcBorders>
            <w:shd w:val="clear" w:color="auto" w:fill="auto"/>
            <w:noWrap/>
            <w:vAlign w:val="center"/>
            <w:hideMark/>
          </w:tcPr>
          <w:p w14:paraId="274EFB8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C140AA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102.151</w:t>
            </w:r>
          </w:p>
        </w:tc>
        <w:tc>
          <w:tcPr>
            <w:tcW w:w="1701" w:type="dxa"/>
            <w:tcBorders>
              <w:top w:val="nil"/>
              <w:left w:val="nil"/>
              <w:bottom w:val="single" w:sz="4" w:space="0" w:color="auto"/>
              <w:right w:val="nil"/>
            </w:tcBorders>
            <w:shd w:val="clear" w:color="auto" w:fill="auto"/>
            <w:noWrap/>
            <w:vAlign w:val="center"/>
            <w:hideMark/>
          </w:tcPr>
          <w:p w14:paraId="47E8E99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5.210.451</w:t>
            </w:r>
          </w:p>
        </w:tc>
        <w:tc>
          <w:tcPr>
            <w:tcW w:w="1562" w:type="dxa"/>
            <w:tcBorders>
              <w:top w:val="nil"/>
              <w:left w:val="nil"/>
              <w:bottom w:val="single" w:sz="4" w:space="0" w:color="auto"/>
              <w:right w:val="nil"/>
            </w:tcBorders>
            <w:shd w:val="clear" w:color="auto" w:fill="auto"/>
            <w:noWrap/>
            <w:vAlign w:val="center"/>
            <w:hideMark/>
          </w:tcPr>
          <w:p w14:paraId="4D55AED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1,96%</w:t>
            </w:r>
          </w:p>
        </w:tc>
        <w:tc>
          <w:tcPr>
            <w:tcW w:w="1275" w:type="dxa"/>
            <w:vMerge/>
            <w:tcBorders>
              <w:top w:val="nil"/>
              <w:left w:val="nil"/>
              <w:bottom w:val="single" w:sz="4" w:space="0" w:color="000000"/>
              <w:right w:val="nil"/>
            </w:tcBorders>
            <w:vAlign w:val="center"/>
            <w:hideMark/>
          </w:tcPr>
          <w:p w14:paraId="6B21C41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51C4F4BD" w14:textId="77777777" w:rsidTr="00377237">
        <w:trPr>
          <w:trHeight w:val="260"/>
        </w:trPr>
        <w:tc>
          <w:tcPr>
            <w:tcW w:w="1443" w:type="dxa"/>
            <w:tcBorders>
              <w:top w:val="nil"/>
              <w:left w:val="nil"/>
              <w:bottom w:val="nil"/>
              <w:right w:val="nil"/>
            </w:tcBorders>
            <w:shd w:val="clear" w:color="auto" w:fill="auto"/>
            <w:noWrap/>
            <w:vAlign w:val="center"/>
            <w:hideMark/>
          </w:tcPr>
          <w:p w14:paraId="326518C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Japón</w:t>
            </w:r>
          </w:p>
        </w:tc>
        <w:tc>
          <w:tcPr>
            <w:tcW w:w="1107" w:type="dxa"/>
            <w:tcBorders>
              <w:top w:val="nil"/>
              <w:left w:val="nil"/>
              <w:bottom w:val="nil"/>
              <w:right w:val="nil"/>
            </w:tcBorders>
            <w:shd w:val="clear" w:color="auto" w:fill="auto"/>
            <w:noWrap/>
            <w:vAlign w:val="center"/>
            <w:hideMark/>
          </w:tcPr>
          <w:p w14:paraId="6B74B32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770AD59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7.592</w:t>
            </w:r>
          </w:p>
        </w:tc>
        <w:tc>
          <w:tcPr>
            <w:tcW w:w="1701" w:type="dxa"/>
            <w:tcBorders>
              <w:top w:val="nil"/>
              <w:left w:val="nil"/>
              <w:bottom w:val="nil"/>
              <w:right w:val="nil"/>
            </w:tcBorders>
            <w:shd w:val="clear" w:color="auto" w:fill="auto"/>
            <w:noWrap/>
            <w:vAlign w:val="center"/>
            <w:hideMark/>
          </w:tcPr>
          <w:p w14:paraId="75B0A84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15.239.701</w:t>
            </w:r>
          </w:p>
        </w:tc>
        <w:tc>
          <w:tcPr>
            <w:tcW w:w="1562" w:type="dxa"/>
            <w:tcBorders>
              <w:top w:val="nil"/>
              <w:left w:val="nil"/>
              <w:bottom w:val="nil"/>
              <w:right w:val="nil"/>
            </w:tcBorders>
            <w:shd w:val="clear" w:color="auto" w:fill="auto"/>
            <w:noWrap/>
            <w:vAlign w:val="center"/>
            <w:hideMark/>
          </w:tcPr>
          <w:p w14:paraId="1535262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0,05%</w:t>
            </w:r>
          </w:p>
        </w:tc>
        <w:tc>
          <w:tcPr>
            <w:tcW w:w="1275" w:type="dxa"/>
            <w:vMerge w:val="restart"/>
            <w:tcBorders>
              <w:top w:val="nil"/>
              <w:left w:val="nil"/>
              <w:bottom w:val="single" w:sz="4" w:space="0" w:color="000000"/>
              <w:right w:val="nil"/>
            </w:tcBorders>
            <w:shd w:val="clear" w:color="auto" w:fill="auto"/>
            <w:noWrap/>
            <w:vAlign w:val="center"/>
            <w:hideMark/>
          </w:tcPr>
          <w:p w14:paraId="3304949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0,05%</w:t>
            </w:r>
          </w:p>
        </w:tc>
      </w:tr>
      <w:tr w:rsidR="001579BE" w:rsidRPr="008937EB" w14:paraId="63078CE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BEDE3F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Japón</w:t>
            </w:r>
          </w:p>
        </w:tc>
        <w:tc>
          <w:tcPr>
            <w:tcW w:w="1107" w:type="dxa"/>
            <w:tcBorders>
              <w:top w:val="nil"/>
              <w:left w:val="nil"/>
              <w:bottom w:val="single" w:sz="4" w:space="0" w:color="auto"/>
              <w:right w:val="nil"/>
            </w:tcBorders>
            <w:shd w:val="clear" w:color="auto" w:fill="auto"/>
            <w:noWrap/>
            <w:vAlign w:val="center"/>
            <w:hideMark/>
          </w:tcPr>
          <w:p w14:paraId="404FEE8C"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57F4CF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400</w:t>
            </w:r>
          </w:p>
        </w:tc>
        <w:tc>
          <w:tcPr>
            <w:tcW w:w="1701" w:type="dxa"/>
            <w:tcBorders>
              <w:top w:val="nil"/>
              <w:left w:val="nil"/>
              <w:bottom w:val="single" w:sz="4" w:space="0" w:color="auto"/>
              <w:right w:val="nil"/>
            </w:tcBorders>
            <w:shd w:val="clear" w:color="auto" w:fill="auto"/>
            <w:noWrap/>
            <w:vAlign w:val="center"/>
            <w:hideMark/>
          </w:tcPr>
          <w:p w14:paraId="0FB7C2D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15.239.701</w:t>
            </w:r>
          </w:p>
        </w:tc>
        <w:tc>
          <w:tcPr>
            <w:tcW w:w="1562" w:type="dxa"/>
            <w:tcBorders>
              <w:top w:val="nil"/>
              <w:left w:val="nil"/>
              <w:bottom w:val="single" w:sz="4" w:space="0" w:color="auto"/>
              <w:right w:val="nil"/>
            </w:tcBorders>
            <w:shd w:val="clear" w:color="auto" w:fill="auto"/>
            <w:noWrap/>
            <w:vAlign w:val="center"/>
            <w:hideMark/>
          </w:tcPr>
          <w:p w14:paraId="17B9C32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4C7FEF2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B7429A1"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3B567EA"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Jordania</w:t>
            </w:r>
          </w:p>
        </w:tc>
        <w:tc>
          <w:tcPr>
            <w:tcW w:w="1107" w:type="dxa"/>
            <w:tcBorders>
              <w:top w:val="nil"/>
              <w:left w:val="nil"/>
              <w:bottom w:val="single" w:sz="4" w:space="0" w:color="auto"/>
              <w:right w:val="nil"/>
            </w:tcBorders>
            <w:shd w:val="clear" w:color="auto" w:fill="auto"/>
            <w:noWrap/>
            <w:vAlign w:val="center"/>
            <w:hideMark/>
          </w:tcPr>
          <w:p w14:paraId="5160485C"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5C4CEC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431</w:t>
            </w:r>
          </w:p>
        </w:tc>
        <w:tc>
          <w:tcPr>
            <w:tcW w:w="1701" w:type="dxa"/>
            <w:tcBorders>
              <w:top w:val="nil"/>
              <w:left w:val="nil"/>
              <w:bottom w:val="single" w:sz="4" w:space="0" w:color="auto"/>
              <w:right w:val="nil"/>
            </w:tcBorders>
            <w:shd w:val="clear" w:color="auto" w:fill="auto"/>
            <w:noWrap/>
            <w:vAlign w:val="center"/>
            <w:hideMark/>
          </w:tcPr>
          <w:p w14:paraId="1A3DB4F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778.166</w:t>
            </w:r>
          </w:p>
        </w:tc>
        <w:tc>
          <w:tcPr>
            <w:tcW w:w="1562" w:type="dxa"/>
            <w:tcBorders>
              <w:top w:val="nil"/>
              <w:left w:val="nil"/>
              <w:bottom w:val="single" w:sz="4" w:space="0" w:color="auto"/>
              <w:right w:val="nil"/>
            </w:tcBorders>
            <w:shd w:val="clear" w:color="auto" w:fill="auto"/>
            <w:noWrap/>
            <w:vAlign w:val="center"/>
            <w:hideMark/>
          </w:tcPr>
          <w:p w14:paraId="4C530C6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0,06%</w:t>
            </w:r>
          </w:p>
        </w:tc>
        <w:tc>
          <w:tcPr>
            <w:tcW w:w="1275" w:type="dxa"/>
            <w:tcBorders>
              <w:top w:val="nil"/>
              <w:left w:val="nil"/>
              <w:bottom w:val="single" w:sz="4" w:space="0" w:color="auto"/>
              <w:right w:val="nil"/>
            </w:tcBorders>
            <w:shd w:val="clear" w:color="auto" w:fill="auto"/>
            <w:noWrap/>
            <w:vAlign w:val="center"/>
            <w:hideMark/>
          </w:tcPr>
          <w:p w14:paraId="2910255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0,06%</w:t>
            </w:r>
          </w:p>
        </w:tc>
      </w:tr>
      <w:tr w:rsidR="001579BE" w:rsidRPr="008937EB" w14:paraId="1B39FD3D" w14:textId="77777777" w:rsidTr="00377237">
        <w:trPr>
          <w:trHeight w:val="260"/>
        </w:trPr>
        <w:tc>
          <w:tcPr>
            <w:tcW w:w="1443" w:type="dxa"/>
            <w:tcBorders>
              <w:top w:val="nil"/>
              <w:left w:val="nil"/>
              <w:bottom w:val="nil"/>
              <w:right w:val="nil"/>
            </w:tcBorders>
            <w:shd w:val="clear" w:color="auto" w:fill="auto"/>
            <w:noWrap/>
            <w:vAlign w:val="center"/>
            <w:hideMark/>
          </w:tcPr>
          <w:p w14:paraId="626DEED6"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Kazajstán</w:t>
            </w:r>
          </w:p>
        </w:tc>
        <w:tc>
          <w:tcPr>
            <w:tcW w:w="1107" w:type="dxa"/>
            <w:tcBorders>
              <w:top w:val="nil"/>
              <w:left w:val="nil"/>
              <w:bottom w:val="nil"/>
              <w:right w:val="nil"/>
            </w:tcBorders>
            <w:shd w:val="clear" w:color="auto" w:fill="auto"/>
            <w:noWrap/>
            <w:vAlign w:val="center"/>
            <w:hideMark/>
          </w:tcPr>
          <w:p w14:paraId="2E707091"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2A9B48F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5.546</w:t>
            </w:r>
          </w:p>
        </w:tc>
        <w:tc>
          <w:tcPr>
            <w:tcW w:w="1701" w:type="dxa"/>
            <w:tcBorders>
              <w:top w:val="nil"/>
              <w:left w:val="nil"/>
              <w:bottom w:val="nil"/>
              <w:right w:val="nil"/>
            </w:tcBorders>
            <w:shd w:val="clear" w:color="auto" w:fill="auto"/>
            <w:noWrap/>
            <w:vAlign w:val="center"/>
            <w:hideMark/>
          </w:tcPr>
          <w:p w14:paraId="2249E5F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8.191</w:t>
            </w:r>
          </w:p>
        </w:tc>
        <w:tc>
          <w:tcPr>
            <w:tcW w:w="1562" w:type="dxa"/>
            <w:tcBorders>
              <w:top w:val="nil"/>
              <w:left w:val="nil"/>
              <w:bottom w:val="nil"/>
              <w:right w:val="nil"/>
            </w:tcBorders>
            <w:shd w:val="clear" w:color="auto" w:fill="auto"/>
            <w:noWrap/>
            <w:vAlign w:val="center"/>
            <w:hideMark/>
          </w:tcPr>
          <w:p w14:paraId="0809341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67,71%</w:t>
            </w:r>
          </w:p>
        </w:tc>
        <w:tc>
          <w:tcPr>
            <w:tcW w:w="1275" w:type="dxa"/>
            <w:vMerge w:val="restart"/>
            <w:tcBorders>
              <w:top w:val="nil"/>
              <w:left w:val="nil"/>
              <w:bottom w:val="single" w:sz="4" w:space="0" w:color="000000"/>
              <w:right w:val="nil"/>
            </w:tcBorders>
            <w:shd w:val="clear" w:color="auto" w:fill="auto"/>
            <w:noWrap/>
            <w:vAlign w:val="center"/>
            <w:hideMark/>
          </w:tcPr>
          <w:p w14:paraId="641F2E2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74,99%</w:t>
            </w:r>
          </w:p>
        </w:tc>
      </w:tr>
      <w:tr w:rsidR="001579BE" w:rsidRPr="008937EB" w14:paraId="791E97ED"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AB4BEB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Kazajstán</w:t>
            </w:r>
          </w:p>
        </w:tc>
        <w:tc>
          <w:tcPr>
            <w:tcW w:w="1107" w:type="dxa"/>
            <w:tcBorders>
              <w:top w:val="nil"/>
              <w:left w:val="nil"/>
              <w:bottom w:val="single" w:sz="4" w:space="0" w:color="auto"/>
              <w:right w:val="nil"/>
            </w:tcBorders>
            <w:shd w:val="clear" w:color="auto" w:fill="auto"/>
            <w:noWrap/>
            <w:vAlign w:val="center"/>
            <w:hideMark/>
          </w:tcPr>
          <w:p w14:paraId="23044240"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56E62B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596</w:t>
            </w:r>
          </w:p>
        </w:tc>
        <w:tc>
          <w:tcPr>
            <w:tcW w:w="1701" w:type="dxa"/>
            <w:tcBorders>
              <w:top w:val="nil"/>
              <w:left w:val="nil"/>
              <w:bottom w:val="single" w:sz="4" w:space="0" w:color="auto"/>
              <w:right w:val="nil"/>
            </w:tcBorders>
            <w:shd w:val="clear" w:color="auto" w:fill="auto"/>
            <w:noWrap/>
            <w:vAlign w:val="center"/>
            <w:hideMark/>
          </w:tcPr>
          <w:p w14:paraId="26CD318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8.191</w:t>
            </w:r>
          </w:p>
        </w:tc>
        <w:tc>
          <w:tcPr>
            <w:tcW w:w="1562" w:type="dxa"/>
            <w:tcBorders>
              <w:top w:val="nil"/>
              <w:left w:val="nil"/>
              <w:bottom w:val="single" w:sz="4" w:space="0" w:color="auto"/>
              <w:right w:val="nil"/>
            </w:tcBorders>
            <w:shd w:val="clear" w:color="auto" w:fill="auto"/>
            <w:noWrap/>
            <w:vAlign w:val="center"/>
            <w:hideMark/>
          </w:tcPr>
          <w:p w14:paraId="28F1495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7,28%</w:t>
            </w:r>
          </w:p>
        </w:tc>
        <w:tc>
          <w:tcPr>
            <w:tcW w:w="1275" w:type="dxa"/>
            <w:vMerge/>
            <w:tcBorders>
              <w:top w:val="nil"/>
              <w:left w:val="nil"/>
              <w:bottom w:val="single" w:sz="4" w:space="0" w:color="000000"/>
              <w:right w:val="nil"/>
            </w:tcBorders>
            <w:vAlign w:val="center"/>
            <w:hideMark/>
          </w:tcPr>
          <w:p w14:paraId="4B96F41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0A779818"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5B7582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Kirguistán</w:t>
            </w:r>
          </w:p>
        </w:tc>
        <w:tc>
          <w:tcPr>
            <w:tcW w:w="1107" w:type="dxa"/>
            <w:tcBorders>
              <w:top w:val="nil"/>
              <w:left w:val="nil"/>
              <w:bottom w:val="single" w:sz="4" w:space="0" w:color="auto"/>
              <w:right w:val="nil"/>
            </w:tcBorders>
            <w:shd w:val="clear" w:color="auto" w:fill="auto"/>
            <w:noWrap/>
            <w:vAlign w:val="center"/>
            <w:hideMark/>
          </w:tcPr>
          <w:p w14:paraId="05BECAEF"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37BEDB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79</w:t>
            </w:r>
          </w:p>
        </w:tc>
        <w:tc>
          <w:tcPr>
            <w:tcW w:w="1701" w:type="dxa"/>
            <w:tcBorders>
              <w:top w:val="nil"/>
              <w:left w:val="nil"/>
              <w:bottom w:val="single" w:sz="4" w:space="0" w:color="auto"/>
              <w:right w:val="nil"/>
            </w:tcBorders>
            <w:shd w:val="clear" w:color="auto" w:fill="auto"/>
            <w:noWrap/>
            <w:vAlign w:val="center"/>
            <w:hideMark/>
          </w:tcPr>
          <w:p w14:paraId="445B7CD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1.218</w:t>
            </w:r>
          </w:p>
        </w:tc>
        <w:tc>
          <w:tcPr>
            <w:tcW w:w="1562" w:type="dxa"/>
            <w:tcBorders>
              <w:top w:val="nil"/>
              <w:left w:val="nil"/>
              <w:bottom w:val="single" w:sz="4" w:space="0" w:color="auto"/>
              <w:right w:val="nil"/>
            </w:tcBorders>
            <w:shd w:val="clear" w:color="auto" w:fill="auto"/>
            <w:noWrap/>
            <w:vAlign w:val="center"/>
            <w:hideMark/>
          </w:tcPr>
          <w:p w14:paraId="04D12B8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6,52%</w:t>
            </w:r>
          </w:p>
        </w:tc>
        <w:tc>
          <w:tcPr>
            <w:tcW w:w="1275" w:type="dxa"/>
            <w:tcBorders>
              <w:top w:val="nil"/>
              <w:left w:val="nil"/>
              <w:bottom w:val="single" w:sz="4" w:space="0" w:color="auto"/>
              <w:right w:val="nil"/>
            </w:tcBorders>
            <w:shd w:val="clear" w:color="auto" w:fill="auto"/>
            <w:noWrap/>
            <w:vAlign w:val="center"/>
            <w:hideMark/>
          </w:tcPr>
          <w:p w14:paraId="677EE72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6,52%</w:t>
            </w:r>
          </w:p>
        </w:tc>
      </w:tr>
      <w:tr w:rsidR="001579BE" w:rsidRPr="008937EB" w14:paraId="2D5215C3" w14:textId="77777777" w:rsidTr="00377237">
        <w:trPr>
          <w:trHeight w:val="260"/>
        </w:trPr>
        <w:tc>
          <w:tcPr>
            <w:tcW w:w="1443" w:type="dxa"/>
            <w:tcBorders>
              <w:top w:val="nil"/>
              <w:left w:val="nil"/>
              <w:bottom w:val="nil"/>
              <w:right w:val="nil"/>
            </w:tcBorders>
            <w:shd w:val="clear" w:color="auto" w:fill="auto"/>
            <w:noWrap/>
            <w:vAlign w:val="center"/>
            <w:hideMark/>
          </w:tcPr>
          <w:p w14:paraId="2912960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Letonia</w:t>
            </w:r>
          </w:p>
        </w:tc>
        <w:tc>
          <w:tcPr>
            <w:tcW w:w="1107" w:type="dxa"/>
            <w:tcBorders>
              <w:top w:val="nil"/>
              <w:left w:val="nil"/>
              <w:bottom w:val="nil"/>
              <w:right w:val="nil"/>
            </w:tcBorders>
            <w:shd w:val="clear" w:color="auto" w:fill="auto"/>
            <w:noWrap/>
            <w:vAlign w:val="center"/>
            <w:hideMark/>
          </w:tcPr>
          <w:p w14:paraId="4912650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61BBB41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61.394</w:t>
            </w:r>
          </w:p>
        </w:tc>
        <w:tc>
          <w:tcPr>
            <w:tcW w:w="1701" w:type="dxa"/>
            <w:tcBorders>
              <w:top w:val="nil"/>
              <w:left w:val="nil"/>
              <w:bottom w:val="nil"/>
              <w:right w:val="nil"/>
            </w:tcBorders>
            <w:shd w:val="clear" w:color="auto" w:fill="auto"/>
            <w:noWrap/>
            <w:vAlign w:val="center"/>
            <w:hideMark/>
          </w:tcPr>
          <w:p w14:paraId="78F970D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87.138</w:t>
            </w:r>
          </w:p>
        </w:tc>
        <w:tc>
          <w:tcPr>
            <w:tcW w:w="1562" w:type="dxa"/>
            <w:tcBorders>
              <w:top w:val="nil"/>
              <w:left w:val="nil"/>
              <w:bottom w:val="nil"/>
              <w:right w:val="nil"/>
            </w:tcBorders>
            <w:shd w:val="clear" w:color="auto" w:fill="auto"/>
            <w:noWrap/>
            <w:vAlign w:val="center"/>
            <w:hideMark/>
          </w:tcPr>
          <w:p w14:paraId="146A935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70,46%</w:t>
            </w:r>
          </w:p>
        </w:tc>
        <w:tc>
          <w:tcPr>
            <w:tcW w:w="1275" w:type="dxa"/>
            <w:vMerge w:val="restart"/>
            <w:tcBorders>
              <w:top w:val="nil"/>
              <w:left w:val="nil"/>
              <w:bottom w:val="single" w:sz="4" w:space="0" w:color="000000"/>
              <w:right w:val="nil"/>
            </w:tcBorders>
            <w:shd w:val="clear" w:color="auto" w:fill="auto"/>
            <w:noWrap/>
            <w:vAlign w:val="center"/>
            <w:hideMark/>
          </w:tcPr>
          <w:p w14:paraId="57A3431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76,57%</w:t>
            </w:r>
          </w:p>
        </w:tc>
      </w:tr>
      <w:tr w:rsidR="001579BE" w:rsidRPr="008937EB" w14:paraId="2E9ECDEF"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4119A11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Letonia</w:t>
            </w:r>
          </w:p>
        </w:tc>
        <w:tc>
          <w:tcPr>
            <w:tcW w:w="1107" w:type="dxa"/>
            <w:tcBorders>
              <w:top w:val="nil"/>
              <w:left w:val="nil"/>
              <w:bottom w:val="single" w:sz="4" w:space="0" w:color="auto"/>
              <w:right w:val="nil"/>
            </w:tcBorders>
            <w:shd w:val="clear" w:color="auto" w:fill="auto"/>
            <w:noWrap/>
            <w:vAlign w:val="center"/>
            <w:hideMark/>
          </w:tcPr>
          <w:p w14:paraId="0F460BF5"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D45819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5.325</w:t>
            </w:r>
          </w:p>
        </w:tc>
        <w:tc>
          <w:tcPr>
            <w:tcW w:w="1701" w:type="dxa"/>
            <w:tcBorders>
              <w:top w:val="nil"/>
              <w:left w:val="nil"/>
              <w:bottom w:val="single" w:sz="4" w:space="0" w:color="auto"/>
              <w:right w:val="nil"/>
            </w:tcBorders>
            <w:shd w:val="clear" w:color="auto" w:fill="auto"/>
            <w:noWrap/>
            <w:vAlign w:val="center"/>
            <w:hideMark/>
          </w:tcPr>
          <w:p w14:paraId="3E89FBB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87.138</w:t>
            </w:r>
          </w:p>
        </w:tc>
        <w:tc>
          <w:tcPr>
            <w:tcW w:w="1562" w:type="dxa"/>
            <w:tcBorders>
              <w:top w:val="nil"/>
              <w:left w:val="nil"/>
              <w:bottom w:val="single" w:sz="4" w:space="0" w:color="auto"/>
              <w:right w:val="nil"/>
            </w:tcBorders>
            <w:shd w:val="clear" w:color="auto" w:fill="auto"/>
            <w:noWrap/>
            <w:vAlign w:val="center"/>
            <w:hideMark/>
          </w:tcPr>
          <w:p w14:paraId="4E8A5E3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6,11%</w:t>
            </w:r>
          </w:p>
        </w:tc>
        <w:tc>
          <w:tcPr>
            <w:tcW w:w="1275" w:type="dxa"/>
            <w:vMerge/>
            <w:tcBorders>
              <w:top w:val="nil"/>
              <w:left w:val="nil"/>
              <w:bottom w:val="single" w:sz="4" w:space="0" w:color="000000"/>
              <w:right w:val="nil"/>
            </w:tcBorders>
            <w:vAlign w:val="center"/>
            <w:hideMark/>
          </w:tcPr>
          <w:p w14:paraId="2D4E444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98EEBB1" w14:textId="77777777" w:rsidTr="00377237">
        <w:trPr>
          <w:trHeight w:val="260"/>
        </w:trPr>
        <w:tc>
          <w:tcPr>
            <w:tcW w:w="1443" w:type="dxa"/>
            <w:tcBorders>
              <w:top w:val="nil"/>
              <w:left w:val="nil"/>
              <w:bottom w:val="nil"/>
              <w:right w:val="nil"/>
            </w:tcBorders>
            <w:shd w:val="clear" w:color="auto" w:fill="auto"/>
            <w:noWrap/>
            <w:vAlign w:val="center"/>
            <w:hideMark/>
          </w:tcPr>
          <w:p w14:paraId="1D4F17C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Líbano</w:t>
            </w:r>
          </w:p>
        </w:tc>
        <w:tc>
          <w:tcPr>
            <w:tcW w:w="1107" w:type="dxa"/>
            <w:tcBorders>
              <w:top w:val="nil"/>
              <w:left w:val="nil"/>
              <w:bottom w:val="nil"/>
              <w:right w:val="nil"/>
            </w:tcBorders>
            <w:shd w:val="clear" w:color="auto" w:fill="auto"/>
            <w:noWrap/>
            <w:vAlign w:val="center"/>
            <w:hideMark/>
          </w:tcPr>
          <w:p w14:paraId="7E4EF6FD"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36664AB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91.284</w:t>
            </w:r>
          </w:p>
        </w:tc>
        <w:tc>
          <w:tcPr>
            <w:tcW w:w="1701" w:type="dxa"/>
            <w:tcBorders>
              <w:top w:val="nil"/>
              <w:left w:val="nil"/>
              <w:bottom w:val="nil"/>
              <w:right w:val="nil"/>
            </w:tcBorders>
            <w:shd w:val="clear" w:color="auto" w:fill="auto"/>
            <w:noWrap/>
            <w:vAlign w:val="center"/>
            <w:hideMark/>
          </w:tcPr>
          <w:p w14:paraId="0D4DEDD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439.834</w:t>
            </w:r>
          </w:p>
        </w:tc>
        <w:tc>
          <w:tcPr>
            <w:tcW w:w="1562" w:type="dxa"/>
            <w:tcBorders>
              <w:top w:val="nil"/>
              <w:left w:val="nil"/>
              <w:bottom w:val="nil"/>
              <w:right w:val="nil"/>
            </w:tcBorders>
            <w:shd w:val="clear" w:color="auto" w:fill="auto"/>
            <w:noWrap/>
            <w:vAlign w:val="center"/>
            <w:hideMark/>
          </w:tcPr>
          <w:p w14:paraId="01A9CE9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20,75%</w:t>
            </w:r>
          </w:p>
        </w:tc>
        <w:tc>
          <w:tcPr>
            <w:tcW w:w="1275" w:type="dxa"/>
            <w:vMerge w:val="restart"/>
            <w:tcBorders>
              <w:top w:val="nil"/>
              <w:left w:val="nil"/>
              <w:bottom w:val="single" w:sz="4" w:space="0" w:color="000000"/>
              <w:right w:val="nil"/>
            </w:tcBorders>
            <w:shd w:val="clear" w:color="auto" w:fill="auto"/>
            <w:noWrap/>
            <w:vAlign w:val="center"/>
            <w:hideMark/>
          </w:tcPr>
          <w:p w14:paraId="6A66170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22,56%</w:t>
            </w:r>
          </w:p>
        </w:tc>
      </w:tr>
      <w:tr w:rsidR="001579BE" w:rsidRPr="008937EB" w14:paraId="515DFE4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AF4E3C8"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Líbano</w:t>
            </w:r>
          </w:p>
        </w:tc>
        <w:tc>
          <w:tcPr>
            <w:tcW w:w="1107" w:type="dxa"/>
            <w:tcBorders>
              <w:top w:val="nil"/>
              <w:left w:val="nil"/>
              <w:bottom w:val="single" w:sz="4" w:space="0" w:color="auto"/>
              <w:right w:val="nil"/>
            </w:tcBorders>
            <w:shd w:val="clear" w:color="auto" w:fill="auto"/>
            <w:noWrap/>
            <w:vAlign w:val="center"/>
            <w:hideMark/>
          </w:tcPr>
          <w:p w14:paraId="0FD33A8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357878A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7.927</w:t>
            </w:r>
          </w:p>
        </w:tc>
        <w:tc>
          <w:tcPr>
            <w:tcW w:w="1701" w:type="dxa"/>
            <w:tcBorders>
              <w:top w:val="nil"/>
              <w:left w:val="nil"/>
              <w:bottom w:val="single" w:sz="4" w:space="0" w:color="auto"/>
              <w:right w:val="nil"/>
            </w:tcBorders>
            <w:shd w:val="clear" w:color="auto" w:fill="auto"/>
            <w:noWrap/>
            <w:vAlign w:val="center"/>
            <w:hideMark/>
          </w:tcPr>
          <w:p w14:paraId="69BA4A7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439.834</w:t>
            </w:r>
          </w:p>
        </w:tc>
        <w:tc>
          <w:tcPr>
            <w:tcW w:w="1562" w:type="dxa"/>
            <w:tcBorders>
              <w:top w:val="nil"/>
              <w:left w:val="nil"/>
              <w:bottom w:val="single" w:sz="4" w:space="0" w:color="auto"/>
              <w:right w:val="nil"/>
            </w:tcBorders>
            <w:shd w:val="clear" w:color="auto" w:fill="auto"/>
            <w:noWrap/>
            <w:vAlign w:val="center"/>
            <w:hideMark/>
          </w:tcPr>
          <w:p w14:paraId="2AC73A8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1,80%</w:t>
            </w:r>
          </w:p>
        </w:tc>
        <w:tc>
          <w:tcPr>
            <w:tcW w:w="1275" w:type="dxa"/>
            <w:vMerge/>
            <w:tcBorders>
              <w:top w:val="nil"/>
              <w:left w:val="nil"/>
              <w:bottom w:val="single" w:sz="4" w:space="0" w:color="000000"/>
              <w:right w:val="nil"/>
            </w:tcBorders>
            <w:vAlign w:val="center"/>
            <w:hideMark/>
          </w:tcPr>
          <w:p w14:paraId="381D269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524D515D" w14:textId="77777777" w:rsidTr="00377237">
        <w:trPr>
          <w:trHeight w:val="260"/>
        </w:trPr>
        <w:tc>
          <w:tcPr>
            <w:tcW w:w="1443" w:type="dxa"/>
            <w:tcBorders>
              <w:top w:val="nil"/>
              <w:left w:val="nil"/>
              <w:bottom w:val="nil"/>
              <w:right w:val="nil"/>
            </w:tcBorders>
            <w:shd w:val="clear" w:color="auto" w:fill="auto"/>
            <w:noWrap/>
            <w:vAlign w:val="center"/>
            <w:hideMark/>
          </w:tcPr>
          <w:p w14:paraId="1DF146C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Libia</w:t>
            </w:r>
          </w:p>
        </w:tc>
        <w:tc>
          <w:tcPr>
            <w:tcW w:w="1107" w:type="dxa"/>
            <w:tcBorders>
              <w:top w:val="nil"/>
              <w:left w:val="nil"/>
              <w:bottom w:val="nil"/>
              <w:right w:val="nil"/>
            </w:tcBorders>
            <w:shd w:val="clear" w:color="auto" w:fill="auto"/>
            <w:noWrap/>
            <w:vAlign w:val="center"/>
            <w:hideMark/>
          </w:tcPr>
          <w:p w14:paraId="4C344D3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0D829DB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482.091</w:t>
            </w:r>
          </w:p>
        </w:tc>
        <w:tc>
          <w:tcPr>
            <w:tcW w:w="1701" w:type="dxa"/>
            <w:tcBorders>
              <w:top w:val="nil"/>
              <w:left w:val="nil"/>
              <w:bottom w:val="nil"/>
              <w:right w:val="nil"/>
            </w:tcBorders>
            <w:shd w:val="clear" w:color="auto" w:fill="auto"/>
            <w:noWrap/>
            <w:vAlign w:val="center"/>
            <w:hideMark/>
          </w:tcPr>
          <w:p w14:paraId="66E9E09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605.608</w:t>
            </w:r>
          </w:p>
        </w:tc>
        <w:tc>
          <w:tcPr>
            <w:tcW w:w="1562" w:type="dxa"/>
            <w:tcBorders>
              <w:top w:val="nil"/>
              <w:left w:val="nil"/>
              <w:bottom w:val="nil"/>
              <w:right w:val="nil"/>
            </w:tcBorders>
            <w:shd w:val="clear" w:color="auto" w:fill="auto"/>
            <w:noWrap/>
            <w:vAlign w:val="center"/>
            <w:hideMark/>
          </w:tcPr>
          <w:p w14:paraId="355A73B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79,60%</w:t>
            </w:r>
          </w:p>
        </w:tc>
        <w:tc>
          <w:tcPr>
            <w:tcW w:w="1275" w:type="dxa"/>
            <w:vMerge w:val="restart"/>
            <w:tcBorders>
              <w:top w:val="nil"/>
              <w:left w:val="nil"/>
              <w:bottom w:val="single" w:sz="4" w:space="0" w:color="000000"/>
              <w:right w:val="nil"/>
            </w:tcBorders>
            <w:shd w:val="clear" w:color="auto" w:fill="auto"/>
            <w:noWrap/>
            <w:vAlign w:val="center"/>
            <w:hideMark/>
          </w:tcPr>
          <w:p w14:paraId="6A15684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91,46%</w:t>
            </w:r>
          </w:p>
        </w:tc>
      </w:tr>
      <w:tr w:rsidR="001579BE" w:rsidRPr="008937EB" w14:paraId="2FDBA7E6"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B374F1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Libia</w:t>
            </w:r>
          </w:p>
        </w:tc>
        <w:tc>
          <w:tcPr>
            <w:tcW w:w="1107" w:type="dxa"/>
            <w:tcBorders>
              <w:top w:val="nil"/>
              <w:left w:val="nil"/>
              <w:bottom w:val="single" w:sz="4" w:space="0" w:color="auto"/>
              <w:right w:val="nil"/>
            </w:tcBorders>
            <w:shd w:val="clear" w:color="auto" w:fill="auto"/>
            <w:noWrap/>
            <w:vAlign w:val="center"/>
            <w:hideMark/>
          </w:tcPr>
          <w:p w14:paraId="13E35F8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14D3D2D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71.819</w:t>
            </w:r>
          </w:p>
        </w:tc>
        <w:tc>
          <w:tcPr>
            <w:tcW w:w="1701" w:type="dxa"/>
            <w:tcBorders>
              <w:top w:val="nil"/>
              <w:left w:val="nil"/>
              <w:bottom w:val="single" w:sz="4" w:space="0" w:color="auto"/>
              <w:right w:val="nil"/>
            </w:tcBorders>
            <w:shd w:val="clear" w:color="auto" w:fill="auto"/>
            <w:noWrap/>
            <w:vAlign w:val="center"/>
            <w:hideMark/>
          </w:tcPr>
          <w:p w14:paraId="1D4B9EE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605.608</w:t>
            </w:r>
          </w:p>
        </w:tc>
        <w:tc>
          <w:tcPr>
            <w:tcW w:w="1562" w:type="dxa"/>
            <w:tcBorders>
              <w:top w:val="nil"/>
              <w:left w:val="nil"/>
              <w:bottom w:val="single" w:sz="4" w:space="0" w:color="auto"/>
              <w:right w:val="nil"/>
            </w:tcBorders>
            <w:shd w:val="clear" w:color="auto" w:fill="auto"/>
            <w:noWrap/>
            <w:vAlign w:val="center"/>
            <w:hideMark/>
          </w:tcPr>
          <w:p w14:paraId="791BCAD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11,86%</w:t>
            </w:r>
          </w:p>
        </w:tc>
        <w:tc>
          <w:tcPr>
            <w:tcW w:w="1275" w:type="dxa"/>
            <w:vMerge/>
            <w:tcBorders>
              <w:top w:val="nil"/>
              <w:left w:val="nil"/>
              <w:bottom w:val="single" w:sz="4" w:space="0" w:color="000000"/>
              <w:right w:val="nil"/>
            </w:tcBorders>
            <w:vAlign w:val="center"/>
            <w:hideMark/>
          </w:tcPr>
          <w:p w14:paraId="3A42CDB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30FCDE73" w14:textId="77777777" w:rsidTr="00377237">
        <w:trPr>
          <w:trHeight w:val="260"/>
        </w:trPr>
        <w:tc>
          <w:tcPr>
            <w:tcW w:w="1443" w:type="dxa"/>
            <w:tcBorders>
              <w:top w:val="nil"/>
              <w:left w:val="nil"/>
              <w:bottom w:val="nil"/>
              <w:right w:val="nil"/>
            </w:tcBorders>
            <w:shd w:val="clear" w:color="auto" w:fill="auto"/>
            <w:noWrap/>
            <w:vAlign w:val="center"/>
            <w:hideMark/>
          </w:tcPr>
          <w:p w14:paraId="18C4ED0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Lituania</w:t>
            </w:r>
          </w:p>
        </w:tc>
        <w:tc>
          <w:tcPr>
            <w:tcW w:w="1107" w:type="dxa"/>
            <w:tcBorders>
              <w:top w:val="nil"/>
              <w:left w:val="nil"/>
              <w:bottom w:val="nil"/>
              <w:right w:val="nil"/>
            </w:tcBorders>
            <w:shd w:val="clear" w:color="auto" w:fill="auto"/>
            <w:noWrap/>
            <w:vAlign w:val="center"/>
            <w:hideMark/>
          </w:tcPr>
          <w:p w14:paraId="55C63AE0"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30CD7D9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26.977</w:t>
            </w:r>
          </w:p>
        </w:tc>
        <w:tc>
          <w:tcPr>
            <w:tcW w:w="1701" w:type="dxa"/>
            <w:tcBorders>
              <w:top w:val="nil"/>
              <w:left w:val="nil"/>
              <w:bottom w:val="nil"/>
              <w:right w:val="nil"/>
            </w:tcBorders>
            <w:shd w:val="clear" w:color="auto" w:fill="auto"/>
            <w:noWrap/>
            <w:vAlign w:val="center"/>
            <w:hideMark/>
          </w:tcPr>
          <w:p w14:paraId="5657D80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135.730</w:t>
            </w:r>
          </w:p>
        </w:tc>
        <w:tc>
          <w:tcPr>
            <w:tcW w:w="1562" w:type="dxa"/>
            <w:tcBorders>
              <w:top w:val="nil"/>
              <w:left w:val="nil"/>
              <w:bottom w:val="nil"/>
              <w:right w:val="nil"/>
            </w:tcBorders>
            <w:shd w:val="clear" w:color="auto" w:fill="auto"/>
            <w:noWrap/>
            <w:vAlign w:val="center"/>
            <w:hideMark/>
          </w:tcPr>
          <w:p w14:paraId="0306898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19,88%</w:t>
            </w:r>
          </w:p>
        </w:tc>
        <w:tc>
          <w:tcPr>
            <w:tcW w:w="1275" w:type="dxa"/>
            <w:vMerge w:val="restart"/>
            <w:tcBorders>
              <w:top w:val="nil"/>
              <w:left w:val="nil"/>
              <w:bottom w:val="single" w:sz="4" w:space="0" w:color="000000"/>
              <w:right w:val="nil"/>
            </w:tcBorders>
            <w:shd w:val="clear" w:color="auto" w:fill="auto"/>
            <w:noWrap/>
            <w:vAlign w:val="center"/>
            <w:hideMark/>
          </w:tcPr>
          <w:p w14:paraId="2CD636B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39,72%</w:t>
            </w:r>
          </w:p>
        </w:tc>
      </w:tr>
      <w:tr w:rsidR="001579BE" w:rsidRPr="008937EB" w14:paraId="60BAAEAC"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6FEEAA75"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Lituania</w:t>
            </w:r>
          </w:p>
        </w:tc>
        <w:tc>
          <w:tcPr>
            <w:tcW w:w="1107" w:type="dxa"/>
            <w:tcBorders>
              <w:top w:val="nil"/>
              <w:left w:val="nil"/>
              <w:bottom w:val="single" w:sz="4" w:space="0" w:color="auto"/>
              <w:right w:val="nil"/>
            </w:tcBorders>
            <w:shd w:val="clear" w:color="auto" w:fill="auto"/>
            <w:noWrap/>
            <w:vAlign w:val="center"/>
            <w:hideMark/>
          </w:tcPr>
          <w:p w14:paraId="320E2BB0"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64AEC90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26.928</w:t>
            </w:r>
          </w:p>
        </w:tc>
        <w:tc>
          <w:tcPr>
            <w:tcW w:w="1701" w:type="dxa"/>
            <w:tcBorders>
              <w:top w:val="nil"/>
              <w:left w:val="nil"/>
              <w:bottom w:val="single" w:sz="4" w:space="0" w:color="auto"/>
              <w:right w:val="nil"/>
            </w:tcBorders>
            <w:shd w:val="clear" w:color="auto" w:fill="auto"/>
            <w:noWrap/>
            <w:vAlign w:val="center"/>
            <w:hideMark/>
          </w:tcPr>
          <w:p w14:paraId="2063772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135.730</w:t>
            </w:r>
          </w:p>
        </w:tc>
        <w:tc>
          <w:tcPr>
            <w:tcW w:w="1562" w:type="dxa"/>
            <w:tcBorders>
              <w:top w:val="nil"/>
              <w:left w:val="nil"/>
              <w:bottom w:val="single" w:sz="4" w:space="0" w:color="auto"/>
              <w:right w:val="nil"/>
            </w:tcBorders>
            <w:shd w:val="clear" w:color="auto" w:fill="auto"/>
            <w:noWrap/>
            <w:vAlign w:val="center"/>
            <w:hideMark/>
          </w:tcPr>
          <w:p w14:paraId="22DDCF1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19,84%</w:t>
            </w:r>
          </w:p>
        </w:tc>
        <w:tc>
          <w:tcPr>
            <w:tcW w:w="1275" w:type="dxa"/>
            <w:vMerge/>
            <w:tcBorders>
              <w:top w:val="nil"/>
              <w:left w:val="nil"/>
              <w:bottom w:val="single" w:sz="4" w:space="0" w:color="000000"/>
              <w:right w:val="nil"/>
            </w:tcBorders>
            <w:vAlign w:val="center"/>
            <w:hideMark/>
          </w:tcPr>
          <w:p w14:paraId="325E24E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76881FD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4CBE6E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Mauritania</w:t>
            </w:r>
          </w:p>
        </w:tc>
        <w:tc>
          <w:tcPr>
            <w:tcW w:w="1107" w:type="dxa"/>
            <w:tcBorders>
              <w:top w:val="nil"/>
              <w:left w:val="nil"/>
              <w:bottom w:val="single" w:sz="4" w:space="0" w:color="auto"/>
              <w:right w:val="nil"/>
            </w:tcBorders>
            <w:shd w:val="clear" w:color="auto" w:fill="auto"/>
            <w:noWrap/>
            <w:vAlign w:val="center"/>
            <w:hideMark/>
          </w:tcPr>
          <w:p w14:paraId="4D65433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0D184F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6.000</w:t>
            </w:r>
          </w:p>
        </w:tc>
        <w:tc>
          <w:tcPr>
            <w:tcW w:w="1701" w:type="dxa"/>
            <w:tcBorders>
              <w:top w:val="nil"/>
              <w:left w:val="nil"/>
              <w:bottom w:val="single" w:sz="4" w:space="0" w:color="auto"/>
              <w:right w:val="nil"/>
            </w:tcBorders>
            <w:shd w:val="clear" w:color="auto" w:fill="auto"/>
            <w:noWrap/>
            <w:vAlign w:val="center"/>
            <w:hideMark/>
          </w:tcPr>
          <w:p w14:paraId="40E65FE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22.972</w:t>
            </w:r>
          </w:p>
        </w:tc>
        <w:tc>
          <w:tcPr>
            <w:tcW w:w="1562" w:type="dxa"/>
            <w:tcBorders>
              <w:top w:val="nil"/>
              <w:left w:val="nil"/>
              <w:bottom w:val="single" w:sz="4" w:space="0" w:color="auto"/>
              <w:right w:val="nil"/>
            </w:tcBorders>
            <w:shd w:val="clear" w:color="auto" w:fill="auto"/>
            <w:noWrap/>
            <w:vAlign w:val="center"/>
            <w:hideMark/>
          </w:tcPr>
          <w:p w14:paraId="60FA03E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26,12%</w:t>
            </w:r>
          </w:p>
        </w:tc>
        <w:tc>
          <w:tcPr>
            <w:tcW w:w="1275" w:type="dxa"/>
            <w:tcBorders>
              <w:top w:val="nil"/>
              <w:left w:val="nil"/>
              <w:bottom w:val="single" w:sz="4" w:space="0" w:color="auto"/>
              <w:right w:val="nil"/>
            </w:tcBorders>
            <w:shd w:val="clear" w:color="auto" w:fill="auto"/>
            <w:noWrap/>
            <w:vAlign w:val="center"/>
            <w:hideMark/>
          </w:tcPr>
          <w:p w14:paraId="7274665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26,12%</w:t>
            </w:r>
          </w:p>
        </w:tc>
      </w:tr>
      <w:tr w:rsidR="001579BE" w:rsidRPr="008937EB" w14:paraId="5FBA0ADE"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F3AEA33"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Mongolia</w:t>
            </w:r>
          </w:p>
        </w:tc>
        <w:tc>
          <w:tcPr>
            <w:tcW w:w="1107" w:type="dxa"/>
            <w:tcBorders>
              <w:top w:val="nil"/>
              <w:left w:val="nil"/>
              <w:bottom w:val="single" w:sz="4" w:space="0" w:color="auto"/>
              <w:right w:val="nil"/>
            </w:tcBorders>
            <w:shd w:val="clear" w:color="auto" w:fill="auto"/>
            <w:noWrap/>
            <w:vAlign w:val="center"/>
            <w:hideMark/>
          </w:tcPr>
          <w:p w14:paraId="7237980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59D0BEF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8.122</w:t>
            </w:r>
          </w:p>
        </w:tc>
        <w:tc>
          <w:tcPr>
            <w:tcW w:w="1701" w:type="dxa"/>
            <w:tcBorders>
              <w:top w:val="nil"/>
              <w:left w:val="nil"/>
              <w:bottom w:val="single" w:sz="4" w:space="0" w:color="auto"/>
              <w:right w:val="nil"/>
            </w:tcBorders>
            <w:shd w:val="clear" w:color="auto" w:fill="auto"/>
            <w:noWrap/>
            <w:vAlign w:val="center"/>
            <w:hideMark/>
          </w:tcPr>
          <w:p w14:paraId="383A724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8.177</w:t>
            </w:r>
          </w:p>
        </w:tc>
        <w:tc>
          <w:tcPr>
            <w:tcW w:w="1562" w:type="dxa"/>
            <w:tcBorders>
              <w:top w:val="nil"/>
              <w:left w:val="nil"/>
              <w:bottom w:val="single" w:sz="4" w:space="0" w:color="auto"/>
              <w:right w:val="nil"/>
            </w:tcBorders>
            <w:shd w:val="clear" w:color="auto" w:fill="auto"/>
            <w:noWrap/>
            <w:vAlign w:val="center"/>
            <w:hideMark/>
          </w:tcPr>
          <w:p w14:paraId="353EED4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99,33%</w:t>
            </w:r>
          </w:p>
        </w:tc>
        <w:tc>
          <w:tcPr>
            <w:tcW w:w="1275" w:type="dxa"/>
            <w:tcBorders>
              <w:top w:val="nil"/>
              <w:left w:val="nil"/>
              <w:bottom w:val="single" w:sz="4" w:space="0" w:color="auto"/>
              <w:right w:val="nil"/>
            </w:tcBorders>
            <w:shd w:val="clear" w:color="auto" w:fill="auto"/>
            <w:noWrap/>
            <w:vAlign w:val="center"/>
            <w:hideMark/>
          </w:tcPr>
          <w:p w14:paraId="4A2099D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99,33%</w:t>
            </w:r>
          </w:p>
        </w:tc>
      </w:tr>
      <w:tr w:rsidR="001579BE" w:rsidRPr="008937EB" w14:paraId="557D150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F3FD0F8"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Montenegro</w:t>
            </w:r>
          </w:p>
        </w:tc>
        <w:tc>
          <w:tcPr>
            <w:tcW w:w="1107" w:type="dxa"/>
            <w:tcBorders>
              <w:top w:val="nil"/>
              <w:left w:val="nil"/>
              <w:bottom w:val="single" w:sz="4" w:space="0" w:color="auto"/>
              <w:right w:val="nil"/>
            </w:tcBorders>
            <w:shd w:val="clear" w:color="auto" w:fill="auto"/>
            <w:noWrap/>
            <w:vAlign w:val="center"/>
            <w:hideMark/>
          </w:tcPr>
          <w:p w14:paraId="4E40B0A1"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22C4F81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w:t>
            </w:r>
          </w:p>
        </w:tc>
        <w:tc>
          <w:tcPr>
            <w:tcW w:w="1701" w:type="dxa"/>
            <w:tcBorders>
              <w:top w:val="nil"/>
              <w:left w:val="nil"/>
              <w:bottom w:val="single" w:sz="4" w:space="0" w:color="auto"/>
              <w:right w:val="nil"/>
            </w:tcBorders>
            <w:shd w:val="clear" w:color="auto" w:fill="auto"/>
            <w:noWrap/>
            <w:vAlign w:val="center"/>
            <w:hideMark/>
          </w:tcPr>
          <w:p w14:paraId="796F526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22.089</w:t>
            </w:r>
          </w:p>
        </w:tc>
        <w:tc>
          <w:tcPr>
            <w:tcW w:w="1562" w:type="dxa"/>
            <w:tcBorders>
              <w:top w:val="nil"/>
              <w:left w:val="nil"/>
              <w:bottom w:val="single" w:sz="4" w:space="0" w:color="auto"/>
              <w:right w:val="nil"/>
            </w:tcBorders>
            <w:shd w:val="clear" w:color="auto" w:fill="auto"/>
            <w:noWrap/>
            <w:vAlign w:val="center"/>
            <w:hideMark/>
          </w:tcPr>
          <w:p w14:paraId="3EB8A8B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tcBorders>
              <w:top w:val="nil"/>
              <w:left w:val="nil"/>
              <w:bottom w:val="single" w:sz="4" w:space="0" w:color="auto"/>
              <w:right w:val="nil"/>
            </w:tcBorders>
            <w:shd w:val="clear" w:color="auto" w:fill="auto"/>
            <w:noWrap/>
            <w:vAlign w:val="center"/>
            <w:hideMark/>
          </w:tcPr>
          <w:p w14:paraId="4D2D14A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12B505AB"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A9D157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Marruecos</w:t>
            </w:r>
          </w:p>
        </w:tc>
        <w:tc>
          <w:tcPr>
            <w:tcW w:w="1107" w:type="dxa"/>
            <w:tcBorders>
              <w:top w:val="nil"/>
              <w:left w:val="nil"/>
              <w:bottom w:val="single" w:sz="4" w:space="0" w:color="auto"/>
              <w:right w:val="nil"/>
            </w:tcBorders>
            <w:shd w:val="clear" w:color="auto" w:fill="auto"/>
            <w:noWrap/>
            <w:vAlign w:val="center"/>
            <w:hideMark/>
          </w:tcPr>
          <w:p w14:paraId="374C971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04C738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47.850</w:t>
            </w:r>
          </w:p>
        </w:tc>
        <w:tc>
          <w:tcPr>
            <w:tcW w:w="1701" w:type="dxa"/>
            <w:tcBorders>
              <w:top w:val="nil"/>
              <w:left w:val="nil"/>
              <w:bottom w:val="single" w:sz="4" w:space="0" w:color="auto"/>
              <w:right w:val="nil"/>
            </w:tcBorders>
            <w:shd w:val="clear" w:color="auto" w:fill="auto"/>
            <w:noWrap/>
            <w:vAlign w:val="center"/>
            <w:hideMark/>
          </w:tcPr>
          <w:p w14:paraId="5FF870F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2.171.868</w:t>
            </w:r>
          </w:p>
        </w:tc>
        <w:tc>
          <w:tcPr>
            <w:tcW w:w="1562" w:type="dxa"/>
            <w:tcBorders>
              <w:top w:val="nil"/>
              <w:left w:val="nil"/>
              <w:bottom w:val="single" w:sz="4" w:space="0" w:color="auto"/>
              <w:right w:val="nil"/>
            </w:tcBorders>
            <w:shd w:val="clear" w:color="auto" w:fill="auto"/>
            <w:noWrap/>
            <w:vAlign w:val="center"/>
            <w:hideMark/>
          </w:tcPr>
          <w:p w14:paraId="5912575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2,20%</w:t>
            </w:r>
          </w:p>
        </w:tc>
        <w:tc>
          <w:tcPr>
            <w:tcW w:w="1275" w:type="dxa"/>
            <w:tcBorders>
              <w:top w:val="nil"/>
              <w:left w:val="nil"/>
              <w:bottom w:val="single" w:sz="4" w:space="0" w:color="auto"/>
              <w:right w:val="nil"/>
            </w:tcBorders>
            <w:shd w:val="clear" w:color="auto" w:fill="auto"/>
            <w:noWrap/>
            <w:vAlign w:val="center"/>
            <w:hideMark/>
          </w:tcPr>
          <w:p w14:paraId="2FACC95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2,20%</w:t>
            </w:r>
          </w:p>
        </w:tc>
      </w:tr>
      <w:tr w:rsidR="001579BE" w:rsidRPr="008937EB" w14:paraId="79AA46A8" w14:textId="77777777" w:rsidTr="00377237">
        <w:trPr>
          <w:trHeight w:val="260"/>
        </w:trPr>
        <w:tc>
          <w:tcPr>
            <w:tcW w:w="1443" w:type="dxa"/>
            <w:tcBorders>
              <w:top w:val="nil"/>
              <w:left w:val="nil"/>
              <w:bottom w:val="nil"/>
              <w:right w:val="nil"/>
            </w:tcBorders>
            <w:shd w:val="clear" w:color="auto" w:fill="auto"/>
            <w:noWrap/>
            <w:vAlign w:val="center"/>
            <w:hideMark/>
          </w:tcPr>
          <w:p w14:paraId="45A73CA6"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Países Bajos</w:t>
            </w:r>
          </w:p>
        </w:tc>
        <w:tc>
          <w:tcPr>
            <w:tcW w:w="1107" w:type="dxa"/>
            <w:tcBorders>
              <w:top w:val="nil"/>
              <w:left w:val="nil"/>
              <w:bottom w:val="nil"/>
              <w:right w:val="nil"/>
            </w:tcBorders>
            <w:shd w:val="clear" w:color="auto" w:fill="auto"/>
            <w:noWrap/>
            <w:vAlign w:val="center"/>
            <w:hideMark/>
          </w:tcPr>
          <w:p w14:paraId="3BCE89B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7D8704E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2.282.852</w:t>
            </w:r>
          </w:p>
        </w:tc>
        <w:tc>
          <w:tcPr>
            <w:tcW w:w="1701" w:type="dxa"/>
            <w:tcBorders>
              <w:top w:val="nil"/>
              <w:left w:val="nil"/>
              <w:bottom w:val="nil"/>
              <w:right w:val="nil"/>
            </w:tcBorders>
            <w:shd w:val="clear" w:color="auto" w:fill="auto"/>
            <w:noWrap/>
            <w:vAlign w:val="center"/>
            <w:hideMark/>
          </w:tcPr>
          <w:p w14:paraId="3FD40BA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5.152.924</w:t>
            </w:r>
          </w:p>
        </w:tc>
        <w:tc>
          <w:tcPr>
            <w:tcW w:w="1562" w:type="dxa"/>
            <w:tcBorders>
              <w:top w:val="nil"/>
              <w:left w:val="nil"/>
              <w:bottom w:val="nil"/>
              <w:right w:val="nil"/>
            </w:tcBorders>
            <w:shd w:val="clear" w:color="auto" w:fill="auto"/>
            <w:noWrap/>
            <w:vAlign w:val="center"/>
            <w:hideMark/>
          </w:tcPr>
          <w:p w14:paraId="44D0CC2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44,30%</w:t>
            </w:r>
          </w:p>
        </w:tc>
        <w:tc>
          <w:tcPr>
            <w:tcW w:w="1275" w:type="dxa"/>
            <w:vMerge w:val="restart"/>
            <w:tcBorders>
              <w:top w:val="nil"/>
              <w:left w:val="nil"/>
              <w:bottom w:val="single" w:sz="4" w:space="0" w:color="000000"/>
              <w:right w:val="nil"/>
            </w:tcBorders>
            <w:shd w:val="clear" w:color="auto" w:fill="auto"/>
            <w:noWrap/>
            <w:vAlign w:val="center"/>
            <w:hideMark/>
          </w:tcPr>
          <w:p w14:paraId="1933F77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44,58%</w:t>
            </w:r>
          </w:p>
        </w:tc>
      </w:tr>
      <w:tr w:rsidR="001579BE" w:rsidRPr="008937EB" w14:paraId="4CA29250"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465897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Países Bajos</w:t>
            </w:r>
          </w:p>
        </w:tc>
        <w:tc>
          <w:tcPr>
            <w:tcW w:w="1107" w:type="dxa"/>
            <w:tcBorders>
              <w:top w:val="nil"/>
              <w:left w:val="nil"/>
              <w:bottom w:val="single" w:sz="4" w:space="0" w:color="auto"/>
              <w:right w:val="nil"/>
            </w:tcBorders>
            <w:shd w:val="clear" w:color="auto" w:fill="auto"/>
            <w:noWrap/>
            <w:vAlign w:val="center"/>
            <w:hideMark/>
          </w:tcPr>
          <w:p w14:paraId="1657DD4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3D072A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14.475</w:t>
            </w:r>
          </w:p>
        </w:tc>
        <w:tc>
          <w:tcPr>
            <w:tcW w:w="1701" w:type="dxa"/>
            <w:tcBorders>
              <w:top w:val="nil"/>
              <w:left w:val="nil"/>
              <w:bottom w:val="single" w:sz="4" w:space="0" w:color="auto"/>
              <w:right w:val="nil"/>
            </w:tcBorders>
            <w:shd w:val="clear" w:color="auto" w:fill="auto"/>
            <w:noWrap/>
            <w:vAlign w:val="center"/>
            <w:hideMark/>
          </w:tcPr>
          <w:p w14:paraId="2ECAB78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5.152.924</w:t>
            </w:r>
          </w:p>
        </w:tc>
        <w:tc>
          <w:tcPr>
            <w:tcW w:w="1562" w:type="dxa"/>
            <w:tcBorders>
              <w:top w:val="nil"/>
              <w:left w:val="nil"/>
              <w:bottom w:val="single" w:sz="4" w:space="0" w:color="auto"/>
              <w:right w:val="nil"/>
            </w:tcBorders>
            <w:shd w:val="clear" w:color="auto" w:fill="auto"/>
            <w:noWrap/>
            <w:vAlign w:val="center"/>
            <w:hideMark/>
          </w:tcPr>
          <w:p w14:paraId="31EE6CA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0,28%</w:t>
            </w:r>
          </w:p>
        </w:tc>
        <w:tc>
          <w:tcPr>
            <w:tcW w:w="1275" w:type="dxa"/>
            <w:vMerge/>
            <w:tcBorders>
              <w:top w:val="nil"/>
              <w:left w:val="nil"/>
              <w:bottom w:val="single" w:sz="4" w:space="0" w:color="000000"/>
              <w:right w:val="nil"/>
            </w:tcBorders>
            <w:vAlign w:val="center"/>
            <w:hideMark/>
          </w:tcPr>
          <w:p w14:paraId="22CA797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41661A1B" w14:textId="77777777" w:rsidTr="00377237">
        <w:trPr>
          <w:trHeight w:val="260"/>
        </w:trPr>
        <w:tc>
          <w:tcPr>
            <w:tcW w:w="1443" w:type="dxa"/>
            <w:tcBorders>
              <w:top w:val="nil"/>
              <w:left w:val="nil"/>
              <w:bottom w:val="nil"/>
              <w:right w:val="nil"/>
            </w:tcBorders>
            <w:shd w:val="clear" w:color="auto" w:fill="auto"/>
            <w:noWrap/>
            <w:vAlign w:val="center"/>
            <w:hideMark/>
          </w:tcPr>
          <w:p w14:paraId="13D3D6DD"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Noruega</w:t>
            </w:r>
          </w:p>
        </w:tc>
        <w:tc>
          <w:tcPr>
            <w:tcW w:w="1107" w:type="dxa"/>
            <w:tcBorders>
              <w:top w:val="nil"/>
              <w:left w:val="nil"/>
              <w:bottom w:val="nil"/>
              <w:right w:val="nil"/>
            </w:tcBorders>
            <w:shd w:val="clear" w:color="auto" w:fill="auto"/>
            <w:noWrap/>
            <w:vAlign w:val="center"/>
            <w:hideMark/>
          </w:tcPr>
          <w:p w14:paraId="40E6A0EB"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6AB83FE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26.317</w:t>
            </w:r>
          </w:p>
        </w:tc>
        <w:tc>
          <w:tcPr>
            <w:tcW w:w="1701" w:type="dxa"/>
            <w:tcBorders>
              <w:top w:val="nil"/>
              <w:left w:val="nil"/>
              <w:bottom w:val="nil"/>
              <w:right w:val="nil"/>
            </w:tcBorders>
            <w:shd w:val="clear" w:color="auto" w:fill="auto"/>
            <w:noWrap/>
            <w:vAlign w:val="center"/>
            <w:hideMark/>
          </w:tcPr>
          <w:p w14:paraId="39781CF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89.478</w:t>
            </w:r>
          </w:p>
        </w:tc>
        <w:tc>
          <w:tcPr>
            <w:tcW w:w="1562" w:type="dxa"/>
            <w:tcBorders>
              <w:top w:val="nil"/>
              <w:left w:val="nil"/>
              <w:bottom w:val="nil"/>
              <w:right w:val="nil"/>
            </w:tcBorders>
            <w:shd w:val="clear" w:color="auto" w:fill="auto"/>
            <w:noWrap/>
            <w:vAlign w:val="center"/>
            <w:hideMark/>
          </w:tcPr>
          <w:p w14:paraId="4FFB20D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29,41%</w:t>
            </w:r>
          </w:p>
        </w:tc>
        <w:tc>
          <w:tcPr>
            <w:tcW w:w="1275" w:type="dxa"/>
            <w:vMerge w:val="restart"/>
            <w:tcBorders>
              <w:top w:val="nil"/>
              <w:left w:val="nil"/>
              <w:bottom w:val="single" w:sz="4" w:space="0" w:color="000000"/>
              <w:right w:val="nil"/>
            </w:tcBorders>
            <w:shd w:val="clear" w:color="auto" w:fill="auto"/>
            <w:noWrap/>
            <w:vAlign w:val="center"/>
            <w:hideMark/>
          </w:tcPr>
          <w:p w14:paraId="7027C96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31,80%</w:t>
            </w:r>
          </w:p>
        </w:tc>
      </w:tr>
      <w:tr w:rsidR="001579BE" w:rsidRPr="008937EB" w14:paraId="64F1947E"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50465BD"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Noruega</w:t>
            </w:r>
          </w:p>
        </w:tc>
        <w:tc>
          <w:tcPr>
            <w:tcW w:w="1107" w:type="dxa"/>
            <w:tcBorders>
              <w:top w:val="nil"/>
              <w:left w:val="nil"/>
              <w:bottom w:val="single" w:sz="4" w:space="0" w:color="auto"/>
              <w:right w:val="nil"/>
            </w:tcBorders>
            <w:shd w:val="clear" w:color="auto" w:fill="auto"/>
            <w:noWrap/>
            <w:vAlign w:val="center"/>
            <w:hideMark/>
          </w:tcPr>
          <w:p w14:paraId="14BFB4AB"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982AFA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2.135</w:t>
            </w:r>
          </w:p>
        </w:tc>
        <w:tc>
          <w:tcPr>
            <w:tcW w:w="1701" w:type="dxa"/>
            <w:tcBorders>
              <w:top w:val="nil"/>
              <w:left w:val="nil"/>
              <w:bottom w:val="single" w:sz="4" w:space="0" w:color="auto"/>
              <w:right w:val="nil"/>
            </w:tcBorders>
            <w:shd w:val="clear" w:color="auto" w:fill="auto"/>
            <w:noWrap/>
            <w:vAlign w:val="center"/>
            <w:hideMark/>
          </w:tcPr>
          <w:p w14:paraId="459987F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89.478</w:t>
            </w:r>
          </w:p>
        </w:tc>
        <w:tc>
          <w:tcPr>
            <w:tcW w:w="1562" w:type="dxa"/>
            <w:tcBorders>
              <w:top w:val="nil"/>
              <w:left w:val="nil"/>
              <w:bottom w:val="single" w:sz="4" w:space="0" w:color="auto"/>
              <w:right w:val="nil"/>
            </w:tcBorders>
            <w:shd w:val="clear" w:color="auto" w:fill="auto"/>
            <w:noWrap/>
            <w:vAlign w:val="center"/>
            <w:hideMark/>
          </w:tcPr>
          <w:p w14:paraId="2E01D09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2,39%</w:t>
            </w:r>
          </w:p>
        </w:tc>
        <w:tc>
          <w:tcPr>
            <w:tcW w:w="1275" w:type="dxa"/>
            <w:vMerge/>
            <w:tcBorders>
              <w:top w:val="nil"/>
              <w:left w:val="nil"/>
              <w:bottom w:val="single" w:sz="4" w:space="0" w:color="000000"/>
              <w:right w:val="nil"/>
            </w:tcBorders>
            <w:vAlign w:val="center"/>
            <w:hideMark/>
          </w:tcPr>
          <w:p w14:paraId="16AC241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3E337FB"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2DA959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Omán</w:t>
            </w:r>
          </w:p>
        </w:tc>
        <w:tc>
          <w:tcPr>
            <w:tcW w:w="1107" w:type="dxa"/>
            <w:tcBorders>
              <w:top w:val="nil"/>
              <w:left w:val="nil"/>
              <w:bottom w:val="single" w:sz="4" w:space="0" w:color="auto"/>
              <w:right w:val="nil"/>
            </w:tcBorders>
            <w:shd w:val="clear" w:color="auto" w:fill="auto"/>
            <w:noWrap/>
            <w:vAlign w:val="center"/>
            <w:hideMark/>
          </w:tcPr>
          <w:p w14:paraId="36A8B5D1"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153DA1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46</w:t>
            </w:r>
          </w:p>
        </w:tc>
        <w:tc>
          <w:tcPr>
            <w:tcW w:w="1701" w:type="dxa"/>
            <w:tcBorders>
              <w:top w:val="nil"/>
              <w:left w:val="nil"/>
              <w:bottom w:val="single" w:sz="4" w:space="0" w:color="auto"/>
              <w:right w:val="nil"/>
            </w:tcBorders>
            <w:shd w:val="clear" w:color="auto" w:fill="auto"/>
            <w:noWrap/>
            <w:vAlign w:val="center"/>
            <w:hideMark/>
          </w:tcPr>
          <w:p w14:paraId="08E32D1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335.306</w:t>
            </w:r>
          </w:p>
        </w:tc>
        <w:tc>
          <w:tcPr>
            <w:tcW w:w="1562" w:type="dxa"/>
            <w:tcBorders>
              <w:top w:val="nil"/>
              <w:left w:val="nil"/>
              <w:bottom w:val="single" w:sz="4" w:space="0" w:color="auto"/>
              <w:right w:val="nil"/>
            </w:tcBorders>
            <w:shd w:val="clear" w:color="auto" w:fill="auto"/>
            <w:noWrap/>
            <w:vAlign w:val="center"/>
            <w:hideMark/>
          </w:tcPr>
          <w:p w14:paraId="0E4527F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0,01%</w:t>
            </w:r>
          </w:p>
        </w:tc>
        <w:tc>
          <w:tcPr>
            <w:tcW w:w="1275" w:type="dxa"/>
            <w:tcBorders>
              <w:top w:val="nil"/>
              <w:left w:val="nil"/>
              <w:bottom w:val="single" w:sz="4" w:space="0" w:color="auto"/>
              <w:right w:val="nil"/>
            </w:tcBorders>
            <w:shd w:val="clear" w:color="auto" w:fill="auto"/>
            <w:noWrap/>
            <w:vAlign w:val="center"/>
            <w:hideMark/>
          </w:tcPr>
          <w:p w14:paraId="0E1C047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0,01%</w:t>
            </w:r>
          </w:p>
        </w:tc>
      </w:tr>
      <w:tr w:rsidR="001579BE" w:rsidRPr="008937EB" w14:paraId="510EEB19"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EE780F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Polonia</w:t>
            </w:r>
          </w:p>
        </w:tc>
        <w:tc>
          <w:tcPr>
            <w:tcW w:w="1107" w:type="dxa"/>
            <w:tcBorders>
              <w:top w:val="nil"/>
              <w:left w:val="nil"/>
              <w:bottom w:val="single" w:sz="4" w:space="0" w:color="auto"/>
              <w:right w:val="nil"/>
            </w:tcBorders>
            <w:shd w:val="clear" w:color="auto" w:fill="auto"/>
            <w:noWrap/>
            <w:vAlign w:val="center"/>
            <w:hideMark/>
          </w:tcPr>
          <w:p w14:paraId="324B981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91676B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6.234</w:t>
            </w:r>
          </w:p>
        </w:tc>
        <w:tc>
          <w:tcPr>
            <w:tcW w:w="1701" w:type="dxa"/>
            <w:tcBorders>
              <w:top w:val="nil"/>
              <w:left w:val="nil"/>
              <w:bottom w:val="single" w:sz="4" w:space="0" w:color="auto"/>
              <w:right w:val="nil"/>
            </w:tcBorders>
            <w:shd w:val="clear" w:color="auto" w:fill="auto"/>
            <w:noWrap/>
            <w:vAlign w:val="center"/>
            <w:hideMark/>
          </w:tcPr>
          <w:p w14:paraId="0DD4DB1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222.043</w:t>
            </w:r>
          </w:p>
        </w:tc>
        <w:tc>
          <w:tcPr>
            <w:tcW w:w="1562" w:type="dxa"/>
            <w:tcBorders>
              <w:top w:val="nil"/>
              <w:left w:val="nil"/>
              <w:bottom w:val="single" w:sz="4" w:space="0" w:color="auto"/>
              <w:right w:val="nil"/>
            </w:tcBorders>
            <w:shd w:val="clear" w:color="auto" w:fill="auto"/>
            <w:noWrap/>
            <w:vAlign w:val="center"/>
            <w:hideMark/>
          </w:tcPr>
          <w:p w14:paraId="39E6CDD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2,81%</w:t>
            </w:r>
          </w:p>
        </w:tc>
        <w:tc>
          <w:tcPr>
            <w:tcW w:w="1275" w:type="dxa"/>
            <w:tcBorders>
              <w:top w:val="nil"/>
              <w:left w:val="nil"/>
              <w:bottom w:val="single" w:sz="4" w:space="0" w:color="auto"/>
              <w:right w:val="nil"/>
            </w:tcBorders>
            <w:shd w:val="clear" w:color="auto" w:fill="auto"/>
            <w:noWrap/>
            <w:vAlign w:val="center"/>
            <w:hideMark/>
          </w:tcPr>
          <w:p w14:paraId="66727C1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2,81%</w:t>
            </w:r>
          </w:p>
        </w:tc>
      </w:tr>
      <w:tr w:rsidR="001579BE" w:rsidRPr="008937EB" w14:paraId="6E425777" w14:textId="77777777" w:rsidTr="00377237">
        <w:trPr>
          <w:trHeight w:val="260"/>
        </w:trPr>
        <w:tc>
          <w:tcPr>
            <w:tcW w:w="1443" w:type="dxa"/>
            <w:tcBorders>
              <w:top w:val="nil"/>
              <w:left w:val="nil"/>
              <w:bottom w:val="nil"/>
              <w:right w:val="nil"/>
            </w:tcBorders>
            <w:shd w:val="clear" w:color="auto" w:fill="auto"/>
            <w:noWrap/>
            <w:vAlign w:val="center"/>
            <w:hideMark/>
          </w:tcPr>
          <w:p w14:paraId="445E042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Portugal</w:t>
            </w:r>
          </w:p>
        </w:tc>
        <w:tc>
          <w:tcPr>
            <w:tcW w:w="1107" w:type="dxa"/>
            <w:tcBorders>
              <w:top w:val="nil"/>
              <w:left w:val="nil"/>
              <w:bottom w:val="nil"/>
              <w:right w:val="nil"/>
            </w:tcBorders>
            <w:shd w:val="clear" w:color="auto" w:fill="auto"/>
            <w:noWrap/>
            <w:vAlign w:val="center"/>
            <w:hideMark/>
          </w:tcPr>
          <w:p w14:paraId="65D1755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2F8EDD5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796.876</w:t>
            </w:r>
          </w:p>
        </w:tc>
        <w:tc>
          <w:tcPr>
            <w:tcW w:w="1701" w:type="dxa"/>
            <w:tcBorders>
              <w:top w:val="nil"/>
              <w:left w:val="nil"/>
              <w:bottom w:val="nil"/>
              <w:right w:val="nil"/>
            </w:tcBorders>
            <w:shd w:val="clear" w:color="auto" w:fill="auto"/>
            <w:noWrap/>
            <w:vAlign w:val="center"/>
            <w:hideMark/>
          </w:tcPr>
          <w:p w14:paraId="16CE844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2.114.971</w:t>
            </w:r>
          </w:p>
        </w:tc>
        <w:tc>
          <w:tcPr>
            <w:tcW w:w="1562" w:type="dxa"/>
            <w:tcBorders>
              <w:top w:val="nil"/>
              <w:left w:val="nil"/>
              <w:bottom w:val="nil"/>
              <w:right w:val="nil"/>
            </w:tcBorders>
            <w:shd w:val="clear" w:color="auto" w:fill="auto"/>
            <w:noWrap/>
            <w:vAlign w:val="center"/>
            <w:hideMark/>
          </w:tcPr>
          <w:p w14:paraId="0BB4CB8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37,68%</w:t>
            </w:r>
          </w:p>
        </w:tc>
        <w:tc>
          <w:tcPr>
            <w:tcW w:w="1275" w:type="dxa"/>
            <w:vMerge w:val="restart"/>
            <w:tcBorders>
              <w:top w:val="nil"/>
              <w:left w:val="nil"/>
              <w:bottom w:val="single" w:sz="4" w:space="0" w:color="000000"/>
              <w:right w:val="nil"/>
            </w:tcBorders>
            <w:shd w:val="clear" w:color="auto" w:fill="auto"/>
            <w:noWrap/>
            <w:vAlign w:val="center"/>
            <w:hideMark/>
          </w:tcPr>
          <w:p w14:paraId="31F0643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38,51%</w:t>
            </w:r>
          </w:p>
        </w:tc>
      </w:tr>
      <w:tr w:rsidR="001579BE" w:rsidRPr="008937EB" w14:paraId="045DF828"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222723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Portugal</w:t>
            </w:r>
          </w:p>
        </w:tc>
        <w:tc>
          <w:tcPr>
            <w:tcW w:w="1107" w:type="dxa"/>
            <w:tcBorders>
              <w:top w:val="nil"/>
              <w:left w:val="nil"/>
              <w:bottom w:val="single" w:sz="4" w:space="0" w:color="auto"/>
              <w:right w:val="nil"/>
            </w:tcBorders>
            <w:shd w:val="clear" w:color="auto" w:fill="auto"/>
            <w:noWrap/>
            <w:vAlign w:val="center"/>
            <w:hideMark/>
          </w:tcPr>
          <w:p w14:paraId="7E8520F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544E944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17.540</w:t>
            </w:r>
          </w:p>
        </w:tc>
        <w:tc>
          <w:tcPr>
            <w:tcW w:w="1701" w:type="dxa"/>
            <w:tcBorders>
              <w:top w:val="nil"/>
              <w:left w:val="nil"/>
              <w:bottom w:val="single" w:sz="4" w:space="0" w:color="auto"/>
              <w:right w:val="nil"/>
            </w:tcBorders>
            <w:shd w:val="clear" w:color="auto" w:fill="auto"/>
            <w:noWrap/>
            <w:vAlign w:val="center"/>
            <w:hideMark/>
          </w:tcPr>
          <w:p w14:paraId="659B2B9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2.114.971</w:t>
            </w:r>
          </w:p>
        </w:tc>
        <w:tc>
          <w:tcPr>
            <w:tcW w:w="1562" w:type="dxa"/>
            <w:tcBorders>
              <w:top w:val="nil"/>
              <w:left w:val="nil"/>
              <w:bottom w:val="single" w:sz="4" w:space="0" w:color="auto"/>
              <w:right w:val="nil"/>
            </w:tcBorders>
            <w:shd w:val="clear" w:color="auto" w:fill="auto"/>
            <w:noWrap/>
            <w:vAlign w:val="center"/>
            <w:hideMark/>
          </w:tcPr>
          <w:p w14:paraId="0CE49B8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0,83%</w:t>
            </w:r>
          </w:p>
        </w:tc>
        <w:tc>
          <w:tcPr>
            <w:tcW w:w="1275" w:type="dxa"/>
            <w:vMerge/>
            <w:tcBorders>
              <w:top w:val="nil"/>
              <w:left w:val="nil"/>
              <w:bottom w:val="single" w:sz="4" w:space="0" w:color="000000"/>
              <w:right w:val="nil"/>
            </w:tcBorders>
            <w:vAlign w:val="center"/>
            <w:hideMark/>
          </w:tcPr>
          <w:p w14:paraId="3930133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29D5C47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405BB7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Qatar</w:t>
            </w:r>
          </w:p>
        </w:tc>
        <w:tc>
          <w:tcPr>
            <w:tcW w:w="1107" w:type="dxa"/>
            <w:tcBorders>
              <w:top w:val="nil"/>
              <w:left w:val="nil"/>
              <w:bottom w:val="single" w:sz="4" w:space="0" w:color="auto"/>
              <w:right w:val="nil"/>
            </w:tcBorders>
            <w:shd w:val="clear" w:color="auto" w:fill="auto"/>
            <w:noWrap/>
            <w:vAlign w:val="center"/>
            <w:hideMark/>
          </w:tcPr>
          <w:p w14:paraId="0AF5D97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14A563A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733</w:t>
            </w:r>
          </w:p>
        </w:tc>
        <w:tc>
          <w:tcPr>
            <w:tcW w:w="1701" w:type="dxa"/>
            <w:tcBorders>
              <w:top w:val="nil"/>
              <w:left w:val="nil"/>
              <w:bottom w:val="single" w:sz="4" w:space="0" w:color="auto"/>
              <w:right w:val="nil"/>
            </w:tcBorders>
            <w:shd w:val="clear" w:color="auto" w:fill="auto"/>
            <w:noWrap/>
            <w:vAlign w:val="center"/>
            <w:hideMark/>
          </w:tcPr>
          <w:p w14:paraId="27ECF64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72.221</w:t>
            </w:r>
          </w:p>
        </w:tc>
        <w:tc>
          <w:tcPr>
            <w:tcW w:w="1562" w:type="dxa"/>
            <w:tcBorders>
              <w:top w:val="nil"/>
              <w:left w:val="nil"/>
              <w:bottom w:val="single" w:sz="4" w:space="0" w:color="auto"/>
              <w:right w:val="nil"/>
            </w:tcBorders>
            <w:shd w:val="clear" w:color="auto" w:fill="auto"/>
            <w:noWrap/>
            <w:vAlign w:val="center"/>
            <w:hideMark/>
          </w:tcPr>
          <w:p w14:paraId="48B1D2B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1,01%</w:t>
            </w:r>
          </w:p>
        </w:tc>
        <w:tc>
          <w:tcPr>
            <w:tcW w:w="1275" w:type="dxa"/>
            <w:tcBorders>
              <w:top w:val="nil"/>
              <w:left w:val="nil"/>
              <w:bottom w:val="single" w:sz="4" w:space="0" w:color="auto"/>
              <w:right w:val="nil"/>
            </w:tcBorders>
            <w:shd w:val="clear" w:color="auto" w:fill="auto"/>
            <w:noWrap/>
            <w:vAlign w:val="center"/>
            <w:hideMark/>
          </w:tcPr>
          <w:p w14:paraId="68EEBD0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1,01%</w:t>
            </w:r>
          </w:p>
        </w:tc>
      </w:tr>
    </w:tbl>
    <w:p w14:paraId="6610E86E" w14:textId="77777777" w:rsidR="00790F14" w:rsidRDefault="00790F14">
      <w:r>
        <w:br w:type="page"/>
      </w:r>
    </w:p>
    <w:tbl>
      <w:tblPr>
        <w:tblW w:w="8505" w:type="dxa"/>
        <w:tblLayout w:type="fixed"/>
        <w:tblCellMar>
          <w:left w:w="70" w:type="dxa"/>
          <w:right w:w="70" w:type="dxa"/>
        </w:tblCellMar>
        <w:tblLook w:val="04A0" w:firstRow="1" w:lastRow="0" w:firstColumn="1" w:lastColumn="0" w:noHBand="0" w:noVBand="1"/>
      </w:tblPr>
      <w:tblGrid>
        <w:gridCol w:w="1443"/>
        <w:gridCol w:w="1107"/>
        <w:gridCol w:w="1417"/>
        <w:gridCol w:w="1701"/>
        <w:gridCol w:w="1562"/>
        <w:gridCol w:w="1275"/>
      </w:tblGrid>
      <w:tr w:rsidR="001579BE" w:rsidRPr="008937EB" w14:paraId="4758CC89" w14:textId="77777777" w:rsidTr="00377237">
        <w:trPr>
          <w:trHeight w:val="260"/>
        </w:trPr>
        <w:tc>
          <w:tcPr>
            <w:tcW w:w="1443" w:type="dxa"/>
            <w:tcBorders>
              <w:top w:val="nil"/>
              <w:left w:val="nil"/>
              <w:bottom w:val="nil"/>
              <w:right w:val="nil"/>
            </w:tcBorders>
            <w:shd w:val="clear" w:color="auto" w:fill="auto"/>
            <w:noWrap/>
            <w:vAlign w:val="center"/>
            <w:hideMark/>
          </w:tcPr>
          <w:p w14:paraId="7A6C5AE6" w14:textId="7D7E019D"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lastRenderedPageBreak/>
              <w:t>Rep. de Corea</w:t>
            </w:r>
          </w:p>
        </w:tc>
        <w:tc>
          <w:tcPr>
            <w:tcW w:w="1107" w:type="dxa"/>
            <w:tcBorders>
              <w:top w:val="nil"/>
              <w:left w:val="nil"/>
              <w:bottom w:val="nil"/>
              <w:right w:val="nil"/>
            </w:tcBorders>
            <w:shd w:val="clear" w:color="auto" w:fill="auto"/>
            <w:noWrap/>
            <w:vAlign w:val="center"/>
            <w:hideMark/>
          </w:tcPr>
          <w:p w14:paraId="29E8336D"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4C09987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519.999</w:t>
            </w:r>
          </w:p>
        </w:tc>
        <w:tc>
          <w:tcPr>
            <w:tcW w:w="1701" w:type="dxa"/>
            <w:tcBorders>
              <w:top w:val="nil"/>
              <w:left w:val="nil"/>
              <w:bottom w:val="nil"/>
              <w:right w:val="nil"/>
            </w:tcBorders>
            <w:shd w:val="clear" w:color="auto" w:fill="auto"/>
            <w:noWrap/>
            <w:vAlign w:val="center"/>
            <w:hideMark/>
          </w:tcPr>
          <w:p w14:paraId="272AEC1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11.653.548</w:t>
            </w:r>
          </w:p>
        </w:tc>
        <w:tc>
          <w:tcPr>
            <w:tcW w:w="1562" w:type="dxa"/>
            <w:tcBorders>
              <w:top w:val="nil"/>
              <w:left w:val="nil"/>
              <w:bottom w:val="nil"/>
              <w:right w:val="nil"/>
            </w:tcBorders>
            <w:shd w:val="clear" w:color="auto" w:fill="auto"/>
            <w:noWrap/>
            <w:vAlign w:val="center"/>
            <w:hideMark/>
          </w:tcPr>
          <w:p w14:paraId="34B0068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4,46%</w:t>
            </w:r>
          </w:p>
        </w:tc>
        <w:tc>
          <w:tcPr>
            <w:tcW w:w="1275" w:type="dxa"/>
            <w:vMerge w:val="restart"/>
            <w:tcBorders>
              <w:top w:val="nil"/>
              <w:left w:val="nil"/>
              <w:bottom w:val="single" w:sz="4" w:space="0" w:color="000000"/>
              <w:right w:val="nil"/>
            </w:tcBorders>
            <w:shd w:val="clear" w:color="auto" w:fill="auto"/>
            <w:noWrap/>
            <w:vAlign w:val="center"/>
            <w:hideMark/>
          </w:tcPr>
          <w:p w14:paraId="5FF7FAA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5,98%</w:t>
            </w:r>
          </w:p>
        </w:tc>
      </w:tr>
      <w:tr w:rsidR="001579BE" w:rsidRPr="008937EB" w14:paraId="67F8DC85"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4AB901E"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Rep. de Corea</w:t>
            </w:r>
          </w:p>
        </w:tc>
        <w:tc>
          <w:tcPr>
            <w:tcW w:w="1107" w:type="dxa"/>
            <w:tcBorders>
              <w:top w:val="nil"/>
              <w:left w:val="nil"/>
              <w:bottom w:val="single" w:sz="4" w:space="0" w:color="auto"/>
              <w:right w:val="nil"/>
            </w:tcBorders>
            <w:shd w:val="clear" w:color="auto" w:fill="auto"/>
            <w:noWrap/>
            <w:vAlign w:val="center"/>
            <w:hideMark/>
          </w:tcPr>
          <w:p w14:paraId="34C49B6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58A835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176.636</w:t>
            </w:r>
          </w:p>
        </w:tc>
        <w:tc>
          <w:tcPr>
            <w:tcW w:w="1701" w:type="dxa"/>
            <w:tcBorders>
              <w:top w:val="nil"/>
              <w:left w:val="nil"/>
              <w:bottom w:val="single" w:sz="4" w:space="0" w:color="auto"/>
              <w:right w:val="nil"/>
            </w:tcBorders>
            <w:shd w:val="clear" w:color="auto" w:fill="auto"/>
            <w:noWrap/>
            <w:vAlign w:val="center"/>
            <w:hideMark/>
          </w:tcPr>
          <w:p w14:paraId="5DDDF1B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11.653.548</w:t>
            </w:r>
          </w:p>
        </w:tc>
        <w:tc>
          <w:tcPr>
            <w:tcW w:w="1562" w:type="dxa"/>
            <w:tcBorders>
              <w:top w:val="nil"/>
              <w:left w:val="nil"/>
              <w:bottom w:val="single" w:sz="4" w:space="0" w:color="auto"/>
              <w:right w:val="nil"/>
            </w:tcBorders>
            <w:shd w:val="clear" w:color="auto" w:fill="auto"/>
            <w:noWrap/>
            <w:vAlign w:val="center"/>
            <w:hideMark/>
          </w:tcPr>
          <w:p w14:paraId="268F6B4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1,52%</w:t>
            </w:r>
          </w:p>
        </w:tc>
        <w:tc>
          <w:tcPr>
            <w:tcW w:w="1275" w:type="dxa"/>
            <w:vMerge/>
            <w:tcBorders>
              <w:top w:val="nil"/>
              <w:left w:val="nil"/>
              <w:bottom w:val="single" w:sz="4" w:space="0" w:color="000000"/>
              <w:right w:val="nil"/>
            </w:tcBorders>
            <w:vAlign w:val="center"/>
            <w:hideMark/>
          </w:tcPr>
          <w:p w14:paraId="67133C3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22D871BE" w14:textId="77777777" w:rsidTr="00377237">
        <w:trPr>
          <w:trHeight w:val="260"/>
        </w:trPr>
        <w:tc>
          <w:tcPr>
            <w:tcW w:w="1443" w:type="dxa"/>
            <w:tcBorders>
              <w:top w:val="nil"/>
              <w:left w:val="nil"/>
              <w:bottom w:val="nil"/>
              <w:right w:val="nil"/>
            </w:tcBorders>
            <w:shd w:val="clear" w:color="auto" w:fill="auto"/>
            <w:noWrap/>
            <w:vAlign w:val="center"/>
            <w:hideMark/>
          </w:tcPr>
          <w:p w14:paraId="5130C76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Rep. de Moldova</w:t>
            </w:r>
          </w:p>
        </w:tc>
        <w:tc>
          <w:tcPr>
            <w:tcW w:w="1107" w:type="dxa"/>
            <w:tcBorders>
              <w:top w:val="nil"/>
              <w:left w:val="nil"/>
              <w:bottom w:val="nil"/>
              <w:right w:val="nil"/>
            </w:tcBorders>
            <w:shd w:val="clear" w:color="auto" w:fill="auto"/>
            <w:noWrap/>
            <w:vAlign w:val="center"/>
            <w:hideMark/>
          </w:tcPr>
          <w:p w14:paraId="575EF2F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709BD62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1.737</w:t>
            </w:r>
          </w:p>
        </w:tc>
        <w:tc>
          <w:tcPr>
            <w:tcW w:w="1701" w:type="dxa"/>
            <w:tcBorders>
              <w:top w:val="nil"/>
              <w:left w:val="nil"/>
              <w:bottom w:val="nil"/>
              <w:right w:val="nil"/>
            </w:tcBorders>
            <w:shd w:val="clear" w:color="auto" w:fill="auto"/>
            <w:noWrap/>
            <w:vAlign w:val="center"/>
            <w:hideMark/>
          </w:tcPr>
          <w:p w14:paraId="2574847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7.323</w:t>
            </w:r>
          </w:p>
        </w:tc>
        <w:tc>
          <w:tcPr>
            <w:tcW w:w="1562" w:type="dxa"/>
            <w:tcBorders>
              <w:top w:val="nil"/>
              <w:left w:val="nil"/>
              <w:bottom w:val="nil"/>
              <w:right w:val="nil"/>
            </w:tcBorders>
            <w:shd w:val="clear" w:color="auto" w:fill="auto"/>
            <w:noWrap/>
            <w:vAlign w:val="center"/>
            <w:hideMark/>
          </w:tcPr>
          <w:p w14:paraId="020BB14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23,72%</w:t>
            </w:r>
          </w:p>
        </w:tc>
        <w:tc>
          <w:tcPr>
            <w:tcW w:w="1275" w:type="dxa"/>
            <w:vMerge w:val="restart"/>
            <w:tcBorders>
              <w:top w:val="nil"/>
              <w:left w:val="nil"/>
              <w:bottom w:val="single" w:sz="4" w:space="0" w:color="000000"/>
              <w:right w:val="nil"/>
            </w:tcBorders>
            <w:shd w:val="clear" w:color="auto" w:fill="auto"/>
            <w:noWrap/>
            <w:vAlign w:val="center"/>
            <w:hideMark/>
          </w:tcPr>
          <w:p w14:paraId="159C28D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25,53%</w:t>
            </w:r>
          </w:p>
        </w:tc>
      </w:tr>
      <w:tr w:rsidR="001579BE" w:rsidRPr="008937EB" w14:paraId="035D4E38"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64904D2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Rep. de Moldova</w:t>
            </w:r>
          </w:p>
        </w:tc>
        <w:tc>
          <w:tcPr>
            <w:tcW w:w="1107" w:type="dxa"/>
            <w:tcBorders>
              <w:top w:val="nil"/>
              <w:left w:val="nil"/>
              <w:bottom w:val="single" w:sz="4" w:space="0" w:color="auto"/>
              <w:right w:val="nil"/>
            </w:tcBorders>
            <w:shd w:val="clear" w:color="auto" w:fill="auto"/>
            <w:noWrap/>
            <w:vAlign w:val="center"/>
            <w:hideMark/>
          </w:tcPr>
          <w:p w14:paraId="0EEBD34B"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081591B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132</w:t>
            </w:r>
          </w:p>
        </w:tc>
        <w:tc>
          <w:tcPr>
            <w:tcW w:w="1701" w:type="dxa"/>
            <w:tcBorders>
              <w:top w:val="nil"/>
              <w:left w:val="nil"/>
              <w:bottom w:val="single" w:sz="4" w:space="0" w:color="auto"/>
              <w:right w:val="nil"/>
            </w:tcBorders>
            <w:shd w:val="clear" w:color="auto" w:fill="auto"/>
            <w:noWrap/>
            <w:vAlign w:val="center"/>
            <w:hideMark/>
          </w:tcPr>
          <w:p w14:paraId="3E84703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7.323</w:t>
            </w:r>
          </w:p>
        </w:tc>
        <w:tc>
          <w:tcPr>
            <w:tcW w:w="1562" w:type="dxa"/>
            <w:tcBorders>
              <w:top w:val="nil"/>
              <w:left w:val="nil"/>
              <w:bottom w:val="single" w:sz="4" w:space="0" w:color="auto"/>
              <w:right w:val="nil"/>
            </w:tcBorders>
            <w:shd w:val="clear" w:color="auto" w:fill="auto"/>
            <w:noWrap/>
            <w:vAlign w:val="center"/>
            <w:hideMark/>
          </w:tcPr>
          <w:p w14:paraId="79D22AD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1,81%</w:t>
            </w:r>
          </w:p>
        </w:tc>
        <w:tc>
          <w:tcPr>
            <w:tcW w:w="1275" w:type="dxa"/>
            <w:vMerge/>
            <w:tcBorders>
              <w:top w:val="nil"/>
              <w:left w:val="nil"/>
              <w:bottom w:val="single" w:sz="4" w:space="0" w:color="000000"/>
              <w:right w:val="nil"/>
            </w:tcBorders>
            <w:vAlign w:val="center"/>
            <w:hideMark/>
          </w:tcPr>
          <w:p w14:paraId="0EC3A9F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1AC582B6"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D8E5EC3"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Rumanía</w:t>
            </w:r>
          </w:p>
        </w:tc>
        <w:tc>
          <w:tcPr>
            <w:tcW w:w="1107" w:type="dxa"/>
            <w:tcBorders>
              <w:top w:val="nil"/>
              <w:left w:val="nil"/>
              <w:bottom w:val="single" w:sz="4" w:space="0" w:color="auto"/>
              <w:right w:val="nil"/>
            </w:tcBorders>
            <w:shd w:val="clear" w:color="auto" w:fill="auto"/>
            <w:noWrap/>
            <w:vAlign w:val="center"/>
            <w:hideMark/>
          </w:tcPr>
          <w:p w14:paraId="49D61CF5"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621ACB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529</w:t>
            </w:r>
          </w:p>
        </w:tc>
        <w:tc>
          <w:tcPr>
            <w:tcW w:w="1701" w:type="dxa"/>
            <w:tcBorders>
              <w:top w:val="nil"/>
              <w:left w:val="nil"/>
              <w:bottom w:val="single" w:sz="4" w:space="0" w:color="auto"/>
              <w:right w:val="nil"/>
            </w:tcBorders>
            <w:shd w:val="clear" w:color="auto" w:fill="auto"/>
            <w:noWrap/>
            <w:vAlign w:val="center"/>
            <w:hideMark/>
          </w:tcPr>
          <w:p w14:paraId="44EC77F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961.431</w:t>
            </w:r>
          </w:p>
        </w:tc>
        <w:tc>
          <w:tcPr>
            <w:tcW w:w="1562" w:type="dxa"/>
            <w:tcBorders>
              <w:top w:val="nil"/>
              <w:left w:val="nil"/>
              <w:bottom w:val="single" w:sz="4" w:space="0" w:color="auto"/>
              <w:right w:val="nil"/>
            </w:tcBorders>
            <w:shd w:val="clear" w:color="auto" w:fill="auto"/>
            <w:noWrap/>
            <w:vAlign w:val="center"/>
            <w:hideMark/>
          </w:tcPr>
          <w:p w14:paraId="3EC25BF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0,06%</w:t>
            </w:r>
          </w:p>
        </w:tc>
        <w:tc>
          <w:tcPr>
            <w:tcW w:w="1275" w:type="dxa"/>
            <w:tcBorders>
              <w:top w:val="nil"/>
              <w:left w:val="nil"/>
              <w:bottom w:val="single" w:sz="4" w:space="0" w:color="auto"/>
              <w:right w:val="nil"/>
            </w:tcBorders>
            <w:shd w:val="clear" w:color="auto" w:fill="auto"/>
            <w:noWrap/>
            <w:vAlign w:val="center"/>
            <w:hideMark/>
          </w:tcPr>
          <w:p w14:paraId="414F503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0,06%</w:t>
            </w:r>
          </w:p>
        </w:tc>
      </w:tr>
      <w:tr w:rsidR="001579BE" w:rsidRPr="008937EB" w14:paraId="17AC9B5C"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6343817"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Rusia</w:t>
            </w:r>
          </w:p>
        </w:tc>
        <w:tc>
          <w:tcPr>
            <w:tcW w:w="1107" w:type="dxa"/>
            <w:tcBorders>
              <w:top w:val="nil"/>
              <w:left w:val="nil"/>
              <w:bottom w:val="single" w:sz="4" w:space="0" w:color="auto"/>
              <w:right w:val="nil"/>
            </w:tcBorders>
            <w:shd w:val="clear" w:color="auto" w:fill="auto"/>
            <w:noWrap/>
            <w:vAlign w:val="center"/>
            <w:hideMark/>
          </w:tcPr>
          <w:p w14:paraId="3C589822"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2DD118A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2.990</w:t>
            </w:r>
          </w:p>
        </w:tc>
        <w:tc>
          <w:tcPr>
            <w:tcW w:w="1701" w:type="dxa"/>
            <w:tcBorders>
              <w:top w:val="nil"/>
              <w:left w:val="nil"/>
              <w:bottom w:val="single" w:sz="4" w:space="0" w:color="auto"/>
              <w:right w:val="nil"/>
            </w:tcBorders>
            <w:shd w:val="clear" w:color="auto" w:fill="auto"/>
            <w:noWrap/>
            <w:vAlign w:val="center"/>
            <w:hideMark/>
          </w:tcPr>
          <w:p w14:paraId="49ABC9B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35.045</w:t>
            </w:r>
          </w:p>
        </w:tc>
        <w:tc>
          <w:tcPr>
            <w:tcW w:w="1562" w:type="dxa"/>
            <w:tcBorders>
              <w:top w:val="nil"/>
              <w:left w:val="nil"/>
              <w:bottom w:val="single" w:sz="4" w:space="0" w:color="auto"/>
              <w:right w:val="nil"/>
            </w:tcBorders>
            <w:shd w:val="clear" w:color="auto" w:fill="auto"/>
            <w:noWrap/>
            <w:vAlign w:val="center"/>
            <w:hideMark/>
          </w:tcPr>
          <w:p w14:paraId="5E670FE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8,53%</w:t>
            </w:r>
          </w:p>
        </w:tc>
        <w:tc>
          <w:tcPr>
            <w:tcW w:w="1275" w:type="dxa"/>
            <w:tcBorders>
              <w:top w:val="nil"/>
              <w:left w:val="nil"/>
              <w:bottom w:val="single" w:sz="4" w:space="0" w:color="auto"/>
              <w:right w:val="nil"/>
            </w:tcBorders>
            <w:shd w:val="clear" w:color="auto" w:fill="auto"/>
            <w:noWrap/>
            <w:vAlign w:val="center"/>
            <w:hideMark/>
          </w:tcPr>
          <w:p w14:paraId="32DB071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8,53%</w:t>
            </w:r>
          </w:p>
        </w:tc>
      </w:tr>
      <w:tr w:rsidR="001579BE" w:rsidRPr="008937EB" w14:paraId="7A061514"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3D0D843"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Arabia Saudí</w:t>
            </w:r>
          </w:p>
        </w:tc>
        <w:tc>
          <w:tcPr>
            <w:tcW w:w="1107" w:type="dxa"/>
            <w:tcBorders>
              <w:top w:val="nil"/>
              <w:left w:val="nil"/>
              <w:bottom w:val="single" w:sz="4" w:space="0" w:color="auto"/>
              <w:right w:val="nil"/>
            </w:tcBorders>
            <w:shd w:val="clear" w:color="auto" w:fill="auto"/>
            <w:noWrap/>
            <w:vAlign w:val="center"/>
            <w:hideMark/>
          </w:tcPr>
          <w:p w14:paraId="0E0552E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7D49B26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434</w:t>
            </w:r>
          </w:p>
        </w:tc>
        <w:tc>
          <w:tcPr>
            <w:tcW w:w="1701" w:type="dxa"/>
            <w:tcBorders>
              <w:top w:val="nil"/>
              <w:left w:val="nil"/>
              <w:bottom w:val="single" w:sz="4" w:space="0" w:color="auto"/>
              <w:right w:val="nil"/>
            </w:tcBorders>
            <w:shd w:val="clear" w:color="auto" w:fill="auto"/>
            <w:noWrap/>
            <w:vAlign w:val="center"/>
            <w:hideMark/>
          </w:tcPr>
          <w:p w14:paraId="0F4E988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2.935.129</w:t>
            </w:r>
          </w:p>
        </w:tc>
        <w:tc>
          <w:tcPr>
            <w:tcW w:w="1562" w:type="dxa"/>
            <w:tcBorders>
              <w:top w:val="nil"/>
              <w:left w:val="nil"/>
              <w:bottom w:val="single" w:sz="4" w:space="0" w:color="auto"/>
              <w:right w:val="nil"/>
            </w:tcBorders>
            <w:shd w:val="clear" w:color="auto" w:fill="auto"/>
            <w:noWrap/>
            <w:vAlign w:val="center"/>
            <w:hideMark/>
          </w:tcPr>
          <w:p w14:paraId="553F1F6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0,01%</w:t>
            </w:r>
          </w:p>
        </w:tc>
        <w:tc>
          <w:tcPr>
            <w:tcW w:w="1275" w:type="dxa"/>
            <w:tcBorders>
              <w:top w:val="nil"/>
              <w:left w:val="nil"/>
              <w:bottom w:val="single" w:sz="4" w:space="0" w:color="auto"/>
              <w:right w:val="nil"/>
            </w:tcBorders>
            <w:shd w:val="clear" w:color="auto" w:fill="auto"/>
            <w:noWrap/>
            <w:vAlign w:val="center"/>
            <w:hideMark/>
          </w:tcPr>
          <w:p w14:paraId="71A5A05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0,01%</w:t>
            </w:r>
          </w:p>
        </w:tc>
      </w:tr>
      <w:tr w:rsidR="001579BE" w:rsidRPr="008937EB" w14:paraId="728381FD" w14:textId="77777777" w:rsidTr="00377237">
        <w:trPr>
          <w:trHeight w:val="260"/>
        </w:trPr>
        <w:tc>
          <w:tcPr>
            <w:tcW w:w="1443" w:type="dxa"/>
            <w:tcBorders>
              <w:top w:val="nil"/>
              <w:left w:val="nil"/>
              <w:bottom w:val="nil"/>
              <w:right w:val="nil"/>
            </w:tcBorders>
            <w:shd w:val="clear" w:color="auto" w:fill="auto"/>
            <w:noWrap/>
            <w:vAlign w:val="center"/>
            <w:hideMark/>
          </w:tcPr>
          <w:p w14:paraId="5663A5DD"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Serbia</w:t>
            </w:r>
          </w:p>
        </w:tc>
        <w:tc>
          <w:tcPr>
            <w:tcW w:w="1107" w:type="dxa"/>
            <w:tcBorders>
              <w:top w:val="nil"/>
              <w:left w:val="nil"/>
              <w:bottom w:val="nil"/>
              <w:right w:val="nil"/>
            </w:tcBorders>
            <w:shd w:val="clear" w:color="auto" w:fill="auto"/>
            <w:noWrap/>
            <w:vAlign w:val="center"/>
            <w:hideMark/>
          </w:tcPr>
          <w:p w14:paraId="47DEE407"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4CDECB1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106</w:t>
            </w:r>
          </w:p>
        </w:tc>
        <w:tc>
          <w:tcPr>
            <w:tcW w:w="1701" w:type="dxa"/>
            <w:tcBorders>
              <w:top w:val="nil"/>
              <w:left w:val="nil"/>
              <w:bottom w:val="nil"/>
              <w:right w:val="nil"/>
            </w:tcBorders>
            <w:shd w:val="clear" w:color="auto" w:fill="auto"/>
            <w:noWrap/>
            <w:vAlign w:val="center"/>
            <w:hideMark/>
          </w:tcPr>
          <w:p w14:paraId="1A22167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4.918</w:t>
            </w:r>
          </w:p>
        </w:tc>
        <w:tc>
          <w:tcPr>
            <w:tcW w:w="1562" w:type="dxa"/>
            <w:tcBorders>
              <w:top w:val="nil"/>
              <w:left w:val="nil"/>
              <w:bottom w:val="nil"/>
              <w:right w:val="nil"/>
            </w:tcBorders>
            <w:shd w:val="clear" w:color="auto" w:fill="auto"/>
            <w:noWrap/>
            <w:vAlign w:val="center"/>
            <w:hideMark/>
          </w:tcPr>
          <w:p w14:paraId="28C37B7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2,15%</w:t>
            </w:r>
          </w:p>
        </w:tc>
        <w:tc>
          <w:tcPr>
            <w:tcW w:w="1275" w:type="dxa"/>
            <w:vMerge w:val="restart"/>
            <w:tcBorders>
              <w:top w:val="nil"/>
              <w:left w:val="nil"/>
              <w:bottom w:val="single" w:sz="4" w:space="0" w:color="000000"/>
              <w:right w:val="nil"/>
            </w:tcBorders>
            <w:shd w:val="clear" w:color="auto" w:fill="auto"/>
            <w:noWrap/>
            <w:vAlign w:val="center"/>
            <w:hideMark/>
          </w:tcPr>
          <w:p w14:paraId="6E634CB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3,12%</w:t>
            </w:r>
          </w:p>
        </w:tc>
      </w:tr>
      <w:tr w:rsidR="001579BE" w:rsidRPr="008937EB" w14:paraId="7F90427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A1EC205"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Serbia</w:t>
            </w:r>
          </w:p>
        </w:tc>
        <w:tc>
          <w:tcPr>
            <w:tcW w:w="1107" w:type="dxa"/>
            <w:tcBorders>
              <w:top w:val="nil"/>
              <w:left w:val="nil"/>
              <w:bottom w:val="single" w:sz="4" w:space="0" w:color="auto"/>
              <w:right w:val="nil"/>
            </w:tcBorders>
            <w:shd w:val="clear" w:color="auto" w:fill="auto"/>
            <w:noWrap/>
            <w:vAlign w:val="center"/>
            <w:hideMark/>
          </w:tcPr>
          <w:p w14:paraId="4905FE1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5F10AF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48</w:t>
            </w:r>
          </w:p>
        </w:tc>
        <w:tc>
          <w:tcPr>
            <w:tcW w:w="1701" w:type="dxa"/>
            <w:tcBorders>
              <w:top w:val="nil"/>
              <w:left w:val="nil"/>
              <w:bottom w:val="single" w:sz="4" w:space="0" w:color="auto"/>
              <w:right w:val="nil"/>
            </w:tcBorders>
            <w:shd w:val="clear" w:color="auto" w:fill="auto"/>
            <w:noWrap/>
            <w:vAlign w:val="center"/>
            <w:hideMark/>
          </w:tcPr>
          <w:p w14:paraId="0B3DE34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4.918</w:t>
            </w:r>
          </w:p>
        </w:tc>
        <w:tc>
          <w:tcPr>
            <w:tcW w:w="1562" w:type="dxa"/>
            <w:tcBorders>
              <w:top w:val="nil"/>
              <w:left w:val="nil"/>
              <w:bottom w:val="single" w:sz="4" w:space="0" w:color="auto"/>
              <w:right w:val="nil"/>
            </w:tcBorders>
            <w:shd w:val="clear" w:color="auto" w:fill="auto"/>
            <w:noWrap/>
            <w:vAlign w:val="center"/>
            <w:hideMark/>
          </w:tcPr>
          <w:p w14:paraId="6044A37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0,97%</w:t>
            </w:r>
          </w:p>
        </w:tc>
        <w:tc>
          <w:tcPr>
            <w:tcW w:w="1275" w:type="dxa"/>
            <w:vMerge/>
            <w:tcBorders>
              <w:top w:val="nil"/>
              <w:left w:val="nil"/>
              <w:bottom w:val="single" w:sz="4" w:space="0" w:color="000000"/>
              <w:right w:val="nil"/>
            </w:tcBorders>
            <w:vAlign w:val="center"/>
            <w:hideMark/>
          </w:tcPr>
          <w:p w14:paraId="4440A895"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037D3040"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C53472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Singapur</w:t>
            </w:r>
          </w:p>
        </w:tc>
        <w:tc>
          <w:tcPr>
            <w:tcW w:w="1107" w:type="dxa"/>
            <w:tcBorders>
              <w:top w:val="nil"/>
              <w:left w:val="nil"/>
              <w:bottom w:val="single" w:sz="4" w:space="0" w:color="auto"/>
              <w:right w:val="nil"/>
            </w:tcBorders>
            <w:shd w:val="clear" w:color="auto" w:fill="auto"/>
            <w:noWrap/>
            <w:vAlign w:val="center"/>
            <w:hideMark/>
          </w:tcPr>
          <w:p w14:paraId="01DE186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05B3B2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06FA0EB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7.537</w:t>
            </w:r>
          </w:p>
        </w:tc>
        <w:tc>
          <w:tcPr>
            <w:tcW w:w="1562" w:type="dxa"/>
            <w:tcBorders>
              <w:top w:val="nil"/>
              <w:left w:val="nil"/>
              <w:bottom w:val="single" w:sz="4" w:space="0" w:color="auto"/>
              <w:right w:val="nil"/>
            </w:tcBorders>
            <w:shd w:val="clear" w:color="auto" w:fill="auto"/>
            <w:noWrap/>
            <w:vAlign w:val="center"/>
            <w:hideMark/>
          </w:tcPr>
          <w:p w14:paraId="4212182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tcBorders>
              <w:top w:val="nil"/>
              <w:left w:val="nil"/>
              <w:bottom w:val="single" w:sz="4" w:space="0" w:color="auto"/>
              <w:right w:val="nil"/>
            </w:tcBorders>
            <w:shd w:val="clear" w:color="auto" w:fill="auto"/>
            <w:noWrap/>
            <w:vAlign w:val="center"/>
            <w:hideMark/>
          </w:tcPr>
          <w:p w14:paraId="4B3676E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79C89F74"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4B0CC08"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Eslovaquia</w:t>
            </w:r>
          </w:p>
        </w:tc>
        <w:tc>
          <w:tcPr>
            <w:tcW w:w="1107" w:type="dxa"/>
            <w:tcBorders>
              <w:top w:val="nil"/>
              <w:left w:val="nil"/>
              <w:bottom w:val="single" w:sz="4" w:space="0" w:color="auto"/>
              <w:right w:val="nil"/>
            </w:tcBorders>
            <w:shd w:val="clear" w:color="auto" w:fill="auto"/>
            <w:noWrap/>
            <w:vAlign w:val="center"/>
            <w:hideMark/>
          </w:tcPr>
          <w:p w14:paraId="3D90455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62C207B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48AF6FF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151.337</w:t>
            </w:r>
          </w:p>
        </w:tc>
        <w:tc>
          <w:tcPr>
            <w:tcW w:w="1562" w:type="dxa"/>
            <w:tcBorders>
              <w:top w:val="nil"/>
              <w:left w:val="nil"/>
              <w:bottom w:val="single" w:sz="4" w:space="0" w:color="auto"/>
              <w:right w:val="nil"/>
            </w:tcBorders>
            <w:shd w:val="clear" w:color="auto" w:fill="auto"/>
            <w:noWrap/>
            <w:vAlign w:val="center"/>
            <w:hideMark/>
          </w:tcPr>
          <w:p w14:paraId="0D6656A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tcBorders>
              <w:top w:val="nil"/>
              <w:left w:val="nil"/>
              <w:bottom w:val="single" w:sz="4" w:space="0" w:color="auto"/>
              <w:right w:val="nil"/>
            </w:tcBorders>
            <w:shd w:val="clear" w:color="auto" w:fill="auto"/>
            <w:noWrap/>
            <w:vAlign w:val="center"/>
            <w:hideMark/>
          </w:tcPr>
          <w:p w14:paraId="2A181AC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2F570579"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09A30C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Eslovenia</w:t>
            </w:r>
          </w:p>
        </w:tc>
        <w:tc>
          <w:tcPr>
            <w:tcW w:w="1107" w:type="dxa"/>
            <w:tcBorders>
              <w:top w:val="nil"/>
              <w:left w:val="nil"/>
              <w:bottom w:val="single" w:sz="4" w:space="0" w:color="auto"/>
              <w:right w:val="nil"/>
            </w:tcBorders>
            <w:shd w:val="clear" w:color="auto" w:fill="auto"/>
            <w:noWrap/>
            <w:vAlign w:val="center"/>
            <w:hideMark/>
          </w:tcPr>
          <w:p w14:paraId="564F3ED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92B203D"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8.902</w:t>
            </w:r>
          </w:p>
        </w:tc>
        <w:tc>
          <w:tcPr>
            <w:tcW w:w="1701" w:type="dxa"/>
            <w:tcBorders>
              <w:top w:val="nil"/>
              <w:left w:val="nil"/>
              <w:bottom w:val="single" w:sz="4" w:space="0" w:color="auto"/>
              <w:right w:val="nil"/>
            </w:tcBorders>
            <w:shd w:val="clear" w:color="auto" w:fill="auto"/>
            <w:noWrap/>
            <w:vAlign w:val="center"/>
            <w:hideMark/>
          </w:tcPr>
          <w:p w14:paraId="4680A55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616.426</w:t>
            </w:r>
          </w:p>
        </w:tc>
        <w:tc>
          <w:tcPr>
            <w:tcW w:w="1562" w:type="dxa"/>
            <w:tcBorders>
              <w:top w:val="nil"/>
              <w:left w:val="nil"/>
              <w:bottom w:val="single" w:sz="4" w:space="0" w:color="auto"/>
              <w:right w:val="nil"/>
            </w:tcBorders>
            <w:shd w:val="clear" w:color="auto" w:fill="auto"/>
            <w:noWrap/>
            <w:vAlign w:val="center"/>
            <w:hideMark/>
          </w:tcPr>
          <w:p w14:paraId="5053EAF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1,44%</w:t>
            </w:r>
          </w:p>
        </w:tc>
        <w:tc>
          <w:tcPr>
            <w:tcW w:w="1275" w:type="dxa"/>
            <w:tcBorders>
              <w:top w:val="nil"/>
              <w:left w:val="nil"/>
              <w:bottom w:val="single" w:sz="4" w:space="0" w:color="auto"/>
              <w:right w:val="nil"/>
            </w:tcBorders>
            <w:shd w:val="clear" w:color="auto" w:fill="auto"/>
            <w:noWrap/>
            <w:vAlign w:val="center"/>
            <w:hideMark/>
          </w:tcPr>
          <w:p w14:paraId="3E6B242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1,44%</w:t>
            </w:r>
          </w:p>
        </w:tc>
      </w:tr>
      <w:tr w:rsidR="001579BE" w:rsidRPr="008937EB" w14:paraId="2F062B71" w14:textId="77777777" w:rsidTr="00377237">
        <w:trPr>
          <w:trHeight w:val="260"/>
        </w:trPr>
        <w:tc>
          <w:tcPr>
            <w:tcW w:w="1443" w:type="dxa"/>
            <w:tcBorders>
              <w:top w:val="nil"/>
              <w:left w:val="nil"/>
              <w:bottom w:val="nil"/>
              <w:right w:val="nil"/>
            </w:tcBorders>
            <w:shd w:val="clear" w:color="auto" w:fill="auto"/>
            <w:noWrap/>
            <w:vAlign w:val="center"/>
            <w:hideMark/>
          </w:tcPr>
          <w:p w14:paraId="3879BED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Sudáfrica</w:t>
            </w:r>
          </w:p>
        </w:tc>
        <w:tc>
          <w:tcPr>
            <w:tcW w:w="1107" w:type="dxa"/>
            <w:tcBorders>
              <w:top w:val="nil"/>
              <w:left w:val="nil"/>
              <w:bottom w:val="nil"/>
              <w:right w:val="nil"/>
            </w:tcBorders>
            <w:shd w:val="clear" w:color="auto" w:fill="auto"/>
            <w:noWrap/>
            <w:vAlign w:val="center"/>
            <w:hideMark/>
          </w:tcPr>
          <w:p w14:paraId="319BD7D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42B40562"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468</w:t>
            </w:r>
          </w:p>
        </w:tc>
        <w:tc>
          <w:tcPr>
            <w:tcW w:w="1701" w:type="dxa"/>
            <w:tcBorders>
              <w:top w:val="nil"/>
              <w:left w:val="nil"/>
              <w:bottom w:val="nil"/>
              <w:right w:val="nil"/>
            </w:tcBorders>
            <w:shd w:val="clear" w:color="auto" w:fill="auto"/>
            <w:noWrap/>
            <w:vAlign w:val="center"/>
            <w:hideMark/>
          </w:tcPr>
          <w:p w14:paraId="0F3F55E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20.238</w:t>
            </w:r>
          </w:p>
        </w:tc>
        <w:tc>
          <w:tcPr>
            <w:tcW w:w="1562" w:type="dxa"/>
            <w:tcBorders>
              <w:top w:val="nil"/>
              <w:left w:val="nil"/>
              <w:bottom w:val="nil"/>
              <w:right w:val="nil"/>
            </w:tcBorders>
            <w:shd w:val="clear" w:color="auto" w:fill="auto"/>
            <w:noWrap/>
            <w:vAlign w:val="center"/>
            <w:hideMark/>
          </w:tcPr>
          <w:p w14:paraId="0BCE1A9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2,31%</w:t>
            </w:r>
          </w:p>
        </w:tc>
        <w:tc>
          <w:tcPr>
            <w:tcW w:w="1275" w:type="dxa"/>
            <w:vMerge w:val="restart"/>
            <w:tcBorders>
              <w:top w:val="nil"/>
              <w:left w:val="nil"/>
              <w:bottom w:val="single" w:sz="4" w:space="0" w:color="000000"/>
              <w:right w:val="nil"/>
            </w:tcBorders>
            <w:shd w:val="clear" w:color="auto" w:fill="auto"/>
            <w:noWrap/>
            <w:vAlign w:val="center"/>
            <w:hideMark/>
          </w:tcPr>
          <w:p w14:paraId="7CDFC14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2,31%</w:t>
            </w:r>
          </w:p>
        </w:tc>
      </w:tr>
      <w:tr w:rsidR="001579BE" w:rsidRPr="008937EB" w14:paraId="61B5812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ABD4A85"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Sudáfrica</w:t>
            </w:r>
          </w:p>
        </w:tc>
        <w:tc>
          <w:tcPr>
            <w:tcW w:w="1107" w:type="dxa"/>
            <w:tcBorders>
              <w:top w:val="nil"/>
              <w:left w:val="nil"/>
              <w:bottom w:val="single" w:sz="4" w:space="0" w:color="auto"/>
              <w:right w:val="nil"/>
            </w:tcBorders>
            <w:shd w:val="clear" w:color="auto" w:fill="auto"/>
            <w:noWrap/>
            <w:vAlign w:val="center"/>
            <w:hideMark/>
          </w:tcPr>
          <w:p w14:paraId="6AE09A32"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5884DC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191B93A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20.238</w:t>
            </w:r>
          </w:p>
        </w:tc>
        <w:tc>
          <w:tcPr>
            <w:tcW w:w="1562" w:type="dxa"/>
            <w:tcBorders>
              <w:top w:val="nil"/>
              <w:left w:val="nil"/>
              <w:bottom w:val="single" w:sz="4" w:space="0" w:color="auto"/>
              <w:right w:val="nil"/>
            </w:tcBorders>
            <w:shd w:val="clear" w:color="auto" w:fill="auto"/>
            <w:noWrap/>
            <w:vAlign w:val="center"/>
            <w:hideMark/>
          </w:tcPr>
          <w:p w14:paraId="51FBF31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vMerge/>
            <w:tcBorders>
              <w:top w:val="nil"/>
              <w:left w:val="nil"/>
              <w:bottom w:val="single" w:sz="4" w:space="0" w:color="000000"/>
              <w:right w:val="nil"/>
            </w:tcBorders>
            <w:vAlign w:val="center"/>
            <w:hideMark/>
          </w:tcPr>
          <w:p w14:paraId="49A889A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4A37435D" w14:textId="77777777" w:rsidTr="00377237">
        <w:trPr>
          <w:trHeight w:val="260"/>
        </w:trPr>
        <w:tc>
          <w:tcPr>
            <w:tcW w:w="1443" w:type="dxa"/>
            <w:tcBorders>
              <w:top w:val="nil"/>
              <w:left w:val="nil"/>
              <w:bottom w:val="nil"/>
              <w:right w:val="nil"/>
            </w:tcBorders>
            <w:shd w:val="clear" w:color="auto" w:fill="auto"/>
            <w:noWrap/>
            <w:vAlign w:val="center"/>
            <w:hideMark/>
          </w:tcPr>
          <w:p w14:paraId="0B291CA0"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España</w:t>
            </w:r>
          </w:p>
        </w:tc>
        <w:tc>
          <w:tcPr>
            <w:tcW w:w="1107" w:type="dxa"/>
            <w:tcBorders>
              <w:top w:val="nil"/>
              <w:left w:val="nil"/>
              <w:bottom w:val="nil"/>
              <w:right w:val="nil"/>
            </w:tcBorders>
            <w:shd w:val="clear" w:color="auto" w:fill="auto"/>
            <w:noWrap/>
            <w:vAlign w:val="center"/>
            <w:hideMark/>
          </w:tcPr>
          <w:p w14:paraId="433BDCF9"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6A9914C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2.453.035</w:t>
            </w:r>
          </w:p>
        </w:tc>
        <w:tc>
          <w:tcPr>
            <w:tcW w:w="1701" w:type="dxa"/>
            <w:tcBorders>
              <w:top w:val="nil"/>
              <w:left w:val="nil"/>
              <w:bottom w:val="nil"/>
              <w:right w:val="nil"/>
            </w:tcBorders>
            <w:shd w:val="clear" w:color="auto" w:fill="auto"/>
            <w:noWrap/>
            <w:vAlign w:val="center"/>
            <w:hideMark/>
          </w:tcPr>
          <w:p w14:paraId="0DBFB5D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8.293.467</w:t>
            </w:r>
          </w:p>
        </w:tc>
        <w:tc>
          <w:tcPr>
            <w:tcW w:w="1562" w:type="dxa"/>
            <w:tcBorders>
              <w:top w:val="nil"/>
              <w:left w:val="nil"/>
              <w:bottom w:val="nil"/>
              <w:right w:val="nil"/>
            </w:tcBorders>
            <w:shd w:val="clear" w:color="auto" w:fill="auto"/>
            <w:noWrap/>
            <w:vAlign w:val="center"/>
            <w:hideMark/>
          </w:tcPr>
          <w:p w14:paraId="0EB0E4B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29,58%</w:t>
            </w:r>
          </w:p>
        </w:tc>
        <w:tc>
          <w:tcPr>
            <w:tcW w:w="1275" w:type="dxa"/>
            <w:vMerge w:val="restart"/>
            <w:tcBorders>
              <w:top w:val="nil"/>
              <w:left w:val="nil"/>
              <w:bottom w:val="single" w:sz="4" w:space="0" w:color="000000"/>
              <w:right w:val="nil"/>
            </w:tcBorders>
            <w:shd w:val="clear" w:color="auto" w:fill="auto"/>
            <w:noWrap/>
            <w:vAlign w:val="center"/>
            <w:hideMark/>
          </w:tcPr>
          <w:p w14:paraId="3343C70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29,96%</w:t>
            </w:r>
          </w:p>
        </w:tc>
      </w:tr>
      <w:tr w:rsidR="001579BE" w:rsidRPr="008937EB" w14:paraId="3A669611"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45202F3C"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España</w:t>
            </w:r>
          </w:p>
        </w:tc>
        <w:tc>
          <w:tcPr>
            <w:tcW w:w="1107" w:type="dxa"/>
            <w:tcBorders>
              <w:top w:val="nil"/>
              <w:left w:val="nil"/>
              <w:bottom w:val="single" w:sz="4" w:space="0" w:color="auto"/>
              <w:right w:val="nil"/>
            </w:tcBorders>
            <w:shd w:val="clear" w:color="auto" w:fill="auto"/>
            <w:noWrap/>
            <w:vAlign w:val="center"/>
            <w:hideMark/>
          </w:tcPr>
          <w:p w14:paraId="7EC0F29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4B26F32E"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31.369</w:t>
            </w:r>
          </w:p>
        </w:tc>
        <w:tc>
          <w:tcPr>
            <w:tcW w:w="1701" w:type="dxa"/>
            <w:tcBorders>
              <w:top w:val="nil"/>
              <w:left w:val="nil"/>
              <w:bottom w:val="single" w:sz="4" w:space="0" w:color="auto"/>
              <w:right w:val="nil"/>
            </w:tcBorders>
            <w:shd w:val="clear" w:color="auto" w:fill="auto"/>
            <w:noWrap/>
            <w:vAlign w:val="center"/>
            <w:hideMark/>
          </w:tcPr>
          <w:p w14:paraId="304BF644"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8.293.467</w:t>
            </w:r>
          </w:p>
        </w:tc>
        <w:tc>
          <w:tcPr>
            <w:tcW w:w="1562" w:type="dxa"/>
            <w:tcBorders>
              <w:top w:val="nil"/>
              <w:left w:val="nil"/>
              <w:bottom w:val="single" w:sz="4" w:space="0" w:color="auto"/>
              <w:right w:val="nil"/>
            </w:tcBorders>
            <w:shd w:val="clear" w:color="auto" w:fill="auto"/>
            <w:noWrap/>
            <w:vAlign w:val="center"/>
            <w:hideMark/>
          </w:tcPr>
          <w:p w14:paraId="6D335E46"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0,38%</w:t>
            </w:r>
          </w:p>
        </w:tc>
        <w:tc>
          <w:tcPr>
            <w:tcW w:w="1275" w:type="dxa"/>
            <w:vMerge/>
            <w:tcBorders>
              <w:top w:val="nil"/>
              <w:left w:val="nil"/>
              <w:bottom w:val="single" w:sz="4" w:space="0" w:color="000000"/>
              <w:right w:val="nil"/>
            </w:tcBorders>
            <w:vAlign w:val="center"/>
            <w:hideMark/>
          </w:tcPr>
          <w:p w14:paraId="66B49FE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79F32856"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C97D269"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Suecia</w:t>
            </w:r>
          </w:p>
        </w:tc>
        <w:tc>
          <w:tcPr>
            <w:tcW w:w="1107" w:type="dxa"/>
            <w:tcBorders>
              <w:top w:val="nil"/>
              <w:left w:val="nil"/>
              <w:bottom w:val="single" w:sz="4" w:space="0" w:color="auto"/>
              <w:right w:val="nil"/>
            </w:tcBorders>
            <w:shd w:val="clear" w:color="auto" w:fill="auto"/>
            <w:noWrap/>
            <w:vAlign w:val="center"/>
            <w:hideMark/>
          </w:tcPr>
          <w:p w14:paraId="376FBD84"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54C653B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1.029</w:t>
            </w:r>
          </w:p>
        </w:tc>
        <w:tc>
          <w:tcPr>
            <w:tcW w:w="1701" w:type="dxa"/>
            <w:tcBorders>
              <w:top w:val="nil"/>
              <w:left w:val="nil"/>
              <w:bottom w:val="single" w:sz="4" w:space="0" w:color="auto"/>
              <w:right w:val="nil"/>
            </w:tcBorders>
            <w:shd w:val="clear" w:color="auto" w:fill="auto"/>
            <w:noWrap/>
            <w:vAlign w:val="center"/>
            <w:hideMark/>
          </w:tcPr>
          <w:p w14:paraId="5786300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45.732</w:t>
            </w:r>
          </w:p>
        </w:tc>
        <w:tc>
          <w:tcPr>
            <w:tcW w:w="1562" w:type="dxa"/>
            <w:tcBorders>
              <w:top w:val="nil"/>
              <w:left w:val="nil"/>
              <w:bottom w:val="single" w:sz="4" w:space="0" w:color="auto"/>
              <w:right w:val="nil"/>
            </w:tcBorders>
            <w:shd w:val="clear" w:color="auto" w:fill="auto"/>
            <w:noWrap/>
            <w:vAlign w:val="center"/>
            <w:hideMark/>
          </w:tcPr>
          <w:p w14:paraId="51ED5E4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2,25%</w:t>
            </w:r>
          </w:p>
        </w:tc>
        <w:tc>
          <w:tcPr>
            <w:tcW w:w="1275" w:type="dxa"/>
            <w:tcBorders>
              <w:top w:val="nil"/>
              <w:left w:val="nil"/>
              <w:bottom w:val="single" w:sz="4" w:space="0" w:color="auto"/>
              <w:right w:val="nil"/>
            </w:tcBorders>
            <w:shd w:val="clear" w:color="auto" w:fill="auto"/>
            <w:noWrap/>
            <w:vAlign w:val="center"/>
            <w:hideMark/>
          </w:tcPr>
          <w:p w14:paraId="1A4591B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2,25%</w:t>
            </w:r>
          </w:p>
        </w:tc>
      </w:tr>
      <w:tr w:rsidR="001579BE" w:rsidRPr="008937EB" w14:paraId="62CAFA49"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005F60C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Suiza</w:t>
            </w:r>
          </w:p>
        </w:tc>
        <w:tc>
          <w:tcPr>
            <w:tcW w:w="1107" w:type="dxa"/>
            <w:tcBorders>
              <w:top w:val="nil"/>
              <w:left w:val="nil"/>
              <w:bottom w:val="single" w:sz="4" w:space="0" w:color="auto"/>
              <w:right w:val="nil"/>
            </w:tcBorders>
            <w:shd w:val="clear" w:color="auto" w:fill="auto"/>
            <w:noWrap/>
            <w:vAlign w:val="center"/>
            <w:hideMark/>
          </w:tcPr>
          <w:p w14:paraId="66119886"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C1536C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0</w:t>
            </w:r>
          </w:p>
        </w:tc>
        <w:tc>
          <w:tcPr>
            <w:tcW w:w="1701" w:type="dxa"/>
            <w:tcBorders>
              <w:top w:val="nil"/>
              <w:left w:val="nil"/>
              <w:bottom w:val="single" w:sz="4" w:space="0" w:color="auto"/>
              <w:right w:val="nil"/>
            </w:tcBorders>
            <w:shd w:val="clear" w:color="auto" w:fill="auto"/>
            <w:noWrap/>
            <w:vAlign w:val="center"/>
            <w:hideMark/>
          </w:tcPr>
          <w:p w14:paraId="64E3604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158.251</w:t>
            </w:r>
          </w:p>
        </w:tc>
        <w:tc>
          <w:tcPr>
            <w:tcW w:w="1562" w:type="dxa"/>
            <w:tcBorders>
              <w:top w:val="nil"/>
              <w:left w:val="nil"/>
              <w:bottom w:val="single" w:sz="4" w:space="0" w:color="auto"/>
              <w:right w:val="nil"/>
            </w:tcBorders>
            <w:shd w:val="clear" w:color="auto" w:fill="auto"/>
            <w:noWrap/>
            <w:vAlign w:val="center"/>
            <w:hideMark/>
          </w:tcPr>
          <w:p w14:paraId="01F2A5B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tcBorders>
              <w:top w:val="nil"/>
              <w:left w:val="nil"/>
              <w:bottom w:val="single" w:sz="4" w:space="0" w:color="auto"/>
              <w:right w:val="nil"/>
            </w:tcBorders>
            <w:shd w:val="clear" w:color="auto" w:fill="auto"/>
            <w:noWrap/>
            <w:vAlign w:val="center"/>
            <w:hideMark/>
          </w:tcPr>
          <w:p w14:paraId="54CD4B3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3CAC5205"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1FF09EAF"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Siria</w:t>
            </w:r>
          </w:p>
        </w:tc>
        <w:tc>
          <w:tcPr>
            <w:tcW w:w="1107" w:type="dxa"/>
            <w:tcBorders>
              <w:top w:val="nil"/>
              <w:left w:val="nil"/>
              <w:bottom w:val="single" w:sz="4" w:space="0" w:color="auto"/>
              <w:right w:val="nil"/>
            </w:tcBorders>
            <w:shd w:val="clear" w:color="auto" w:fill="auto"/>
            <w:noWrap/>
            <w:vAlign w:val="center"/>
            <w:hideMark/>
          </w:tcPr>
          <w:p w14:paraId="6D046315"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C5A0FB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9.150</w:t>
            </w:r>
          </w:p>
        </w:tc>
        <w:tc>
          <w:tcPr>
            <w:tcW w:w="1701" w:type="dxa"/>
            <w:tcBorders>
              <w:top w:val="nil"/>
              <w:left w:val="nil"/>
              <w:bottom w:val="single" w:sz="4" w:space="0" w:color="auto"/>
              <w:right w:val="nil"/>
            </w:tcBorders>
            <w:shd w:val="clear" w:color="auto" w:fill="auto"/>
            <w:noWrap/>
            <w:vAlign w:val="center"/>
            <w:hideMark/>
          </w:tcPr>
          <w:p w14:paraId="0619DFB0"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124.348</w:t>
            </w:r>
          </w:p>
        </w:tc>
        <w:tc>
          <w:tcPr>
            <w:tcW w:w="1562" w:type="dxa"/>
            <w:tcBorders>
              <w:top w:val="nil"/>
              <w:left w:val="nil"/>
              <w:bottom w:val="single" w:sz="4" w:space="0" w:color="auto"/>
              <w:right w:val="nil"/>
            </w:tcBorders>
            <w:shd w:val="clear" w:color="auto" w:fill="auto"/>
            <w:noWrap/>
            <w:vAlign w:val="center"/>
            <w:hideMark/>
          </w:tcPr>
          <w:p w14:paraId="29A70E3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7,36%</w:t>
            </w:r>
          </w:p>
        </w:tc>
        <w:tc>
          <w:tcPr>
            <w:tcW w:w="1275" w:type="dxa"/>
            <w:tcBorders>
              <w:top w:val="nil"/>
              <w:left w:val="nil"/>
              <w:bottom w:val="single" w:sz="4" w:space="0" w:color="auto"/>
              <w:right w:val="nil"/>
            </w:tcBorders>
            <w:shd w:val="clear" w:color="auto" w:fill="auto"/>
            <w:noWrap/>
            <w:vAlign w:val="center"/>
            <w:hideMark/>
          </w:tcPr>
          <w:p w14:paraId="08DA604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7,36%</w:t>
            </w:r>
          </w:p>
        </w:tc>
      </w:tr>
      <w:tr w:rsidR="001579BE" w:rsidRPr="008937EB" w14:paraId="470DE0B5"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9D35592"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Tayikistán</w:t>
            </w:r>
          </w:p>
        </w:tc>
        <w:tc>
          <w:tcPr>
            <w:tcW w:w="1107" w:type="dxa"/>
            <w:tcBorders>
              <w:top w:val="nil"/>
              <w:left w:val="nil"/>
              <w:bottom w:val="single" w:sz="4" w:space="0" w:color="auto"/>
              <w:right w:val="nil"/>
            </w:tcBorders>
            <w:shd w:val="clear" w:color="auto" w:fill="auto"/>
            <w:noWrap/>
            <w:vAlign w:val="center"/>
            <w:hideMark/>
          </w:tcPr>
          <w:p w14:paraId="7B868E0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74031055"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38</w:t>
            </w:r>
          </w:p>
        </w:tc>
        <w:tc>
          <w:tcPr>
            <w:tcW w:w="1701" w:type="dxa"/>
            <w:tcBorders>
              <w:top w:val="nil"/>
              <w:left w:val="nil"/>
              <w:bottom w:val="single" w:sz="4" w:space="0" w:color="auto"/>
              <w:right w:val="nil"/>
            </w:tcBorders>
            <w:shd w:val="clear" w:color="auto" w:fill="auto"/>
            <w:noWrap/>
            <w:vAlign w:val="center"/>
            <w:hideMark/>
          </w:tcPr>
          <w:p w14:paraId="349687D6"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28.976</w:t>
            </w:r>
          </w:p>
        </w:tc>
        <w:tc>
          <w:tcPr>
            <w:tcW w:w="1562" w:type="dxa"/>
            <w:tcBorders>
              <w:top w:val="nil"/>
              <w:left w:val="nil"/>
              <w:bottom w:val="single" w:sz="4" w:space="0" w:color="auto"/>
              <w:right w:val="nil"/>
            </w:tcBorders>
            <w:shd w:val="clear" w:color="auto" w:fill="auto"/>
            <w:noWrap/>
            <w:vAlign w:val="center"/>
            <w:hideMark/>
          </w:tcPr>
          <w:p w14:paraId="0DE5F96F"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0,13%</w:t>
            </w:r>
          </w:p>
        </w:tc>
        <w:tc>
          <w:tcPr>
            <w:tcW w:w="1275" w:type="dxa"/>
            <w:tcBorders>
              <w:top w:val="nil"/>
              <w:left w:val="nil"/>
              <w:bottom w:val="single" w:sz="4" w:space="0" w:color="auto"/>
              <w:right w:val="nil"/>
            </w:tcBorders>
            <w:shd w:val="clear" w:color="auto" w:fill="auto"/>
            <w:noWrap/>
            <w:vAlign w:val="center"/>
            <w:hideMark/>
          </w:tcPr>
          <w:p w14:paraId="4A9EBEE3"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0,13%</w:t>
            </w:r>
          </w:p>
        </w:tc>
      </w:tr>
      <w:tr w:rsidR="001579BE" w:rsidRPr="008937EB" w14:paraId="103B44BD"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7A725C36"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Túnez</w:t>
            </w:r>
          </w:p>
        </w:tc>
        <w:tc>
          <w:tcPr>
            <w:tcW w:w="1107" w:type="dxa"/>
            <w:tcBorders>
              <w:top w:val="nil"/>
              <w:left w:val="nil"/>
              <w:bottom w:val="single" w:sz="4" w:space="0" w:color="auto"/>
              <w:right w:val="nil"/>
            </w:tcBorders>
            <w:shd w:val="clear" w:color="auto" w:fill="auto"/>
            <w:noWrap/>
            <w:vAlign w:val="center"/>
            <w:hideMark/>
          </w:tcPr>
          <w:p w14:paraId="1048895E"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49CA977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453.262</w:t>
            </w:r>
          </w:p>
        </w:tc>
        <w:tc>
          <w:tcPr>
            <w:tcW w:w="1701" w:type="dxa"/>
            <w:tcBorders>
              <w:top w:val="nil"/>
              <w:left w:val="nil"/>
              <w:bottom w:val="single" w:sz="4" w:space="0" w:color="auto"/>
              <w:right w:val="nil"/>
            </w:tcBorders>
            <w:shd w:val="clear" w:color="auto" w:fill="auto"/>
            <w:noWrap/>
            <w:vAlign w:val="center"/>
            <w:hideMark/>
          </w:tcPr>
          <w:p w14:paraId="7C21928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994.144</w:t>
            </w:r>
          </w:p>
        </w:tc>
        <w:tc>
          <w:tcPr>
            <w:tcW w:w="1562" w:type="dxa"/>
            <w:tcBorders>
              <w:top w:val="nil"/>
              <w:left w:val="nil"/>
              <w:bottom w:val="single" w:sz="4" w:space="0" w:color="auto"/>
              <w:right w:val="nil"/>
            </w:tcBorders>
            <w:shd w:val="clear" w:color="auto" w:fill="auto"/>
            <w:noWrap/>
            <w:vAlign w:val="center"/>
            <w:hideMark/>
          </w:tcPr>
          <w:p w14:paraId="2EFF7799"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45,59%</w:t>
            </w:r>
          </w:p>
        </w:tc>
        <w:tc>
          <w:tcPr>
            <w:tcW w:w="1275" w:type="dxa"/>
            <w:tcBorders>
              <w:top w:val="nil"/>
              <w:left w:val="nil"/>
              <w:bottom w:val="single" w:sz="4" w:space="0" w:color="auto"/>
              <w:right w:val="nil"/>
            </w:tcBorders>
            <w:shd w:val="clear" w:color="auto" w:fill="auto"/>
            <w:noWrap/>
            <w:vAlign w:val="center"/>
            <w:hideMark/>
          </w:tcPr>
          <w:p w14:paraId="199BFCBB"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45,59%</w:t>
            </w:r>
          </w:p>
        </w:tc>
      </w:tr>
      <w:tr w:rsidR="001579BE" w:rsidRPr="008937EB" w14:paraId="37B8057E" w14:textId="77777777" w:rsidTr="00377237">
        <w:trPr>
          <w:trHeight w:val="260"/>
        </w:trPr>
        <w:tc>
          <w:tcPr>
            <w:tcW w:w="1443" w:type="dxa"/>
            <w:tcBorders>
              <w:top w:val="nil"/>
              <w:left w:val="nil"/>
              <w:bottom w:val="nil"/>
              <w:right w:val="nil"/>
            </w:tcBorders>
            <w:shd w:val="clear" w:color="auto" w:fill="auto"/>
            <w:noWrap/>
            <w:vAlign w:val="center"/>
            <w:hideMark/>
          </w:tcPr>
          <w:p w14:paraId="4CC8BFF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Turquía</w:t>
            </w:r>
          </w:p>
        </w:tc>
        <w:tc>
          <w:tcPr>
            <w:tcW w:w="1107" w:type="dxa"/>
            <w:tcBorders>
              <w:top w:val="nil"/>
              <w:left w:val="nil"/>
              <w:bottom w:val="nil"/>
              <w:right w:val="nil"/>
            </w:tcBorders>
            <w:shd w:val="clear" w:color="auto" w:fill="auto"/>
            <w:noWrap/>
            <w:vAlign w:val="center"/>
            <w:hideMark/>
          </w:tcPr>
          <w:p w14:paraId="4C79D84D"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796BCCD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1.003.954</w:t>
            </w:r>
          </w:p>
        </w:tc>
        <w:tc>
          <w:tcPr>
            <w:tcW w:w="1701" w:type="dxa"/>
            <w:tcBorders>
              <w:top w:val="nil"/>
              <w:left w:val="nil"/>
              <w:bottom w:val="nil"/>
              <w:right w:val="nil"/>
            </w:tcBorders>
            <w:shd w:val="clear" w:color="auto" w:fill="auto"/>
            <w:noWrap/>
            <w:vAlign w:val="center"/>
            <w:hideMark/>
          </w:tcPr>
          <w:p w14:paraId="379DA61A"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2.303.899</w:t>
            </w:r>
          </w:p>
        </w:tc>
        <w:tc>
          <w:tcPr>
            <w:tcW w:w="1562" w:type="dxa"/>
            <w:tcBorders>
              <w:top w:val="nil"/>
              <w:left w:val="nil"/>
              <w:bottom w:val="nil"/>
              <w:right w:val="nil"/>
            </w:tcBorders>
            <w:shd w:val="clear" w:color="auto" w:fill="auto"/>
            <w:noWrap/>
            <w:vAlign w:val="center"/>
            <w:hideMark/>
          </w:tcPr>
          <w:p w14:paraId="35F9F934"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43,58%</w:t>
            </w:r>
          </w:p>
        </w:tc>
        <w:tc>
          <w:tcPr>
            <w:tcW w:w="1275" w:type="dxa"/>
            <w:vMerge w:val="restart"/>
            <w:tcBorders>
              <w:top w:val="nil"/>
              <w:left w:val="nil"/>
              <w:bottom w:val="single" w:sz="4" w:space="0" w:color="000000"/>
              <w:right w:val="nil"/>
            </w:tcBorders>
            <w:shd w:val="clear" w:color="auto" w:fill="auto"/>
            <w:noWrap/>
            <w:vAlign w:val="center"/>
            <w:hideMark/>
          </w:tcPr>
          <w:p w14:paraId="51DA1DDA"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77,71%</w:t>
            </w:r>
          </w:p>
        </w:tc>
      </w:tr>
      <w:tr w:rsidR="001579BE" w:rsidRPr="008937EB" w14:paraId="7F541657"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9B78FB0"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Turquía</w:t>
            </w:r>
          </w:p>
        </w:tc>
        <w:tc>
          <w:tcPr>
            <w:tcW w:w="1107" w:type="dxa"/>
            <w:tcBorders>
              <w:top w:val="nil"/>
              <w:left w:val="nil"/>
              <w:bottom w:val="single" w:sz="4" w:space="0" w:color="auto"/>
              <w:right w:val="nil"/>
            </w:tcBorders>
            <w:shd w:val="clear" w:color="auto" w:fill="auto"/>
            <w:noWrap/>
            <w:vAlign w:val="center"/>
            <w:hideMark/>
          </w:tcPr>
          <w:p w14:paraId="02100F69"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3D2BD2A9"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786.308</w:t>
            </w:r>
          </w:p>
        </w:tc>
        <w:tc>
          <w:tcPr>
            <w:tcW w:w="1701" w:type="dxa"/>
            <w:tcBorders>
              <w:top w:val="nil"/>
              <w:left w:val="nil"/>
              <w:bottom w:val="single" w:sz="4" w:space="0" w:color="auto"/>
              <w:right w:val="nil"/>
            </w:tcBorders>
            <w:shd w:val="clear" w:color="auto" w:fill="auto"/>
            <w:noWrap/>
            <w:vAlign w:val="center"/>
            <w:hideMark/>
          </w:tcPr>
          <w:p w14:paraId="553D7AF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2.303.899</w:t>
            </w:r>
          </w:p>
        </w:tc>
        <w:tc>
          <w:tcPr>
            <w:tcW w:w="1562" w:type="dxa"/>
            <w:tcBorders>
              <w:top w:val="nil"/>
              <w:left w:val="nil"/>
              <w:bottom w:val="single" w:sz="4" w:space="0" w:color="auto"/>
              <w:right w:val="nil"/>
            </w:tcBorders>
            <w:shd w:val="clear" w:color="auto" w:fill="auto"/>
            <w:noWrap/>
            <w:vAlign w:val="center"/>
            <w:hideMark/>
          </w:tcPr>
          <w:p w14:paraId="32A3DB02"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34,13%</w:t>
            </w:r>
          </w:p>
        </w:tc>
        <w:tc>
          <w:tcPr>
            <w:tcW w:w="1275" w:type="dxa"/>
            <w:vMerge/>
            <w:tcBorders>
              <w:top w:val="nil"/>
              <w:left w:val="nil"/>
              <w:bottom w:val="single" w:sz="4" w:space="0" w:color="000000"/>
              <w:right w:val="nil"/>
            </w:tcBorders>
            <w:vAlign w:val="center"/>
            <w:hideMark/>
          </w:tcPr>
          <w:p w14:paraId="53159DD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0344BEB5"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57EA096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Emiratos Árabes</w:t>
            </w:r>
          </w:p>
        </w:tc>
        <w:tc>
          <w:tcPr>
            <w:tcW w:w="1107" w:type="dxa"/>
            <w:tcBorders>
              <w:top w:val="nil"/>
              <w:left w:val="nil"/>
              <w:bottom w:val="single" w:sz="4" w:space="0" w:color="auto"/>
              <w:right w:val="nil"/>
            </w:tcBorders>
            <w:shd w:val="clear" w:color="auto" w:fill="auto"/>
            <w:noWrap/>
            <w:vAlign w:val="center"/>
            <w:hideMark/>
          </w:tcPr>
          <w:p w14:paraId="4876BF28"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0E90311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236</w:t>
            </w:r>
          </w:p>
        </w:tc>
        <w:tc>
          <w:tcPr>
            <w:tcW w:w="1701" w:type="dxa"/>
            <w:tcBorders>
              <w:top w:val="nil"/>
              <w:left w:val="nil"/>
              <w:bottom w:val="single" w:sz="4" w:space="0" w:color="auto"/>
              <w:right w:val="nil"/>
            </w:tcBorders>
            <w:shd w:val="clear" w:color="auto" w:fill="auto"/>
            <w:noWrap/>
            <w:vAlign w:val="center"/>
            <w:hideMark/>
          </w:tcPr>
          <w:p w14:paraId="4CB8AEE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656.765</w:t>
            </w:r>
          </w:p>
        </w:tc>
        <w:tc>
          <w:tcPr>
            <w:tcW w:w="1562" w:type="dxa"/>
            <w:tcBorders>
              <w:top w:val="nil"/>
              <w:left w:val="nil"/>
              <w:bottom w:val="single" w:sz="4" w:space="0" w:color="auto"/>
              <w:right w:val="nil"/>
            </w:tcBorders>
            <w:shd w:val="clear" w:color="auto" w:fill="auto"/>
            <w:noWrap/>
            <w:vAlign w:val="center"/>
            <w:hideMark/>
          </w:tcPr>
          <w:p w14:paraId="641AA271"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0,04%</w:t>
            </w:r>
          </w:p>
        </w:tc>
        <w:tc>
          <w:tcPr>
            <w:tcW w:w="1275" w:type="dxa"/>
            <w:tcBorders>
              <w:top w:val="nil"/>
              <w:left w:val="nil"/>
              <w:bottom w:val="single" w:sz="4" w:space="0" w:color="auto"/>
              <w:right w:val="nil"/>
            </w:tcBorders>
            <w:shd w:val="clear" w:color="auto" w:fill="auto"/>
            <w:noWrap/>
            <w:vAlign w:val="center"/>
            <w:hideMark/>
          </w:tcPr>
          <w:p w14:paraId="6CD6B0A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0,04%</w:t>
            </w:r>
          </w:p>
        </w:tc>
      </w:tr>
      <w:tr w:rsidR="001579BE" w:rsidRPr="008937EB" w14:paraId="2D79AEC7" w14:textId="77777777" w:rsidTr="00377237">
        <w:trPr>
          <w:trHeight w:val="260"/>
        </w:trPr>
        <w:tc>
          <w:tcPr>
            <w:tcW w:w="1443" w:type="dxa"/>
            <w:tcBorders>
              <w:top w:val="nil"/>
              <w:left w:val="nil"/>
              <w:bottom w:val="nil"/>
              <w:right w:val="nil"/>
            </w:tcBorders>
            <w:shd w:val="clear" w:color="auto" w:fill="auto"/>
            <w:noWrap/>
            <w:vAlign w:val="center"/>
            <w:hideMark/>
          </w:tcPr>
          <w:p w14:paraId="7F54E1E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Reino Unido</w:t>
            </w:r>
          </w:p>
        </w:tc>
        <w:tc>
          <w:tcPr>
            <w:tcW w:w="1107" w:type="dxa"/>
            <w:tcBorders>
              <w:top w:val="nil"/>
              <w:left w:val="nil"/>
              <w:bottom w:val="nil"/>
              <w:right w:val="nil"/>
            </w:tcBorders>
            <w:shd w:val="clear" w:color="auto" w:fill="auto"/>
            <w:noWrap/>
            <w:vAlign w:val="center"/>
            <w:hideMark/>
          </w:tcPr>
          <w:p w14:paraId="766BEF1A"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nil"/>
              <w:right w:val="nil"/>
            </w:tcBorders>
            <w:shd w:val="clear" w:color="auto" w:fill="auto"/>
            <w:noWrap/>
            <w:vAlign w:val="center"/>
            <w:hideMark/>
          </w:tcPr>
          <w:p w14:paraId="25C0BD9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649.277</w:t>
            </w:r>
          </w:p>
        </w:tc>
        <w:tc>
          <w:tcPr>
            <w:tcW w:w="1701" w:type="dxa"/>
            <w:tcBorders>
              <w:top w:val="nil"/>
              <w:left w:val="nil"/>
              <w:bottom w:val="nil"/>
              <w:right w:val="nil"/>
            </w:tcBorders>
            <w:shd w:val="clear" w:color="auto" w:fill="auto"/>
            <w:noWrap/>
            <w:vAlign w:val="center"/>
            <w:hideMark/>
          </w:tcPr>
          <w:p w14:paraId="6E364183"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2.619.711</w:t>
            </w:r>
          </w:p>
        </w:tc>
        <w:tc>
          <w:tcPr>
            <w:tcW w:w="1562" w:type="dxa"/>
            <w:tcBorders>
              <w:top w:val="nil"/>
              <w:left w:val="nil"/>
              <w:bottom w:val="nil"/>
              <w:right w:val="nil"/>
            </w:tcBorders>
            <w:shd w:val="clear" w:color="auto" w:fill="auto"/>
            <w:noWrap/>
            <w:vAlign w:val="center"/>
            <w:hideMark/>
          </w:tcPr>
          <w:p w14:paraId="327C41DE"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24,78%</w:t>
            </w:r>
          </w:p>
        </w:tc>
        <w:tc>
          <w:tcPr>
            <w:tcW w:w="1275" w:type="dxa"/>
            <w:vMerge w:val="restart"/>
            <w:tcBorders>
              <w:top w:val="nil"/>
              <w:left w:val="nil"/>
              <w:bottom w:val="single" w:sz="4" w:space="0" w:color="000000"/>
              <w:right w:val="nil"/>
            </w:tcBorders>
            <w:shd w:val="clear" w:color="auto" w:fill="auto"/>
            <w:noWrap/>
            <w:vAlign w:val="center"/>
            <w:hideMark/>
          </w:tcPr>
          <w:p w14:paraId="63F79E1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26,38%</w:t>
            </w:r>
          </w:p>
        </w:tc>
      </w:tr>
      <w:tr w:rsidR="001579BE" w:rsidRPr="008937EB" w14:paraId="563E454A"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3032E5E1"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Reino Unido</w:t>
            </w:r>
          </w:p>
        </w:tc>
        <w:tc>
          <w:tcPr>
            <w:tcW w:w="1107" w:type="dxa"/>
            <w:tcBorders>
              <w:top w:val="nil"/>
              <w:left w:val="nil"/>
              <w:bottom w:val="single" w:sz="4" w:space="0" w:color="auto"/>
              <w:right w:val="nil"/>
            </w:tcBorders>
            <w:shd w:val="clear" w:color="auto" w:fill="auto"/>
            <w:noWrap/>
            <w:vAlign w:val="center"/>
            <w:hideMark/>
          </w:tcPr>
          <w:p w14:paraId="2BA9BD8F"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single" w:sz="4" w:space="0" w:color="auto"/>
              <w:right w:val="nil"/>
            </w:tcBorders>
            <w:shd w:val="clear" w:color="auto" w:fill="auto"/>
            <w:noWrap/>
            <w:vAlign w:val="center"/>
            <w:hideMark/>
          </w:tcPr>
          <w:p w14:paraId="29D9E21B"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41.673</w:t>
            </w:r>
          </w:p>
        </w:tc>
        <w:tc>
          <w:tcPr>
            <w:tcW w:w="1701" w:type="dxa"/>
            <w:tcBorders>
              <w:top w:val="nil"/>
              <w:left w:val="nil"/>
              <w:bottom w:val="single" w:sz="4" w:space="0" w:color="auto"/>
              <w:right w:val="nil"/>
            </w:tcBorders>
            <w:shd w:val="clear" w:color="auto" w:fill="auto"/>
            <w:noWrap/>
            <w:vAlign w:val="center"/>
            <w:hideMark/>
          </w:tcPr>
          <w:p w14:paraId="26C3E068"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2.619.711</w:t>
            </w:r>
          </w:p>
        </w:tc>
        <w:tc>
          <w:tcPr>
            <w:tcW w:w="1562" w:type="dxa"/>
            <w:tcBorders>
              <w:top w:val="nil"/>
              <w:left w:val="nil"/>
              <w:bottom w:val="single" w:sz="4" w:space="0" w:color="auto"/>
              <w:right w:val="nil"/>
            </w:tcBorders>
            <w:shd w:val="clear" w:color="auto" w:fill="auto"/>
            <w:noWrap/>
            <w:vAlign w:val="center"/>
            <w:hideMark/>
          </w:tcPr>
          <w:p w14:paraId="4384AAE8"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1,59%</w:t>
            </w:r>
          </w:p>
        </w:tc>
        <w:tc>
          <w:tcPr>
            <w:tcW w:w="1275" w:type="dxa"/>
            <w:vMerge/>
            <w:tcBorders>
              <w:top w:val="nil"/>
              <w:left w:val="nil"/>
              <w:bottom w:val="single" w:sz="4" w:space="0" w:color="000000"/>
              <w:right w:val="nil"/>
            </w:tcBorders>
            <w:vAlign w:val="center"/>
            <w:hideMark/>
          </w:tcPr>
          <w:p w14:paraId="539D57C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p>
        </w:tc>
      </w:tr>
      <w:tr w:rsidR="001579BE" w:rsidRPr="008937EB" w14:paraId="689DBC6F" w14:textId="77777777" w:rsidTr="00377237">
        <w:trPr>
          <w:trHeight w:val="260"/>
        </w:trPr>
        <w:tc>
          <w:tcPr>
            <w:tcW w:w="1443" w:type="dxa"/>
            <w:tcBorders>
              <w:top w:val="nil"/>
              <w:left w:val="nil"/>
              <w:bottom w:val="single" w:sz="4" w:space="0" w:color="auto"/>
              <w:right w:val="nil"/>
            </w:tcBorders>
            <w:shd w:val="clear" w:color="auto" w:fill="auto"/>
            <w:noWrap/>
            <w:vAlign w:val="center"/>
            <w:hideMark/>
          </w:tcPr>
          <w:p w14:paraId="2DF4FE5A"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EE.UU.</w:t>
            </w:r>
          </w:p>
        </w:tc>
        <w:tc>
          <w:tcPr>
            <w:tcW w:w="1107" w:type="dxa"/>
            <w:tcBorders>
              <w:top w:val="nil"/>
              <w:left w:val="nil"/>
              <w:bottom w:val="single" w:sz="4" w:space="0" w:color="auto"/>
              <w:right w:val="nil"/>
            </w:tcBorders>
            <w:shd w:val="clear" w:color="auto" w:fill="auto"/>
            <w:noWrap/>
            <w:vAlign w:val="center"/>
            <w:hideMark/>
          </w:tcPr>
          <w:p w14:paraId="2ACE8DB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Ucrania</w:t>
            </w:r>
          </w:p>
        </w:tc>
        <w:tc>
          <w:tcPr>
            <w:tcW w:w="1417" w:type="dxa"/>
            <w:tcBorders>
              <w:top w:val="nil"/>
              <w:left w:val="nil"/>
              <w:bottom w:val="single" w:sz="4" w:space="0" w:color="auto"/>
              <w:right w:val="nil"/>
            </w:tcBorders>
            <w:shd w:val="clear" w:color="auto" w:fill="auto"/>
            <w:noWrap/>
            <w:vAlign w:val="center"/>
            <w:hideMark/>
          </w:tcPr>
          <w:p w14:paraId="511EDF0C"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3</w:t>
            </w:r>
          </w:p>
        </w:tc>
        <w:tc>
          <w:tcPr>
            <w:tcW w:w="1701" w:type="dxa"/>
            <w:tcBorders>
              <w:top w:val="nil"/>
              <w:left w:val="nil"/>
              <w:bottom w:val="single" w:sz="4" w:space="0" w:color="auto"/>
              <w:right w:val="nil"/>
            </w:tcBorders>
            <w:shd w:val="clear" w:color="auto" w:fill="auto"/>
            <w:noWrap/>
            <w:vAlign w:val="center"/>
            <w:hideMark/>
          </w:tcPr>
          <w:p w14:paraId="285FB317"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651.524</w:t>
            </w:r>
          </w:p>
        </w:tc>
        <w:tc>
          <w:tcPr>
            <w:tcW w:w="1562" w:type="dxa"/>
            <w:tcBorders>
              <w:top w:val="nil"/>
              <w:left w:val="nil"/>
              <w:bottom w:val="single" w:sz="4" w:space="0" w:color="auto"/>
              <w:right w:val="nil"/>
            </w:tcBorders>
            <w:shd w:val="clear" w:color="auto" w:fill="auto"/>
            <w:noWrap/>
            <w:vAlign w:val="center"/>
            <w:hideMark/>
          </w:tcPr>
          <w:p w14:paraId="7A664A20"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c>
          <w:tcPr>
            <w:tcW w:w="1275" w:type="dxa"/>
            <w:tcBorders>
              <w:top w:val="nil"/>
              <w:left w:val="nil"/>
              <w:bottom w:val="single" w:sz="4" w:space="0" w:color="auto"/>
              <w:right w:val="nil"/>
            </w:tcBorders>
            <w:shd w:val="clear" w:color="auto" w:fill="auto"/>
            <w:noWrap/>
            <w:vAlign w:val="center"/>
            <w:hideMark/>
          </w:tcPr>
          <w:p w14:paraId="4136A67C"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0,00%</w:t>
            </w:r>
          </w:p>
        </w:tc>
      </w:tr>
      <w:tr w:rsidR="001579BE" w:rsidRPr="008937EB" w14:paraId="264CAB7D" w14:textId="77777777" w:rsidTr="00377237">
        <w:trPr>
          <w:trHeight w:val="260"/>
        </w:trPr>
        <w:tc>
          <w:tcPr>
            <w:tcW w:w="1443" w:type="dxa"/>
            <w:tcBorders>
              <w:top w:val="nil"/>
              <w:left w:val="nil"/>
              <w:bottom w:val="nil"/>
              <w:right w:val="nil"/>
            </w:tcBorders>
            <w:shd w:val="clear" w:color="auto" w:fill="auto"/>
            <w:noWrap/>
            <w:vAlign w:val="center"/>
            <w:hideMark/>
          </w:tcPr>
          <w:p w14:paraId="0652E2EB" w14:textId="77777777" w:rsidR="001579BE" w:rsidRPr="008937EB" w:rsidRDefault="001579BE" w:rsidP="00377237">
            <w:pPr>
              <w:spacing w:after="0" w:line="240" w:lineRule="auto"/>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Viet</w:t>
            </w:r>
            <w:r>
              <w:rPr>
                <w:rFonts w:ascii="Times New Roman" w:eastAsia="Times New Roman" w:hAnsi="Times New Roman" w:cs="Times New Roman"/>
                <w:color w:val="000000"/>
                <w:sz w:val="20"/>
                <w:szCs w:val="20"/>
                <w:lang w:eastAsia="es-ES"/>
              </w:rPr>
              <w:t>n</w:t>
            </w:r>
            <w:r w:rsidRPr="008937EB">
              <w:rPr>
                <w:rFonts w:ascii="Times New Roman" w:eastAsia="Times New Roman" w:hAnsi="Times New Roman" w:cs="Times New Roman"/>
                <w:color w:val="000000"/>
                <w:sz w:val="20"/>
                <w:szCs w:val="20"/>
                <w:lang w:eastAsia="es-ES"/>
              </w:rPr>
              <w:t>am</w:t>
            </w:r>
          </w:p>
        </w:tc>
        <w:tc>
          <w:tcPr>
            <w:tcW w:w="1107" w:type="dxa"/>
            <w:tcBorders>
              <w:top w:val="nil"/>
              <w:left w:val="nil"/>
              <w:bottom w:val="nil"/>
              <w:right w:val="nil"/>
            </w:tcBorders>
            <w:shd w:val="clear" w:color="auto" w:fill="auto"/>
            <w:noWrap/>
            <w:vAlign w:val="center"/>
            <w:hideMark/>
          </w:tcPr>
          <w:p w14:paraId="34D7F6C3" w14:textId="77777777" w:rsidR="001579BE" w:rsidRPr="008937EB" w:rsidRDefault="001579BE" w:rsidP="00377237">
            <w:pPr>
              <w:spacing w:after="0" w:line="240" w:lineRule="auto"/>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Rusia</w:t>
            </w:r>
          </w:p>
        </w:tc>
        <w:tc>
          <w:tcPr>
            <w:tcW w:w="1417" w:type="dxa"/>
            <w:tcBorders>
              <w:top w:val="nil"/>
              <w:left w:val="nil"/>
              <w:bottom w:val="nil"/>
              <w:right w:val="nil"/>
            </w:tcBorders>
            <w:shd w:val="clear" w:color="auto" w:fill="auto"/>
            <w:noWrap/>
            <w:vAlign w:val="center"/>
            <w:hideMark/>
          </w:tcPr>
          <w:p w14:paraId="5C2262D1"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110.541</w:t>
            </w:r>
          </w:p>
        </w:tc>
        <w:tc>
          <w:tcPr>
            <w:tcW w:w="1701" w:type="dxa"/>
            <w:tcBorders>
              <w:top w:val="nil"/>
              <w:left w:val="nil"/>
              <w:bottom w:val="nil"/>
              <w:right w:val="nil"/>
            </w:tcBorders>
            <w:shd w:val="clear" w:color="auto" w:fill="auto"/>
            <w:noWrap/>
            <w:vAlign w:val="center"/>
            <w:hideMark/>
          </w:tcPr>
          <w:p w14:paraId="2E35CCCF" w14:textId="77777777" w:rsidR="001579BE" w:rsidRPr="008937EB" w:rsidRDefault="001579BE" w:rsidP="00377237">
            <w:pPr>
              <w:spacing w:after="0" w:line="240" w:lineRule="auto"/>
              <w:jc w:val="right"/>
              <w:rPr>
                <w:rFonts w:ascii="Times New Roman" w:eastAsia="Times New Roman" w:hAnsi="Times New Roman" w:cs="Times New Roman"/>
                <w:sz w:val="20"/>
                <w:szCs w:val="20"/>
                <w:lang w:eastAsia="es-ES"/>
              </w:rPr>
            </w:pPr>
            <w:r w:rsidRPr="008937EB">
              <w:rPr>
                <w:rFonts w:ascii="Times New Roman" w:eastAsia="Times New Roman" w:hAnsi="Times New Roman" w:cs="Times New Roman"/>
                <w:sz w:val="20"/>
                <w:szCs w:val="20"/>
                <w:lang w:eastAsia="es-ES"/>
              </w:rPr>
              <w:t>10.603.518</w:t>
            </w:r>
          </w:p>
        </w:tc>
        <w:tc>
          <w:tcPr>
            <w:tcW w:w="1562" w:type="dxa"/>
            <w:tcBorders>
              <w:top w:val="nil"/>
              <w:left w:val="nil"/>
              <w:bottom w:val="nil"/>
              <w:right w:val="nil"/>
            </w:tcBorders>
            <w:shd w:val="clear" w:color="auto" w:fill="auto"/>
            <w:noWrap/>
            <w:vAlign w:val="center"/>
            <w:hideMark/>
          </w:tcPr>
          <w:p w14:paraId="60FEF5B7"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1,04%</w:t>
            </w:r>
          </w:p>
        </w:tc>
        <w:tc>
          <w:tcPr>
            <w:tcW w:w="1275" w:type="dxa"/>
            <w:tcBorders>
              <w:top w:val="nil"/>
              <w:left w:val="nil"/>
              <w:bottom w:val="nil"/>
              <w:right w:val="nil"/>
            </w:tcBorders>
            <w:shd w:val="clear" w:color="auto" w:fill="auto"/>
            <w:noWrap/>
            <w:vAlign w:val="center"/>
            <w:hideMark/>
          </w:tcPr>
          <w:p w14:paraId="3025697D" w14:textId="77777777" w:rsidR="001579BE" w:rsidRPr="008937EB" w:rsidRDefault="001579BE" w:rsidP="00377237">
            <w:pPr>
              <w:spacing w:after="0" w:line="240" w:lineRule="auto"/>
              <w:jc w:val="right"/>
              <w:rPr>
                <w:rFonts w:ascii="Times New Roman" w:eastAsia="Times New Roman" w:hAnsi="Times New Roman" w:cs="Times New Roman"/>
                <w:color w:val="000000"/>
                <w:sz w:val="20"/>
                <w:szCs w:val="20"/>
                <w:lang w:eastAsia="es-ES"/>
              </w:rPr>
            </w:pPr>
            <w:r w:rsidRPr="008937EB">
              <w:rPr>
                <w:rFonts w:ascii="Times New Roman" w:eastAsia="Times New Roman" w:hAnsi="Times New Roman" w:cs="Times New Roman"/>
                <w:color w:val="000000"/>
                <w:sz w:val="20"/>
                <w:szCs w:val="20"/>
                <w:lang w:eastAsia="es-ES"/>
              </w:rPr>
              <w:t>1,04%</w:t>
            </w:r>
          </w:p>
        </w:tc>
      </w:tr>
    </w:tbl>
    <w:p w14:paraId="5CE93A6D" w14:textId="77777777" w:rsidR="001579BE" w:rsidRPr="00AF4C90" w:rsidRDefault="001579BE" w:rsidP="00CD1DDC">
      <w:pPr>
        <w:spacing w:line="360" w:lineRule="auto"/>
        <w:jc w:val="both"/>
        <w:rPr>
          <w:sz w:val="24"/>
          <w:szCs w:val="24"/>
        </w:rPr>
      </w:pPr>
    </w:p>
    <w:sectPr w:rsidR="001579BE" w:rsidRPr="00AF4C90" w:rsidSect="003E7F86">
      <w:footerReference w:type="default" r:id="rId8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635B8" w14:textId="77777777" w:rsidR="00964559" w:rsidRDefault="00964559" w:rsidP="003E7F86">
      <w:pPr>
        <w:spacing w:after="0" w:line="240" w:lineRule="auto"/>
      </w:pPr>
      <w:r>
        <w:separator/>
      </w:r>
    </w:p>
  </w:endnote>
  <w:endnote w:type="continuationSeparator" w:id="0">
    <w:p w14:paraId="02E5A2E6" w14:textId="77777777" w:rsidR="00964559" w:rsidRDefault="00964559" w:rsidP="003E7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Pr>
      <w:id w:val="-1674027347"/>
      <w:docPartObj>
        <w:docPartGallery w:val="Page Numbers (Bottom of Page)"/>
        <w:docPartUnique/>
      </w:docPartObj>
    </w:sdtPr>
    <w:sdtContent>
      <w:p w14:paraId="62BBED30" w14:textId="268BA6AF" w:rsidR="003E7F86" w:rsidRPr="003E7F86" w:rsidRDefault="003E7F86">
        <w:pPr>
          <w:pStyle w:val="Piedepgina"/>
          <w:jc w:val="right"/>
          <w:rPr>
            <w:rFonts w:asciiTheme="majorBidi" w:hAnsiTheme="majorBidi" w:cstheme="majorBidi"/>
            <w:sz w:val="24"/>
            <w:szCs w:val="24"/>
          </w:rPr>
        </w:pPr>
        <w:r w:rsidRPr="003E7F86">
          <w:rPr>
            <w:rFonts w:asciiTheme="majorBidi" w:hAnsiTheme="majorBidi" w:cstheme="majorBidi"/>
            <w:sz w:val="24"/>
            <w:szCs w:val="24"/>
          </w:rPr>
          <w:fldChar w:fldCharType="begin"/>
        </w:r>
        <w:r w:rsidRPr="003E7F86">
          <w:rPr>
            <w:rFonts w:asciiTheme="majorBidi" w:hAnsiTheme="majorBidi" w:cstheme="majorBidi"/>
            <w:sz w:val="24"/>
            <w:szCs w:val="24"/>
          </w:rPr>
          <w:instrText>PAGE   \* MERGEFORMAT</w:instrText>
        </w:r>
        <w:r w:rsidRPr="003E7F86">
          <w:rPr>
            <w:rFonts w:asciiTheme="majorBidi" w:hAnsiTheme="majorBidi" w:cstheme="majorBidi"/>
            <w:sz w:val="24"/>
            <w:szCs w:val="24"/>
          </w:rPr>
          <w:fldChar w:fldCharType="separate"/>
        </w:r>
        <w:r w:rsidRPr="003E7F86">
          <w:rPr>
            <w:rFonts w:asciiTheme="majorBidi" w:hAnsiTheme="majorBidi" w:cstheme="majorBidi"/>
            <w:sz w:val="24"/>
            <w:szCs w:val="24"/>
          </w:rPr>
          <w:t>2</w:t>
        </w:r>
        <w:r w:rsidRPr="003E7F86">
          <w:rPr>
            <w:rFonts w:asciiTheme="majorBidi" w:hAnsiTheme="majorBidi" w:cstheme="majorBidi"/>
            <w:sz w:val="24"/>
            <w:szCs w:val="24"/>
          </w:rPr>
          <w:fldChar w:fldCharType="end"/>
        </w:r>
      </w:p>
    </w:sdtContent>
  </w:sdt>
  <w:p w14:paraId="2499E0DE" w14:textId="77777777" w:rsidR="003E7F86" w:rsidRDefault="003E7F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A76B6" w14:textId="77777777" w:rsidR="00964559" w:rsidRDefault="00964559" w:rsidP="003E7F86">
      <w:pPr>
        <w:spacing w:after="0" w:line="240" w:lineRule="auto"/>
      </w:pPr>
      <w:r>
        <w:separator/>
      </w:r>
    </w:p>
  </w:footnote>
  <w:footnote w:type="continuationSeparator" w:id="0">
    <w:p w14:paraId="7FDC9E37" w14:textId="77777777" w:rsidR="00964559" w:rsidRDefault="00964559" w:rsidP="003E7F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83323"/>
    <w:multiLevelType w:val="hybridMultilevel"/>
    <w:tmpl w:val="D3505BB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FA193A"/>
    <w:multiLevelType w:val="multilevel"/>
    <w:tmpl w:val="FA9849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7D3491F"/>
    <w:multiLevelType w:val="multilevel"/>
    <w:tmpl w:val="7B6C4F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8C465A5"/>
    <w:multiLevelType w:val="multilevel"/>
    <w:tmpl w:val="7B6C4F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9517359"/>
    <w:multiLevelType w:val="multilevel"/>
    <w:tmpl w:val="7B6C4F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68053852">
    <w:abstractNumId w:val="3"/>
  </w:num>
  <w:num w:numId="2" w16cid:durableId="138084621">
    <w:abstractNumId w:val="0"/>
  </w:num>
  <w:num w:numId="3" w16cid:durableId="1383670961">
    <w:abstractNumId w:val="1"/>
  </w:num>
  <w:num w:numId="4" w16cid:durableId="573584861">
    <w:abstractNumId w:val="2"/>
  </w:num>
  <w:num w:numId="5" w16cid:durableId="53261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8EF"/>
    <w:rsid w:val="00004DF2"/>
    <w:rsid w:val="0000527C"/>
    <w:rsid w:val="0001003C"/>
    <w:rsid w:val="00014B3D"/>
    <w:rsid w:val="0001518E"/>
    <w:rsid w:val="00020A4F"/>
    <w:rsid w:val="00022F3B"/>
    <w:rsid w:val="00023A6E"/>
    <w:rsid w:val="000243A3"/>
    <w:rsid w:val="00024560"/>
    <w:rsid w:val="000357B9"/>
    <w:rsid w:val="00035AD9"/>
    <w:rsid w:val="0004193D"/>
    <w:rsid w:val="0004367A"/>
    <w:rsid w:val="00050E94"/>
    <w:rsid w:val="00053D7D"/>
    <w:rsid w:val="00053F47"/>
    <w:rsid w:val="00057054"/>
    <w:rsid w:val="00060018"/>
    <w:rsid w:val="0006016D"/>
    <w:rsid w:val="000621DA"/>
    <w:rsid w:val="00066566"/>
    <w:rsid w:val="000712F4"/>
    <w:rsid w:val="000733D1"/>
    <w:rsid w:val="00074853"/>
    <w:rsid w:val="00075167"/>
    <w:rsid w:val="0007519E"/>
    <w:rsid w:val="00083879"/>
    <w:rsid w:val="00092B74"/>
    <w:rsid w:val="000938E6"/>
    <w:rsid w:val="0009454F"/>
    <w:rsid w:val="000A3F66"/>
    <w:rsid w:val="000A5A74"/>
    <w:rsid w:val="000B4862"/>
    <w:rsid w:val="000B5A87"/>
    <w:rsid w:val="000B60D4"/>
    <w:rsid w:val="000C5C86"/>
    <w:rsid w:val="000D5729"/>
    <w:rsid w:val="000E082E"/>
    <w:rsid w:val="000E54D0"/>
    <w:rsid w:val="000F028C"/>
    <w:rsid w:val="000F32BC"/>
    <w:rsid w:val="000F33B9"/>
    <w:rsid w:val="000F3CCB"/>
    <w:rsid w:val="000F3DBC"/>
    <w:rsid w:val="000F59DD"/>
    <w:rsid w:val="0010033F"/>
    <w:rsid w:val="0010063E"/>
    <w:rsid w:val="00107644"/>
    <w:rsid w:val="001207CA"/>
    <w:rsid w:val="0012438E"/>
    <w:rsid w:val="00124B15"/>
    <w:rsid w:val="00125579"/>
    <w:rsid w:val="0013257A"/>
    <w:rsid w:val="0013345E"/>
    <w:rsid w:val="001340FE"/>
    <w:rsid w:val="001342E2"/>
    <w:rsid w:val="00140277"/>
    <w:rsid w:val="001416F1"/>
    <w:rsid w:val="0015293A"/>
    <w:rsid w:val="0015762F"/>
    <w:rsid w:val="001579BE"/>
    <w:rsid w:val="00157D41"/>
    <w:rsid w:val="00163049"/>
    <w:rsid w:val="00163777"/>
    <w:rsid w:val="0016670B"/>
    <w:rsid w:val="00166C52"/>
    <w:rsid w:val="00170C7D"/>
    <w:rsid w:val="0017124B"/>
    <w:rsid w:val="00171FD0"/>
    <w:rsid w:val="001756BC"/>
    <w:rsid w:val="001816F6"/>
    <w:rsid w:val="00183176"/>
    <w:rsid w:val="001852CE"/>
    <w:rsid w:val="00185C75"/>
    <w:rsid w:val="001971A1"/>
    <w:rsid w:val="001A0D00"/>
    <w:rsid w:val="001A2C2C"/>
    <w:rsid w:val="001B4420"/>
    <w:rsid w:val="001C1DBF"/>
    <w:rsid w:val="001C6175"/>
    <w:rsid w:val="001C6ED4"/>
    <w:rsid w:val="001C7385"/>
    <w:rsid w:val="001D7568"/>
    <w:rsid w:val="001F56FA"/>
    <w:rsid w:val="001F7B72"/>
    <w:rsid w:val="00200642"/>
    <w:rsid w:val="00203701"/>
    <w:rsid w:val="00204560"/>
    <w:rsid w:val="00206785"/>
    <w:rsid w:val="002110EA"/>
    <w:rsid w:val="002116CD"/>
    <w:rsid w:val="00214F54"/>
    <w:rsid w:val="002252DC"/>
    <w:rsid w:val="00225CB5"/>
    <w:rsid w:val="002317F4"/>
    <w:rsid w:val="0023662F"/>
    <w:rsid w:val="002408EF"/>
    <w:rsid w:val="00240B9A"/>
    <w:rsid w:val="002472B4"/>
    <w:rsid w:val="002503CD"/>
    <w:rsid w:val="00256314"/>
    <w:rsid w:val="0025713C"/>
    <w:rsid w:val="002614F3"/>
    <w:rsid w:val="00273173"/>
    <w:rsid w:val="00274A99"/>
    <w:rsid w:val="00277379"/>
    <w:rsid w:val="00277A44"/>
    <w:rsid w:val="0028090C"/>
    <w:rsid w:val="00286455"/>
    <w:rsid w:val="00286793"/>
    <w:rsid w:val="00286E01"/>
    <w:rsid w:val="0028797D"/>
    <w:rsid w:val="00290BD2"/>
    <w:rsid w:val="002917AE"/>
    <w:rsid w:val="00291CCB"/>
    <w:rsid w:val="00293133"/>
    <w:rsid w:val="00293138"/>
    <w:rsid w:val="002935CD"/>
    <w:rsid w:val="00293C18"/>
    <w:rsid w:val="00295430"/>
    <w:rsid w:val="002A3C95"/>
    <w:rsid w:val="002A401D"/>
    <w:rsid w:val="002B0122"/>
    <w:rsid w:val="002B2C80"/>
    <w:rsid w:val="002B3426"/>
    <w:rsid w:val="002B34E2"/>
    <w:rsid w:val="002B53F1"/>
    <w:rsid w:val="002B7D1D"/>
    <w:rsid w:val="002C3850"/>
    <w:rsid w:val="002C709F"/>
    <w:rsid w:val="002C7DC7"/>
    <w:rsid w:val="002D04D3"/>
    <w:rsid w:val="002D4C60"/>
    <w:rsid w:val="002D546F"/>
    <w:rsid w:val="002E0E7C"/>
    <w:rsid w:val="002E5C23"/>
    <w:rsid w:val="002F1772"/>
    <w:rsid w:val="002F5AA0"/>
    <w:rsid w:val="003034BE"/>
    <w:rsid w:val="00304358"/>
    <w:rsid w:val="003133CA"/>
    <w:rsid w:val="00313C78"/>
    <w:rsid w:val="00315372"/>
    <w:rsid w:val="003158CD"/>
    <w:rsid w:val="00316914"/>
    <w:rsid w:val="003239AF"/>
    <w:rsid w:val="00326631"/>
    <w:rsid w:val="0032699A"/>
    <w:rsid w:val="003308E2"/>
    <w:rsid w:val="0033399D"/>
    <w:rsid w:val="003342D6"/>
    <w:rsid w:val="0033683E"/>
    <w:rsid w:val="00337E38"/>
    <w:rsid w:val="00347D32"/>
    <w:rsid w:val="00351AF3"/>
    <w:rsid w:val="00352DC8"/>
    <w:rsid w:val="0036026E"/>
    <w:rsid w:val="0037111F"/>
    <w:rsid w:val="00372129"/>
    <w:rsid w:val="00373B85"/>
    <w:rsid w:val="00377E73"/>
    <w:rsid w:val="00380388"/>
    <w:rsid w:val="00380B88"/>
    <w:rsid w:val="0038618C"/>
    <w:rsid w:val="00387CFB"/>
    <w:rsid w:val="00393D34"/>
    <w:rsid w:val="003971B1"/>
    <w:rsid w:val="003A25D1"/>
    <w:rsid w:val="003A4BFA"/>
    <w:rsid w:val="003A4C95"/>
    <w:rsid w:val="003B1477"/>
    <w:rsid w:val="003B1C67"/>
    <w:rsid w:val="003B6817"/>
    <w:rsid w:val="003C1DE9"/>
    <w:rsid w:val="003C2825"/>
    <w:rsid w:val="003C39BF"/>
    <w:rsid w:val="003C3E2F"/>
    <w:rsid w:val="003C756A"/>
    <w:rsid w:val="003D19C3"/>
    <w:rsid w:val="003D4DD8"/>
    <w:rsid w:val="003D6367"/>
    <w:rsid w:val="003E19BE"/>
    <w:rsid w:val="003E48F9"/>
    <w:rsid w:val="003E7F86"/>
    <w:rsid w:val="003F489D"/>
    <w:rsid w:val="00400AB8"/>
    <w:rsid w:val="00401AD9"/>
    <w:rsid w:val="00401E06"/>
    <w:rsid w:val="00402446"/>
    <w:rsid w:val="00412499"/>
    <w:rsid w:val="00412975"/>
    <w:rsid w:val="00412A32"/>
    <w:rsid w:val="004142EE"/>
    <w:rsid w:val="004170F4"/>
    <w:rsid w:val="00420360"/>
    <w:rsid w:val="00420B42"/>
    <w:rsid w:val="00421850"/>
    <w:rsid w:val="004257E9"/>
    <w:rsid w:val="00427F53"/>
    <w:rsid w:val="00430124"/>
    <w:rsid w:val="0043465E"/>
    <w:rsid w:val="00436471"/>
    <w:rsid w:val="0044057C"/>
    <w:rsid w:val="00444978"/>
    <w:rsid w:val="00444BE8"/>
    <w:rsid w:val="00444F66"/>
    <w:rsid w:val="004460E2"/>
    <w:rsid w:val="00452344"/>
    <w:rsid w:val="00452CB2"/>
    <w:rsid w:val="00453997"/>
    <w:rsid w:val="00455558"/>
    <w:rsid w:val="00463683"/>
    <w:rsid w:val="004644EF"/>
    <w:rsid w:val="004819B5"/>
    <w:rsid w:val="00484EC5"/>
    <w:rsid w:val="00486BE8"/>
    <w:rsid w:val="004913D0"/>
    <w:rsid w:val="00491E94"/>
    <w:rsid w:val="004933D2"/>
    <w:rsid w:val="00494494"/>
    <w:rsid w:val="00496ABD"/>
    <w:rsid w:val="004A06F9"/>
    <w:rsid w:val="004B0C90"/>
    <w:rsid w:val="004B5B38"/>
    <w:rsid w:val="004B65F9"/>
    <w:rsid w:val="004B665F"/>
    <w:rsid w:val="004B6F95"/>
    <w:rsid w:val="004B75D7"/>
    <w:rsid w:val="004C1E4E"/>
    <w:rsid w:val="004C54B0"/>
    <w:rsid w:val="004C5B07"/>
    <w:rsid w:val="004D0813"/>
    <w:rsid w:val="004D0E97"/>
    <w:rsid w:val="004D41EB"/>
    <w:rsid w:val="004D6D53"/>
    <w:rsid w:val="004E11B2"/>
    <w:rsid w:val="004E2661"/>
    <w:rsid w:val="004E5027"/>
    <w:rsid w:val="004E7670"/>
    <w:rsid w:val="004F1800"/>
    <w:rsid w:val="00501370"/>
    <w:rsid w:val="005055F1"/>
    <w:rsid w:val="00507400"/>
    <w:rsid w:val="00512F1E"/>
    <w:rsid w:val="005148A4"/>
    <w:rsid w:val="00516120"/>
    <w:rsid w:val="00517C59"/>
    <w:rsid w:val="00523945"/>
    <w:rsid w:val="005259E3"/>
    <w:rsid w:val="0053079B"/>
    <w:rsid w:val="005308EE"/>
    <w:rsid w:val="00535DCE"/>
    <w:rsid w:val="00542271"/>
    <w:rsid w:val="00551CDF"/>
    <w:rsid w:val="00552D8E"/>
    <w:rsid w:val="00562426"/>
    <w:rsid w:val="0056296F"/>
    <w:rsid w:val="0056354F"/>
    <w:rsid w:val="005652B9"/>
    <w:rsid w:val="00565A57"/>
    <w:rsid w:val="00570A12"/>
    <w:rsid w:val="00571C7E"/>
    <w:rsid w:val="00573ABB"/>
    <w:rsid w:val="00573BB5"/>
    <w:rsid w:val="00590074"/>
    <w:rsid w:val="005906CE"/>
    <w:rsid w:val="00591049"/>
    <w:rsid w:val="005925DE"/>
    <w:rsid w:val="00595210"/>
    <w:rsid w:val="005A1A9D"/>
    <w:rsid w:val="005B15EF"/>
    <w:rsid w:val="005B2462"/>
    <w:rsid w:val="005C1B6E"/>
    <w:rsid w:val="005C3310"/>
    <w:rsid w:val="005C3FAB"/>
    <w:rsid w:val="005D01A2"/>
    <w:rsid w:val="005D541F"/>
    <w:rsid w:val="005D6B7E"/>
    <w:rsid w:val="005E2B2F"/>
    <w:rsid w:val="005E4554"/>
    <w:rsid w:val="005E5AB6"/>
    <w:rsid w:val="005E602C"/>
    <w:rsid w:val="005F1B65"/>
    <w:rsid w:val="005F2A99"/>
    <w:rsid w:val="005F5DB3"/>
    <w:rsid w:val="006059AE"/>
    <w:rsid w:val="006153BF"/>
    <w:rsid w:val="006262DF"/>
    <w:rsid w:val="006375AA"/>
    <w:rsid w:val="00637998"/>
    <w:rsid w:val="0064215E"/>
    <w:rsid w:val="00642B51"/>
    <w:rsid w:val="0064549C"/>
    <w:rsid w:val="00645CFC"/>
    <w:rsid w:val="00646081"/>
    <w:rsid w:val="00650914"/>
    <w:rsid w:val="0065735E"/>
    <w:rsid w:val="00657A28"/>
    <w:rsid w:val="00661AF1"/>
    <w:rsid w:val="006645DB"/>
    <w:rsid w:val="00665E81"/>
    <w:rsid w:val="0068320C"/>
    <w:rsid w:val="00687AB2"/>
    <w:rsid w:val="00692A14"/>
    <w:rsid w:val="00692EAE"/>
    <w:rsid w:val="00696693"/>
    <w:rsid w:val="006A5073"/>
    <w:rsid w:val="006A7538"/>
    <w:rsid w:val="006B0944"/>
    <w:rsid w:val="006B6804"/>
    <w:rsid w:val="006C1F92"/>
    <w:rsid w:val="006C7C3D"/>
    <w:rsid w:val="006D09E2"/>
    <w:rsid w:val="006D1B47"/>
    <w:rsid w:val="006D20F9"/>
    <w:rsid w:val="006D79BC"/>
    <w:rsid w:val="006E66D8"/>
    <w:rsid w:val="006E71DE"/>
    <w:rsid w:val="006F09DF"/>
    <w:rsid w:val="006F0E20"/>
    <w:rsid w:val="006F27A2"/>
    <w:rsid w:val="006F529B"/>
    <w:rsid w:val="00707675"/>
    <w:rsid w:val="00712196"/>
    <w:rsid w:val="00712849"/>
    <w:rsid w:val="00716536"/>
    <w:rsid w:val="00721848"/>
    <w:rsid w:val="00726D01"/>
    <w:rsid w:val="00727703"/>
    <w:rsid w:val="00733084"/>
    <w:rsid w:val="00734FF7"/>
    <w:rsid w:val="007355B2"/>
    <w:rsid w:val="00736FA7"/>
    <w:rsid w:val="0074073E"/>
    <w:rsid w:val="00745715"/>
    <w:rsid w:val="0075244A"/>
    <w:rsid w:val="00752B1B"/>
    <w:rsid w:val="007538F5"/>
    <w:rsid w:val="0075391F"/>
    <w:rsid w:val="00756A21"/>
    <w:rsid w:val="00757F1A"/>
    <w:rsid w:val="00781EC8"/>
    <w:rsid w:val="00783686"/>
    <w:rsid w:val="00790F14"/>
    <w:rsid w:val="00791CC8"/>
    <w:rsid w:val="00796CA8"/>
    <w:rsid w:val="00797CD7"/>
    <w:rsid w:val="007A3156"/>
    <w:rsid w:val="007A3847"/>
    <w:rsid w:val="007B1099"/>
    <w:rsid w:val="007B1164"/>
    <w:rsid w:val="007B13B4"/>
    <w:rsid w:val="007B1F87"/>
    <w:rsid w:val="007B251E"/>
    <w:rsid w:val="007B3EF2"/>
    <w:rsid w:val="007B585D"/>
    <w:rsid w:val="007B6E81"/>
    <w:rsid w:val="007B7473"/>
    <w:rsid w:val="007B7693"/>
    <w:rsid w:val="007B78F9"/>
    <w:rsid w:val="007C3485"/>
    <w:rsid w:val="007C54BD"/>
    <w:rsid w:val="007C7667"/>
    <w:rsid w:val="007C7C67"/>
    <w:rsid w:val="007D085E"/>
    <w:rsid w:val="007D2BB6"/>
    <w:rsid w:val="007D5BD2"/>
    <w:rsid w:val="007E0239"/>
    <w:rsid w:val="007E1FEB"/>
    <w:rsid w:val="007F0C04"/>
    <w:rsid w:val="007F0FD5"/>
    <w:rsid w:val="007F11BB"/>
    <w:rsid w:val="007F1669"/>
    <w:rsid w:val="007F5B1F"/>
    <w:rsid w:val="00800803"/>
    <w:rsid w:val="00804384"/>
    <w:rsid w:val="00804D12"/>
    <w:rsid w:val="0081389C"/>
    <w:rsid w:val="0081424C"/>
    <w:rsid w:val="008237B3"/>
    <w:rsid w:val="00833618"/>
    <w:rsid w:val="00834901"/>
    <w:rsid w:val="008440F3"/>
    <w:rsid w:val="0084443F"/>
    <w:rsid w:val="0084517B"/>
    <w:rsid w:val="00854A65"/>
    <w:rsid w:val="0085503C"/>
    <w:rsid w:val="00856A59"/>
    <w:rsid w:val="00856FEE"/>
    <w:rsid w:val="00857C17"/>
    <w:rsid w:val="00860B7A"/>
    <w:rsid w:val="00867F79"/>
    <w:rsid w:val="00873F6C"/>
    <w:rsid w:val="00874DD7"/>
    <w:rsid w:val="008753E3"/>
    <w:rsid w:val="008869B2"/>
    <w:rsid w:val="00890D32"/>
    <w:rsid w:val="00893D16"/>
    <w:rsid w:val="00894134"/>
    <w:rsid w:val="00895C76"/>
    <w:rsid w:val="008A03DA"/>
    <w:rsid w:val="008A1106"/>
    <w:rsid w:val="008A323F"/>
    <w:rsid w:val="008A6C68"/>
    <w:rsid w:val="008B3D30"/>
    <w:rsid w:val="008C4018"/>
    <w:rsid w:val="008C46FF"/>
    <w:rsid w:val="008D39B0"/>
    <w:rsid w:val="008D3D94"/>
    <w:rsid w:val="008E0E75"/>
    <w:rsid w:val="008E4D5C"/>
    <w:rsid w:val="008E6EEE"/>
    <w:rsid w:val="008F2805"/>
    <w:rsid w:val="00900F6F"/>
    <w:rsid w:val="00904A3E"/>
    <w:rsid w:val="00911164"/>
    <w:rsid w:val="00913E05"/>
    <w:rsid w:val="00920EB4"/>
    <w:rsid w:val="00921507"/>
    <w:rsid w:val="009237C2"/>
    <w:rsid w:val="009268E8"/>
    <w:rsid w:val="00934252"/>
    <w:rsid w:val="009406FA"/>
    <w:rsid w:val="009453D4"/>
    <w:rsid w:val="00945CAE"/>
    <w:rsid w:val="00950191"/>
    <w:rsid w:val="00951875"/>
    <w:rsid w:val="00955575"/>
    <w:rsid w:val="00962114"/>
    <w:rsid w:val="00964559"/>
    <w:rsid w:val="0097191B"/>
    <w:rsid w:val="009734FD"/>
    <w:rsid w:val="00976ABB"/>
    <w:rsid w:val="00977D4E"/>
    <w:rsid w:val="009839CC"/>
    <w:rsid w:val="0098440D"/>
    <w:rsid w:val="009871D8"/>
    <w:rsid w:val="00987C9E"/>
    <w:rsid w:val="00993177"/>
    <w:rsid w:val="00994BB5"/>
    <w:rsid w:val="00997125"/>
    <w:rsid w:val="009A15E9"/>
    <w:rsid w:val="009A3ABE"/>
    <w:rsid w:val="009A3F53"/>
    <w:rsid w:val="009A5142"/>
    <w:rsid w:val="009B0665"/>
    <w:rsid w:val="009B1170"/>
    <w:rsid w:val="009B1BC5"/>
    <w:rsid w:val="009B3244"/>
    <w:rsid w:val="009B40E0"/>
    <w:rsid w:val="009C740F"/>
    <w:rsid w:val="009C7E23"/>
    <w:rsid w:val="009D2174"/>
    <w:rsid w:val="009E2E77"/>
    <w:rsid w:val="009E7216"/>
    <w:rsid w:val="009F2891"/>
    <w:rsid w:val="009F432D"/>
    <w:rsid w:val="009F477B"/>
    <w:rsid w:val="009F51ED"/>
    <w:rsid w:val="009F7255"/>
    <w:rsid w:val="00A00CC1"/>
    <w:rsid w:val="00A027BB"/>
    <w:rsid w:val="00A030BA"/>
    <w:rsid w:val="00A04267"/>
    <w:rsid w:val="00A14B81"/>
    <w:rsid w:val="00A15895"/>
    <w:rsid w:val="00A1635C"/>
    <w:rsid w:val="00A36223"/>
    <w:rsid w:val="00A36810"/>
    <w:rsid w:val="00A36A9D"/>
    <w:rsid w:val="00A371E9"/>
    <w:rsid w:val="00A4064A"/>
    <w:rsid w:val="00A41595"/>
    <w:rsid w:val="00A4385D"/>
    <w:rsid w:val="00A43B52"/>
    <w:rsid w:val="00A45D8D"/>
    <w:rsid w:val="00A47644"/>
    <w:rsid w:val="00A47BAF"/>
    <w:rsid w:val="00A53B28"/>
    <w:rsid w:val="00A56216"/>
    <w:rsid w:val="00A61722"/>
    <w:rsid w:val="00A65EAC"/>
    <w:rsid w:val="00A73081"/>
    <w:rsid w:val="00A86C31"/>
    <w:rsid w:val="00A9165D"/>
    <w:rsid w:val="00A933D4"/>
    <w:rsid w:val="00A95421"/>
    <w:rsid w:val="00A9713D"/>
    <w:rsid w:val="00A97FB9"/>
    <w:rsid w:val="00AA3F8D"/>
    <w:rsid w:val="00AB2016"/>
    <w:rsid w:val="00AB3F3E"/>
    <w:rsid w:val="00AB7594"/>
    <w:rsid w:val="00AC0EF4"/>
    <w:rsid w:val="00AC465B"/>
    <w:rsid w:val="00AE26A5"/>
    <w:rsid w:val="00AE7D8E"/>
    <w:rsid w:val="00AF1BCF"/>
    <w:rsid w:val="00AF430D"/>
    <w:rsid w:val="00AF4C90"/>
    <w:rsid w:val="00AF712A"/>
    <w:rsid w:val="00B01AE7"/>
    <w:rsid w:val="00B023E9"/>
    <w:rsid w:val="00B026FB"/>
    <w:rsid w:val="00B02979"/>
    <w:rsid w:val="00B04C28"/>
    <w:rsid w:val="00B06FB9"/>
    <w:rsid w:val="00B10C50"/>
    <w:rsid w:val="00B12109"/>
    <w:rsid w:val="00B13479"/>
    <w:rsid w:val="00B22D09"/>
    <w:rsid w:val="00B331FF"/>
    <w:rsid w:val="00B356BE"/>
    <w:rsid w:val="00B42F9A"/>
    <w:rsid w:val="00B43D71"/>
    <w:rsid w:val="00B46370"/>
    <w:rsid w:val="00B464A0"/>
    <w:rsid w:val="00B51FDA"/>
    <w:rsid w:val="00B53479"/>
    <w:rsid w:val="00B603D7"/>
    <w:rsid w:val="00B676C7"/>
    <w:rsid w:val="00B809BA"/>
    <w:rsid w:val="00B812A0"/>
    <w:rsid w:val="00B840B9"/>
    <w:rsid w:val="00B84B4D"/>
    <w:rsid w:val="00B85AF5"/>
    <w:rsid w:val="00B90543"/>
    <w:rsid w:val="00B97457"/>
    <w:rsid w:val="00BA2A68"/>
    <w:rsid w:val="00BA2E76"/>
    <w:rsid w:val="00BB195E"/>
    <w:rsid w:val="00BB3E48"/>
    <w:rsid w:val="00BB5795"/>
    <w:rsid w:val="00BB6178"/>
    <w:rsid w:val="00BC36F6"/>
    <w:rsid w:val="00BC585D"/>
    <w:rsid w:val="00BC7CFA"/>
    <w:rsid w:val="00BD4B4C"/>
    <w:rsid w:val="00BD5E75"/>
    <w:rsid w:val="00BD62FF"/>
    <w:rsid w:val="00BE0FB9"/>
    <w:rsid w:val="00BE3027"/>
    <w:rsid w:val="00BE5EA9"/>
    <w:rsid w:val="00BF1534"/>
    <w:rsid w:val="00C05CBA"/>
    <w:rsid w:val="00C1071A"/>
    <w:rsid w:val="00C11F60"/>
    <w:rsid w:val="00C120E1"/>
    <w:rsid w:val="00C14F28"/>
    <w:rsid w:val="00C1619C"/>
    <w:rsid w:val="00C16877"/>
    <w:rsid w:val="00C16A0E"/>
    <w:rsid w:val="00C220B0"/>
    <w:rsid w:val="00C22B19"/>
    <w:rsid w:val="00C23252"/>
    <w:rsid w:val="00C267F0"/>
    <w:rsid w:val="00C30727"/>
    <w:rsid w:val="00C30CF2"/>
    <w:rsid w:val="00C36232"/>
    <w:rsid w:val="00C42608"/>
    <w:rsid w:val="00C53814"/>
    <w:rsid w:val="00C55614"/>
    <w:rsid w:val="00C56C21"/>
    <w:rsid w:val="00C65946"/>
    <w:rsid w:val="00C6719D"/>
    <w:rsid w:val="00C67BAF"/>
    <w:rsid w:val="00C7286E"/>
    <w:rsid w:val="00C74418"/>
    <w:rsid w:val="00C76260"/>
    <w:rsid w:val="00C76640"/>
    <w:rsid w:val="00C7684A"/>
    <w:rsid w:val="00C83146"/>
    <w:rsid w:val="00C85ACC"/>
    <w:rsid w:val="00CA2012"/>
    <w:rsid w:val="00CA64BB"/>
    <w:rsid w:val="00CA749B"/>
    <w:rsid w:val="00CA7838"/>
    <w:rsid w:val="00CB38D2"/>
    <w:rsid w:val="00CB4C85"/>
    <w:rsid w:val="00CB6C9F"/>
    <w:rsid w:val="00CC40BF"/>
    <w:rsid w:val="00CC5A82"/>
    <w:rsid w:val="00CD1DDC"/>
    <w:rsid w:val="00CD726D"/>
    <w:rsid w:val="00CD7383"/>
    <w:rsid w:val="00CE36A0"/>
    <w:rsid w:val="00CE40A5"/>
    <w:rsid w:val="00CE40CF"/>
    <w:rsid w:val="00CE63B8"/>
    <w:rsid w:val="00CE66F3"/>
    <w:rsid w:val="00CF6F22"/>
    <w:rsid w:val="00D021E9"/>
    <w:rsid w:val="00D040BF"/>
    <w:rsid w:val="00D06051"/>
    <w:rsid w:val="00D060C6"/>
    <w:rsid w:val="00D07C87"/>
    <w:rsid w:val="00D13D68"/>
    <w:rsid w:val="00D17682"/>
    <w:rsid w:val="00D22BD7"/>
    <w:rsid w:val="00D23B33"/>
    <w:rsid w:val="00D26487"/>
    <w:rsid w:val="00D26978"/>
    <w:rsid w:val="00D3767D"/>
    <w:rsid w:val="00D37C5A"/>
    <w:rsid w:val="00D41345"/>
    <w:rsid w:val="00D42315"/>
    <w:rsid w:val="00D45EB7"/>
    <w:rsid w:val="00D47717"/>
    <w:rsid w:val="00D558FE"/>
    <w:rsid w:val="00D57849"/>
    <w:rsid w:val="00D57A16"/>
    <w:rsid w:val="00D60308"/>
    <w:rsid w:val="00D61EA4"/>
    <w:rsid w:val="00D62598"/>
    <w:rsid w:val="00D66943"/>
    <w:rsid w:val="00D6784E"/>
    <w:rsid w:val="00D67B0E"/>
    <w:rsid w:val="00D70941"/>
    <w:rsid w:val="00D7497A"/>
    <w:rsid w:val="00D772E6"/>
    <w:rsid w:val="00D82F9B"/>
    <w:rsid w:val="00D83519"/>
    <w:rsid w:val="00D85D6D"/>
    <w:rsid w:val="00D86653"/>
    <w:rsid w:val="00D94BC6"/>
    <w:rsid w:val="00DA3A0D"/>
    <w:rsid w:val="00DA5748"/>
    <w:rsid w:val="00DA7799"/>
    <w:rsid w:val="00DA7D09"/>
    <w:rsid w:val="00DC0B50"/>
    <w:rsid w:val="00DC4559"/>
    <w:rsid w:val="00DD1E05"/>
    <w:rsid w:val="00DD6477"/>
    <w:rsid w:val="00DD7842"/>
    <w:rsid w:val="00DE1140"/>
    <w:rsid w:val="00DE4C42"/>
    <w:rsid w:val="00DF3D33"/>
    <w:rsid w:val="00DF57CC"/>
    <w:rsid w:val="00DF6A15"/>
    <w:rsid w:val="00DF6EB9"/>
    <w:rsid w:val="00DF73E3"/>
    <w:rsid w:val="00DF7670"/>
    <w:rsid w:val="00E06D2B"/>
    <w:rsid w:val="00E20A83"/>
    <w:rsid w:val="00E21F97"/>
    <w:rsid w:val="00E2323A"/>
    <w:rsid w:val="00E24006"/>
    <w:rsid w:val="00E24D17"/>
    <w:rsid w:val="00E25119"/>
    <w:rsid w:val="00E27B3D"/>
    <w:rsid w:val="00E300AE"/>
    <w:rsid w:val="00E31F53"/>
    <w:rsid w:val="00E32D22"/>
    <w:rsid w:val="00E345CA"/>
    <w:rsid w:val="00E34B9B"/>
    <w:rsid w:val="00E426A8"/>
    <w:rsid w:val="00E43021"/>
    <w:rsid w:val="00E52F1E"/>
    <w:rsid w:val="00E541E6"/>
    <w:rsid w:val="00E54F60"/>
    <w:rsid w:val="00E57031"/>
    <w:rsid w:val="00E615CD"/>
    <w:rsid w:val="00E61F6B"/>
    <w:rsid w:val="00E73780"/>
    <w:rsid w:val="00E75218"/>
    <w:rsid w:val="00E76471"/>
    <w:rsid w:val="00E813FA"/>
    <w:rsid w:val="00E81FB9"/>
    <w:rsid w:val="00E8271D"/>
    <w:rsid w:val="00E8334F"/>
    <w:rsid w:val="00E86BE2"/>
    <w:rsid w:val="00E90971"/>
    <w:rsid w:val="00E92D4F"/>
    <w:rsid w:val="00E95855"/>
    <w:rsid w:val="00E96F0A"/>
    <w:rsid w:val="00E97B3B"/>
    <w:rsid w:val="00EA07C7"/>
    <w:rsid w:val="00EA3974"/>
    <w:rsid w:val="00EB150C"/>
    <w:rsid w:val="00EB4EC5"/>
    <w:rsid w:val="00EB69E7"/>
    <w:rsid w:val="00EC4C43"/>
    <w:rsid w:val="00EC6EA9"/>
    <w:rsid w:val="00ED1249"/>
    <w:rsid w:val="00ED31ED"/>
    <w:rsid w:val="00ED392D"/>
    <w:rsid w:val="00ED3963"/>
    <w:rsid w:val="00ED765A"/>
    <w:rsid w:val="00EE0F00"/>
    <w:rsid w:val="00EE5099"/>
    <w:rsid w:val="00EE6AE5"/>
    <w:rsid w:val="00EF3AE2"/>
    <w:rsid w:val="00EF47E2"/>
    <w:rsid w:val="00F0217A"/>
    <w:rsid w:val="00F03014"/>
    <w:rsid w:val="00F075A4"/>
    <w:rsid w:val="00F07BC6"/>
    <w:rsid w:val="00F10289"/>
    <w:rsid w:val="00F1376A"/>
    <w:rsid w:val="00F16592"/>
    <w:rsid w:val="00F20C52"/>
    <w:rsid w:val="00F22CCD"/>
    <w:rsid w:val="00F23B12"/>
    <w:rsid w:val="00F26AF5"/>
    <w:rsid w:val="00F31860"/>
    <w:rsid w:val="00F42362"/>
    <w:rsid w:val="00F44F08"/>
    <w:rsid w:val="00F50900"/>
    <w:rsid w:val="00F5537B"/>
    <w:rsid w:val="00F6435F"/>
    <w:rsid w:val="00F66275"/>
    <w:rsid w:val="00F6755D"/>
    <w:rsid w:val="00F71314"/>
    <w:rsid w:val="00F718FE"/>
    <w:rsid w:val="00F75A84"/>
    <w:rsid w:val="00F82D03"/>
    <w:rsid w:val="00F94A33"/>
    <w:rsid w:val="00FA03DD"/>
    <w:rsid w:val="00FA1C48"/>
    <w:rsid w:val="00FA3EB0"/>
    <w:rsid w:val="00FA4138"/>
    <w:rsid w:val="00FA731E"/>
    <w:rsid w:val="00FB4E60"/>
    <w:rsid w:val="00FB6A20"/>
    <w:rsid w:val="00FC18F1"/>
    <w:rsid w:val="00FC2ECE"/>
    <w:rsid w:val="00FC38B7"/>
    <w:rsid w:val="00FC4EE5"/>
    <w:rsid w:val="00FD1F61"/>
    <w:rsid w:val="00FD5805"/>
    <w:rsid w:val="00FE2135"/>
    <w:rsid w:val="00FE2C0D"/>
    <w:rsid w:val="00FE401B"/>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800C6"/>
  <w15:chartTrackingRefBased/>
  <w15:docId w15:val="{14906366-55A2-4539-A31A-DEC4C51C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8EF"/>
    <w:rPr>
      <w:kern w:val="0"/>
      <w14:ligatures w14:val="none"/>
    </w:rPr>
  </w:style>
  <w:style w:type="paragraph" w:styleId="Ttulo1">
    <w:name w:val="heading 1"/>
    <w:basedOn w:val="Normal"/>
    <w:next w:val="Normal"/>
    <w:link w:val="Ttulo1Car"/>
    <w:uiPriority w:val="9"/>
    <w:qFormat/>
    <w:rsid w:val="002F5AA0"/>
    <w:pPr>
      <w:keepNext/>
      <w:keepLines/>
      <w:spacing w:before="240" w:after="0"/>
      <w:outlineLvl w:val="0"/>
    </w:pPr>
    <w:rPr>
      <w:rFonts w:asciiTheme="majorHAnsi" w:eastAsiaTheme="majorEastAsia" w:hAnsiTheme="majorHAnsi" w:cstheme="majorBidi"/>
      <w:color w:val="2F5496" w:themeColor="accent1" w:themeShade="BF"/>
      <w:sz w:val="32"/>
      <w:szCs w:val="32"/>
      <w:lang w:eastAsia="es-ES"/>
    </w:rPr>
  </w:style>
  <w:style w:type="paragraph" w:styleId="Ttulo2">
    <w:name w:val="heading 2"/>
    <w:basedOn w:val="Normal"/>
    <w:next w:val="Normal"/>
    <w:link w:val="Ttulo2Car"/>
    <w:uiPriority w:val="9"/>
    <w:unhideWhenUsed/>
    <w:qFormat/>
    <w:rsid w:val="00692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D63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E50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08EF"/>
    <w:pPr>
      <w:ind w:left="720"/>
      <w:contextualSpacing/>
    </w:pPr>
  </w:style>
  <w:style w:type="character" w:styleId="Refdecomentario">
    <w:name w:val="annotation reference"/>
    <w:basedOn w:val="Fuentedeprrafopredeter"/>
    <w:uiPriority w:val="99"/>
    <w:semiHidden/>
    <w:unhideWhenUsed/>
    <w:rsid w:val="002408EF"/>
    <w:rPr>
      <w:sz w:val="16"/>
      <w:szCs w:val="16"/>
    </w:rPr>
  </w:style>
  <w:style w:type="paragraph" w:styleId="Textocomentario">
    <w:name w:val="annotation text"/>
    <w:basedOn w:val="Normal"/>
    <w:link w:val="TextocomentarioCar"/>
    <w:uiPriority w:val="99"/>
    <w:unhideWhenUsed/>
    <w:rsid w:val="002408EF"/>
    <w:pPr>
      <w:spacing w:line="240" w:lineRule="auto"/>
    </w:pPr>
    <w:rPr>
      <w:sz w:val="20"/>
      <w:szCs w:val="20"/>
    </w:rPr>
  </w:style>
  <w:style w:type="character" w:customStyle="1" w:styleId="TextocomentarioCar">
    <w:name w:val="Texto comentario Car"/>
    <w:basedOn w:val="Fuentedeprrafopredeter"/>
    <w:link w:val="Textocomentario"/>
    <w:uiPriority w:val="99"/>
    <w:rsid w:val="002408EF"/>
    <w:rPr>
      <w:kern w:val="0"/>
      <w:sz w:val="20"/>
      <w:szCs w:val="20"/>
      <w14:ligatures w14:val="none"/>
    </w:rPr>
  </w:style>
  <w:style w:type="character" w:customStyle="1" w:styleId="Ttulo1Car">
    <w:name w:val="Título 1 Car"/>
    <w:basedOn w:val="Fuentedeprrafopredeter"/>
    <w:link w:val="Ttulo1"/>
    <w:uiPriority w:val="9"/>
    <w:rsid w:val="002F5AA0"/>
    <w:rPr>
      <w:rFonts w:asciiTheme="majorHAnsi" w:eastAsiaTheme="majorEastAsia" w:hAnsiTheme="majorHAnsi" w:cstheme="majorBidi"/>
      <w:color w:val="2F5496" w:themeColor="accent1" w:themeShade="BF"/>
      <w:kern w:val="0"/>
      <w:sz w:val="32"/>
      <w:szCs w:val="32"/>
      <w:lang w:eastAsia="es-ES"/>
      <w14:ligatures w14:val="none"/>
    </w:rPr>
  </w:style>
  <w:style w:type="character" w:styleId="Hipervnculo">
    <w:name w:val="Hyperlink"/>
    <w:basedOn w:val="Fuentedeprrafopredeter"/>
    <w:uiPriority w:val="99"/>
    <w:unhideWhenUsed/>
    <w:rsid w:val="002F5AA0"/>
    <w:rPr>
      <w:color w:val="0563C1" w:themeColor="hyperlink"/>
      <w:u w:val="single"/>
    </w:rPr>
  </w:style>
  <w:style w:type="character" w:styleId="Mencinsinresolver">
    <w:name w:val="Unresolved Mention"/>
    <w:basedOn w:val="Fuentedeprrafopredeter"/>
    <w:uiPriority w:val="99"/>
    <w:semiHidden/>
    <w:unhideWhenUsed/>
    <w:rsid w:val="00A47BAF"/>
    <w:rPr>
      <w:color w:val="605E5C"/>
      <w:shd w:val="clear" w:color="auto" w:fill="E1DFDD"/>
    </w:rPr>
  </w:style>
  <w:style w:type="character" w:styleId="Hipervnculovisitado">
    <w:name w:val="FollowedHyperlink"/>
    <w:basedOn w:val="Fuentedeprrafopredeter"/>
    <w:uiPriority w:val="99"/>
    <w:semiHidden/>
    <w:unhideWhenUsed/>
    <w:rsid w:val="003D6367"/>
    <w:rPr>
      <w:color w:val="954F72" w:themeColor="followedHyperlink"/>
      <w:u w:val="single"/>
    </w:rPr>
  </w:style>
  <w:style w:type="character" w:customStyle="1" w:styleId="Ttulo3Car">
    <w:name w:val="Título 3 Car"/>
    <w:basedOn w:val="Fuentedeprrafopredeter"/>
    <w:link w:val="Ttulo3"/>
    <w:uiPriority w:val="9"/>
    <w:rsid w:val="003D6367"/>
    <w:rPr>
      <w:rFonts w:asciiTheme="majorHAnsi" w:eastAsiaTheme="majorEastAsia" w:hAnsiTheme="majorHAnsi" w:cstheme="majorBidi"/>
      <w:color w:val="1F3763" w:themeColor="accent1" w:themeShade="7F"/>
      <w:kern w:val="0"/>
      <w:sz w:val="24"/>
      <w:szCs w:val="24"/>
      <w14:ligatures w14:val="none"/>
    </w:rPr>
  </w:style>
  <w:style w:type="paragraph" w:styleId="Asuntodelcomentario">
    <w:name w:val="annotation subject"/>
    <w:basedOn w:val="Textocomentario"/>
    <w:next w:val="Textocomentario"/>
    <w:link w:val="AsuntodelcomentarioCar"/>
    <w:uiPriority w:val="99"/>
    <w:semiHidden/>
    <w:unhideWhenUsed/>
    <w:rsid w:val="00904A3E"/>
    <w:rPr>
      <w:b/>
      <w:bCs/>
    </w:rPr>
  </w:style>
  <w:style w:type="character" w:customStyle="1" w:styleId="AsuntodelcomentarioCar">
    <w:name w:val="Asunto del comentario Car"/>
    <w:basedOn w:val="TextocomentarioCar"/>
    <w:link w:val="Asuntodelcomentario"/>
    <w:uiPriority w:val="99"/>
    <w:semiHidden/>
    <w:rsid w:val="00904A3E"/>
    <w:rPr>
      <w:b/>
      <w:bCs/>
      <w:kern w:val="0"/>
      <w:sz w:val="20"/>
      <w:szCs w:val="20"/>
      <w14:ligatures w14:val="none"/>
    </w:rPr>
  </w:style>
  <w:style w:type="paragraph" w:styleId="Textoindependiente">
    <w:name w:val="Body Text"/>
    <w:basedOn w:val="Normal"/>
    <w:link w:val="TextoindependienteCar"/>
    <w:uiPriority w:val="1"/>
    <w:qFormat/>
    <w:rsid w:val="003C2825"/>
    <w:pPr>
      <w:widowControl w:val="0"/>
      <w:autoSpaceDE w:val="0"/>
      <w:autoSpaceDN w:val="0"/>
      <w:spacing w:after="0" w:line="240" w:lineRule="auto"/>
    </w:pPr>
    <w:rPr>
      <w:rFonts w:ascii="Arial" w:eastAsia="Arial" w:hAnsi="Arial" w:cs="Arial"/>
      <w:sz w:val="36"/>
      <w:szCs w:val="36"/>
      <w:lang w:eastAsia="es-ES" w:bidi="es-ES"/>
    </w:rPr>
  </w:style>
  <w:style w:type="character" w:customStyle="1" w:styleId="TextoindependienteCar">
    <w:name w:val="Texto independiente Car"/>
    <w:basedOn w:val="Fuentedeprrafopredeter"/>
    <w:link w:val="Textoindependiente"/>
    <w:uiPriority w:val="1"/>
    <w:rsid w:val="003C2825"/>
    <w:rPr>
      <w:rFonts w:ascii="Arial" w:eastAsia="Arial" w:hAnsi="Arial" w:cs="Arial"/>
      <w:kern w:val="0"/>
      <w:sz w:val="36"/>
      <w:szCs w:val="36"/>
      <w:lang w:eastAsia="es-ES" w:bidi="es-ES"/>
      <w14:ligatures w14:val="none"/>
    </w:rPr>
  </w:style>
  <w:style w:type="paragraph" w:styleId="TtuloTDC">
    <w:name w:val="TOC Heading"/>
    <w:basedOn w:val="Ttulo1"/>
    <w:next w:val="Normal"/>
    <w:uiPriority w:val="39"/>
    <w:unhideWhenUsed/>
    <w:qFormat/>
    <w:rsid w:val="0044057C"/>
    <w:pPr>
      <w:outlineLvl w:val="9"/>
    </w:pPr>
  </w:style>
  <w:style w:type="paragraph" w:styleId="TDC1">
    <w:name w:val="toc 1"/>
    <w:basedOn w:val="Normal"/>
    <w:next w:val="Normal"/>
    <w:autoRedefine/>
    <w:uiPriority w:val="39"/>
    <w:unhideWhenUsed/>
    <w:rsid w:val="0044057C"/>
    <w:pPr>
      <w:spacing w:after="100"/>
    </w:pPr>
  </w:style>
  <w:style w:type="paragraph" w:styleId="TDC2">
    <w:name w:val="toc 2"/>
    <w:basedOn w:val="Normal"/>
    <w:next w:val="Normal"/>
    <w:autoRedefine/>
    <w:uiPriority w:val="39"/>
    <w:unhideWhenUsed/>
    <w:rsid w:val="0044057C"/>
    <w:pPr>
      <w:tabs>
        <w:tab w:val="left" w:pos="880"/>
        <w:tab w:val="right" w:leader="dot" w:pos="8494"/>
      </w:tabs>
      <w:spacing w:after="100"/>
      <w:ind w:left="220"/>
      <w:jc w:val="both"/>
    </w:pPr>
    <w:rPr>
      <w:rFonts w:eastAsiaTheme="minorEastAsia" w:cs="Times New Roman"/>
      <w:lang w:eastAsia="es-ES"/>
    </w:rPr>
  </w:style>
  <w:style w:type="character" w:customStyle="1" w:styleId="Ttulo2Car">
    <w:name w:val="Título 2 Car"/>
    <w:basedOn w:val="Fuentedeprrafopredeter"/>
    <w:link w:val="Ttulo2"/>
    <w:uiPriority w:val="9"/>
    <w:rsid w:val="00692EAE"/>
    <w:rPr>
      <w:rFonts w:asciiTheme="majorHAnsi" w:eastAsiaTheme="majorEastAsia" w:hAnsiTheme="majorHAnsi" w:cstheme="majorBidi"/>
      <w:color w:val="2F5496" w:themeColor="accent1" w:themeShade="BF"/>
      <w:kern w:val="0"/>
      <w:sz w:val="26"/>
      <w:szCs w:val="26"/>
      <w14:ligatures w14:val="none"/>
    </w:rPr>
  </w:style>
  <w:style w:type="paragraph" w:styleId="Encabezado">
    <w:name w:val="header"/>
    <w:basedOn w:val="Normal"/>
    <w:link w:val="EncabezadoCar"/>
    <w:uiPriority w:val="99"/>
    <w:unhideWhenUsed/>
    <w:rsid w:val="003E7F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7F86"/>
    <w:rPr>
      <w:kern w:val="0"/>
      <w14:ligatures w14:val="none"/>
    </w:rPr>
  </w:style>
  <w:style w:type="paragraph" w:styleId="Piedepgina">
    <w:name w:val="footer"/>
    <w:basedOn w:val="Normal"/>
    <w:link w:val="PiedepginaCar"/>
    <w:uiPriority w:val="99"/>
    <w:unhideWhenUsed/>
    <w:rsid w:val="003E7F8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7F86"/>
    <w:rPr>
      <w:kern w:val="0"/>
      <w14:ligatures w14:val="none"/>
    </w:rPr>
  </w:style>
  <w:style w:type="paragraph" w:styleId="Descripcin">
    <w:name w:val="caption"/>
    <w:basedOn w:val="Normal"/>
    <w:next w:val="Normal"/>
    <w:uiPriority w:val="35"/>
    <w:unhideWhenUsed/>
    <w:qFormat/>
    <w:rsid w:val="005E602C"/>
    <w:pPr>
      <w:spacing w:after="200" w:line="240" w:lineRule="auto"/>
    </w:pPr>
    <w:rPr>
      <w:i/>
      <w:iCs/>
      <w:color w:val="44546A" w:themeColor="text2"/>
      <w:sz w:val="18"/>
      <w:szCs w:val="18"/>
    </w:rPr>
  </w:style>
  <w:style w:type="character" w:customStyle="1" w:styleId="Ttulo4Car">
    <w:name w:val="Título 4 Car"/>
    <w:basedOn w:val="Fuentedeprrafopredeter"/>
    <w:link w:val="Ttulo4"/>
    <w:uiPriority w:val="9"/>
    <w:rsid w:val="00EE5099"/>
    <w:rPr>
      <w:rFonts w:asciiTheme="majorHAnsi" w:eastAsiaTheme="majorEastAsia" w:hAnsiTheme="majorHAnsi" w:cstheme="majorBidi"/>
      <w:i/>
      <w:iCs/>
      <w:color w:val="2F5496" w:themeColor="accent1" w:themeShade="BF"/>
      <w:kern w:val="0"/>
      <w14:ligatures w14:val="none"/>
    </w:rPr>
  </w:style>
  <w:style w:type="paragraph" w:styleId="TDC3">
    <w:name w:val="toc 3"/>
    <w:basedOn w:val="Normal"/>
    <w:next w:val="Normal"/>
    <w:autoRedefine/>
    <w:uiPriority w:val="39"/>
    <w:unhideWhenUsed/>
    <w:rsid w:val="00B46370"/>
    <w:pPr>
      <w:spacing w:after="100"/>
      <w:ind w:left="440"/>
    </w:pPr>
  </w:style>
  <w:style w:type="table" w:styleId="Tablaconcuadrcula">
    <w:name w:val="Table Grid"/>
    <w:basedOn w:val="Tablanormal"/>
    <w:uiPriority w:val="39"/>
    <w:rsid w:val="00890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adeilustraciones">
    <w:name w:val="table of figures"/>
    <w:basedOn w:val="Normal"/>
    <w:next w:val="Normal"/>
    <w:uiPriority w:val="99"/>
    <w:unhideWhenUsed/>
    <w:rsid w:val="005148A4"/>
    <w:pPr>
      <w:spacing w:after="0"/>
    </w:pPr>
  </w:style>
  <w:style w:type="paragraph" w:customStyle="1" w:styleId="msonormal0">
    <w:name w:val="msonormal"/>
    <w:basedOn w:val="Normal"/>
    <w:rsid w:val="001579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8">
    <w:name w:val="xl58"/>
    <w:basedOn w:val="Normal"/>
    <w:rsid w:val="001579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9">
    <w:name w:val="xl59"/>
    <w:basedOn w:val="Normal"/>
    <w:rsid w:val="001579BE"/>
    <w:pP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60">
    <w:name w:val="xl60"/>
    <w:basedOn w:val="Normal"/>
    <w:rsid w:val="001579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1">
    <w:name w:val="xl61"/>
    <w:basedOn w:val="Normal"/>
    <w:rsid w:val="001579BE"/>
    <w:pP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62">
    <w:name w:val="xl62"/>
    <w:basedOn w:val="Normal"/>
    <w:rsid w:val="001579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3">
    <w:name w:val="xl63"/>
    <w:basedOn w:val="Normal"/>
    <w:rsid w:val="001579B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ES"/>
    </w:rPr>
  </w:style>
  <w:style w:type="paragraph" w:customStyle="1" w:styleId="xl64">
    <w:name w:val="xl64"/>
    <w:basedOn w:val="Normal"/>
    <w:rsid w:val="001579BE"/>
    <w:pPr>
      <w:spacing w:before="100" w:beforeAutospacing="1" w:after="100" w:afterAutospacing="1" w:line="240" w:lineRule="auto"/>
      <w:textAlignment w:val="top"/>
    </w:pPr>
    <w:rPr>
      <w:rFonts w:ascii="Times New Roman" w:eastAsia="Times New Roman" w:hAnsi="Times New Roman" w:cs="Times New Roman"/>
      <w:b/>
      <w:bCs/>
      <w:sz w:val="24"/>
      <w:szCs w:val="24"/>
      <w:lang w:eastAsia="es-ES"/>
    </w:rPr>
  </w:style>
  <w:style w:type="paragraph" w:customStyle="1" w:styleId="xl65">
    <w:name w:val="xl65"/>
    <w:basedOn w:val="Normal"/>
    <w:rsid w:val="001579BE"/>
    <w:pPr>
      <w:spacing w:before="100" w:beforeAutospacing="1" w:after="100" w:afterAutospacing="1" w:line="240" w:lineRule="auto"/>
      <w:textAlignment w:val="top"/>
    </w:pPr>
    <w:rPr>
      <w:rFonts w:ascii="Times New Roman" w:eastAsia="Times New Roman" w:hAnsi="Times New Roman" w:cs="Times New Roman"/>
      <w:b/>
      <w:bCs/>
      <w:sz w:val="24"/>
      <w:szCs w:val="24"/>
      <w:lang w:eastAsia="es-ES"/>
    </w:rPr>
  </w:style>
  <w:style w:type="paragraph" w:customStyle="1" w:styleId="xl66">
    <w:name w:val="xl66"/>
    <w:basedOn w:val="Normal"/>
    <w:rsid w:val="001579BE"/>
    <w:pP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67">
    <w:name w:val="xl67"/>
    <w:basedOn w:val="Normal"/>
    <w:rsid w:val="001579BE"/>
    <w:pPr>
      <w:spacing w:before="100" w:beforeAutospacing="1" w:after="100" w:afterAutospacing="1" w:line="240" w:lineRule="auto"/>
      <w:textAlignment w:val="top"/>
    </w:pPr>
    <w:rPr>
      <w:rFonts w:ascii="Times New Roman" w:eastAsia="Times New Roman" w:hAnsi="Times New Roman" w:cs="Times New Roman"/>
      <w:b/>
      <w:bCs/>
      <w:sz w:val="24"/>
      <w:szCs w:val="24"/>
      <w:lang w:eastAsia="es-ES"/>
    </w:rPr>
  </w:style>
  <w:style w:type="paragraph" w:customStyle="1" w:styleId="xl68">
    <w:name w:val="xl68"/>
    <w:basedOn w:val="Normal"/>
    <w:rsid w:val="001579BE"/>
    <w:pP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69">
    <w:name w:val="xl69"/>
    <w:basedOn w:val="Normal"/>
    <w:rsid w:val="001579B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0">
    <w:name w:val="xl70"/>
    <w:basedOn w:val="Normal"/>
    <w:rsid w:val="001579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1">
    <w:name w:val="xl71"/>
    <w:basedOn w:val="Normal"/>
    <w:rsid w:val="001579BE"/>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
    <w:name w:val="xl72"/>
    <w:basedOn w:val="Normal"/>
    <w:rsid w:val="001579B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3">
    <w:name w:val="xl73"/>
    <w:basedOn w:val="Normal"/>
    <w:rsid w:val="001579BE"/>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4">
    <w:name w:val="xl74"/>
    <w:basedOn w:val="Normal"/>
    <w:rsid w:val="001579B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5">
    <w:name w:val="xl75"/>
    <w:basedOn w:val="Normal"/>
    <w:rsid w:val="001579BE"/>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
    </w:rPr>
  </w:style>
  <w:style w:type="paragraph" w:customStyle="1" w:styleId="xl76">
    <w:name w:val="xl76"/>
    <w:basedOn w:val="Normal"/>
    <w:rsid w:val="001579BE"/>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
    </w:rPr>
  </w:style>
  <w:style w:type="paragraph" w:customStyle="1" w:styleId="xl77">
    <w:name w:val="xl77"/>
    <w:basedOn w:val="Normal"/>
    <w:rsid w:val="001579BE"/>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7113">
      <w:bodyDiv w:val="1"/>
      <w:marLeft w:val="0"/>
      <w:marRight w:val="0"/>
      <w:marTop w:val="0"/>
      <w:marBottom w:val="0"/>
      <w:divBdr>
        <w:top w:val="none" w:sz="0" w:space="0" w:color="auto"/>
        <w:left w:val="none" w:sz="0" w:space="0" w:color="auto"/>
        <w:bottom w:val="none" w:sz="0" w:space="0" w:color="auto"/>
        <w:right w:val="none" w:sz="0" w:space="0" w:color="auto"/>
      </w:divBdr>
      <w:divsChild>
        <w:div w:id="15085241">
          <w:marLeft w:val="0"/>
          <w:marRight w:val="0"/>
          <w:marTop w:val="0"/>
          <w:marBottom w:val="0"/>
          <w:divBdr>
            <w:top w:val="none" w:sz="0" w:space="0" w:color="auto"/>
            <w:left w:val="none" w:sz="0" w:space="0" w:color="auto"/>
            <w:bottom w:val="none" w:sz="0" w:space="0" w:color="auto"/>
            <w:right w:val="none" w:sz="0" w:space="0" w:color="auto"/>
          </w:divBdr>
        </w:div>
      </w:divsChild>
    </w:div>
    <w:div w:id="36856480">
      <w:bodyDiv w:val="1"/>
      <w:marLeft w:val="0"/>
      <w:marRight w:val="0"/>
      <w:marTop w:val="0"/>
      <w:marBottom w:val="0"/>
      <w:divBdr>
        <w:top w:val="none" w:sz="0" w:space="0" w:color="auto"/>
        <w:left w:val="none" w:sz="0" w:space="0" w:color="auto"/>
        <w:bottom w:val="none" w:sz="0" w:space="0" w:color="auto"/>
        <w:right w:val="none" w:sz="0" w:space="0" w:color="auto"/>
      </w:divBdr>
      <w:divsChild>
        <w:div w:id="706881062">
          <w:marLeft w:val="0"/>
          <w:marRight w:val="0"/>
          <w:marTop w:val="0"/>
          <w:marBottom w:val="0"/>
          <w:divBdr>
            <w:top w:val="none" w:sz="0" w:space="0" w:color="auto"/>
            <w:left w:val="none" w:sz="0" w:space="0" w:color="auto"/>
            <w:bottom w:val="none" w:sz="0" w:space="0" w:color="auto"/>
            <w:right w:val="none" w:sz="0" w:space="0" w:color="auto"/>
          </w:divBdr>
        </w:div>
      </w:divsChild>
    </w:div>
    <w:div w:id="50857670">
      <w:bodyDiv w:val="1"/>
      <w:marLeft w:val="0"/>
      <w:marRight w:val="0"/>
      <w:marTop w:val="0"/>
      <w:marBottom w:val="0"/>
      <w:divBdr>
        <w:top w:val="none" w:sz="0" w:space="0" w:color="auto"/>
        <w:left w:val="none" w:sz="0" w:space="0" w:color="auto"/>
        <w:bottom w:val="none" w:sz="0" w:space="0" w:color="auto"/>
        <w:right w:val="none" w:sz="0" w:space="0" w:color="auto"/>
      </w:divBdr>
    </w:div>
    <w:div w:id="91630427">
      <w:bodyDiv w:val="1"/>
      <w:marLeft w:val="0"/>
      <w:marRight w:val="0"/>
      <w:marTop w:val="0"/>
      <w:marBottom w:val="0"/>
      <w:divBdr>
        <w:top w:val="none" w:sz="0" w:space="0" w:color="auto"/>
        <w:left w:val="none" w:sz="0" w:space="0" w:color="auto"/>
        <w:bottom w:val="none" w:sz="0" w:space="0" w:color="auto"/>
        <w:right w:val="none" w:sz="0" w:space="0" w:color="auto"/>
      </w:divBdr>
      <w:divsChild>
        <w:div w:id="1898206057">
          <w:marLeft w:val="0"/>
          <w:marRight w:val="0"/>
          <w:marTop w:val="0"/>
          <w:marBottom w:val="0"/>
          <w:divBdr>
            <w:top w:val="none" w:sz="0" w:space="0" w:color="auto"/>
            <w:left w:val="none" w:sz="0" w:space="0" w:color="auto"/>
            <w:bottom w:val="none" w:sz="0" w:space="0" w:color="auto"/>
            <w:right w:val="none" w:sz="0" w:space="0" w:color="auto"/>
          </w:divBdr>
        </w:div>
      </w:divsChild>
    </w:div>
    <w:div w:id="105539001">
      <w:bodyDiv w:val="1"/>
      <w:marLeft w:val="0"/>
      <w:marRight w:val="0"/>
      <w:marTop w:val="0"/>
      <w:marBottom w:val="0"/>
      <w:divBdr>
        <w:top w:val="none" w:sz="0" w:space="0" w:color="auto"/>
        <w:left w:val="none" w:sz="0" w:space="0" w:color="auto"/>
        <w:bottom w:val="none" w:sz="0" w:space="0" w:color="auto"/>
        <w:right w:val="none" w:sz="0" w:space="0" w:color="auto"/>
      </w:divBdr>
      <w:divsChild>
        <w:div w:id="900015907">
          <w:marLeft w:val="0"/>
          <w:marRight w:val="0"/>
          <w:marTop w:val="0"/>
          <w:marBottom w:val="0"/>
          <w:divBdr>
            <w:top w:val="none" w:sz="0" w:space="0" w:color="auto"/>
            <w:left w:val="none" w:sz="0" w:space="0" w:color="auto"/>
            <w:bottom w:val="none" w:sz="0" w:space="0" w:color="auto"/>
            <w:right w:val="none" w:sz="0" w:space="0" w:color="auto"/>
          </w:divBdr>
        </w:div>
      </w:divsChild>
    </w:div>
    <w:div w:id="170919120">
      <w:bodyDiv w:val="1"/>
      <w:marLeft w:val="0"/>
      <w:marRight w:val="0"/>
      <w:marTop w:val="0"/>
      <w:marBottom w:val="0"/>
      <w:divBdr>
        <w:top w:val="none" w:sz="0" w:space="0" w:color="auto"/>
        <w:left w:val="none" w:sz="0" w:space="0" w:color="auto"/>
        <w:bottom w:val="none" w:sz="0" w:space="0" w:color="auto"/>
        <w:right w:val="none" w:sz="0" w:space="0" w:color="auto"/>
      </w:divBdr>
    </w:div>
    <w:div w:id="190186046">
      <w:bodyDiv w:val="1"/>
      <w:marLeft w:val="0"/>
      <w:marRight w:val="0"/>
      <w:marTop w:val="0"/>
      <w:marBottom w:val="0"/>
      <w:divBdr>
        <w:top w:val="none" w:sz="0" w:space="0" w:color="auto"/>
        <w:left w:val="none" w:sz="0" w:space="0" w:color="auto"/>
        <w:bottom w:val="none" w:sz="0" w:space="0" w:color="auto"/>
        <w:right w:val="none" w:sz="0" w:space="0" w:color="auto"/>
      </w:divBdr>
    </w:div>
    <w:div w:id="278026699">
      <w:bodyDiv w:val="1"/>
      <w:marLeft w:val="0"/>
      <w:marRight w:val="0"/>
      <w:marTop w:val="0"/>
      <w:marBottom w:val="0"/>
      <w:divBdr>
        <w:top w:val="none" w:sz="0" w:space="0" w:color="auto"/>
        <w:left w:val="none" w:sz="0" w:space="0" w:color="auto"/>
        <w:bottom w:val="none" w:sz="0" w:space="0" w:color="auto"/>
        <w:right w:val="none" w:sz="0" w:space="0" w:color="auto"/>
      </w:divBdr>
    </w:div>
    <w:div w:id="286282593">
      <w:bodyDiv w:val="1"/>
      <w:marLeft w:val="0"/>
      <w:marRight w:val="0"/>
      <w:marTop w:val="0"/>
      <w:marBottom w:val="0"/>
      <w:divBdr>
        <w:top w:val="none" w:sz="0" w:space="0" w:color="auto"/>
        <w:left w:val="none" w:sz="0" w:space="0" w:color="auto"/>
        <w:bottom w:val="none" w:sz="0" w:space="0" w:color="auto"/>
        <w:right w:val="none" w:sz="0" w:space="0" w:color="auto"/>
      </w:divBdr>
    </w:div>
    <w:div w:id="303851598">
      <w:bodyDiv w:val="1"/>
      <w:marLeft w:val="0"/>
      <w:marRight w:val="0"/>
      <w:marTop w:val="0"/>
      <w:marBottom w:val="0"/>
      <w:divBdr>
        <w:top w:val="none" w:sz="0" w:space="0" w:color="auto"/>
        <w:left w:val="none" w:sz="0" w:space="0" w:color="auto"/>
        <w:bottom w:val="none" w:sz="0" w:space="0" w:color="auto"/>
        <w:right w:val="none" w:sz="0" w:space="0" w:color="auto"/>
      </w:divBdr>
    </w:div>
    <w:div w:id="310912528">
      <w:bodyDiv w:val="1"/>
      <w:marLeft w:val="0"/>
      <w:marRight w:val="0"/>
      <w:marTop w:val="0"/>
      <w:marBottom w:val="0"/>
      <w:divBdr>
        <w:top w:val="none" w:sz="0" w:space="0" w:color="auto"/>
        <w:left w:val="none" w:sz="0" w:space="0" w:color="auto"/>
        <w:bottom w:val="none" w:sz="0" w:space="0" w:color="auto"/>
        <w:right w:val="none" w:sz="0" w:space="0" w:color="auto"/>
      </w:divBdr>
    </w:div>
    <w:div w:id="319698796">
      <w:bodyDiv w:val="1"/>
      <w:marLeft w:val="0"/>
      <w:marRight w:val="0"/>
      <w:marTop w:val="0"/>
      <w:marBottom w:val="0"/>
      <w:divBdr>
        <w:top w:val="none" w:sz="0" w:space="0" w:color="auto"/>
        <w:left w:val="none" w:sz="0" w:space="0" w:color="auto"/>
        <w:bottom w:val="none" w:sz="0" w:space="0" w:color="auto"/>
        <w:right w:val="none" w:sz="0" w:space="0" w:color="auto"/>
      </w:divBdr>
    </w:div>
    <w:div w:id="378742958">
      <w:bodyDiv w:val="1"/>
      <w:marLeft w:val="0"/>
      <w:marRight w:val="0"/>
      <w:marTop w:val="0"/>
      <w:marBottom w:val="0"/>
      <w:divBdr>
        <w:top w:val="none" w:sz="0" w:space="0" w:color="auto"/>
        <w:left w:val="none" w:sz="0" w:space="0" w:color="auto"/>
        <w:bottom w:val="none" w:sz="0" w:space="0" w:color="auto"/>
        <w:right w:val="none" w:sz="0" w:space="0" w:color="auto"/>
      </w:divBdr>
      <w:divsChild>
        <w:div w:id="2107533807">
          <w:marLeft w:val="0"/>
          <w:marRight w:val="0"/>
          <w:marTop w:val="0"/>
          <w:marBottom w:val="0"/>
          <w:divBdr>
            <w:top w:val="none" w:sz="0" w:space="0" w:color="auto"/>
            <w:left w:val="none" w:sz="0" w:space="0" w:color="auto"/>
            <w:bottom w:val="none" w:sz="0" w:space="0" w:color="auto"/>
            <w:right w:val="none" w:sz="0" w:space="0" w:color="auto"/>
          </w:divBdr>
        </w:div>
      </w:divsChild>
    </w:div>
    <w:div w:id="397215415">
      <w:bodyDiv w:val="1"/>
      <w:marLeft w:val="0"/>
      <w:marRight w:val="0"/>
      <w:marTop w:val="0"/>
      <w:marBottom w:val="0"/>
      <w:divBdr>
        <w:top w:val="none" w:sz="0" w:space="0" w:color="auto"/>
        <w:left w:val="none" w:sz="0" w:space="0" w:color="auto"/>
        <w:bottom w:val="none" w:sz="0" w:space="0" w:color="auto"/>
        <w:right w:val="none" w:sz="0" w:space="0" w:color="auto"/>
      </w:divBdr>
    </w:div>
    <w:div w:id="446854891">
      <w:bodyDiv w:val="1"/>
      <w:marLeft w:val="0"/>
      <w:marRight w:val="0"/>
      <w:marTop w:val="0"/>
      <w:marBottom w:val="0"/>
      <w:divBdr>
        <w:top w:val="none" w:sz="0" w:space="0" w:color="auto"/>
        <w:left w:val="none" w:sz="0" w:space="0" w:color="auto"/>
        <w:bottom w:val="none" w:sz="0" w:space="0" w:color="auto"/>
        <w:right w:val="none" w:sz="0" w:space="0" w:color="auto"/>
      </w:divBdr>
      <w:divsChild>
        <w:div w:id="1831557644">
          <w:marLeft w:val="0"/>
          <w:marRight w:val="0"/>
          <w:marTop w:val="0"/>
          <w:marBottom w:val="0"/>
          <w:divBdr>
            <w:top w:val="none" w:sz="0" w:space="0" w:color="auto"/>
            <w:left w:val="none" w:sz="0" w:space="0" w:color="auto"/>
            <w:bottom w:val="none" w:sz="0" w:space="0" w:color="auto"/>
            <w:right w:val="none" w:sz="0" w:space="0" w:color="auto"/>
          </w:divBdr>
        </w:div>
      </w:divsChild>
    </w:div>
    <w:div w:id="457995339">
      <w:bodyDiv w:val="1"/>
      <w:marLeft w:val="0"/>
      <w:marRight w:val="0"/>
      <w:marTop w:val="0"/>
      <w:marBottom w:val="0"/>
      <w:divBdr>
        <w:top w:val="none" w:sz="0" w:space="0" w:color="auto"/>
        <w:left w:val="none" w:sz="0" w:space="0" w:color="auto"/>
        <w:bottom w:val="none" w:sz="0" w:space="0" w:color="auto"/>
        <w:right w:val="none" w:sz="0" w:space="0" w:color="auto"/>
      </w:divBdr>
    </w:div>
    <w:div w:id="465663002">
      <w:bodyDiv w:val="1"/>
      <w:marLeft w:val="0"/>
      <w:marRight w:val="0"/>
      <w:marTop w:val="0"/>
      <w:marBottom w:val="0"/>
      <w:divBdr>
        <w:top w:val="none" w:sz="0" w:space="0" w:color="auto"/>
        <w:left w:val="none" w:sz="0" w:space="0" w:color="auto"/>
        <w:bottom w:val="none" w:sz="0" w:space="0" w:color="auto"/>
        <w:right w:val="none" w:sz="0" w:space="0" w:color="auto"/>
      </w:divBdr>
    </w:div>
    <w:div w:id="471098387">
      <w:bodyDiv w:val="1"/>
      <w:marLeft w:val="0"/>
      <w:marRight w:val="0"/>
      <w:marTop w:val="0"/>
      <w:marBottom w:val="0"/>
      <w:divBdr>
        <w:top w:val="none" w:sz="0" w:space="0" w:color="auto"/>
        <w:left w:val="none" w:sz="0" w:space="0" w:color="auto"/>
        <w:bottom w:val="none" w:sz="0" w:space="0" w:color="auto"/>
        <w:right w:val="none" w:sz="0" w:space="0" w:color="auto"/>
      </w:divBdr>
    </w:div>
    <w:div w:id="476656045">
      <w:bodyDiv w:val="1"/>
      <w:marLeft w:val="0"/>
      <w:marRight w:val="0"/>
      <w:marTop w:val="0"/>
      <w:marBottom w:val="0"/>
      <w:divBdr>
        <w:top w:val="none" w:sz="0" w:space="0" w:color="auto"/>
        <w:left w:val="none" w:sz="0" w:space="0" w:color="auto"/>
        <w:bottom w:val="none" w:sz="0" w:space="0" w:color="auto"/>
        <w:right w:val="none" w:sz="0" w:space="0" w:color="auto"/>
      </w:divBdr>
    </w:div>
    <w:div w:id="480998812">
      <w:bodyDiv w:val="1"/>
      <w:marLeft w:val="0"/>
      <w:marRight w:val="0"/>
      <w:marTop w:val="0"/>
      <w:marBottom w:val="0"/>
      <w:divBdr>
        <w:top w:val="none" w:sz="0" w:space="0" w:color="auto"/>
        <w:left w:val="none" w:sz="0" w:space="0" w:color="auto"/>
        <w:bottom w:val="none" w:sz="0" w:space="0" w:color="auto"/>
        <w:right w:val="none" w:sz="0" w:space="0" w:color="auto"/>
      </w:divBdr>
      <w:divsChild>
        <w:div w:id="624237717">
          <w:marLeft w:val="0"/>
          <w:marRight w:val="0"/>
          <w:marTop w:val="0"/>
          <w:marBottom w:val="0"/>
          <w:divBdr>
            <w:top w:val="none" w:sz="0" w:space="0" w:color="auto"/>
            <w:left w:val="none" w:sz="0" w:space="0" w:color="auto"/>
            <w:bottom w:val="none" w:sz="0" w:space="0" w:color="auto"/>
            <w:right w:val="none" w:sz="0" w:space="0" w:color="auto"/>
          </w:divBdr>
        </w:div>
      </w:divsChild>
    </w:div>
    <w:div w:id="510920055">
      <w:bodyDiv w:val="1"/>
      <w:marLeft w:val="0"/>
      <w:marRight w:val="0"/>
      <w:marTop w:val="0"/>
      <w:marBottom w:val="0"/>
      <w:divBdr>
        <w:top w:val="none" w:sz="0" w:space="0" w:color="auto"/>
        <w:left w:val="none" w:sz="0" w:space="0" w:color="auto"/>
        <w:bottom w:val="none" w:sz="0" w:space="0" w:color="auto"/>
        <w:right w:val="none" w:sz="0" w:space="0" w:color="auto"/>
      </w:divBdr>
    </w:div>
    <w:div w:id="516695635">
      <w:bodyDiv w:val="1"/>
      <w:marLeft w:val="0"/>
      <w:marRight w:val="0"/>
      <w:marTop w:val="0"/>
      <w:marBottom w:val="0"/>
      <w:divBdr>
        <w:top w:val="none" w:sz="0" w:space="0" w:color="auto"/>
        <w:left w:val="none" w:sz="0" w:space="0" w:color="auto"/>
        <w:bottom w:val="none" w:sz="0" w:space="0" w:color="auto"/>
        <w:right w:val="none" w:sz="0" w:space="0" w:color="auto"/>
      </w:divBdr>
    </w:div>
    <w:div w:id="522978795">
      <w:bodyDiv w:val="1"/>
      <w:marLeft w:val="0"/>
      <w:marRight w:val="0"/>
      <w:marTop w:val="0"/>
      <w:marBottom w:val="0"/>
      <w:divBdr>
        <w:top w:val="none" w:sz="0" w:space="0" w:color="auto"/>
        <w:left w:val="none" w:sz="0" w:space="0" w:color="auto"/>
        <w:bottom w:val="none" w:sz="0" w:space="0" w:color="auto"/>
        <w:right w:val="none" w:sz="0" w:space="0" w:color="auto"/>
      </w:divBdr>
      <w:divsChild>
        <w:div w:id="1770926821">
          <w:marLeft w:val="0"/>
          <w:marRight w:val="0"/>
          <w:marTop w:val="0"/>
          <w:marBottom w:val="0"/>
          <w:divBdr>
            <w:top w:val="none" w:sz="0" w:space="0" w:color="auto"/>
            <w:left w:val="none" w:sz="0" w:space="0" w:color="auto"/>
            <w:bottom w:val="none" w:sz="0" w:space="0" w:color="auto"/>
            <w:right w:val="none" w:sz="0" w:space="0" w:color="auto"/>
          </w:divBdr>
        </w:div>
      </w:divsChild>
    </w:div>
    <w:div w:id="523204761">
      <w:bodyDiv w:val="1"/>
      <w:marLeft w:val="0"/>
      <w:marRight w:val="0"/>
      <w:marTop w:val="0"/>
      <w:marBottom w:val="0"/>
      <w:divBdr>
        <w:top w:val="none" w:sz="0" w:space="0" w:color="auto"/>
        <w:left w:val="none" w:sz="0" w:space="0" w:color="auto"/>
        <w:bottom w:val="none" w:sz="0" w:space="0" w:color="auto"/>
        <w:right w:val="none" w:sz="0" w:space="0" w:color="auto"/>
      </w:divBdr>
    </w:div>
    <w:div w:id="555580858">
      <w:bodyDiv w:val="1"/>
      <w:marLeft w:val="0"/>
      <w:marRight w:val="0"/>
      <w:marTop w:val="0"/>
      <w:marBottom w:val="0"/>
      <w:divBdr>
        <w:top w:val="none" w:sz="0" w:space="0" w:color="auto"/>
        <w:left w:val="none" w:sz="0" w:space="0" w:color="auto"/>
        <w:bottom w:val="none" w:sz="0" w:space="0" w:color="auto"/>
        <w:right w:val="none" w:sz="0" w:space="0" w:color="auto"/>
      </w:divBdr>
    </w:div>
    <w:div w:id="560025603">
      <w:bodyDiv w:val="1"/>
      <w:marLeft w:val="0"/>
      <w:marRight w:val="0"/>
      <w:marTop w:val="0"/>
      <w:marBottom w:val="0"/>
      <w:divBdr>
        <w:top w:val="none" w:sz="0" w:space="0" w:color="auto"/>
        <w:left w:val="none" w:sz="0" w:space="0" w:color="auto"/>
        <w:bottom w:val="none" w:sz="0" w:space="0" w:color="auto"/>
        <w:right w:val="none" w:sz="0" w:space="0" w:color="auto"/>
      </w:divBdr>
    </w:div>
    <w:div w:id="572007896">
      <w:bodyDiv w:val="1"/>
      <w:marLeft w:val="0"/>
      <w:marRight w:val="0"/>
      <w:marTop w:val="0"/>
      <w:marBottom w:val="0"/>
      <w:divBdr>
        <w:top w:val="none" w:sz="0" w:space="0" w:color="auto"/>
        <w:left w:val="none" w:sz="0" w:space="0" w:color="auto"/>
        <w:bottom w:val="none" w:sz="0" w:space="0" w:color="auto"/>
        <w:right w:val="none" w:sz="0" w:space="0" w:color="auto"/>
      </w:divBdr>
      <w:divsChild>
        <w:div w:id="1411464414">
          <w:marLeft w:val="0"/>
          <w:marRight w:val="0"/>
          <w:marTop w:val="0"/>
          <w:marBottom w:val="0"/>
          <w:divBdr>
            <w:top w:val="none" w:sz="0" w:space="0" w:color="auto"/>
            <w:left w:val="none" w:sz="0" w:space="0" w:color="auto"/>
            <w:bottom w:val="none" w:sz="0" w:space="0" w:color="auto"/>
            <w:right w:val="none" w:sz="0" w:space="0" w:color="auto"/>
          </w:divBdr>
        </w:div>
      </w:divsChild>
    </w:div>
    <w:div w:id="596525431">
      <w:bodyDiv w:val="1"/>
      <w:marLeft w:val="0"/>
      <w:marRight w:val="0"/>
      <w:marTop w:val="0"/>
      <w:marBottom w:val="0"/>
      <w:divBdr>
        <w:top w:val="none" w:sz="0" w:space="0" w:color="auto"/>
        <w:left w:val="none" w:sz="0" w:space="0" w:color="auto"/>
        <w:bottom w:val="none" w:sz="0" w:space="0" w:color="auto"/>
        <w:right w:val="none" w:sz="0" w:space="0" w:color="auto"/>
      </w:divBdr>
      <w:divsChild>
        <w:div w:id="594633">
          <w:marLeft w:val="0"/>
          <w:marRight w:val="0"/>
          <w:marTop w:val="0"/>
          <w:marBottom w:val="0"/>
          <w:divBdr>
            <w:top w:val="none" w:sz="0" w:space="0" w:color="auto"/>
            <w:left w:val="none" w:sz="0" w:space="0" w:color="auto"/>
            <w:bottom w:val="none" w:sz="0" w:space="0" w:color="auto"/>
            <w:right w:val="none" w:sz="0" w:space="0" w:color="auto"/>
          </w:divBdr>
        </w:div>
      </w:divsChild>
    </w:div>
    <w:div w:id="679894742">
      <w:bodyDiv w:val="1"/>
      <w:marLeft w:val="0"/>
      <w:marRight w:val="0"/>
      <w:marTop w:val="0"/>
      <w:marBottom w:val="0"/>
      <w:divBdr>
        <w:top w:val="none" w:sz="0" w:space="0" w:color="auto"/>
        <w:left w:val="none" w:sz="0" w:space="0" w:color="auto"/>
        <w:bottom w:val="none" w:sz="0" w:space="0" w:color="auto"/>
        <w:right w:val="none" w:sz="0" w:space="0" w:color="auto"/>
      </w:divBdr>
      <w:divsChild>
        <w:div w:id="1343971656">
          <w:marLeft w:val="0"/>
          <w:marRight w:val="0"/>
          <w:marTop w:val="0"/>
          <w:marBottom w:val="0"/>
          <w:divBdr>
            <w:top w:val="none" w:sz="0" w:space="0" w:color="auto"/>
            <w:left w:val="none" w:sz="0" w:space="0" w:color="auto"/>
            <w:bottom w:val="none" w:sz="0" w:space="0" w:color="auto"/>
            <w:right w:val="none" w:sz="0" w:space="0" w:color="auto"/>
          </w:divBdr>
        </w:div>
      </w:divsChild>
    </w:div>
    <w:div w:id="800878487">
      <w:bodyDiv w:val="1"/>
      <w:marLeft w:val="0"/>
      <w:marRight w:val="0"/>
      <w:marTop w:val="0"/>
      <w:marBottom w:val="0"/>
      <w:divBdr>
        <w:top w:val="none" w:sz="0" w:space="0" w:color="auto"/>
        <w:left w:val="none" w:sz="0" w:space="0" w:color="auto"/>
        <w:bottom w:val="none" w:sz="0" w:space="0" w:color="auto"/>
        <w:right w:val="none" w:sz="0" w:space="0" w:color="auto"/>
      </w:divBdr>
    </w:div>
    <w:div w:id="804390502">
      <w:bodyDiv w:val="1"/>
      <w:marLeft w:val="0"/>
      <w:marRight w:val="0"/>
      <w:marTop w:val="0"/>
      <w:marBottom w:val="0"/>
      <w:divBdr>
        <w:top w:val="none" w:sz="0" w:space="0" w:color="auto"/>
        <w:left w:val="none" w:sz="0" w:space="0" w:color="auto"/>
        <w:bottom w:val="none" w:sz="0" w:space="0" w:color="auto"/>
        <w:right w:val="none" w:sz="0" w:space="0" w:color="auto"/>
      </w:divBdr>
      <w:divsChild>
        <w:div w:id="1851947752">
          <w:marLeft w:val="0"/>
          <w:marRight w:val="0"/>
          <w:marTop w:val="0"/>
          <w:marBottom w:val="0"/>
          <w:divBdr>
            <w:top w:val="none" w:sz="0" w:space="0" w:color="auto"/>
            <w:left w:val="none" w:sz="0" w:space="0" w:color="auto"/>
            <w:bottom w:val="none" w:sz="0" w:space="0" w:color="auto"/>
            <w:right w:val="none" w:sz="0" w:space="0" w:color="auto"/>
          </w:divBdr>
          <w:divsChild>
            <w:div w:id="321933370">
              <w:marLeft w:val="0"/>
              <w:marRight w:val="0"/>
              <w:marTop w:val="0"/>
              <w:marBottom w:val="0"/>
              <w:divBdr>
                <w:top w:val="none" w:sz="0" w:space="0" w:color="auto"/>
                <w:left w:val="none" w:sz="0" w:space="0" w:color="auto"/>
                <w:bottom w:val="none" w:sz="0" w:space="0" w:color="auto"/>
                <w:right w:val="none" w:sz="0" w:space="0" w:color="auto"/>
              </w:divBdr>
              <w:divsChild>
                <w:div w:id="5042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76287">
      <w:bodyDiv w:val="1"/>
      <w:marLeft w:val="0"/>
      <w:marRight w:val="0"/>
      <w:marTop w:val="0"/>
      <w:marBottom w:val="0"/>
      <w:divBdr>
        <w:top w:val="none" w:sz="0" w:space="0" w:color="auto"/>
        <w:left w:val="none" w:sz="0" w:space="0" w:color="auto"/>
        <w:bottom w:val="none" w:sz="0" w:space="0" w:color="auto"/>
        <w:right w:val="none" w:sz="0" w:space="0" w:color="auto"/>
      </w:divBdr>
    </w:div>
    <w:div w:id="832448910">
      <w:bodyDiv w:val="1"/>
      <w:marLeft w:val="0"/>
      <w:marRight w:val="0"/>
      <w:marTop w:val="0"/>
      <w:marBottom w:val="0"/>
      <w:divBdr>
        <w:top w:val="none" w:sz="0" w:space="0" w:color="auto"/>
        <w:left w:val="none" w:sz="0" w:space="0" w:color="auto"/>
        <w:bottom w:val="none" w:sz="0" w:space="0" w:color="auto"/>
        <w:right w:val="none" w:sz="0" w:space="0" w:color="auto"/>
      </w:divBdr>
      <w:divsChild>
        <w:div w:id="1198851714">
          <w:marLeft w:val="0"/>
          <w:marRight w:val="0"/>
          <w:marTop w:val="0"/>
          <w:marBottom w:val="0"/>
          <w:divBdr>
            <w:top w:val="none" w:sz="0" w:space="0" w:color="auto"/>
            <w:left w:val="none" w:sz="0" w:space="0" w:color="auto"/>
            <w:bottom w:val="none" w:sz="0" w:space="0" w:color="auto"/>
            <w:right w:val="none" w:sz="0" w:space="0" w:color="auto"/>
          </w:divBdr>
        </w:div>
      </w:divsChild>
    </w:div>
    <w:div w:id="876239131">
      <w:bodyDiv w:val="1"/>
      <w:marLeft w:val="0"/>
      <w:marRight w:val="0"/>
      <w:marTop w:val="0"/>
      <w:marBottom w:val="0"/>
      <w:divBdr>
        <w:top w:val="none" w:sz="0" w:space="0" w:color="auto"/>
        <w:left w:val="none" w:sz="0" w:space="0" w:color="auto"/>
        <w:bottom w:val="none" w:sz="0" w:space="0" w:color="auto"/>
        <w:right w:val="none" w:sz="0" w:space="0" w:color="auto"/>
      </w:divBdr>
    </w:div>
    <w:div w:id="893005513">
      <w:bodyDiv w:val="1"/>
      <w:marLeft w:val="0"/>
      <w:marRight w:val="0"/>
      <w:marTop w:val="0"/>
      <w:marBottom w:val="0"/>
      <w:divBdr>
        <w:top w:val="none" w:sz="0" w:space="0" w:color="auto"/>
        <w:left w:val="none" w:sz="0" w:space="0" w:color="auto"/>
        <w:bottom w:val="none" w:sz="0" w:space="0" w:color="auto"/>
        <w:right w:val="none" w:sz="0" w:space="0" w:color="auto"/>
      </w:divBdr>
      <w:divsChild>
        <w:div w:id="1539470739">
          <w:marLeft w:val="0"/>
          <w:marRight w:val="0"/>
          <w:marTop w:val="0"/>
          <w:marBottom w:val="0"/>
          <w:divBdr>
            <w:top w:val="none" w:sz="0" w:space="0" w:color="auto"/>
            <w:left w:val="none" w:sz="0" w:space="0" w:color="auto"/>
            <w:bottom w:val="none" w:sz="0" w:space="0" w:color="auto"/>
            <w:right w:val="none" w:sz="0" w:space="0" w:color="auto"/>
          </w:divBdr>
        </w:div>
      </w:divsChild>
    </w:div>
    <w:div w:id="917329155">
      <w:bodyDiv w:val="1"/>
      <w:marLeft w:val="0"/>
      <w:marRight w:val="0"/>
      <w:marTop w:val="0"/>
      <w:marBottom w:val="0"/>
      <w:divBdr>
        <w:top w:val="none" w:sz="0" w:space="0" w:color="auto"/>
        <w:left w:val="none" w:sz="0" w:space="0" w:color="auto"/>
        <w:bottom w:val="none" w:sz="0" w:space="0" w:color="auto"/>
        <w:right w:val="none" w:sz="0" w:space="0" w:color="auto"/>
      </w:divBdr>
    </w:div>
    <w:div w:id="961813684">
      <w:bodyDiv w:val="1"/>
      <w:marLeft w:val="0"/>
      <w:marRight w:val="0"/>
      <w:marTop w:val="0"/>
      <w:marBottom w:val="0"/>
      <w:divBdr>
        <w:top w:val="none" w:sz="0" w:space="0" w:color="auto"/>
        <w:left w:val="none" w:sz="0" w:space="0" w:color="auto"/>
        <w:bottom w:val="none" w:sz="0" w:space="0" w:color="auto"/>
        <w:right w:val="none" w:sz="0" w:space="0" w:color="auto"/>
      </w:divBdr>
    </w:div>
    <w:div w:id="975188074">
      <w:bodyDiv w:val="1"/>
      <w:marLeft w:val="0"/>
      <w:marRight w:val="0"/>
      <w:marTop w:val="0"/>
      <w:marBottom w:val="0"/>
      <w:divBdr>
        <w:top w:val="none" w:sz="0" w:space="0" w:color="auto"/>
        <w:left w:val="none" w:sz="0" w:space="0" w:color="auto"/>
        <w:bottom w:val="none" w:sz="0" w:space="0" w:color="auto"/>
        <w:right w:val="none" w:sz="0" w:space="0" w:color="auto"/>
      </w:divBdr>
      <w:divsChild>
        <w:div w:id="1064110372">
          <w:marLeft w:val="0"/>
          <w:marRight w:val="0"/>
          <w:marTop w:val="0"/>
          <w:marBottom w:val="0"/>
          <w:divBdr>
            <w:top w:val="none" w:sz="0" w:space="0" w:color="auto"/>
            <w:left w:val="none" w:sz="0" w:space="0" w:color="auto"/>
            <w:bottom w:val="none" w:sz="0" w:space="0" w:color="auto"/>
            <w:right w:val="none" w:sz="0" w:space="0" w:color="auto"/>
          </w:divBdr>
        </w:div>
      </w:divsChild>
    </w:div>
    <w:div w:id="983267758">
      <w:bodyDiv w:val="1"/>
      <w:marLeft w:val="0"/>
      <w:marRight w:val="0"/>
      <w:marTop w:val="0"/>
      <w:marBottom w:val="0"/>
      <w:divBdr>
        <w:top w:val="none" w:sz="0" w:space="0" w:color="auto"/>
        <w:left w:val="none" w:sz="0" w:space="0" w:color="auto"/>
        <w:bottom w:val="none" w:sz="0" w:space="0" w:color="auto"/>
        <w:right w:val="none" w:sz="0" w:space="0" w:color="auto"/>
      </w:divBdr>
      <w:divsChild>
        <w:div w:id="457721155">
          <w:marLeft w:val="0"/>
          <w:marRight w:val="0"/>
          <w:marTop w:val="0"/>
          <w:marBottom w:val="0"/>
          <w:divBdr>
            <w:top w:val="none" w:sz="0" w:space="0" w:color="auto"/>
            <w:left w:val="none" w:sz="0" w:space="0" w:color="auto"/>
            <w:bottom w:val="none" w:sz="0" w:space="0" w:color="auto"/>
            <w:right w:val="none" w:sz="0" w:space="0" w:color="auto"/>
          </w:divBdr>
        </w:div>
      </w:divsChild>
    </w:div>
    <w:div w:id="1016077352">
      <w:bodyDiv w:val="1"/>
      <w:marLeft w:val="0"/>
      <w:marRight w:val="0"/>
      <w:marTop w:val="0"/>
      <w:marBottom w:val="0"/>
      <w:divBdr>
        <w:top w:val="none" w:sz="0" w:space="0" w:color="auto"/>
        <w:left w:val="none" w:sz="0" w:space="0" w:color="auto"/>
        <w:bottom w:val="none" w:sz="0" w:space="0" w:color="auto"/>
        <w:right w:val="none" w:sz="0" w:space="0" w:color="auto"/>
      </w:divBdr>
    </w:div>
    <w:div w:id="1019164878">
      <w:bodyDiv w:val="1"/>
      <w:marLeft w:val="0"/>
      <w:marRight w:val="0"/>
      <w:marTop w:val="0"/>
      <w:marBottom w:val="0"/>
      <w:divBdr>
        <w:top w:val="none" w:sz="0" w:space="0" w:color="auto"/>
        <w:left w:val="none" w:sz="0" w:space="0" w:color="auto"/>
        <w:bottom w:val="none" w:sz="0" w:space="0" w:color="auto"/>
        <w:right w:val="none" w:sz="0" w:space="0" w:color="auto"/>
      </w:divBdr>
      <w:divsChild>
        <w:div w:id="1369571943">
          <w:marLeft w:val="0"/>
          <w:marRight w:val="0"/>
          <w:marTop w:val="0"/>
          <w:marBottom w:val="0"/>
          <w:divBdr>
            <w:top w:val="none" w:sz="0" w:space="0" w:color="auto"/>
            <w:left w:val="none" w:sz="0" w:space="0" w:color="auto"/>
            <w:bottom w:val="none" w:sz="0" w:space="0" w:color="auto"/>
            <w:right w:val="none" w:sz="0" w:space="0" w:color="auto"/>
          </w:divBdr>
        </w:div>
      </w:divsChild>
    </w:div>
    <w:div w:id="1046684021">
      <w:bodyDiv w:val="1"/>
      <w:marLeft w:val="0"/>
      <w:marRight w:val="0"/>
      <w:marTop w:val="0"/>
      <w:marBottom w:val="0"/>
      <w:divBdr>
        <w:top w:val="none" w:sz="0" w:space="0" w:color="auto"/>
        <w:left w:val="none" w:sz="0" w:space="0" w:color="auto"/>
        <w:bottom w:val="none" w:sz="0" w:space="0" w:color="auto"/>
        <w:right w:val="none" w:sz="0" w:space="0" w:color="auto"/>
      </w:divBdr>
    </w:div>
    <w:div w:id="1047027687">
      <w:bodyDiv w:val="1"/>
      <w:marLeft w:val="0"/>
      <w:marRight w:val="0"/>
      <w:marTop w:val="0"/>
      <w:marBottom w:val="0"/>
      <w:divBdr>
        <w:top w:val="none" w:sz="0" w:space="0" w:color="auto"/>
        <w:left w:val="none" w:sz="0" w:space="0" w:color="auto"/>
        <w:bottom w:val="none" w:sz="0" w:space="0" w:color="auto"/>
        <w:right w:val="none" w:sz="0" w:space="0" w:color="auto"/>
      </w:divBdr>
    </w:div>
    <w:div w:id="1079250777">
      <w:bodyDiv w:val="1"/>
      <w:marLeft w:val="0"/>
      <w:marRight w:val="0"/>
      <w:marTop w:val="0"/>
      <w:marBottom w:val="0"/>
      <w:divBdr>
        <w:top w:val="none" w:sz="0" w:space="0" w:color="auto"/>
        <w:left w:val="none" w:sz="0" w:space="0" w:color="auto"/>
        <w:bottom w:val="none" w:sz="0" w:space="0" w:color="auto"/>
        <w:right w:val="none" w:sz="0" w:space="0" w:color="auto"/>
      </w:divBdr>
    </w:div>
    <w:div w:id="1081023418">
      <w:bodyDiv w:val="1"/>
      <w:marLeft w:val="0"/>
      <w:marRight w:val="0"/>
      <w:marTop w:val="0"/>
      <w:marBottom w:val="0"/>
      <w:divBdr>
        <w:top w:val="none" w:sz="0" w:space="0" w:color="auto"/>
        <w:left w:val="none" w:sz="0" w:space="0" w:color="auto"/>
        <w:bottom w:val="none" w:sz="0" w:space="0" w:color="auto"/>
        <w:right w:val="none" w:sz="0" w:space="0" w:color="auto"/>
      </w:divBdr>
    </w:div>
    <w:div w:id="1096974093">
      <w:bodyDiv w:val="1"/>
      <w:marLeft w:val="0"/>
      <w:marRight w:val="0"/>
      <w:marTop w:val="0"/>
      <w:marBottom w:val="0"/>
      <w:divBdr>
        <w:top w:val="none" w:sz="0" w:space="0" w:color="auto"/>
        <w:left w:val="none" w:sz="0" w:space="0" w:color="auto"/>
        <w:bottom w:val="none" w:sz="0" w:space="0" w:color="auto"/>
        <w:right w:val="none" w:sz="0" w:space="0" w:color="auto"/>
      </w:divBdr>
      <w:divsChild>
        <w:div w:id="195774721">
          <w:marLeft w:val="0"/>
          <w:marRight w:val="0"/>
          <w:marTop w:val="0"/>
          <w:marBottom w:val="0"/>
          <w:divBdr>
            <w:top w:val="none" w:sz="0" w:space="0" w:color="auto"/>
            <w:left w:val="none" w:sz="0" w:space="0" w:color="auto"/>
            <w:bottom w:val="none" w:sz="0" w:space="0" w:color="auto"/>
            <w:right w:val="none" w:sz="0" w:space="0" w:color="auto"/>
          </w:divBdr>
        </w:div>
      </w:divsChild>
    </w:div>
    <w:div w:id="1100838470">
      <w:bodyDiv w:val="1"/>
      <w:marLeft w:val="0"/>
      <w:marRight w:val="0"/>
      <w:marTop w:val="0"/>
      <w:marBottom w:val="0"/>
      <w:divBdr>
        <w:top w:val="none" w:sz="0" w:space="0" w:color="auto"/>
        <w:left w:val="none" w:sz="0" w:space="0" w:color="auto"/>
        <w:bottom w:val="none" w:sz="0" w:space="0" w:color="auto"/>
        <w:right w:val="none" w:sz="0" w:space="0" w:color="auto"/>
      </w:divBdr>
    </w:div>
    <w:div w:id="1114834850">
      <w:bodyDiv w:val="1"/>
      <w:marLeft w:val="0"/>
      <w:marRight w:val="0"/>
      <w:marTop w:val="0"/>
      <w:marBottom w:val="0"/>
      <w:divBdr>
        <w:top w:val="none" w:sz="0" w:space="0" w:color="auto"/>
        <w:left w:val="none" w:sz="0" w:space="0" w:color="auto"/>
        <w:bottom w:val="none" w:sz="0" w:space="0" w:color="auto"/>
        <w:right w:val="none" w:sz="0" w:space="0" w:color="auto"/>
      </w:divBdr>
    </w:div>
    <w:div w:id="1121805395">
      <w:bodyDiv w:val="1"/>
      <w:marLeft w:val="0"/>
      <w:marRight w:val="0"/>
      <w:marTop w:val="0"/>
      <w:marBottom w:val="0"/>
      <w:divBdr>
        <w:top w:val="none" w:sz="0" w:space="0" w:color="auto"/>
        <w:left w:val="none" w:sz="0" w:space="0" w:color="auto"/>
        <w:bottom w:val="none" w:sz="0" w:space="0" w:color="auto"/>
        <w:right w:val="none" w:sz="0" w:space="0" w:color="auto"/>
      </w:divBdr>
    </w:div>
    <w:div w:id="1125613254">
      <w:bodyDiv w:val="1"/>
      <w:marLeft w:val="0"/>
      <w:marRight w:val="0"/>
      <w:marTop w:val="0"/>
      <w:marBottom w:val="0"/>
      <w:divBdr>
        <w:top w:val="none" w:sz="0" w:space="0" w:color="auto"/>
        <w:left w:val="none" w:sz="0" w:space="0" w:color="auto"/>
        <w:bottom w:val="none" w:sz="0" w:space="0" w:color="auto"/>
        <w:right w:val="none" w:sz="0" w:space="0" w:color="auto"/>
      </w:divBdr>
    </w:div>
    <w:div w:id="1130902299">
      <w:bodyDiv w:val="1"/>
      <w:marLeft w:val="0"/>
      <w:marRight w:val="0"/>
      <w:marTop w:val="0"/>
      <w:marBottom w:val="0"/>
      <w:divBdr>
        <w:top w:val="none" w:sz="0" w:space="0" w:color="auto"/>
        <w:left w:val="none" w:sz="0" w:space="0" w:color="auto"/>
        <w:bottom w:val="none" w:sz="0" w:space="0" w:color="auto"/>
        <w:right w:val="none" w:sz="0" w:space="0" w:color="auto"/>
      </w:divBdr>
    </w:div>
    <w:div w:id="1134910736">
      <w:bodyDiv w:val="1"/>
      <w:marLeft w:val="0"/>
      <w:marRight w:val="0"/>
      <w:marTop w:val="0"/>
      <w:marBottom w:val="0"/>
      <w:divBdr>
        <w:top w:val="none" w:sz="0" w:space="0" w:color="auto"/>
        <w:left w:val="none" w:sz="0" w:space="0" w:color="auto"/>
        <w:bottom w:val="none" w:sz="0" w:space="0" w:color="auto"/>
        <w:right w:val="none" w:sz="0" w:space="0" w:color="auto"/>
      </w:divBdr>
    </w:div>
    <w:div w:id="1167283123">
      <w:bodyDiv w:val="1"/>
      <w:marLeft w:val="0"/>
      <w:marRight w:val="0"/>
      <w:marTop w:val="0"/>
      <w:marBottom w:val="0"/>
      <w:divBdr>
        <w:top w:val="none" w:sz="0" w:space="0" w:color="auto"/>
        <w:left w:val="none" w:sz="0" w:space="0" w:color="auto"/>
        <w:bottom w:val="none" w:sz="0" w:space="0" w:color="auto"/>
        <w:right w:val="none" w:sz="0" w:space="0" w:color="auto"/>
      </w:divBdr>
    </w:div>
    <w:div w:id="1185486032">
      <w:bodyDiv w:val="1"/>
      <w:marLeft w:val="0"/>
      <w:marRight w:val="0"/>
      <w:marTop w:val="0"/>
      <w:marBottom w:val="0"/>
      <w:divBdr>
        <w:top w:val="none" w:sz="0" w:space="0" w:color="auto"/>
        <w:left w:val="none" w:sz="0" w:space="0" w:color="auto"/>
        <w:bottom w:val="none" w:sz="0" w:space="0" w:color="auto"/>
        <w:right w:val="none" w:sz="0" w:space="0" w:color="auto"/>
      </w:divBdr>
    </w:div>
    <w:div w:id="1209951004">
      <w:bodyDiv w:val="1"/>
      <w:marLeft w:val="0"/>
      <w:marRight w:val="0"/>
      <w:marTop w:val="0"/>
      <w:marBottom w:val="0"/>
      <w:divBdr>
        <w:top w:val="none" w:sz="0" w:space="0" w:color="auto"/>
        <w:left w:val="none" w:sz="0" w:space="0" w:color="auto"/>
        <w:bottom w:val="none" w:sz="0" w:space="0" w:color="auto"/>
        <w:right w:val="none" w:sz="0" w:space="0" w:color="auto"/>
      </w:divBdr>
      <w:divsChild>
        <w:div w:id="1965042513">
          <w:marLeft w:val="0"/>
          <w:marRight w:val="0"/>
          <w:marTop w:val="0"/>
          <w:marBottom w:val="0"/>
          <w:divBdr>
            <w:top w:val="none" w:sz="0" w:space="0" w:color="auto"/>
            <w:left w:val="none" w:sz="0" w:space="0" w:color="auto"/>
            <w:bottom w:val="none" w:sz="0" w:space="0" w:color="auto"/>
            <w:right w:val="none" w:sz="0" w:space="0" w:color="auto"/>
          </w:divBdr>
          <w:divsChild>
            <w:div w:id="854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3220">
      <w:bodyDiv w:val="1"/>
      <w:marLeft w:val="0"/>
      <w:marRight w:val="0"/>
      <w:marTop w:val="0"/>
      <w:marBottom w:val="0"/>
      <w:divBdr>
        <w:top w:val="none" w:sz="0" w:space="0" w:color="auto"/>
        <w:left w:val="none" w:sz="0" w:space="0" w:color="auto"/>
        <w:bottom w:val="none" w:sz="0" w:space="0" w:color="auto"/>
        <w:right w:val="none" w:sz="0" w:space="0" w:color="auto"/>
      </w:divBdr>
      <w:divsChild>
        <w:div w:id="986933184">
          <w:marLeft w:val="0"/>
          <w:marRight w:val="0"/>
          <w:marTop w:val="0"/>
          <w:marBottom w:val="0"/>
          <w:divBdr>
            <w:top w:val="none" w:sz="0" w:space="0" w:color="auto"/>
            <w:left w:val="none" w:sz="0" w:space="0" w:color="auto"/>
            <w:bottom w:val="none" w:sz="0" w:space="0" w:color="auto"/>
            <w:right w:val="none" w:sz="0" w:space="0" w:color="auto"/>
          </w:divBdr>
        </w:div>
      </w:divsChild>
    </w:div>
    <w:div w:id="1224295460">
      <w:bodyDiv w:val="1"/>
      <w:marLeft w:val="0"/>
      <w:marRight w:val="0"/>
      <w:marTop w:val="0"/>
      <w:marBottom w:val="0"/>
      <w:divBdr>
        <w:top w:val="none" w:sz="0" w:space="0" w:color="auto"/>
        <w:left w:val="none" w:sz="0" w:space="0" w:color="auto"/>
        <w:bottom w:val="none" w:sz="0" w:space="0" w:color="auto"/>
        <w:right w:val="none" w:sz="0" w:space="0" w:color="auto"/>
      </w:divBdr>
    </w:div>
    <w:div w:id="1227568964">
      <w:bodyDiv w:val="1"/>
      <w:marLeft w:val="0"/>
      <w:marRight w:val="0"/>
      <w:marTop w:val="0"/>
      <w:marBottom w:val="0"/>
      <w:divBdr>
        <w:top w:val="none" w:sz="0" w:space="0" w:color="auto"/>
        <w:left w:val="none" w:sz="0" w:space="0" w:color="auto"/>
        <w:bottom w:val="none" w:sz="0" w:space="0" w:color="auto"/>
        <w:right w:val="none" w:sz="0" w:space="0" w:color="auto"/>
      </w:divBdr>
      <w:divsChild>
        <w:div w:id="314651460">
          <w:marLeft w:val="0"/>
          <w:marRight w:val="0"/>
          <w:marTop w:val="0"/>
          <w:marBottom w:val="0"/>
          <w:divBdr>
            <w:top w:val="none" w:sz="0" w:space="0" w:color="auto"/>
            <w:left w:val="none" w:sz="0" w:space="0" w:color="auto"/>
            <w:bottom w:val="none" w:sz="0" w:space="0" w:color="auto"/>
            <w:right w:val="none" w:sz="0" w:space="0" w:color="auto"/>
          </w:divBdr>
        </w:div>
      </w:divsChild>
    </w:div>
    <w:div w:id="1250576802">
      <w:bodyDiv w:val="1"/>
      <w:marLeft w:val="0"/>
      <w:marRight w:val="0"/>
      <w:marTop w:val="0"/>
      <w:marBottom w:val="0"/>
      <w:divBdr>
        <w:top w:val="none" w:sz="0" w:space="0" w:color="auto"/>
        <w:left w:val="none" w:sz="0" w:space="0" w:color="auto"/>
        <w:bottom w:val="none" w:sz="0" w:space="0" w:color="auto"/>
        <w:right w:val="none" w:sz="0" w:space="0" w:color="auto"/>
      </w:divBdr>
      <w:divsChild>
        <w:div w:id="123812329">
          <w:marLeft w:val="0"/>
          <w:marRight w:val="0"/>
          <w:marTop w:val="0"/>
          <w:marBottom w:val="0"/>
          <w:divBdr>
            <w:top w:val="none" w:sz="0" w:space="0" w:color="auto"/>
            <w:left w:val="none" w:sz="0" w:space="0" w:color="auto"/>
            <w:bottom w:val="none" w:sz="0" w:space="0" w:color="auto"/>
            <w:right w:val="none" w:sz="0" w:space="0" w:color="auto"/>
          </w:divBdr>
        </w:div>
      </w:divsChild>
    </w:div>
    <w:div w:id="1306929827">
      <w:bodyDiv w:val="1"/>
      <w:marLeft w:val="0"/>
      <w:marRight w:val="0"/>
      <w:marTop w:val="0"/>
      <w:marBottom w:val="0"/>
      <w:divBdr>
        <w:top w:val="none" w:sz="0" w:space="0" w:color="auto"/>
        <w:left w:val="none" w:sz="0" w:space="0" w:color="auto"/>
        <w:bottom w:val="none" w:sz="0" w:space="0" w:color="auto"/>
        <w:right w:val="none" w:sz="0" w:space="0" w:color="auto"/>
      </w:divBdr>
      <w:divsChild>
        <w:div w:id="1066997687">
          <w:marLeft w:val="0"/>
          <w:marRight w:val="0"/>
          <w:marTop w:val="0"/>
          <w:marBottom w:val="0"/>
          <w:divBdr>
            <w:top w:val="none" w:sz="0" w:space="0" w:color="auto"/>
            <w:left w:val="none" w:sz="0" w:space="0" w:color="auto"/>
            <w:bottom w:val="none" w:sz="0" w:space="0" w:color="auto"/>
            <w:right w:val="none" w:sz="0" w:space="0" w:color="auto"/>
          </w:divBdr>
        </w:div>
      </w:divsChild>
    </w:div>
    <w:div w:id="1324165490">
      <w:bodyDiv w:val="1"/>
      <w:marLeft w:val="0"/>
      <w:marRight w:val="0"/>
      <w:marTop w:val="0"/>
      <w:marBottom w:val="0"/>
      <w:divBdr>
        <w:top w:val="none" w:sz="0" w:space="0" w:color="auto"/>
        <w:left w:val="none" w:sz="0" w:space="0" w:color="auto"/>
        <w:bottom w:val="none" w:sz="0" w:space="0" w:color="auto"/>
        <w:right w:val="none" w:sz="0" w:space="0" w:color="auto"/>
      </w:divBdr>
    </w:div>
    <w:div w:id="1401249093">
      <w:bodyDiv w:val="1"/>
      <w:marLeft w:val="0"/>
      <w:marRight w:val="0"/>
      <w:marTop w:val="0"/>
      <w:marBottom w:val="0"/>
      <w:divBdr>
        <w:top w:val="none" w:sz="0" w:space="0" w:color="auto"/>
        <w:left w:val="none" w:sz="0" w:space="0" w:color="auto"/>
        <w:bottom w:val="none" w:sz="0" w:space="0" w:color="auto"/>
        <w:right w:val="none" w:sz="0" w:space="0" w:color="auto"/>
      </w:divBdr>
      <w:divsChild>
        <w:div w:id="1089422239">
          <w:marLeft w:val="0"/>
          <w:marRight w:val="0"/>
          <w:marTop w:val="0"/>
          <w:marBottom w:val="0"/>
          <w:divBdr>
            <w:top w:val="none" w:sz="0" w:space="0" w:color="auto"/>
            <w:left w:val="none" w:sz="0" w:space="0" w:color="auto"/>
            <w:bottom w:val="none" w:sz="0" w:space="0" w:color="auto"/>
            <w:right w:val="none" w:sz="0" w:space="0" w:color="auto"/>
          </w:divBdr>
        </w:div>
      </w:divsChild>
    </w:div>
    <w:div w:id="1404064033">
      <w:bodyDiv w:val="1"/>
      <w:marLeft w:val="0"/>
      <w:marRight w:val="0"/>
      <w:marTop w:val="0"/>
      <w:marBottom w:val="0"/>
      <w:divBdr>
        <w:top w:val="none" w:sz="0" w:space="0" w:color="auto"/>
        <w:left w:val="none" w:sz="0" w:space="0" w:color="auto"/>
        <w:bottom w:val="none" w:sz="0" w:space="0" w:color="auto"/>
        <w:right w:val="none" w:sz="0" w:space="0" w:color="auto"/>
      </w:divBdr>
    </w:div>
    <w:div w:id="1439182889">
      <w:bodyDiv w:val="1"/>
      <w:marLeft w:val="0"/>
      <w:marRight w:val="0"/>
      <w:marTop w:val="0"/>
      <w:marBottom w:val="0"/>
      <w:divBdr>
        <w:top w:val="none" w:sz="0" w:space="0" w:color="auto"/>
        <w:left w:val="none" w:sz="0" w:space="0" w:color="auto"/>
        <w:bottom w:val="none" w:sz="0" w:space="0" w:color="auto"/>
        <w:right w:val="none" w:sz="0" w:space="0" w:color="auto"/>
      </w:divBdr>
    </w:div>
    <w:div w:id="1452280093">
      <w:bodyDiv w:val="1"/>
      <w:marLeft w:val="0"/>
      <w:marRight w:val="0"/>
      <w:marTop w:val="0"/>
      <w:marBottom w:val="0"/>
      <w:divBdr>
        <w:top w:val="none" w:sz="0" w:space="0" w:color="auto"/>
        <w:left w:val="none" w:sz="0" w:space="0" w:color="auto"/>
        <w:bottom w:val="none" w:sz="0" w:space="0" w:color="auto"/>
        <w:right w:val="none" w:sz="0" w:space="0" w:color="auto"/>
      </w:divBdr>
      <w:divsChild>
        <w:div w:id="1641307772">
          <w:marLeft w:val="0"/>
          <w:marRight w:val="0"/>
          <w:marTop w:val="0"/>
          <w:marBottom w:val="0"/>
          <w:divBdr>
            <w:top w:val="none" w:sz="0" w:space="0" w:color="auto"/>
            <w:left w:val="none" w:sz="0" w:space="0" w:color="auto"/>
            <w:bottom w:val="none" w:sz="0" w:space="0" w:color="auto"/>
            <w:right w:val="none" w:sz="0" w:space="0" w:color="auto"/>
          </w:divBdr>
        </w:div>
      </w:divsChild>
    </w:div>
    <w:div w:id="1512451558">
      <w:bodyDiv w:val="1"/>
      <w:marLeft w:val="0"/>
      <w:marRight w:val="0"/>
      <w:marTop w:val="0"/>
      <w:marBottom w:val="0"/>
      <w:divBdr>
        <w:top w:val="none" w:sz="0" w:space="0" w:color="auto"/>
        <w:left w:val="none" w:sz="0" w:space="0" w:color="auto"/>
        <w:bottom w:val="none" w:sz="0" w:space="0" w:color="auto"/>
        <w:right w:val="none" w:sz="0" w:space="0" w:color="auto"/>
      </w:divBdr>
      <w:divsChild>
        <w:div w:id="973561384">
          <w:marLeft w:val="0"/>
          <w:marRight w:val="0"/>
          <w:marTop w:val="0"/>
          <w:marBottom w:val="0"/>
          <w:divBdr>
            <w:top w:val="none" w:sz="0" w:space="0" w:color="auto"/>
            <w:left w:val="none" w:sz="0" w:space="0" w:color="auto"/>
            <w:bottom w:val="none" w:sz="0" w:space="0" w:color="auto"/>
            <w:right w:val="none" w:sz="0" w:space="0" w:color="auto"/>
          </w:divBdr>
        </w:div>
      </w:divsChild>
    </w:div>
    <w:div w:id="1575047666">
      <w:bodyDiv w:val="1"/>
      <w:marLeft w:val="0"/>
      <w:marRight w:val="0"/>
      <w:marTop w:val="0"/>
      <w:marBottom w:val="0"/>
      <w:divBdr>
        <w:top w:val="none" w:sz="0" w:space="0" w:color="auto"/>
        <w:left w:val="none" w:sz="0" w:space="0" w:color="auto"/>
        <w:bottom w:val="none" w:sz="0" w:space="0" w:color="auto"/>
        <w:right w:val="none" w:sz="0" w:space="0" w:color="auto"/>
      </w:divBdr>
      <w:divsChild>
        <w:div w:id="489834947">
          <w:marLeft w:val="0"/>
          <w:marRight w:val="0"/>
          <w:marTop w:val="0"/>
          <w:marBottom w:val="0"/>
          <w:divBdr>
            <w:top w:val="none" w:sz="0" w:space="0" w:color="auto"/>
            <w:left w:val="none" w:sz="0" w:space="0" w:color="auto"/>
            <w:bottom w:val="none" w:sz="0" w:space="0" w:color="auto"/>
            <w:right w:val="none" w:sz="0" w:space="0" w:color="auto"/>
          </w:divBdr>
        </w:div>
      </w:divsChild>
    </w:div>
    <w:div w:id="1634293346">
      <w:bodyDiv w:val="1"/>
      <w:marLeft w:val="0"/>
      <w:marRight w:val="0"/>
      <w:marTop w:val="0"/>
      <w:marBottom w:val="0"/>
      <w:divBdr>
        <w:top w:val="none" w:sz="0" w:space="0" w:color="auto"/>
        <w:left w:val="none" w:sz="0" w:space="0" w:color="auto"/>
        <w:bottom w:val="none" w:sz="0" w:space="0" w:color="auto"/>
        <w:right w:val="none" w:sz="0" w:space="0" w:color="auto"/>
      </w:divBdr>
      <w:divsChild>
        <w:div w:id="158276816">
          <w:marLeft w:val="0"/>
          <w:marRight w:val="0"/>
          <w:marTop w:val="0"/>
          <w:marBottom w:val="0"/>
          <w:divBdr>
            <w:top w:val="none" w:sz="0" w:space="0" w:color="auto"/>
            <w:left w:val="none" w:sz="0" w:space="0" w:color="auto"/>
            <w:bottom w:val="none" w:sz="0" w:space="0" w:color="auto"/>
            <w:right w:val="none" w:sz="0" w:space="0" w:color="auto"/>
          </w:divBdr>
          <w:divsChild>
            <w:div w:id="10061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72531">
      <w:bodyDiv w:val="1"/>
      <w:marLeft w:val="0"/>
      <w:marRight w:val="0"/>
      <w:marTop w:val="0"/>
      <w:marBottom w:val="0"/>
      <w:divBdr>
        <w:top w:val="none" w:sz="0" w:space="0" w:color="auto"/>
        <w:left w:val="none" w:sz="0" w:space="0" w:color="auto"/>
        <w:bottom w:val="none" w:sz="0" w:space="0" w:color="auto"/>
        <w:right w:val="none" w:sz="0" w:space="0" w:color="auto"/>
      </w:divBdr>
    </w:div>
    <w:div w:id="1793942095">
      <w:bodyDiv w:val="1"/>
      <w:marLeft w:val="0"/>
      <w:marRight w:val="0"/>
      <w:marTop w:val="0"/>
      <w:marBottom w:val="0"/>
      <w:divBdr>
        <w:top w:val="none" w:sz="0" w:space="0" w:color="auto"/>
        <w:left w:val="none" w:sz="0" w:space="0" w:color="auto"/>
        <w:bottom w:val="none" w:sz="0" w:space="0" w:color="auto"/>
        <w:right w:val="none" w:sz="0" w:space="0" w:color="auto"/>
      </w:divBdr>
    </w:div>
    <w:div w:id="1795902440">
      <w:bodyDiv w:val="1"/>
      <w:marLeft w:val="0"/>
      <w:marRight w:val="0"/>
      <w:marTop w:val="0"/>
      <w:marBottom w:val="0"/>
      <w:divBdr>
        <w:top w:val="none" w:sz="0" w:space="0" w:color="auto"/>
        <w:left w:val="none" w:sz="0" w:space="0" w:color="auto"/>
        <w:bottom w:val="none" w:sz="0" w:space="0" w:color="auto"/>
        <w:right w:val="none" w:sz="0" w:space="0" w:color="auto"/>
      </w:divBdr>
    </w:div>
    <w:div w:id="1842158423">
      <w:bodyDiv w:val="1"/>
      <w:marLeft w:val="0"/>
      <w:marRight w:val="0"/>
      <w:marTop w:val="0"/>
      <w:marBottom w:val="0"/>
      <w:divBdr>
        <w:top w:val="none" w:sz="0" w:space="0" w:color="auto"/>
        <w:left w:val="none" w:sz="0" w:space="0" w:color="auto"/>
        <w:bottom w:val="none" w:sz="0" w:space="0" w:color="auto"/>
        <w:right w:val="none" w:sz="0" w:space="0" w:color="auto"/>
      </w:divBdr>
    </w:div>
    <w:div w:id="1855726357">
      <w:bodyDiv w:val="1"/>
      <w:marLeft w:val="0"/>
      <w:marRight w:val="0"/>
      <w:marTop w:val="0"/>
      <w:marBottom w:val="0"/>
      <w:divBdr>
        <w:top w:val="none" w:sz="0" w:space="0" w:color="auto"/>
        <w:left w:val="none" w:sz="0" w:space="0" w:color="auto"/>
        <w:bottom w:val="none" w:sz="0" w:space="0" w:color="auto"/>
        <w:right w:val="none" w:sz="0" w:space="0" w:color="auto"/>
      </w:divBdr>
    </w:div>
    <w:div w:id="1878816337">
      <w:bodyDiv w:val="1"/>
      <w:marLeft w:val="0"/>
      <w:marRight w:val="0"/>
      <w:marTop w:val="0"/>
      <w:marBottom w:val="0"/>
      <w:divBdr>
        <w:top w:val="none" w:sz="0" w:space="0" w:color="auto"/>
        <w:left w:val="none" w:sz="0" w:space="0" w:color="auto"/>
        <w:bottom w:val="none" w:sz="0" w:space="0" w:color="auto"/>
        <w:right w:val="none" w:sz="0" w:space="0" w:color="auto"/>
      </w:divBdr>
      <w:divsChild>
        <w:div w:id="1178153987">
          <w:marLeft w:val="0"/>
          <w:marRight w:val="0"/>
          <w:marTop w:val="0"/>
          <w:marBottom w:val="0"/>
          <w:divBdr>
            <w:top w:val="none" w:sz="0" w:space="0" w:color="auto"/>
            <w:left w:val="none" w:sz="0" w:space="0" w:color="auto"/>
            <w:bottom w:val="none" w:sz="0" w:space="0" w:color="auto"/>
            <w:right w:val="none" w:sz="0" w:space="0" w:color="auto"/>
          </w:divBdr>
          <w:divsChild>
            <w:div w:id="419253582">
              <w:marLeft w:val="0"/>
              <w:marRight w:val="0"/>
              <w:marTop w:val="0"/>
              <w:marBottom w:val="0"/>
              <w:divBdr>
                <w:top w:val="none" w:sz="0" w:space="0" w:color="auto"/>
                <w:left w:val="none" w:sz="0" w:space="0" w:color="auto"/>
                <w:bottom w:val="none" w:sz="0" w:space="0" w:color="auto"/>
                <w:right w:val="none" w:sz="0" w:space="0" w:color="auto"/>
              </w:divBdr>
              <w:divsChild>
                <w:div w:id="177964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802937">
      <w:bodyDiv w:val="1"/>
      <w:marLeft w:val="0"/>
      <w:marRight w:val="0"/>
      <w:marTop w:val="0"/>
      <w:marBottom w:val="0"/>
      <w:divBdr>
        <w:top w:val="none" w:sz="0" w:space="0" w:color="auto"/>
        <w:left w:val="none" w:sz="0" w:space="0" w:color="auto"/>
        <w:bottom w:val="none" w:sz="0" w:space="0" w:color="auto"/>
        <w:right w:val="none" w:sz="0" w:space="0" w:color="auto"/>
      </w:divBdr>
      <w:divsChild>
        <w:div w:id="237446513">
          <w:marLeft w:val="0"/>
          <w:marRight w:val="0"/>
          <w:marTop w:val="0"/>
          <w:marBottom w:val="0"/>
          <w:divBdr>
            <w:top w:val="none" w:sz="0" w:space="0" w:color="auto"/>
            <w:left w:val="none" w:sz="0" w:space="0" w:color="auto"/>
            <w:bottom w:val="none" w:sz="0" w:space="0" w:color="auto"/>
            <w:right w:val="none" w:sz="0" w:space="0" w:color="auto"/>
          </w:divBdr>
        </w:div>
      </w:divsChild>
    </w:div>
    <w:div w:id="1891765626">
      <w:bodyDiv w:val="1"/>
      <w:marLeft w:val="0"/>
      <w:marRight w:val="0"/>
      <w:marTop w:val="0"/>
      <w:marBottom w:val="0"/>
      <w:divBdr>
        <w:top w:val="none" w:sz="0" w:space="0" w:color="auto"/>
        <w:left w:val="none" w:sz="0" w:space="0" w:color="auto"/>
        <w:bottom w:val="none" w:sz="0" w:space="0" w:color="auto"/>
        <w:right w:val="none" w:sz="0" w:space="0" w:color="auto"/>
      </w:divBdr>
    </w:div>
    <w:div w:id="1949072931">
      <w:bodyDiv w:val="1"/>
      <w:marLeft w:val="0"/>
      <w:marRight w:val="0"/>
      <w:marTop w:val="0"/>
      <w:marBottom w:val="0"/>
      <w:divBdr>
        <w:top w:val="none" w:sz="0" w:space="0" w:color="auto"/>
        <w:left w:val="none" w:sz="0" w:space="0" w:color="auto"/>
        <w:bottom w:val="none" w:sz="0" w:space="0" w:color="auto"/>
        <w:right w:val="none" w:sz="0" w:space="0" w:color="auto"/>
      </w:divBdr>
      <w:divsChild>
        <w:div w:id="1114399359">
          <w:marLeft w:val="0"/>
          <w:marRight w:val="0"/>
          <w:marTop w:val="0"/>
          <w:marBottom w:val="0"/>
          <w:divBdr>
            <w:top w:val="none" w:sz="0" w:space="0" w:color="auto"/>
            <w:left w:val="none" w:sz="0" w:space="0" w:color="auto"/>
            <w:bottom w:val="none" w:sz="0" w:space="0" w:color="auto"/>
            <w:right w:val="none" w:sz="0" w:space="0" w:color="auto"/>
          </w:divBdr>
        </w:div>
      </w:divsChild>
    </w:div>
    <w:div w:id="1969512653">
      <w:bodyDiv w:val="1"/>
      <w:marLeft w:val="0"/>
      <w:marRight w:val="0"/>
      <w:marTop w:val="0"/>
      <w:marBottom w:val="0"/>
      <w:divBdr>
        <w:top w:val="none" w:sz="0" w:space="0" w:color="auto"/>
        <w:left w:val="none" w:sz="0" w:space="0" w:color="auto"/>
        <w:bottom w:val="none" w:sz="0" w:space="0" w:color="auto"/>
        <w:right w:val="none" w:sz="0" w:space="0" w:color="auto"/>
      </w:divBdr>
    </w:div>
    <w:div w:id="2017801676">
      <w:bodyDiv w:val="1"/>
      <w:marLeft w:val="0"/>
      <w:marRight w:val="0"/>
      <w:marTop w:val="0"/>
      <w:marBottom w:val="0"/>
      <w:divBdr>
        <w:top w:val="none" w:sz="0" w:space="0" w:color="auto"/>
        <w:left w:val="none" w:sz="0" w:space="0" w:color="auto"/>
        <w:bottom w:val="none" w:sz="0" w:space="0" w:color="auto"/>
        <w:right w:val="none" w:sz="0" w:space="0" w:color="auto"/>
      </w:divBdr>
      <w:divsChild>
        <w:div w:id="1329673510">
          <w:marLeft w:val="0"/>
          <w:marRight w:val="0"/>
          <w:marTop w:val="0"/>
          <w:marBottom w:val="0"/>
          <w:divBdr>
            <w:top w:val="none" w:sz="0" w:space="0" w:color="auto"/>
            <w:left w:val="none" w:sz="0" w:space="0" w:color="auto"/>
            <w:bottom w:val="none" w:sz="0" w:space="0" w:color="auto"/>
            <w:right w:val="none" w:sz="0" w:space="0" w:color="auto"/>
          </w:divBdr>
        </w:div>
      </w:divsChild>
    </w:div>
    <w:div w:id="2021159097">
      <w:bodyDiv w:val="1"/>
      <w:marLeft w:val="0"/>
      <w:marRight w:val="0"/>
      <w:marTop w:val="0"/>
      <w:marBottom w:val="0"/>
      <w:divBdr>
        <w:top w:val="none" w:sz="0" w:space="0" w:color="auto"/>
        <w:left w:val="none" w:sz="0" w:space="0" w:color="auto"/>
        <w:bottom w:val="none" w:sz="0" w:space="0" w:color="auto"/>
        <w:right w:val="none" w:sz="0" w:space="0" w:color="auto"/>
      </w:divBdr>
      <w:divsChild>
        <w:div w:id="1361738814">
          <w:marLeft w:val="0"/>
          <w:marRight w:val="0"/>
          <w:marTop w:val="0"/>
          <w:marBottom w:val="0"/>
          <w:divBdr>
            <w:top w:val="none" w:sz="0" w:space="0" w:color="auto"/>
            <w:left w:val="none" w:sz="0" w:space="0" w:color="auto"/>
            <w:bottom w:val="none" w:sz="0" w:space="0" w:color="auto"/>
            <w:right w:val="none" w:sz="0" w:space="0" w:color="auto"/>
          </w:divBdr>
        </w:div>
      </w:divsChild>
    </w:div>
    <w:div w:id="2032684852">
      <w:bodyDiv w:val="1"/>
      <w:marLeft w:val="0"/>
      <w:marRight w:val="0"/>
      <w:marTop w:val="0"/>
      <w:marBottom w:val="0"/>
      <w:divBdr>
        <w:top w:val="none" w:sz="0" w:space="0" w:color="auto"/>
        <w:left w:val="none" w:sz="0" w:space="0" w:color="auto"/>
        <w:bottom w:val="none" w:sz="0" w:space="0" w:color="auto"/>
        <w:right w:val="none" w:sz="0" w:space="0" w:color="auto"/>
      </w:divBdr>
    </w:div>
    <w:div w:id="2042318432">
      <w:bodyDiv w:val="1"/>
      <w:marLeft w:val="0"/>
      <w:marRight w:val="0"/>
      <w:marTop w:val="0"/>
      <w:marBottom w:val="0"/>
      <w:divBdr>
        <w:top w:val="none" w:sz="0" w:space="0" w:color="auto"/>
        <w:left w:val="none" w:sz="0" w:space="0" w:color="auto"/>
        <w:bottom w:val="none" w:sz="0" w:space="0" w:color="auto"/>
        <w:right w:val="none" w:sz="0" w:space="0" w:color="auto"/>
      </w:divBdr>
    </w:div>
    <w:div w:id="2093156446">
      <w:bodyDiv w:val="1"/>
      <w:marLeft w:val="0"/>
      <w:marRight w:val="0"/>
      <w:marTop w:val="0"/>
      <w:marBottom w:val="0"/>
      <w:divBdr>
        <w:top w:val="none" w:sz="0" w:space="0" w:color="auto"/>
        <w:left w:val="none" w:sz="0" w:space="0" w:color="auto"/>
        <w:bottom w:val="none" w:sz="0" w:space="0" w:color="auto"/>
        <w:right w:val="none" w:sz="0" w:space="0" w:color="auto"/>
      </w:divBdr>
    </w:div>
    <w:div w:id="2095205249">
      <w:bodyDiv w:val="1"/>
      <w:marLeft w:val="0"/>
      <w:marRight w:val="0"/>
      <w:marTop w:val="0"/>
      <w:marBottom w:val="0"/>
      <w:divBdr>
        <w:top w:val="none" w:sz="0" w:space="0" w:color="auto"/>
        <w:left w:val="none" w:sz="0" w:space="0" w:color="auto"/>
        <w:bottom w:val="none" w:sz="0" w:space="0" w:color="auto"/>
        <w:right w:val="none" w:sz="0" w:space="0" w:color="auto"/>
      </w:divBdr>
      <w:divsChild>
        <w:div w:id="777876211">
          <w:marLeft w:val="0"/>
          <w:marRight w:val="0"/>
          <w:marTop w:val="0"/>
          <w:marBottom w:val="0"/>
          <w:divBdr>
            <w:top w:val="none" w:sz="0" w:space="0" w:color="auto"/>
            <w:left w:val="none" w:sz="0" w:space="0" w:color="auto"/>
            <w:bottom w:val="none" w:sz="0" w:space="0" w:color="auto"/>
            <w:right w:val="none" w:sz="0" w:space="0" w:color="auto"/>
          </w:divBdr>
        </w:div>
      </w:divsChild>
    </w:div>
    <w:div w:id="214207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openknowledge.worldbank.org/server/api/core/bitstreams/7b201a1b-fdef-5260-af55-1d0aab9146ec/content" TargetMode="External"/><Relationship Id="rId26" Type="http://schemas.openxmlformats.org/officeDocument/2006/relationships/hyperlink" Target="https://www.reuters.com/markets/asia/russias-monthly-grain-exports-by-destination-2022-01-31/" TargetMode="External"/><Relationship Id="rId39" Type="http://schemas.openxmlformats.org/officeDocument/2006/relationships/hyperlink" Target="https://doi.org/10.1016/j.ecin.2016.09.003" TargetMode="External"/><Relationship Id="rId21" Type="http://schemas.openxmlformats.org/officeDocument/2006/relationships/hyperlink" Target="https://repository.agrosavia.co/bitstream/handle/20.500.12324/23821/23074_4422.pdf?sequence=1" TargetMode="External"/><Relationship Id="rId34" Type="http://schemas.openxmlformats.org/officeDocument/2006/relationships/hyperlink" Target="https://doi.org/10.1007/s12571-014-0372-2" TargetMode="External"/><Relationship Id="rId42" Type="http://schemas.openxmlformats.org/officeDocument/2006/relationships/hyperlink" Target="https://doi.org/10.1016/j.jclepro.2023.137367" TargetMode="External"/><Relationship Id="rId47" Type="http://schemas.openxmlformats.org/officeDocument/2006/relationships/hyperlink" Target="https://dialnet.unirioja.es/servlet/articulo?codigo=7425005" TargetMode="External"/><Relationship Id="rId50" Type="http://schemas.openxmlformats.org/officeDocument/2006/relationships/hyperlink" Target="https://davidblopezlluch.umh.es/2015/08/12/ley-de-engel/" TargetMode="External"/><Relationship Id="rId55" Type="http://schemas.openxmlformats.org/officeDocument/2006/relationships/hyperlink" Target="http://www.revistasice.com/index.php/ICE/article/view/637" TargetMode="External"/><Relationship Id="rId63" Type="http://schemas.openxmlformats.org/officeDocument/2006/relationships/hyperlink" Target="https://doi.org/10.1111/1477-9552.12549" TargetMode="External"/><Relationship Id="rId68" Type="http://schemas.openxmlformats.org/officeDocument/2006/relationships/hyperlink" Target="https://doi.org/10.18800/economia.200701.002" TargetMode="External"/><Relationship Id="rId76" Type="http://schemas.openxmlformats.org/officeDocument/2006/relationships/hyperlink" Target="https://biblioguias.cepal.org/ld.php?content_id=31872193" TargetMode="External"/><Relationship Id="rId7" Type="http://schemas.openxmlformats.org/officeDocument/2006/relationships/endnotes" Target="endnotes.xml"/><Relationship Id="rId71" Type="http://schemas.openxmlformats.org/officeDocument/2006/relationships/hyperlink" Target="https://doi.org/10.1016/0169-5150(94)90023-x" TargetMode="External"/><Relationship Id="rId2" Type="http://schemas.openxmlformats.org/officeDocument/2006/relationships/numbering" Target="numbering.xml"/><Relationship Id="rId16" Type="http://schemas.openxmlformats.org/officeDocument/2006/relationships/hyperlink" Target="https://www.redalyc.org/articulo.oa?id=29058775003" TargetMode="External"/><Relationship Id="rId29" Type="http://schemas.openxmlformats.org/officeDocument/2006/relationships/hyperlink" Target="https://doi.org/10.4060/cc3233en" TargetMode="External"/><Relationship Id="rId11" Type="http://schemas.openxmlformats.org/officeDocument/2006/relationships/chart" Target="charts/chart3.xml"/><Relationship Id="rId24" Type="http://schemas.openxmlformats.org/officeDocument/2006/relationships/hyperlink" Target="http://www.igc.int/en/downloads/2022/gen2122misc1.pdf" TargetMode="External"/><Relationship Id="rId32" Type="http://schemas.openxmlformats.org/officeDocument/2006/relationships/hyperlink" Target="https://www.fao.org/philippines/news/detail/zh/c/1476904/" TargetMode="External"/><Relationship Id="rId37" Type="http://schemas.openxmlformats.org/officeDocument/2006/relationships/hyperlink" Target="https://ageconsearch.umn.edu/record/334525/" TargetMode="External"/><Relationship Id="rId40" Type="http://schemas.openxmlformats.org/officeDocument/2006/relationships/hyperlink" Target="https://doi.org/10.5377/ribcc.v2i1.5702" TargetMode="External"/><Relationship Id="rId45" Type="http://schemas.openxmlformats.org/officeDocument/2006/relationships/hyperlink" Target="https://www.bbc.com/news/business-60653856" TargetMode="External"/><Relationship Id="rId53" Type="http://schemas.openxmlformats.org/officeDocument/2006/relationships/hyperlink" Target="https://doi.org/10.5377/ribcc.v4i8.6717" TargetMode="External"/><Relationship Id="rId58" Type="http://schemas.openxmlformats.org/officeDocument/2006/relationships/hyperlink" Target="https://elpais.com/internacional/2022-07-22/ucrania-y-rusia-se-preparan-para-firmar-un-posible-acuerdo-que-desbloquee-la-exportacion-de-cereales-ucranios.html" TargetMode="External"/><Relationship Id="rId66" Type="http://schemas.openxmlformats.org/officeDocument/2006/relationships/hyperlink" Target="https://books.google.es/books?id=L5a4EAAAQBAJ&amp;lpg=PT6&amp;ots=B_WLVCHYeK&amp;dq=adam%20smith%20la%20riqueza%20de%20las%20naciones&amp;lr&amp;hl=es&amp;pg=PP1#v=onepage&amp;q=adam%20smith%20la%20riqueza%20de%20las%20naciones&amp;f=false" TargetMode="External"/><Relationship Id="rId74" Type="http://schemas.openxmlformats.org/officeDocument/2006/relationships/hyperlink" Target="https://unctad.org/system/files/official-document/ditcted2023d1_en.pdf" TargetMode="External"/><Relationship Id="rId79" Type="http://schemas.openxmlformats.org/officeDocument/2006/relationships/hyperlink" Target="https://doi.org/10.5209/pade.61487" TargetMode="External"/><Relationship Id="rId5" Type="http://schemas.openxmlformats.org/officeDocument/2006/relationships/webSettings" Target="webSettings.xml"/><Relationship Id="rId61" Type="http://schemas.openxmlformats.org/officeDocument/2006/relationships/hyperlink" Target="https://www.europarl.europa.eu/factsheets/es/sheet/111/wto-agreement-on-agriculture" TargetMode="External"/><Relationship Id="rId82"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doi.org/10.1038/s41562-022-01391-x" TargetMode="External"/><Relationship Id="rId31" Type="http://schemas.openxmlformats.org/officeDocument/2006/relationships/hyperlink" Target="https://doi.org/10.4060/cc2864en" TargetMode="External"/><Relationship Id="rId44" Type="http://schemas.openxmlformats.org/officeDocument/2006/relationships/hyperlink" Target="https://ruralsociologywageningen.nl/2022/11/11/crisis-and-capitalism-a-deep-dive-into-the-black-sea-grain-initiative-and-the-global-politics-of-food/" TargetMode="External"/><Relationship Id="rId52" Type="http://schemas.openxmlformats.org/officeDocument/2006/relationships/hyperlink" Target="https://ruidera.uclm.es/xmlui/bitstream/handle/10578/4674/fi_1421864175-la%20informacion%20herramienta%20dl.pdf?sequence=1" TargetMode="External"/><Relationship Id="rId60" Type="http://schemas.openxmlformats.org/officeDocument/2006/relationships/hyperlink" Target="https://media.realinstitutoelcano.org/wp-content/uploads/2022/03/comentario-otero-steinberg-la-guerra-de-ucrania-en-el-tablero-economico.pdf" TargetMode="External"/><Relationship Id="rId65" Type="http://schemas.openxmlformats.org/officeDocument/2006/relationships/hyperlink" Target="https://www.world-grain.com/articles/18605-wheat-prices-rise-with-ukraine-dam-breach" TargetMode="External"/><Relationship Id="rId73" Type="http://schemas.openxmlformats.org/officeDocument/2006/relationships/hyperlink" Target="https://doi.org/10.1215/00182702-35-3-437" TargetMode="External"/><Relationship Id="rId78" Type="http://schemas.openxmlformats.org/officeDocument/2006/relationships/hyperlink" Target="http://www.oda-alc.org/documentos/1341800313.pdf"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europarl.europa.eu/RegData/etudes/ATAG/2022/739200/EPRS_ATA(2022)739200_EN.pdf" TargetMode="External"/><Relationship Id="rId27" Type="http://schemas.openxmlformats.org/officeDocument/2006/relationships/hyperlink" Target="https://www.fao.org/3/w3613e/w3613e00.htm" TargetMode="External"/><Relationship Id="rId30" Type="http://schemas.openxmlformats.org/officeDocument/2006/relationships/hyperlink" Target="https://doi.org/10.4060/cb9427en" TargetMode="External"/><Relationship Id="rId35" Type="http://schemas.openxmlformats.org/officeDocument/2006/relationships/hyperlink" Target="http://hdl.handle.net/10272/485" TargetMode="External"/><Relationship Id="rId43" Type="http://schemas.openxmlformats.org/officeDocument/2006/relationships/hyperlink" Target="https://doi.org/10.1007/s12571-022-01306-8" TargetMode="External"/><Relationship Id="rId48" Type="http://schemas.openxmlformats.org/officeDocument/2006/relationships/hyperlink" Target="https://books.google.es/books?id=MVawAAAAQBAJ&amp;lpg=PT5&amp;ots=QtXbbPiiPh&amp;lr&amp;hl=es&amp;pg=PT5" TargetMode="External"/><Relationship Id="rId56" Type="http://schemas.openxmlformats.org/officeDocument/2006/relationships/hyperlink" Target="http://www.revistasice.com/index.php/ICE/article/view/1272/1272" TargetMode="External"/><Relationship Id="rId64" Type="http://schemas.openxmlformats.org/officeDocument/2006/relationships/hyperlink" Target="https://doi.org/10.18356/e10fef95-es" TargetMode="External"/><Relationship Id="rId69" Type="http://schemas.openxmlformats.org/officeDocument/2006/relationships/hyperlink" Target="https://elpais.com/internacional/2023-04-15/polonia-prohibe-la-importacion-de-grano-desde-ucrania-y-amenaza-con-agrietar-la-unidad-de-la-ue-en-el-apoyo-a-kiev.html" TargetMode="External"/><Relationship Id="rId77" Type="http://schemas.openxmlformats.org/officeDocument/2006/relationships/hyperlink" Target="https://openknowledge.worldbank.org/server/api/core/bitstreams/eab770be-c90b-5539-80ea-41f1ce5484ff/content" TargetMode="External"/><Relationship Id="rId8" Type="http://schemas.openxmlformats.org/officeDocument/2006/relationships/image" Target="media/image1.jpeg"/><Relationship Id="rId51" Type="http://schemas.openxmlformats.org/officeDocument/2006/relationships/hyperlink" Target="https://doi.org/10.2307/1884118" TargetMode="External"/><Relationship Id="rId72" Type="http://schemas.openxmlformats.org/officeDocument/2006/relationships/hyperlink" Target="https://books.google.es/books?id=ErX-G9R-DEsC&amp;lpg=PA7&amp;ots=ER3JZ3PHAO&amp;dq=seguridad%20alimentaria%20nacional&amp;lr&amp;hl=es&amp;pg=PA15"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dialnet.unirioja.es/servlet/articulo?codigo=4843978" TargetMode="External"/><Relationship Id="rId25" Type="http://schemas.openxmlformats.org/officeDocument/2006/relationships/hyperlink" Target="https://dx.doi.org/10.5354/0719-3769.2019.52048" TargetMode="External"/><Relationship Id="rId33" Type="http://schemas.openxmlformats.org/officeDocument/2006/relationships/hyperlink" Target="https://www.fao.org/faostat/es/?" TargetMode="External"/><Relationship Id="rId38" Type="http://schemas.openxmlformats.org/officeDocument/2006/relationships/hyperlink" Target="https://www.ft.com/content/e1263950-1173-4832-a011-ada04df1e93c" TargetMode="External"/><Relationship Id="rId46" Type="http://schemas.openxmlformats.org/officeDocument/2006/relationships/hyperlink" Target="https://www.jstor.org/stable/pdf/resrep40029.pdf" TargetMode="External"/><Relationship Id="rId59" Type="http://schemas.openxmlformats.org/officeDocument/2006/relationships/hyperlink" Target="https://www.fuhem.es/media/cdv/file/biblioteca/revista_papeles/119/Seguridad_nacional_multidimensional_humana_T._Font_y_P._Ortega.pdf" TargetMode="External"/><Relationship Id="rId67" Type="http://schemas.openxmlformats.org/officeDocument/2006/relationships/hyperlink" Target="https://doi.org/10.2307/2223779" TargetMode="External"/><Relationship Id="rId20" Type="http://schemas.openxmlformats.org/officeDocument/2006/relationships/hyperlink" Target="http://ridaa.unq.edu.ar/handle/20.500.11807/2992" TargetMode="External"/><Relationship Id="rId41" Type="http://schemas.openxmlformats.org/officeDocument/2006/relationships/hyperlink" Target="https://www.theguardian.com/world/2022/feb/24/ukraine-fights-for-its-survival-as-putin-presses-forward" TargetMode="External"/><Relationship Id="rId54" Type="http://schemas.openxmlformats.org/officeDocument/2006/relationships/hyperlink" Target="https://www.ft.com/content/8a7cdc0d-99aa-4ef6-ba9a-fd1a1180dc82" TargetMode="External"/><Relationship Id="rId62" Type="http://schemas.openxmlformats.org/officeDocument/2006/relationships/hyperlink" Target="https://www.bloomberg.com/news/articles/2023-06-06/wheat-in-longest-run-of-gains-in-over-a-year-as-supply-tightens" TargetMode="External"/><Relationship Id="rId70" Type="http://schemas.openxmlformats.org/officeDocument/2006/relationships/hyperlink" Target="https://www.colibri.udelar.edu.uy/jspui/bitstream/20.500.12008/4597/1/DT%20S%202013%2091.pdf" TargetMode="External"/><Relationship Id="rId75" Type="http://schemas.openxmlformats.org/officeDocument/2006/relationships/hyperlink" Target="https://unctad.org/system/files/official-document/ditcted2023d1_e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x.doi.org/10.3390/resources11110099" TargetMode="External"/><Relationship Id="rId23" Type="http://schemas.openxmlformats.org/officeDocument/2006/relationships/hyperlink" Target="https://www.elmundo.es/internacional/2022/02/24/6217dd6f21efa0101c8b45c4.html" TargetMode="External"/><Relationship Id="rId28" Type="http://schemas.openxmlformats.org/officeDocument/2006/relationships/hyperlink" Target="https://www.fao.org/3/cb7132en/cb7132en.pdf" TargetMode="External"/><Relationship Id="rId36" Type="http://schemas.openxmlformats.org/officeDocument/2006/relationships/hyperlink" Target="https://ideas.repec.org/p/col/000418/012240.html" TargetMode="External"/><Relationship Id="rId49" Type="http://schemas.openxmlformats.org/officeDocument/2006/relationships/hyperlink" Target="https://web.archive.org/web/20170823042516id_/http://www.scielo.br/pdf/csp/v31n7/0102-311X-csp-31-7-1355.pdf" TargetMode="External"/><Relationship Id="rId57" Type="http://schemas.openxmlformats.org/officeDocument/2006/relationships/hyperlink" Target="https://doi.org/10.1016/j.ijdrr.2022.102983"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inesv\Documents\ICADE\5&#186;\TFG%20RRII\Commodity%20Markets%20Outlook%20-%20October%202021%20(World%20Ban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nesv\Documents\ICADE\5&#186;\TFG%20RRII\Commodity%20Markets%20Outlook%20-%20October%202021%20(World%20Ban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nesv\Documents\ICADE\5&#186;\TFG%20RRII\Commodity%20Markets%20Outlook%20-%20October%202021%20(World%20Ban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nesv\Documents\ICADE\5&#186;\TFG%20RRII\Commodity%20Markets%20Outlook%20-%20October%202021%20(World%20Bank).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inesv\Documents\ICADE\5&#186;\TFG%20RRII\Commodity%20Markets%20Outlook%20-%20October%202021%20(World%20Bank).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lineChart>
        <c:grouping val="standard"/>
        <c:varyColors val="0"/>
        <c:ser>
          <c:idx val="0"/>
          <c:order val="0"/>
          <c:tx>
            <c:strRef>
              <c:f>'Table293 (Page 75)'!$N$25</c:f>
              <c:strCache>
                <c:ptCount val="1"/>
                <c:pt idx="0">
                  <c:v>Estados Unidos</c:v>
                </c:pt>
              </c:strCache>
            </c:strRef>
          </c:tx>
          <c:spPr>
            <a:ln w="28575" cap="rnd">
              <a:solidFill>
                <a:schemeClr val="accent5">
                  <a:tint val="54000"/>
                </a:schemeClr>
              </a:solidFill>
              <a:round/>
            </a:ln>
            <a:effectLst/>
          </c:spPr>
          <c:marker>
            <c:symbol val="star"/>
            <c:size val="6"/>
            <c:spPr>
              <a:noFill/>
              <a:ln w="15875">
                <a:solidFill>
                  <a:schemeClr val="accent5">
                    <a:tint val="54000"/>
                  </a:schemeClr>
                </a:solidFill>
              </a:ln>
              <a:effectLst/>
            </c:spPr>
          </c:marker>
          <c:cat>
            <c:numRef>
              <c:f>'Table293 (Page 75)'!$O$24:$V$24</c:f>
              <c:numCache>
                <c:formatCode>General</c:formatCode>
                <c:ptCount val="8"/>
                <c:pt idx="0">
                  <c:v>1971</c:v>
                </c:pt>
                <c:pt idx="1">
                  <c:v>1981</c:v>
                </c:pt>
                <c:pt idx="2">
                  <c:v>1991</c:v>
                </c:pt>
                <c:pt idx="3">
                  <c:v>2001</c:v>
                </c:pt>
                <c:pt idx="4">
                  <c:v>2011</c:v>
                </c:pt>
                <c:pt idx="5">
                  <c:v>2019</c:v>
                </c:pt>
                <c:pt idx="6">
                  <c:v>2020</c:v>
                </c:pt>
                <c:pt idx="7">
                  <c:v>2021</c:v>
                </c:pt>
              </c:numCache>
            </c:numRef>
          </c:cat>
          <c:val>
            <c:numRef>
              <c:f>'Table293 (Page 75)'!$O$25:$V$25</c:f>
              <c:numCache>
                <c:formatCode>0.0</c:formatCode>
                <c:ptCount val="8"/>
                <c:pt idx="0">
                  <c:v>105.5</c:v>
                </c:pt>
                <c:pt idx="1">
                  <c:v>168.6</c:v>
                </c:pt>
                <c:pt idx="2">
                  <c:v>201.5</c:v>
                </c:pt>
                <c:pt idx="3">
                  <c:v>251.9</c:v>
                </c:pt>
                <c:pt idx="4">
                  <c:v>315.60000000000002</c:v>
                </c:pt>
                <c:pt idx="5">
                  <c:v>364.3</c:v>
                </c:pt>
                <c:pt idx="6">
                  <c:v>346</c:v>
                </c:pt>
                <c:pt idx="7">
                  <c:v>358.4</c:v>
                </c:pt>
              </c:numCache>
            </c:numRef>
          </c:val>
          <c:smooth val="0"/>
          <c:extLst>
            <c:ext xmlns:c16="http://schemas.microsoft.com/office/drawing/2014/chart" uri="{C3380CC4-5D6E-409C-BE32-E72D297353CC}">
              <c16:uniqueId val="{00000000-01FD-48BD-9098-904108EA80E5}"/>
            </c:ext>
          </c:extLst>
        </c:ser>
        <c:ser>
          <c:idx val="1"/>
          <c:order val="1"/>
          <c:tx>
            <c:strRef>
              <c:f>'Table293 (Page 75)'!$N$26</c:f>
              <c:strCache>
                <c:ptCount val="1"/>
                <c:pt idx="0">
                  <c:v>China</c:v>
                </c:pt>
              </c:strCache>
            </c:strRef>
          </c:tx>
          <c:spPr>
            <a:ln w="28575" cap="rnd">
              <a:solidFill>
                <a:schemeClr val="accent5">
                  <a:tint val="77000"/>
                </a:schemeClr>
              </a:solidFill>
              <a:round/>
            </a:ln>
            <a:effectLst/>
          </c:spPr>
          <c:marker>
            <c:symbol val="diamond"/>
            <c:size val="6"/>
            <c:spPr>
              <a:solidFill>
                <a:schemeClr val="accent5">
                  <a:tint val="77000"/>
                </a:schemeClr>
              </a:solidFill>
              <a:ln w="9525">
                <a:solidFill>
                  <a:schemeClr val="accent5">
                    <a:tint val="77000"/>
                  </a:schemeClr>
                </a:solidFill>
              </a:ln>
              <a:effectLst/>
            </c:spPr>
          </c:marker>
          <c:cat>
            <c:numRef>
              <c:f>'Table293 (Page 75)'!$O$24:$V$24</c:f>
              <c:numCache>
                <c:formatCode>General</c:formatCode>
                <c:ptCount val="8"/>
                <c:pt idx="0">
                  <c:v>1971</c:v>
                </c:pt>
                <c:pt idx="1">
                  <c:v>1981</c:v>
                </c:pt>
                <c:pt idx="2">
                  <c:v>1991</c:v>
                </c:pt>
                <c:pt idx="3">
                  <c:v>2001</c:v>
                </c:pt>
                <c:pt idx="4">
                  <c:v>2011</c:v>
                </c:pt>
                <c:pt idx="5">
                  <c:v>2019</c:v>
                </c:pt>
                <c:pt idx="6">
                  <c:v>2020</c:v>
                </c:pt>
                <c:pt idx="7">
                  <c:v>2021</c:v>
                </c:pt>
              </c:numCache>
            </c:numRef>
          </c:cat>
          <c:val>
            <c:numRef>
              <c:f>'Table293 (Page 75)'!$O$26:$V$26</c:f>
              <c:numCache>
                <c:formatCode>0.0</c:formatCode>
                <c:ptCount val="8"/>
                <c:pt idx="0">
                  <c:v>33</c:v>
                </c:pt>
                <c:pt idx="1">
                  <c:v>62.6</c:v>
                </c:pt>
                <c:pt idx="2">
                  <c:v>96.8</c:v>
                </c:pt>
                <c:pt idx="3">
                  <c:v>106</c:v>
                </c:pt>
                <c:pt idx="4">
                  <c:v>190.8</c:v>
                </c:pt>
                <c:pt idx="5">
                  <c:v>257.2</c:v>
                </c:pt>
                <c:pt idx="6">
                  <c:v>260.8</c:v>
                </c:pt>
                <c:pt idx="7">
                  <c:v>260.7</c:v>
                </c:pt>
              </c:numCache>
            </c:numRef>
          </c:val>
          <c:smooth val="0"/>
          <c:extLst>
            <c:ext xmlns:c16="http://schemas.microsoft.com/office/drawing/2014/chart" uri="{C3380CC4-5D6E-409C-BE32-E72D297353CC}">
              <c16:uniqueId val="{00000001-01FD-48BD-9098-904108EA80E5}"/>
            </c:ext>
          </c:extLst>
        </c:ser>
        <c:ser>
          <c:idx val="2"/>
          <c:order val="2"/>
          <c:tx>
            <c:strRef>
              <c:f>'Table293 (Page 75)'!$N$27</c:f>
              <c:strCache>
                <c:ptCount val="1"/>
                <c:pt idx="0">
                  <c:v>Unión Europea</c:v>
                </c:pt>
              </c:strCache>
            </c:strRef>
          </c:tx>
          <c:spPr>
            <a:ln w="28575" cap="rnd">
              <a:solidFill>
                <a:schemeClr val="accent5"/>
              </a:solidFill>
              <a:round/>
            </a:ln>
            <a:effectLst/>
          </c:spPr>
          <c:marker>
            <c:symbol val="triangle"/>
            <c:size val="6"/>
            <c:spPr>
              <a:solidFill>
                <a:schemeClr val="accent5"/>
              </a:solidFill>
              <a:ln w="9525">
                <a:solidFill>
                  <a:schemeClr val="accent5"/>
                </a:solidFill>
              </a:ln>
              <a:effectLst/>
            </c:spPr>
          </c:marker>
          <c:cat>
            <c:numRef>
              <c:f>'Table293 (Page 75)'!$O$24:$V$24</c:f>
              <c:numCache>
                <c:formatCode>General</c:formatCode>
                <c:ptCount val="8"/>
                <c:pt idx="0">
                  <c:v>1971</c:v>
                </c:pt>
                <c:pt idx="1">
                  <c:v>1981</c:v>
                </c:pt>
                <c:pt idx="2">
                  <c:v>1991</c:v>
                </c:pt>
                <c:pt idx="3">
                  <c:v>2001</c:v>
                </c:pt>
                <c:pt idx="4">
                  <c:v>2011</c:v>
                </c:pt>
                <c:pt idx="5">
                  <c:v>2019</c:v>
                </c:pt>
                <c:pt idx="6">
                  <c:v>2020</c:v>
                </c:pt>
                <c:pt idx="7">
                  <c:v>2021</c:v>
                </c:pt>
              </c:numCache>
            </c:numRef>
          </c:cat>
          <c:val>
            <c:numRef>
              <c:f>'Table293 (Page 75)'!$O$27:$V$27</c:f>
              <c:numCache>
                <c:formatCode>0.0</c:formatCode>
                <c:ptCount val="8"/>
                <c:pt idx="0">
                  <c:v>16.399999999999999</c:v>
                </c:pt>
                <c:pt idx="1">
                  <c:v>21.6</c:v>
                </c:pt>
                <c:pt idx="2">
                  <c:v>23.4</c:v>
                </c:pt>
                <c:pt idx="3">
                  <c:v>51.8</c:v>
                </c:pt>
                <c:pt idx="4">
                  <c:v>58.6</c:v>
                </c:pt>
                <c:pt idx="5">
                  <c:v>64.400000000000006</c:v>
                </c:pt>
                <c:pt idx="6">
                  <c:v>66.7</c:v>
                </c:pt>
                <c:pt idx="7">
                  <c:v>64.400000000000006</c:v>
                </c:pt>
              </c:numCache>
            </c:numRef>
          </c:val>
          <c:smooth val="0"/>
          <c:extLst>
            <c:ext xmlns:c16="http://schemas.microsoft.com/office/drawing/2014/chart" uri="{C3380CC4-5D6E-409C-BE32-E72D297353CC}">
              <c16:uniqueId val="{00000002-01FD-48BD-9098-904108EA80E5}"/>
            </c:ext>
          </c:extLst>
        </c:ser>
        <c:ser>
          <c:idx val="3"/>
          <c:order val="3"/>
          <c:tx>
            <c:strRef>
              <c:f>'Table293 (Page 75)'!$N$28</c:f>
              <c:strCache>
                <c:ptCount val="1"/>
                <c:pt idx="0">
                  <c:v>Ucrania</c:v>
                </c:pt>
              </c:strCache>
            </c:strRef>
          </c:tx>
          <c:spPr>
            <a:ln w="28575" cap="rnd">
              <a:solidFill>
                <a:schemeClr val="accent5">
                  <a:shade val="76000"/>
                </a:schemeClr>
              </a:solidFill>
              <a:round/>
            </a:ln>
            <a:effectLst/>
          </c:spPr>
          <c:marker>
            <c:symbol val="square"/>
            <c:size val="6"/>
            <c:spPr>
              <a:solidFill>
                <a:schemeClr val="accent5">
                  <a:shade val="76000"/>
                </a:schemeClr>
              </a:solidFill>
              <a:ln w="9525">
                <a:solidFill>
                  <a:schemeClr val="accent5">
                    <a:shade val="76000"/>
                  </a:schemeClr>
                </a:solidFill>
              </a:ln>
              <a:effectLst/>
            </c:spPr>
          </c:marker>
          <c:cat>
            <c:numRef>
              <c:f>'Table293 (Page 75)'!$O$24:$V$24</c:f>
              <c:numCache>
                <c:formatCode>General</c:formatCode>
                <c:ptCount val="8"/>
                <c:pt idx="0">
                  <c:v>1971</c:v>
                </c:pt>
                <c:pt idx="1">
                  <c:v>1981</c:v>
                </c:pt>
                <c:pt idx="2">
                  <c:v>1991</c:v>
                </c:pt>
                <c:pt idx="3">
                  <c:v>2001</c:v>
                </c:pt>
                <c:pt idx="4">
                  <c:v>2011</c:v>
                </c:pt>
                <c:pt idx="5">
                  <c:v>2019</c:v>
                </c:pt>
                <c:pt idx="6">
                  <c:v>2020</c:v>
                </c:pt>
                <c:pt idx="7">
                  <c:v>2021</c:v>
                </c:pt>
              </c:numCache>
            </c:numRef>
          </c:cat>
          <c:val>
            <c:numRef>
              <c:f>'Table293 (Page 75)'!$O$28:$V$28</c:f>
              <c:numCache>
                <c:formatCode>General</c:formatCode>
                <c:ptCount val="8"/>
                <c:pt idx="2" formatCode="0.0">
                  <c:v>4.7</c:v>
                </c:pt>
                <c:pt idx="3" formatCode="0.0">
                  <c:v>3.8</c:v>
                </c:pt>
                <c:pt idx="4" formatCode="0.0">
                  <c:v>11.9</c:v>
                </c:pt>
                <c:pt idx="5" formatCode="0.0">
                  <c:v>35.799999999999997</c:v>
                </c:pt>
                <c:pt idx="6" formatCode="0.0">
                  <c:v>35.9</c:v>
                </c:pt>
                <c:pt idx="7" formatCode="0.0">
                  <c:v>30.3</c:v>
                </c:pt>
              </c:numCache>
            </c:numRef>
          </c:val>
          <c:smooth val="0"/>
          <c:extLst>
            <c:ext xmlns:c16="http://schemas.microsoft.com/office/drawing/2014/chart" uri="{C3380CC4-5D6E-409C-BE32-E72D297353CC}">
              <c16:uniqueId val="{00000003-01FD-48BD-9098-904108EA80E5}"/>
            </c:ext>
          </c:extLst>
        </c:ser>
        <c:ser>
          <c:idx val="4"/>
          <c:order val="4"/>
          <c:tx>
            <c:strRef>
              <c:f>'Table293 (Page 75)'!$N$29</c:f>
              <c:strCache>
                <c:ptCount val="1"/>
                <c:pt idx="0">
                  <c:v>Rusia</c:v>
                </c:pt>
              </c:strCache>
            </c:strRef>
          </c:tx>
          <c:spPr>
            <a:ln w="28575" cap="rnd">
              <a:solidFill>
                <a:schemeClr val="accent5">
                  <a:shade val="53000"/>
                </a:schemeClr>
              </a:solidFill>
              <a:round/>
            </a:ln>
            <a:effectLst/>
          </c:spPr>
          <c:marker>
            <c:symbol val="circle"/>
            <c:size val="6"/>
            <c:spPr>
              <a:solidFill>
                <a:schemeClr val="accent5">
                  <a:shade val="53000"/>
                </a:schemeClr>
              </a:solidFill>
              <a:ln w="9525">
                <a:solidFill>
                  <a:schemeClr val="accent5">
                    <a:shade val="53000"/>
                  </a:schemeClr>
                </a:solidFill>
              </a:ln>
              <a:effectLst/>
            </c:spPr>
          </c:marker>
          <c:cat>
            <c:numRef>
              <c:f>'Table293 (Page 75)'!$O$24:$V$24</c:f>
              <c:numCache>
                <c:formatCode>General</c:formatCode>
                <c:ptCount val="8"/>
                <c:pt idx="0">
                  <c:v>1971</c:v>
                </c:pt>
                <c:pt idx="1">
                  <c:v>1981</c:v>
                </c:pt>
                <c:pt idx="2">
                  <c:v>1991</c:v>
                </c:pt>
                <c:pt idx="3">
                  <c:v>2001</c:v>
                </c:pt>
                <c:pt idx="4">
                  <c:v>2011</c:v>
                </c:pt>
                <c:pt idx="5">
                  <c:v>2019</c:v>
                </c:pt>
                <c:pt idx="6">
                  <c:v>2020</c:v>
                </c:pt>
                <c:pt idx="7">
                  <c:v>2021</c:v>
                </c:pt>
              </c:numCache>
            </c:numRef>
          </c:cat>
          <c:val>
            <c:numRef>
              <c:f>'Table293 (Page 75)'!$O$29:$V$29</c:f>
              <c:numCache>
                <c:formatCode>General</c:formatCode>
                <c:ptCount val="8"/>
                <c:pt idx="2" formatCode="0.0">
                  <c:v>2.5</c:v>
                </c:pt>
                <c:pt idx="3" formatCode="0.0">
                  <c:v>1.5</c:v>
                </c:pt>
                <c:pt idx="4" formatCode="0.0">
                  <c:v>3.1</c:v>
                </c:pt>
                <c:pt idx="5" formatCode="0.0">
                  <c:v>11.4</c:v>
                </c:pt>
                <c:pt idx="6" formatCode="0.0">
                  <c:v>14.3</c:v>
                </c:pt>
                <c:pt idx="7" formatCode="0.0">
                  <c:v>13.9</c:v>
                </c:pt>
              </c:numCache>
            </c:numRef>
          </c:val>
          <c:smooth val="0"/>
          <c:extLst>
            <c:ext xmlns:c16="http://schemas.microsoft.com/office/drawing/2014/chart" uri="{C3380CC4-5D6E-409C-BE32-E72D297353CC}">
              <c16:uniqueId val="{00000004-01FD-48BD-9098-904108EA80E5}"/>
            </c:ext>
          </c:extLst>
        </c:ser>
        <c:dLbls>
          <c:showLegendKey val="0"/>
          <c:showVal val="0"/>
          <c:showCatName val="0"/>
          <c:showSerName val="0"/>
          <c:showPercent val="0"/>
          <c:showBubbleSize val="0"/>
        </c:dLbls>
        <c:marker val="1"/>
        <c:smooth val="0"/>
        <c:axId val="2145062016"/>
        <c:axId val="2145062376"/>
      </c:lineChart>
      <c:catAx>
        <c:axId val="2145062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145062376"/>
        <c:crosses val="autoZero"/>
        <c:auto val="1"/>
        <c:lblAlgn val="ctr"/>
        <c:lblOffset val="100"/>
        <c:noMultiLvlLbl val="0"/>
      </c:catAx>
      <c:valAx>
        <c:axId val="2145062376"/>
        <c:scaling>
          <c:orientation val="minMax"/>
          <c:max val="4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145062016"/>
        <c:crosses val="autoZero"/>
        <c:crossBetween val="between"/>
        <c:majorUnit val="50"/>
        <c:min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areaChart>
        <c:grouping val="standard"/>
        <c:varyColors val="0"/>
        <c:ser>
          <c:idx val="0"/>
          <c:order val="0"/>
          <c:tx>
            <c:strRef>
              <c:f>'Table293 (Page 75)'!$N$33</c:f>
              <c:strCache>
                <c:ptCount val="1"/>
                <c:pt idx="0">
                  <c:v>Producción</c:v>
                </c:pt>
              </c:strCache>
            </c:strRef>
          </c:tx>
          <c:spPr>
            <a:solidFill>
              <a:srgbClr val="0057B8"/>
            </a:solidFill>
            <a:ln>
              <a:noFill/>
            </a:ln>
            <a:effectLst/>
          </c:spPr>
          <c:cat>
            <c:numRef>
              <c:f>'Table293 (Page 75)'!$O$32:$T$32</c:f>
              <c:numCache>
                <c:formatCode>General</c:formatCode>
                <c:ptCount val="6"/>
                <c:pt idx="0">
                  <c:v>1991</c:v>
                </c:pt>
                <c:pt idx="1">
                  <c:v>2001</c:v>
                </c:pt>
                <c:pt idx="2">
                  <c:v>2011</c:v>
                </c:pt>
                <c:pt idx="3">
                  <c:v>2019</c:v>
                </c:pt>
                <c:pt idx="4">
                  <c:v>2020</c:v>
                </c:pt>
                <c:pt idx="5">
                  <c:v>2021</c:v>
                </c:pt>
              </c:numCache>
            </c:numRef>
          </c:cat>
          <c:val>
            <c:numRef>
              <c:f>'Table293 (Page 75)'!$O$33:$T$33</c:f>
              <c:numCache>
                <c:formatCode>0.0</c:formatCode>
                <c:ptCount val="6"/>
                <c:pt idx="0">
                  <c:v>4.7</c:v>
                </c:pt>
                <c:pt idx="1">
                  <c:v>3.8</c:v>
                </c:pt>
                <c:pt idx="2">
                  <c:v>11.9</c:v>
                </c:pt>
                <c:pt idx="3">
                  <c:v>35.799999999999997</c:v>
                </c:pt>
                <c:pt idx="4">
                  <c:v>35.9</c:v>
                </c:pt>
                <c:pt idx="5">
                  <c:v>30.3</c:v>
                </c:pt>
              </c:numCache>
            </c:numRef>
          </c:val>
          <c:extLst>
            <c:ext xmlns:c16="http://schemas.microsoft.com/office/drawing/2014/chart" uri="{C3380CC4-5D6E-409C-BE32-E72D297353CC}">
              <c16:uniqueId val="{00000000-AF00-4736-9FC9-6FBEEF73FABF}"/>
            </c:ext>
          </c:extLst>
        </c:ser>
        <c:ser>
          <c:idx val="1"/>
          <c:order val="1"/>
          <c:tx>
            <c:strRef>
              <c:f>'Table293 (Page 75)'!$N$34</c:f>
              <c:strCache>
                <c:ptCount val="1"/>
                <c:pt idx="0">
                  <c:v>Exportación</c:v>
                </c:pt>
              </c:strCache>
            </c:strRef>
          </c:tx>
          <c:spPr>
            <a:solidFill>
              <a:srgbClr val="FFD700"/>
            </a:solidFill>
            <a:ln>
              <a:noFill/>
            </a:ln>
            <a:effectLst/>
          </c:spPr>
          <c:cat>
            <c:numRef>
              <c:f>'Table293 (Page 75)'!$O$32:$T$32</c:f>
              <c:numCache>
                <c:formatCode>General</c:formatCode>
                <c:ptCount val="6"/>
                <c:pt idx="0">
                  <c:v>1991</c:v>
                </c:pt>
                <c:pt idx="1">
                  <c:v>2001</c:v>
                </c:pt>
                <c:pt idx="2">
                  <c:v>2011</c:v>
                </c:pt>
                <c:pt idx="3">
                  <c:v>2019</c:v>
                </c:pt>
                <c:pt idx="4">
                  <c:v>2020</c:v>
                </c:pt>
                <c:pt idx="5">
                  <c:v>2021</c:v>
                </c:pt>
              </c:numCache>
            </c:numRef>
          </c:cat>
          <c:val>
            <c:numRef>
              <c:f>'Table293 (Page 75)'!$O$34:$T$34</c:f>
              <c:numCache>
                <c:formatCode>0.0</c:formatCode>
                <c:ptCount val="6"/>
                <c:pt idx="0">
                  <c:v>0.4</c:v>
                </c:pt>
                <c:pt idx="1">
                  <c:v>0.4</c:v>
                </c:pt>
                <c:pt idx="2">
                  <c:v>5</c:v>
                </c:pt>
                <c:pt idx="3">
                  <c:v>30.3</c:v>
                </c:pt>
                <c:pt idx="4">
                  <c:v>28.9</c:v>
                </c:pt>
                <c:pt idx="5">
                  <c:v>23.8</c:v>
                </c:pt>
              </c:numCache>
            </c:numRef>
          </c:val>
          <c:extLst>
            <c:ext xmlns:c16="http://schemas.microsoft.com/office/drawing/2014/chart" uri="{C3380CC4-5D6E-409C-BE32-E72D297353CC}">
              <c16:uniqueId val="{00000001-AF00-4736-9FC9-6FBEEF73FABF}"/>
            </c:ext>
          </c:extLst>
        </c:ser>
        <c:dLbls>
          <c:showLegendKey val="0"/>
          <c:showVal val="0"/>
          <c:showCatName val="0"/>
          <c:showSerName val="0"/>
          <c:showPercent val="0"/>
          <c:showBubbleSize val="0"/>
        </c:dLbls>
        <c:axId val="2059147040"/>
        <c:axId val="2059143440"/>
      </c:areaChart>
      <c:catAx>
        <c:axId val="205914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3440"/>
        <c:crosses val="autoZero"/>
        <c:auto val="1"/>
        <c:lblAlgn val="ctr"/>
        <c:lblOffset val="100"/>
        <c:noMultiLvlLbl val="0"/>
      </c:catAx>
      <c:valAx>
        <c:axId val="2059143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7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areaChart>
        <c:grouping val="standard"/>
        <c:varyColors val="0"/>
        <c:ser>
          <c:idx val="0"/>
          <c:order val="0"/>
          <c:tx>
            <c:strRef>
              <c:f>'Table293 (Page 75)'!$N$33</c:f>
              <c:strCache>
                <c:ptCount val="1"/>
                <c:pt idx="0">
                  <c:v>Producción</c:v>
                </c:pt>
              </c:strCache>
            </c:strRef>
          </c:tx>
          <c:spPr>
            <a:solidFill>
              <a:srgbClr val="0072CE"/>
            </a:solidFill>
            <a:ln w="25400">
              <a:noFill/>
            </a:ln>
            <a:effectLst/>
          </c:spPr>
          <c:cat>
            <c:numRef>
              <c:f>'Table293 (Page 75)'!$W$32:$AB$32</c:f>
              <c:numCache>
                <c:formatCode>General</c:formatCode>
                <c:ptCount val="6"/>
                <c:pt idx="0">
                  <c:v>1991</c:v>
                </c:pt>
                <c:pt idx="1">
                  <c:v>2001</c:v>
                </c:pt>
                <c:pt idx="2">
                  <c:v>2011</c:v>
                </c:pt>
                <c:pt idx="3">
                  <c:v>2019</c:v>
                </c:pt>
                <c:pt idx="4">
                  <c:v>2020</c:v>
                </c:pt>
                <c:pt idx="5">
                  <c:v>2021</c:v>
                </c:pt>
              </c:numCache>
            </c:numRef>
          </c:cat>
          <c:val>
            <c:numRef>
              <c:f>'Table293 (Page 75)'!$W$33:$AB$33</c:f>
              <c:numCache>
                <c:formatCode>0.0</c:formatCode>
                <c:ptCount val="6"/>
                <c:pt idx="0">
                  <c:v>2.5</c:v>
                </c:pt>
                <c:pt idx="1">
                  <c:v>1.5</c:v>
                </c:pt>
                <c:pt idx="2">
                  <c:v>3.1</c:v>
                </c:pt>
                <c:pt idx="3">
                  <c:v>11.4</c:v>
                </c:pt>
                <c:pt idx="4">
                  <c:v>14.3</c:v>
                </c:pt>
                <c:pt idx="5">
                  <c:v>13.9</c:v>
                </c:pt>
              </c:numCache>
            </c:numRef>
          </c:val>
          <c:extLst>
            <c:ext xmlns:c16="http://schemas.microsoft.com/office/drawing/2014/chart" uri="{C3380CC4-5D6E-409C-BE32-E72D297353CC}">
              <c16:uniqueId val="{00000000-6B40-4640-912A-196A2E12394E}"/>
            </c:ext>
          </c:extLst>
        </c:ser>
        <c:ser>
          <c:idx val="1"/>
          <c:order val="1"/>
          <c:tx>
            <c:strRef>
              <c:f>'Table293 (Page 75)'!$N$34</c:f>
              <c:strCache>
                <c:ptCount val="1"/>
                <c:pt idx="0">
                  <c:v>Exportación</c:v>
                </c:pt>
              </c:strCache>
            </c:strRef>
          </c:tx>
          <c:spPr>
            <a:solidFill>
              <a:srgbClr val="EF3340"/>
            </a:solidFill>
            <a:ln w="25400">
              <a:noFill/>
            </a:ln>
            <a:effectLst/>
          </c:spPr>
          <c:cat>
            <c:numRef>
              <c:f>'Table293 (Page 75)'!$W$32:$AB$32</c:f>
              <c:numCache>
                <c:formatCode>General</c:formatCode>
                <c:ptCount val="6"/>
                <c:pt idx="0">
                  <c:v>1991</c:v>
                </c:pt>
                <c:pt idx="1">
                  <c:v>2001</c:v>
                </c:pt>
                <c:pt idx="2">
                  <c:v>2011</c:v>
                </c:pt>
                <c:pt idx="3">
                  <c:v>2019</c:v>
                </c:pt>
                <c:pt idx="4">
                  <c:v>2020</c:v>
                </c:pt>
                <c:pt idx="5">
                  <c:v>2021</c:v>
                </c:pt>
              </c:numCache>
            </c:numRef>
          </c:cat>
          <c:val>
            <c:numRef>
              <c:f>'Table293 (Page 75)'!$W$34:$AB$34</c:f>
              <c:numCache>
                <c:formatCode>0.0</c:formatCode>
                <c:ptCount val="6"/>
                <c:pt idx="0">
                  <c:v>0.4</c:v>
                </c:pt>
                <c:pt idx="1">
                  <c:v>0</c:v>
                </c:pt>
                <c:pt idx="2">
                  <c:v>0</c:v>
                </c:pt>
                <c:pt idx="3">
                  <c:v>2.8</c:v>
                </c:pt>
                <c:pt idx="4">
                  <c:v>4.0999999999999996</c:v>
                </c:pt>
                <c:pt idx="5">
                  <c:v>3.9</c:v>
                </c:pt>
              </c:numCache>
            </c:numRef>
          </c:val>
          <c:extLst>
            <c:ext xmlns:c16="http://schemas.microsoft.com/office/drawing/2014/chart" uri="{C3380CC4-5D6E-409C-BE32-E72D297353CC}">
              <c16:uniqueId val="{00000001-6B40-4640-912A-196A2E12394E}"/>
            </c:ext>
          </c:extLst>
        </c:ser>
        <c:dLbls>
          <c:showLegendKey val="0"/>
          <c:showVal val="0"/>
          <c:showCatName val="0"/>
          <c:showSerName val="0"/>
          <c:showPercent val="0"/>
          <c:showBubbleSize val="0"/>
        </c:dLbls>
        <c:axId val="2059147040"/>
        <c:axId val="2059143440"/>
      </c:areaChart>
      <c:catAx>
        <c:axId val="205914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3440"/>
        <c:crosses val="autoZero"/>
        <c:auto val="1"/>
        <c:lblAlgn val="ctr"/>
        <c:lblOffset val="100"/>
        <c:noMultiLvlLbl val="0"/>
      </c:catAx>
      <c:valAx>
        <c:axId val="2059143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7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lineChart>
        <c:grouping val="standard"/>
        <c:varyColors val="0"/>
        <c:ser>
          <c:idx val="0"/>
          <c:order val="0"/>
          <c:tx>
            <c:strRef>
              <c:f>'Trigo (pág 89)'!$N$25</c:f>
              <c:strCache>
                <c:ptCount val="1"/>
                <c:pt idx="0">
                  <c:v>Estados Unidos</c:v>
                </c:pt>
              </c:strCache>
            </c:strRef>
          </c:tx>
          <c:spPr>
            <a:ln w="28575" cap="rnd">
              <a:solidFill>
                <a:schemeClr val="accent5">
                  <a:tint val="54000"/>
                </a:schemeClr>
              </a:solidFill>
              <a:round/>
            </a:ln>
            <a:effectLst/>
          </c:spPr>
          <c:marker>
            <c:symbol val="star"/>
            <c:size val="6"/>
            <c:spPr>
              <a:noFill/>
              <a:ln w="15875">
                <a:solidFill>
                  <a:schemeClr val="accent5">
                    <a:tint val="54000"/>
                  </a:schemeClr>
                </a:solidFill>
              </a:ln>
              <a:effectLst/>
            </c:spPr>
          </c:marker>
          <c:cat>
            <c:numRef>
              <c:f>'Trigo (pág 89)'!$O$24:$V$24</c:f>
              <c:numCache>
                <c:formatCode>General</c:formatCode>
                <c:ptCount val="8"/>
                <c:pt idx="0">
                  <c:v>1971</c:v>
                </c:pt>
                <c:pt idx="1">
                  <c:v>1981</c:v>
                </c:pt>
                <c:pt idx="2">
                  <c:v>1991</c:v>
                </c:pt>
                <c:pt idx="3">
                  <c:v>2001</c:v>
                </c:pt>
                <c:pt idx="4">
                  <c:v>2011</c:v>
                </c:pt>
                <c:pt idx="5">
                  <c:v>2019</c:v>
                </c:pt>
                <c:pt idx="6">
                  <c:v>2020</c:v>
                </c:pt>
                <c:pt idx="7">
                  <c:v>2021</c:v>
                </c:pt>
              </c:numCache>
            </c:numRef>
          </c:cat>
          <c:val>
            <c:numRef>
              <c:f>'Trigo (pág 89)'!$O$25:$V$25</c:f>
              <c:numCache>
                <c:formatCode>0.0</c:formatCode>
                <c:ptCount val="8"/>
                <c:pt idx="0">
                  <c:v>36.799999999999997</c:v>
                </c:pt>
                <c:pt idx="1">
                  <c:v>64.8</c:v>
                </c:pt>
                <c:pt idx="2">
                  <c:v>74.3</c:v>
                </c:pt>
                <c:pt idx="3">
                  <c:v>60.6</c:v>
                </c:pt>
                <c:pt idx="4">
                  <c:v>58.9</c:v>
                </c:pt>
                <c:pt idx="5">
                  <c:v>51.3</c:v>
                </c:pt>
                <c:pt idx="6">
                  <c:v>52.6</c:v>
                </c:pt>
                <c:pt idx="7">
                  <c:v>49.8</c:v>
                </c:pt>
              </c:numCache>
            </c:numRef>
          </c:val>
          <c:smooth val="0"/>
          <c:extLst>
            <c:ext xmlns:c16="http://schemas.microsoft.com/office/drawing/2014/chart" uri="{C3380CC4-5D6E-409C-BE32-E72D297353CC}">
              <c16:uniqueId val="{00000000-D68E-4E4B-9364-6C8AF925B334}"/>
            </c:ext>
          </c:extLst>
        </c:ser>
        <c:ser>
          <c:idx val="1"/>
          <c:order val="1"/>
          <c:tx>
            <c:strRef>
              <c:f>'Trigo (pág 89)'!$N$26</c:f>
              <c:strCache>
                <c:ptCount val="1"/>
                <c:pt idx="0">
                  <c:v>China</c:v>
                </c:pt>
              </c:strCache>
            </c:strRef>
          </c:tx>
          <c:spPr>
            <a:ln w="28575" cap="rnd">
              <a:solidFill>
                <a:schemeClr val="accent5">
                  <a:tint val="77000"/>
                </a:schemeClr>
              </a:solidFill>
              <a:round/>
            </a:ln>
            <a:effectLst/>
          </c:spPr>
          <c:marker>
            <c:symbol val="diamond"/>
            <c:size val="6"/>
            <c:spPr>
              <a:solidFill>
                <a:schemeClr val="accent5">
                  <a:tint val="77000"/>
                </a:schemeClr>
              </a:solidFill>
              <a:ln w="9525">
                <a:solidFill>
                  <a:schemeClr val="accent5">
                    <a:tint val="77000"/>
                  </a:schemeClr>
                </a:solidFill>
              </a:ln>
              <a:effectLst/>
            </c:spPr>
          </c:marker>
          <c:cat>
            <c:numRef>
              <c:f>'Trigo (pág 89)'!$O$24:$V$24</c:f>
              <c:numCache>
                <c:formatCode>General</c:formatCode>
                <c:ptCount val="8"/>
                <c:pt idx="0">
                  <c:v>1971</c:v>
                </c:pt>
                <c:pt idx="1">
                  <c:v>1981</c:v>
                </c:pt>
                <c:pt idx="2">
                  <c:v>1991</c:v>
                </c:pt>
                <c:pt idx="3">
                  <c:v>2001</c:v>
                </c:pt>
                <c:pt idx="4">
                  <c:v>2011</c:v>
                </c:pt>
                <c:pt idx="5">
                  <c:v>2019</c:v>
                </c:pt>
                <c:pt idx="6">
                  <c:v>2020</c:v>
                </c:pt>
                <c:pt idx="7">
                  <c:v>2021</c:v>
                </c:pt>
              </c:numCache>
            </c:numRef>
          </c:cat>
          <c:val>
            <c:numRef>
              <c:f>'Trigo (pág 89)'!$O$26:$V$26</c:f>
              <c:numCache>
                <c:formatCode>0.0</c:formatCode>
                <c:ptCount val="8"/>
                <c:pt idx="0">
                  <c:v>29.2</c:v>
                </c:pt>
                <c:pt idx="1">
                  <c:v>55.2</c:v>
                </c:pt>
                <c:pt idx="2">
                  <c:v>98.2</c:v>
                </c:pt>
                <c:pt idx="3">
                  <c:v>99.6</c:v>
                </c:pt>
                <c:pt idx="4">
                  <c:v>116.1</c:v>
                </c:pt>
                <c:pt idx="5">
                  <c:v>131.4</c:v>
                </c:pt>
                <c:pt idx="6">
                  <c:v>133.6</c:v>
                </c:pt>
                <c:pt idx="7">
                  <c:v>134.30000000000001</c:v>
                </c:pt>
              </c:numCache>
            </c:numRef>
          </c:val>
          <c:smooth val="0"/>
          <c:extLst>
            <c:ext xmlns:c16="http://schemas.microsoft.com/office/drawing/2014/chart" uri="{C3380CC4-5D6E-409C-BE32-E72D297353CC}">
              <c16:uniqueId val="{00000001-D68E-4E4B-9364-6C8AF925B334}"/>
            </c:ext>
          </c:extLst>
        </c:ser>
        <c:ser>
          <c:idx val="2"/>
          <c:order val="2"/>
          <c:tx>
            <c:strRef>
              <c:f>'Trigo (pág 89)'!$N$27</c:f>
              <c:strCache>
                <c:ptCount val="1"/>
                <c:pt idx="0">
                  <c:v>Unión Europea</c:v>
                </c:pt>
              </c:strCache>
            </c:strRef>
          </c:tx>
          <c:spPr>
            <a:ln w="28575" cap="rnd">
              <a:solidFill>
                <a:schemeClr val="accent5"/>
              </a:solidFill>
              <a:round/>
            </a:ln>
            <a:effectLst/>
          </c:spPr>
          <c:marker>
            <c:symbol val="triangle"/>
            <c:size val="6"/>
            <c:spPr>
              <a:solidFill>
                <a:schemeClr val="accent5"/>
              </a:solidFill>
              <a:ln w="9525">
                <a:solidFill>
                  <a:schemeClr val="accent5"/>
                </a:solidFill>
              </a:ln>
              <a:effectLst/>
            </c:spPr>
          </c:marker>
          <c:cat>
            <c:numRef>
              <c:f>'Trigo (pág 89)'!$O$24:$V$24</c:f>
              <c:numCache>
                <c:formatCode>General</c:formatCode>
                <c:ptCount val="8"/>
                <c:pt idx="0">
                  <c:v>1971</c:v>
                </c:pt>
                <c:pt idx="1">
                  <c:v>1981</c:v>
                </c:pt>
                <c:pt idx="2">
                  <c:v>1991</c:v>
                </c:pt>
                <c:pt idx="3">
                  <c:v>2001</c:v>
                </c:pt>
                <c:pt idx="4">
                  <c:v>2011</c:v>
                </c:pt>
                <c:pt idx="5">
                  <c:v>2019</c:v>
                </c:pt>
                <c:pt idx="6">
                  <c:v>2020</c:v>
                </c:pt>
                <c:pt idx="7">
                  <c:v>2021</c:v>
                </c:pt>
              </c:numCache>
            </c:numRef>
          </c:cat>
          <c:val>
            <c:numRef>
              <c:f>'Trigo (pág 89)'!$O$27:$V$27</c:f>
              <c:numCache>
                <c:formatCode>0.0</c:formatCode>
                <c:ptCount val="8"/>
                <c:pt idx="0">
                  <c:v>45.6</c:v>
                </c:pt>
                <c:pt idx="1">
                  <c:v>67.400000000000006</c:v>
                </c:pt>
                <c:pt idx="2">
                  <c:v>89.1</c:v>
                </c:pt>
                <c:pt idx="3">
                  <c:v>132.69999999999999</c:v>
                </c:pt>
                <c:pt idx="4">
                  <c:v>136.69999999999999</c:v>
                </c:pt>
                <c:pt idx="5">
                  <c:v>123.1</c:v>
                </c:pt>
                <c:pt idx="6">
                  <c:v>138.69999999999999</c:v>
                </c:pt>
                <c:pt idx="7">
                  <c:v>126</c:v>
                </c:pt>
              </c:numCache>
            </c:numRef>
          </c:val>
          <c:smooth val="0"/>
          <c:extLst>
            <c:ext xmlns:c16="http://schemas.microsoft.com/office/drawing/2014/chart" uri="{C3380CC4-5D6E-409C-BE32-E72D297353CC}">
              <c16:uniqueId val="{00000002-D68E-4E4B-9364-6C8AF925B334}"/>
            </c:ext>
          </c:extLst>
        </c:ser>
        <c:ser>
          <c:idx val="3"/>
          <c:order val="3"/>
          <c:tx>
            <c:strRef>
              <c:f>'Trigo (pág 89)'!$N$28</c:f>
              <c:strCache>
                <c:ptCount val="1"/>
                <c:pt idx="0">
                  <c:v>Ucrania</c:v>
                </c:pt>
              </c:strCache>
            </c:strRef>
          </c:tx>
          <c:spPr>
            <a:ln w="28575" cap="rnd">
              <a:solidFill>
                <a:schemeClr val="accent5">
                  <a:shade val="76000"/>
                </a:schemeClr>
              </a:solidFill>
              <a:round/>
            </a:ln>
            <a:effectLst/>
          </c:spPr>
          <c:marker>
            <c:symbol val="square"/>
            <c:size val="6"/>
            <c:spPr>
              <a:solidFill>
                <a:schemeClr val="accent5">
                  <a:shade val="76000"/>
                </a:schemeClr>
              </a:solidFill>
              <a:ln w="9525">
                <a:solidFill>
                  <a:schemeClr val="accent5">
                    <a:shade val="76000"/>
                  </a:schemeClr>
                </a:solidFill>
              </a:ln>
              <a:effectLst/>
            </c:spPr>
          </c:marker>
          <c:cat>
            <c:numRef>
              <c:f>'Trigo (pág 89)'!$O$24:$V$24</c:f>
              <c:numCache>
                <c:formatCode>General</c:formatCode>
                <c:ptCount val="8"/>
                <c:pt idx="0">
                  <c:v>1971</c:v>
                </c:pt>
                <c:pt idx="1">
                  <c:v>1981</c:v>
                </c:pt>
                <c:pt idx="2">
                  <c:v>1991</c:v>
                </c:pt>
                <c:pt idx="3">
                  <c:v>2001</c:v>
                </c:pt>
                <c:pt idx="4">
                  <c:v>2011</c:v>
                </c:pt>
                <c:pt idx="5">
                  <c:v>2019</c:v>
                </c:pt>
                <c:pt idx="6">
                  <c:v>2020</c:v>
                </c:pt>
                <c:pt idx="7">
                  <c:v>2021</c:v>
                </c:pt>
              </c:numCache>
            </c:numRef>
          </c:cat>
          <c:val>
            <c:numRef>
              <c:f>'Trigo (pág 89)'!$O$28:$V$28</c:f>
              <c:numCache>
                <c:formatCode>General</c:formatCode>
                <c:ptCount val="8"/>
                <c:pt idx="2" formatCode="0.0">
                  <c:v>30.4</c:v>
                </c:pt>
                <c:pt idx="3" formatCode="0.0">
                  <c:v>10.199999999999999</c:v>
                </c:pt>
                <c:pt idx="4" formatCode="0.0">
                  <c:v>16.8</c:v>
                </c:pt>
                <c:pt idx="5" formatCode="0.0">
                  <c:v>25.1</c:v>
                </c:pt>
                <c:pt idx="6" formatCode="0.0">
                  <c:v>29.2</c:v>
                </c:pt>
                <c:pt idx="7" formatCode="0.0">
                  <c:v>25.4</c:v>
                </c:pt>
              </c:numCache>
            </c:numRef>
          </c:val>
          <c:smooth val="0"/>
          <c:extLst>
            <c:ext xmlns:c16="http://schemas.microsoft.com/office/drawing/2014/chart" uri="{C3380CC4-5D6E-409C-BE32-E72D297353CC}">
              <c16:uniqueId val="{00000003-D68E-4E4B-9364-6C8AF925B334}"/>
            </c:ext>
          </c:extLst>
        </c:ser>
        <c:ser>
          <c:idx val="4"/>
          <c:order val="4"/>
          <c:tx>
            <c:strRef>
              <c:f>'Trigo (pág 89)'!$N$29</c:f>
              <c:strCache>
                <c:ptCount val="1"/>
                <c:pt idx="0">
                  <c:v>Rusia</c:v>
                </c:pt>
              </c:strCache>
            </c:strRef>
          </c:tx>
          <c:spPr>
            <a:ln w="28575" cap="rnd">
              <a:solidFill>
                <a:schemeClr val="accent5">
                  <a:shade val="53000"/>
                </a:schemeClr>
              </a:solidFill>
              <a:round/>
            </a:ln>
            <a:effectLst/>
          </c:spPr>
          <c:marker>
            <c:symbol val="circle"/>
            <c:size val="6"/>
            <c:spPr>
              <a:solidFill>
                <a:schemeClr val="accent5">
                  <a:shade val="53000"/>
                </a:schemeClr>
              </a:solidFill>
              <a:ln w="9525">
                <a:solidFill>
                  <a:schemeClr val="accent5">
                    <a:shade val="53000"/>
                  </a:schemeClr>
                </a:solidFill>
              </a:ln>
              <a:effectLst/>
            </c:spPr>
          </c:marker>
          <c:cat>
            <c:numRef>
              <c:f>'Trigo (pág 89)'!$O$24:$V$24</c:f>
              <c:numCache>
                <c:formatCode>General</c:formatCode>
                <c:ptCount val="8"/>
                <c:pt idx="0">
                  <c:v>1971</c:v>
                </c:pt>
                <c:pt idx="1">
                  <c:v>1981</c:v>
                </c:pt>
                <c:pt idx="2">
                  <c:v>1991</c:v>
                </c:pt>
                <c:pt idx="3">
                  <c:v>2001</c:v>
                </c:pt>
                <c:pt idx="4">
                  <c:v>2011</c:v>
                </c:pt>
                <c:pt idx="5">
                  <c:v>2019</c:v>
                </c:pt>
                <c:pt idx="6">
                  <c:v>2020</c:v>
                </c:pt>
                <c:pt idx="7">
                  <c:v>2021</c:v>
                </c:pt>
              </c:numCache>
            </c:numRef>
          </c:cat>
          <c:val>
            <c:numRef>
              <c:f>'Trigo (pág 89)'!$O$29:$V$29</c:f>
              <c:numCache>
                <c:formatCode>General</c:formatCode>
                <c:ptCount val="8"/>
                <c:pt idx="2" formatCode="0.0">
                  <c:v>49.6</c:v>
                </c:pt>
                <c:pt idx="3" formatCode="0.0">
                  <c:v>34.5</c:v>
                </c:pt>
                <c:pt idx="4" formatCode="0.0">
                  <c:v>41.5</c:v>
                </c:pt>
                <c:pt idx="5" formatCode="0.0">
                  <c:v>71.7</c:v>
                </c:pt>
                <c:pt idx="6" formatCode="0.0">
                  <c:v>73.599999999999994</c:v>
                </c:pt>
                <c:pt idx="7" formatCode="0.0">
                  <c:v>85.4</c:v>
                </c:pt>
              </c:numCache>
            </c:numRef>
          </c:val>
          <c:smooth val="0"/>
          <c:extLst>
            <c:ext xmlns:c16="http://schemas.microsoft.com/office/drawing/2014/chart" uri="{C3380CC4-5D6E-409C-BE32-E72D297353CC}">
              <c16:uniqueId val="{00000004-D68E-4E4B-9364-6C8AF925B334}"/>
            </c:ext>
          </c:extLst>
        </c:ser>
        <c:dLbls>
          <c:showLegendKey val="0"/>
          <c:showVal val="0"/>
          <c:showCatName val="0"/>
          <c:showSerName val="0"/>
          <c:showPercent val="0"/>
          <c:showBubbleSize val="0"/>
        </c:dLbls>
        <c:marker val="1"/>
        <c:smooth val="0"/>
        <c:axId val="2145062016"/>
        <c:axId val="2145062376"/>
      </c:lineChart>
      <c:catAx>
        <c:axId val="2145062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145062376"/>
        <c:crossesAt val="0"/>
        <c:auto val="1"/>
        <c:lblAlgn val="ctr"/>
        <c:lblOffset val="100"/>
        <c:noMultiLvlLbl val="0"/>
      </c:catAx>
      <c:valAx>
        <c:axId val="2145062376"/>
        <c:scaling>
          <c:orientation val="minMax"/>
          <c:max val="14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145062016"/>
        <c:crosses val="autoZero"/>
        <c:crossBetween val="between"/>
        <c:majorUnit val="20"/>
        <c:min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areaChart>
        <c:grouping val="standard"/>
        <c:varyColors val="0"/>
        <c:ser>
          <c:idx val="0"/>
          <c:order val="0"/>
          <c:tx>
            <c:strRef>
              <c:f>'Trigo (pág 89)'!$M$36</c:f>
              <c:strCache>
                <c:ptCount val="1"/>
                <c:pt idx="0">
                  <c:v>Producción</c:v>
                </c:pt>
              </c:strCache>
            </c:strRef>
          </c:tx>
          <c:spPr>
            <a:solidFill>
              <a:srgbClr val="0057B8"/>
            </a:solidFill>
            <a:ln w="25400">
              <a:noFill/>
            </a:ln>
            <a:effectLst/>
          </c:spPr>
          <c:cat>
            <c:numRef>
              <c:f>'Trigo (pág 89)'!$N$35:$S$35</c:f>
              <c:numCache>
                <c:formatCode>General</c:formatCode>
                <c:ptCount val="6"/>
                <c:pt idx="0">
                  <c:v>1991</c:v>
                </c:pt>
                <c:pt idx="1">
                  <c:v>2001</c:v>
                </c:pt>
                <c:pt idx="2">
                  <c:v>2011</c:v>
                </c:pt>
                <c:pt idx="3">
                  <c:v>2019</c:v>
                </c:pt>
                <c:pt idx="4">
                  <c:v>2020</c:v>
                </c:pt>
                <c:pt idx="5">
                  <c:v>2021</c:v>
                </c:pt>
              </c:numCache>
            </c:numRef>
          </c:cat>
          <c:val>
            <c:numRef>
              <c:f>'Trigo (pág 89)'!$N$36:$S$36</c:f>
              <c:numCache>
                <c:formatCode>0.0</c:formatCode>
                <c:ptCount val="6"/>
                <c:pt idx="0">
                  <c:v>30.4</c:v>
                </c:pt>
                <c:pt idx="1">
                  <c:v>10.199999999999999</c:v>
                </c:pt>
                <c:pt idx="2">
                  <c:v>16.8</c:v>
                </c:pt>
                <c:pt idx="3">
                  <c:v>25.1</c:v>
                </c:pt>
                <c:pt idx="4">
                  <c:v>29.2</c:v>
                </c:pt>
                <c:pt idx="5">
                  <c:v>25.4</c:v>
                </c:pt>
              </c:numCache>
            </c:numRef>
          </c:val>
          <c:extLst>
            <c:ext xmlns:c16="http://schemas.microsoft.com/office/drawing/2014/chart" uri="{C3380CC4-5D6E-409C-BE32-E72D297353CC}">
              <c16:uniqueId val="{00000000-76B7-4BDA-B7F0-9BFDA04A193E}"/>
            </c:ext>
          </c:extLst>
        </c:ser>
        <c:ser>
          <c:idx val="1"/>
          <c:order val="1"/>
          <c:tx>
            <c:strRef>
              <c:f>'Trigo (pág 89)'!$M$37</c:f>
              <c:strCache>
                <c:ptCount val="1"/>
                <c:pt idx="0">
                  <c:v>Exportación</c:v>
                </c:pt>
              </c:strCache>
            </c:strRef>
          </c:tx>
          <c:spPr>
            <a:solidFill>
              <a:srgbClr val="FFD700"/>
            </a:solidFill>
            <a:ln w="25400">
              <a:noFill/>
            </a:ln>
            <a:effectLst/>
          </c:spPr>
          <c:cat>
            <c:numRef>
              <c:f>'Trigo (pág 89)'!$N$35:$S$35</c:f>
              <c:numCache>
                <c:formatCode>General</c:formatCode>
                <c:ptCount val="6"/>
                <c:pt idx="0">
                  <c:v>1991</c:v>
                </c:pt>
                <c:pt idx="1">
                  <c:v>2001</c:v>
                </c:pt>
                <c:pt idx="2">
                  <c:v>2011</c:v>
                </c:pt>
                <c:pt idx="3">
                  <c:v>2019</c:v>
                </c:pt>
                <c:pt idx="4">
                  <c:v>2020</c:v>
                </c:pt>
                <c:pt idx="5">
                  <c:v>2021</c:v>
                </c:pt>
              </c:numCache>
            </c:numRef>
          </c:cat>
          <c:val>
            <c:numRef>
              <c:f>'Trigo (pág 89)'!$N$37:$S$37</c:f>
              <c:numCache>
                <c:formatCode>0.0</c:formatCode>
                <c:ptCount val="6"/>
                <c:pt idx="0">
                  <c:v>2</c:v>
                </c:pt>
                <c:pt idx="1">
                  <c:v>0.1</c:v>
                </c:pt>
                <c:pt idx="2">
                  <c:v>4.3</c:v>
                </c:pt>
                <c:pt idx="3">
                  <c:v>16</c:v>
                </c:pt>
                <c:pt idx="4">
                  <c:v>21</c:v>
                </c:pt>
                <c:pt idx="5">
                  <c:v>16.899999999999999</c:v>
                </c:pt>
              </c:numCache>
            </c:numRef>
          </c:val>
          <c:extLst>
            <c:ext xmlns:c16="http://schemas.microsoft.com/office/drawing/2014/chart" uri="{C3380CC4-5D6E-409C-BE32-E72D297353CC}">
              <c16:uniqueId val="{00000001-76B7-4BDA-B7F0-9BFDA04A193E}"/>
            </c:ext>
          </c:extLst>
        </c:ser>
        <c:dLbls>
          <c:showLegendKey val="0"/>
          <c:showVal val="0"/>
          <c:showCatName val="0"/>
          <c:showSerName val="0"/>
          <c:showPercent val="0"/>
          <c:showBubbleSize val="0"/>
        </c:dLbls>
        <c:axId val="2059147040"/>
        <c:axId val="2059143440"/>
      </c:areaChart>
      <c:catAx>
        <c:axId val="205914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3440"/>
        <c:crosses val="autoZero"/>
        <c:auto val="1"/>
        <c:lblAlgn val="ctr"/>
        <c:lblOffset val="100"/>
        <c:noMultiLvlLbl val="0"/>
      </c:catAx>
      <c:valAx>
        <c:axId val="2059143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7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areaChart>
        <c:grouping val="standard"/>
        <c:varyColors val="0"/>
        <c:ser>
          <c:idx val="0"/>
          <c:order val="0"/>
          <c:tx>
            <c:strRef>
              <c:f>'Trigo (pág 89)'!$U$36</c:f>
              <c:strCache>
                <c:ptCount val="1"/>
                <c:pt idx="0">
                  <c:v>Producción</c:v>
                </c:pt>
              </c:strCache>
            </c:strRef>
          </c:tx>
          <c:spPr>
            <a:solidFill>
              <a:srgbClr val="0072CE"/>
            </a:solidFill>
            <a:ln w="25400">
              <a:noFill/>
            </a:ln>
            <a:effectLst/>
          </c:spPr>
          <c:cat>
            <c:numRef>
              <c:f>'Trigo (pág 89)'!$V$35:$AA$35</c:f>
              <c:numCache>
                <c:formatCode>General</c:formatCode>
                <c:ptCount val="6"/>
                <c:pt idx="0">
                  <c:v>1991</c:v>
                </c:pt>
                <c:pt idx="1">
                  <c:v>2001</c:v>
                </c:pt>
                <c:pt idx="2">
                  <c:v>2011</c:v>
                </c:pt>
                <c:pt idx="3">
                  <c:v>2019</c:v>
                </c:pt>
                <c:pt idx="4">
                  <c:v>2020</c:v>
                </c:pt>
                <c:pt idx="5">
                  <c:v>2021</c:v>
                </c:pt>
              </c:numCache>
            </c:numRef>
          </c:cat>
          <c:val>
            <c:numRef>
              <c:f>'Trigo (pág 89)'!$V$36:$AA$36</c:f>
              <c:numCache>
                <c:formatCode>0.0</c:formatCode>
                <c:ptCount val="6"/>
                <c:pt idx="0">
                  <c:v>49.6</c:v>
                </c:pt>
                <c:pt idx="1">
                  <c:v>34.5</c:v>
                </c:pt>
                <c:pt idx="2">
                  <c:v>41.5</c:v>
                </c:pt>
                <c:pt idx="3">
                  <c:v>71.7</c:v>
                </c:pt>
                <c:pt idx="4">
                  <c:v>73.599999999999994</c:v>
                </c:pt>
                <c:pt idx="5">
                  <c:v>85.4</c:v>
                </c:pt>
              </c:numCache>
            </c:numRef>
          </c:val>
          <c:extLst>
            <c:ext xmlns:c16="http://schemas.microsoft.com/office/drawing/2014/chart" uri="{C3380CC4-5D6E-409C-BE32-E72D297353CC}">
              <c16:uniqueId val="{00000000-4FA6-4198-B2CF-147BA95012BB}"/>
            </c:ext>
          </c:extLst>
        </c:ser>
        <c:ser>
          <c:idx val="1"/>
          <c:order val="1"/>
          <c:tx>
            <c:strRef>
              <c:f>'Trigo (pág 89)'!$U$37</c:f>
              <c:strCache>
                <c:ptCount val="1"/>
                <c:pt idx="0">
                  <c:v>Exportación</c:v>
                </c:pt>
              </c:strCache>
            </c:strRef>
          </c:tx>
          <c:spPr>
            <a:solidFill>
              <a:srgbClr val="EF3340"/>
            </a:solidFill>
            <a:ln w="25400">
              <a:noFill/>
            </a:ln>
            <a:effectLst/>
          </c:spPr>
          <c:cat>
            <c:numRef>
              <c:f>'Trigo (pág 89)'!$V$35:$AA$35</c:f>
              <c:numCache>
                <c:formatCode>General</c:formatCode>
                <c:ptCount val="6"/>
                <c:pt idx="0">
                  <c:v>1991</c:v>
                </c:pt>
                <c:pt idx="1">
                  <c:v>2001</c:v>
                </c:pt>
                <c:pt idx="2">
                  <c:v>2011</c:v>
                </c:pt>
                <c:pt idx="3">
                  <c:v>2019</c:v>
                </c:pt>
                <c:pt idx="4">
                  <c:v>2020</c:v>
                </c:pt>
                <c:pt idx="5">
                  <c:v>2021</c:v>
                </c:pt>
              </c:numCache>
            </c:numRef>
          </c:cat>
          <c:val>
            <c:numRef>
              <c:f>'Trigo (pág 89)'!$V$37:$AA$37</c:f>
              <c:numCache>
                <c:formatCode>0.0</c:formatCode>
                <c:ptCount val="6"/>
                <c:pt idx="0">
                  <c:v>1.2</c:v>
                </c:pt>
                <c:pt idx="1">
                  <c:v>0.7</c:v>
                </c:pt>
                <c:pt idx="2">
                  <c:v>4</c:v>
                </c:pt>
                <c:pt idx="3">
                  <c:v>35.9</c:v>
                </c:pt>
                <c:pt idx="4">
                  <c:v>34.5</c:v>
                </c:pt>
                <c:pt idx="5">
                  <c:v>38.5</c:v>
                </c:pt>
              </c:numCache>
            </c:numRef>
          </c:val>
          <c:extLst>
            <c:ext xmlns:c16="http://schemas.microsoft.com/office/drawing/2014/chart" uri="{C3380CC4-5D6E-409C-BE32-E72D297353CC}">
              <c16:uniqueId val="{00000001-4FA6-4198-B2CF-147BA95012BB}"/>
            </c:ext>
          </c:extLst>
        </c:ser>
        <c:dLbls>
          <c:showLegendKey val="0"/>
          <c:showVal val="0"/>
          <c:showCatName val="0"/>
          <c:showSerName val="0"/>
          <c:showPercent val="0"/>
          <c:showBubbleSize val="0"/>
        </c:dLbls>
        <c:axId val="2059147040"/>
        <c:axId val="2059143440"/>
      </c:areaChart>
      <c:catAx>
        <c:axId val="205914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3440"/>
        <c:crosses val="autoZero"/>
        <c:auto val="1"/>
        <c:lblAlgn val="ctr"/>
        <c:lblOffset val="100"/>
        <c:noMultiLvlLbl val="0"/>
      </c:catAx>
      <c:valAx>
        <c:axId val="2059143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59147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US"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A4936-5898-4751-8A79-79D6DEF8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54</Pages>
  <Words>17850</Words>
  <Characters>98177</Characters>
  <Application>Microsoft Office Word</Application>
  <DocSecurity>0</DocSecurity>
  <Lines>818</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Inés Valderrama</dc:creator>
  <cp:keywords/>
  <dc:description/>
  <cp:lastModifiedBy>Inés Valderrama</cp:lastModifiedBy>
  <cp:revision>20</cp:revision>
  <cp:lastPrinted>2023-06-12T09:37:00Z</cp:lastPrinted>
  <dcterms:created xsi:type="dcterms:W3CDTF">2023-06-12T07:52:00Z</dcterms:created>
  <dcterms:modified xsi:type="dcterms:W3CDTF">2023-06-12T09:38:00Z</dcterms:modified>
</cp:coreProperties>
</file>