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047B36" w:rsidRPr="00047B36" w:rsidRDefault="00047B36" w:rsidP="00047B36">
      <w:pPr>
        <w:pStyle w:val="Ttulo1"/>
        <w:rPr>
          <w:rFonts w:ascii="Tw Cen MT" w:hAnsi="Tw Cen MT" w:cs="Arial"/>
          <w:bCs/>
          <w:color w:val="333333"/>
          <w:sz w:val="22"/>
          <w:szCs w:val="22"/>
          <w:lang w:val="en-US"/>
        </w:rPr>
      </w:pPr>
      <w:r w:rsidRPr="00047B36">
        <w:rPr>
          <w:rStyle w:val="nlmarticle-title"/>
          <w:rFonts w:ascii="Tw Cen MT" w:hAnsi="Tw Cen MT" w:cs="Arial"/>
          <w:color w:val="333333"/>
          <w:sz w:val="22"/>
          <w:szCs w:val="22"/>
          <w:lang w:val="en-US"/>
        </w:rPr>
        <w:t>Is It Worth Getting Labeled? The Case of MSC-Certified Seafood</w:t>
      </w:r>
    </w:p>
    <w:p w:rsidR="00047B36" w:rsidRPr="00047B36" w:rsidRDefault="00047B36" w:rsidP="00047B36">
      <w:pPr>
        <w:rPr>
          <w:rFonts w:ascii="Tw Cen MT" w:hAnsi="Tw Cen MT" w:cs="Arial"/>
          <w:color w:val="333333"/>
        </w:rPr>
      </w:pPr>
      <w:hyperlink r:id="rId8" w:history="1">
        <w:r w:rsidRPr="00047B36">
          <w:rPr>
            <w:rStyle w:val="Hipervnculo"/>
            <w:rFonts w:ascii="Tw Cen MT" w:hAnsi="Tw Cen MT" w:cs="Arial"/>
            <w:color w:val="10147E"/>
          </w:rPr>
          <w:t xml:space="preserve">Carlos </w:t>
        </w:r>
        <w:proofErr w:type="spellStart"/>
        <w:r w:rsidRPr="00047B36">
          <w:rPr>
            <w:rStyle w:val="Hipervnculo"/>
            <w:rFonts w:ascii="Tw Cen MT" w:hAnsi="Tw Cen MT" w:cs="Arial"/>
            <w:color w:val="10147E"/>
          </w:rPr>
          <w:t>Martinez</w:t>
        </w:r>
        <w:proofErr w:type="spellEnd"/>
        <w:r w:rsidRPr="00047B36">
          <w:rPr>
            <w:rStyle w:val="Hipervnculo"/>
            <w:rFonts w:ascii="Tw Cen MT" w:hAnsi="Tw Cen MT" w:cs="Arial"/>
            <w:color w:val="10147E"/>
          </w:rPr>
          <w:t>-de-</w:t>
        </w:r>
        <w:proofErr w:type="spellStart"/>
        <w:r w:rsidRPr="00047B36">
          <w:rPr>
            <w:rStyle w:val="Hipervnculo"/>
            <w:rFonts w:ascii="Tw Cen MT" w:hAnsi="Tw Cen MT" w:cs="Arial"/>
            <w:color w:val="10147E"/>
          </w:rPr>
          <w:t>Ibarreta</w:t>
        </w:r>
        <w:proofErr w:type="spellEnd"/>
      </w:hyperlink>
      <w:r w:rsidRPr="00047B36">
        <w:rPr>
          <w:rStyle w:val="apple-converted-space"/>
          <w:rFonts w:ascii="Tw Cen MT" w:hAnsi="Tw Cen MT" w:cs="Arial"/>
          <w:color w:val="333333"/>
        </w:rPr>
        <w:t> </w:t>
      </w:r>
      <w:r w:rsidRPr="00047B36">
        <w:rPr>
          <w:rStyle w:val="contribdegrees"/>
          <w:rFonts w:ascii="Tw Cen MT" w:hAnsi="Tw Cen MT" w:cs="Arial"/>
          <w:color w:val="333333"/>
        </w:rPr>
        <w:t>&amp;</w:t>
      </w:r>
      <w:r w:rsidRPr="00047B36">
        <w:rPr>
          <w:rStyle w:val="apple-converted-space"/>
          <w:rFonts w:ascii="Tw Cen MT" w:hAnsi="Tw Cen MT" w:cs="Arial"/>
          <w:color w:val="333333"/>
        </w:rPr>
        <w:t> </w:t>
      </w:r>
      <w:hyperlink r:id="rId9" w:history="1">
        <w:r w:rsidRPr="00047B36">
          <w:rPr>
            <w:rStyle w:val="Hipervnculo"/>
            <w:rFonts w:ascii="Tw Cen MT" w:hAnsi="Tw Cen MT" w:cs="Arial"/>
            <w:b/>
            <w:bCs/>
            <w:color w:val="10147E"/>
          </w:rPr>
          <w:t>Carmen Valor</w:t>
        </w:r>
      </w:hyperlink>
    </w:p>
    <w:p w:rsidR="00047B36" w:rsidRPr="00047B36" w:rsidRDefault="00047B36" w:rsidP="00047B36">
      <w:pPr>
        <w:spacing w:line="312" w:lineRule="atLeast"/>
        <w:rPr>
          <w:rFonts w:ascii="Tw Cen MT" w:hAnsi="Tw Cen MT" w:cs="Arial"/>
          <w:color w:val="333333"/>
          <w:lang w:val="en-US"/>
        </w:rPr>
      </w:pPr>
      <w:r w:rsidRPr="00047B36">
        <w:rPr>
          <w:rFonts w:ascii="Tw Cen MT" w:hAnsi="Tw Cen MT" w:cs="Arial"/>
          <w:color w:val="777777"/>
          <w:lang w:val="en-US"/>
        </w:rPr>
        <w:t>Pages 1-19 | Published online: 07 Apr 2017</w:t>
      </w:r>
      <w:r w:rsidRPr="00047B36">
        <w:rPr>
          <w:rFonts w:ascii="Tw Cen MT" w:hAnsi="Tw Cen MT" w:cs="Arial"/>
          <w:color w:val="777777"/>
          <w:lang w:val="en-US"/>
        </w:rPr>
        <w:t xml:space="preserve"> </w:t>
      </w:r>
      <w:hyperlink r:id="rId10" w:history="1">
        <w:r w:rsidRPr="00047B36">
          <w:rPr>
            <w:rStyle w:val="Hipervnculo"/>
            <w:rFonts w:ascii="Tw Cen MT" w:hAnsi="Tw Cen MT" w:cs="Arial"/>
            <w:color w:val="006DB4"/>
            <w:lang w:val="en-US"/>
          </w:rPr>
          <w:t>http://dx.doi.org/10.1080/08974438.2017.130365</w:t>
        </w:r>
      </w:hyperlink>
    </w:p>
    <w:p w:rsidR="000642F5" w:rsidRPr="00047B36" w:rsidRDefault="00047B36" w:rsidP="00727FE8">
      <w:pPr>
        <w:spacing w:after="0" w:line="360" w:lineRule="auto"/>
        <w:jc w:val="both"/>
        <w:rPr>
          <w:rFonts w:ascii="Tw Cen MT" w:hAnsi="Tw Cen MT"/>
          <w:lang w:val="en-US"/>
        </w:rPr>
      </w:pPr>
      <w:r w:rsidRPr="00047B36">
        <w:rPr>
          <w:rFonts w:ascii="Tw Cen MT" w:hAnsi="Tw Cen MT"/>
          <w:lang w:val="en-US"/>
        </w:rPr>
        <w:t xml:space="preserve">Access to full paper in </w:t>
      </w:r>
      <w:bookmarkStart w:id="0" w:name="_GoBack"/>
      <w:r w:rsidRPr="00047B36">
        <w:rPr>
          <w:rFonts w:ascii="Tw Cen MT" w:hAnsi="Tw Cen MT"/>
          <w:lang w:val="en-US"/>
        </w:rPr>
        <w:t>http://www.tandfonline.com/doi/full/10.1080/08974438.2017.1303657?scroll=top&amp;needAcc</w:t>
      </w:r>
      <w:bookmarkEnd w:id="0"/>
      <w:r w:rsidRPr="00047B36">
        <w:rPr>
          <w:rFonts w:ascii="Tw Cen MT" w:hAnsi="Tw Cen MT"/>
          <w:lang w:val="en-US"/>
        </w:rPr>
        <w:t>ess=true</w:t>
      </w:r>
    </w:p>
    <w:p w:rsidR="000642F5" w:rsidRPr="00047B36" w:rsidRDefault="004C5121" w:rsidP="00727FE8">
      <w:pPr>
        <w:spacing w:after="0" w:line="360" w:lineRule="auto"/>
        <w:jc w:val="both"/>
        <w:rPr>
          <w:rFonts w:ascii="Tw Cen MT" w:hAnsi="Tw Cen MT"/>
          <w:lang w:val="en-US"/>
        </w:rPr>
      </w:pPr>
      <w:r w:rsidRPr="00047B36">
        <w:rPr>
          <w:rFonts w:ascii="Tw Cen MT" w:eastAsia="Arial" w:hAnsi="Tw Cen MT" w:cs="Arial"/>
          <w:b/>
          <w:lang w:val="en-US"/>
        </w:rPr>
        <w:t>Abstract</w:t>
      </w:r>
    </w:p>
    <w:p w:rsidR="000642F5" w:rsidRPr="00047B36" w:rsidRDefault="004C5121" w:rsidP="00727FE8">
      <w:pPr>
        <w:spacing w:after="0" w:line="360" w:lineRule="auto"/>
        <w:jc w:val="both"/>
        <w:rPr>
          <w:rFonts w:ascii="Tw Cen MT" w:hAnsi="Tw Cen MT"/>
          <w:lang w:val="en-US"/>
        </w:rPr>
      </w:pPr>
      <w:r w:rsidRPr="00047B36">
        <w:rPr>
          <w:rFonts w:ascii="Tw Cen MT" w:eastAsia="Arial" w:hAnsi="Tw Cen MT" w:cs="Arial"/>
          <w:lang w:val="en-US"/>
        </w:rPr>
        <w:t xml:space="preserve">Whereas much research has examined consumers’ attitudes towards eco-labels, there is a lack of research examining whether niche eco-labels give a competitive advantage in consumer markets. This paper aims to fill this gap by exploring the four conditions of market success (evidence of price premiums, market share, access to retailers, and elasticities) established in the literature. Three varieties of MSC-certified fish are studied, by using panel data obtained from the Nielsen retailers’ panel. Differences are observed across the three varieties which leads to the following conclusions: MSC-labelled products do not systematically sell at a premium; price has an inelastic effect on the demand of certified national brands, but increased distribution has a very elastic effect on demand; and MSC labelled products do not experience seasonal effects. Overall, the paper concludes that the consumer market is responding </w:t>
      </w:r>
      <w:proofErr w:type="spellStart"/>
      <w:r w:rsidRPr="00047B36">
        <w:rPr>
          <w:rFonts w:ascii="Tw Cen MT" w:eastAsia="Arial" w:hAnsi="Tw Cen MT" w:cs="Arial"/>
          <w:lang w:val="en-US"/>
        </w:rPr>
        <w:t>favourably</w:t>
      </w:r>
      <w:proofErr w:type="spellEnd"/>
      <w:r w:rsidRPr="00047B36">
        <w:rPr>
          <w:rFonts w:ascii="Tw Cen MT" w:eastAsia="Arial" w:hAnsi="Tw Cen MT" w:cs="Arial"/>
          <w:lang w:val="en-US"/>
        </w:rPr>
        <w:t xml:space="preserve"> to the label but eco fish is in an introductory stage. Price premiums vary across species and across brands; the retailer’s brand is playing a prominent role. </w:t>
      </w:r>
    </w:p>
    <w:p w:rsidR="000642F5" w:rsidRPr="00047B36" w:rsidRDefault="004C5121" w:rsidP="00727FE8">
      <w:pPr>
        <w:spacing w:line="360" w:lineRule="auto"/>
        <w:rPr>
          <w:rFonts w:ascii="Tw Cen MT" w:hAnsi="Tw Cen MT"/>
          <w:lang w:val="en-US"/>
        </w:rPr>
      </w:pPr>
      <w:r w:rsidRPr="00047B36">
        <w:rPr>
          <w:rFonts w:ascii="Tw Cen MT" w:hAnsi="Tw Cen MT"/>
          <w:lang w:val="en-US"/>
        </w:rPr>
        <w:br w:type="page"/>
      </w:r>
    </w:p>
    <w:p w:rsidR="000642F5" w:rsidRPr="00047B36" w:rsidRDefault="000642F5" w:rsidP="00727FE8">
      <w:pPr>
        <w:spacing w:line="360" w:lineRule="auto"/>
        <w:rPr>
          <w:rFonts w:ascii="Tw Cen MT" w:hAnsi="Tw Cen MT"/>
          <w:lang w:val="en-US"/>
        </w:rPr>
      </w:pPr>
    </w:p>
    <w:p w:rsidR="000642F5" w:rsidRPr="00047B36" w:rsidRDefault="000642F5" w:rsidP="00727FE8">
      <w:pPr>
        <w:spacing w:after="0" w:line="360" w:lineRule="auto"/>
        <w:jc w:val="both"/>
        <w:rPr>
          <w:rFonts w:ascii="Tw Cen MT" w:hAnsi="Tw Cen MT"/>
          <w:lang w:val="en-US"/>
        </w:rPr>
      </w:pPr>
    </w:p>
    <w:p w:rsidR="000642F5" w:rsidRPr="00047B36" w:rsidRDefault="004C5121" w:rsidP="00727FE8">
      <w:pPr>
        <w:numPr>
          <w:ilvl w:val="0"/>
          <w:numId w:val="1"/>
        </w:numPr>
        <w:spacing w:after="0" w:line="360" w:lineRule="auto"/>
        <w:ind w:hanging="360"/>
        <w:contextualSpacing/>
        <w:rPr>
          <w:rFonts w:ascii="Tw Cen MT" w:eastAsia="Arial" w:hAnsi="Tw Cen MT" w:cs="Arial"/>
          <w:b/>
        </w:rPr>
      </w:pPr>
      <w:proofErr w:type="spellStart"/>
      <w:r w:rsidRPr="00047B36">
        <w:rPr>
          <w:rFonts w:ascii="Tw Cen MT" w:eastAsia="Arial" w:hAnsi="Tw Cen MT" w:cs="Arial"/>
          <w:b/>
        </w:rPr>
        <w:t>Introduction</w:t>
      </w:r>
      <w:proofErr w:type="spellEnd"/>
    </w:p>
    <w:p w:rsidR="000642F5" w:rsidRPr="00047B36" w:rsidRDefault="004C5121" w:rsidP="00727FE8">
      <w:pPr>
        <w:spacing w:after="0" w:line="360" w:lineRule="auto"/>
        <w:jc w:val="both"/>
        <w:rPr>
          <w:rFonts w:ascii="Tw Cen MT" w:hAnsi="Tw Cen MT"/>
          <w:lang w:val="en-US"/>
        </w:rPr>
      </w:pPr>
      <w:r w:rsidRPr="00047B36">
        <w:rPr>
          <w:rFonts w:ascii="Tw Cen MT" w:eastAsia="Arial" w:hAnsi="Tw Cen MT" w:cs="Arial"/>
          <w:lang w:val="en-US"/>
        </w:rPr>
        <w:t xml:space="preserve">The growing trend for market-based regulation in the food industry has led to widespread use of ecolabels or third-party certification. There are different types of labels in the food domain: generalist, such as organic that is usually found in grains, vegetables, eggs, and meat; and niche labels that are only found in one type of product (e.g. fish). Niche labels have rarely been object of research. </w:t>
      </w:r>
    </w:p>
    <w:p w:rsidR="000642F5" w:rsidRPr="00047B36" w:rsidRDefault="004C5121" w:rsidP="00727FE8">
      <w:pPr>
        <w:spacing w:after="0" w:line="360" w:lineRule="auto"/>
        <w:jc w:val="both"/>
        <w:rPr>
          <w:rFonts w:ascii="Tw Cen MT" w:hAnsi="Tw Cen MT"/>
          <w:lang w:val="en-US"/>
        </w:rPr>
      </w:pPr>
      <w:r w:rsidRPr="00047B36">
        <w:rPr>
          <w:rFonts w:ascii="Tw Cen MT" w:eastAsia="Arial" w:hAnsi="Tw Cen MT" w:cs="Arial"/>
          <w:lang w:val="en-US"/>
        </w:rPr>
        <w:t>Labels have a twofold goal. First, labels are a management system for ensuring environmental protection. Second, they are an instrument which shapes demand (</w:t>
      </w:r>
      <w:proofErr w:type="spellStart"/>
      <w:r w:rsidRPr="00047B36">
        <w:rPr>
          <w:rFonts w:ascii="Tw Cen MT" w:eastAsia="Arial" w:hAnsi="Tw Cen MT" w:cs="Arial"/>
          <w:lang w:val="en-US"/>
        </w:rPr>
        <w:t>Kvalvik</w:t>
      </w:r>
      <w:proofErr w:type="spellEnd"/>
      <w:r w:rsidRPr="00047B36">
        <w:rPr>
          <w:rFonts w:ascii="Tw Cen MT" w:eastAsia="Arial" w:hAnsi="Tw Cen MT" w:cs="Arial"/>
          <w:lang w:val="en-US"/>
        </w:rPr>
        <w:t xml:space="preserve"> et al., 2014): they give information about an environmental attribute or communicate the environmental performance of the product and also act as an aide-memoire thus allowing willing consumers to purchase the labeled brands. </w:t>
      </w:r>
    </w:p>
    <w:p w:rsidR="000642F5" w:rsidRPr="00047B36" w:rsidRDefault="004C5121" w:rsidP="00727FE8">
      <w:pPr>
        <w:spacing w:after="0" w:line="360" w:lineRule="auto"/>
        <w:jc w:val="both"/>
        <w:rPr>
          <w:rFonts w:ascii="Tw Cen MT" w:hAnsi="Tw Cen MT"/>
          <w:lang w:val="en-US"/>
        </w:rPr>
      </w:pPr>
      <w:r w:rsidRPr="00047B36">
        <w:rPr>
          <w:rFonts w:ascii="Tw Cen MT" w:eastAsia="Arial" w:hAnsi="Tw Cen MT" w:cs="Arial"/>
          <w:lang w:val="en-US"/>
        </w:rPr>
        <w:t xml:space="preserve">This research is positioned in the second type and focuses on a niche label for seafood: Marine Stewardship Council (MSC). This label is a quasi-monopoly in the product category (for a description of MSC, see </w:t>
      </w:r>
      <w:proofErr w:type="spellStart"/>
      <w:r w:rsidRPr="00047B36">
        <w:rPr>
          <w:rFonts w:ascii="Tw Cen MT" w:eastAsia="Arial" w:hAnsi="Tw Cen MT" w:cs="Arial"/>
          <w:lang w:val="en-US"/>
        </w:rPr>
        <w:t>Roheim</w:t>
      </w:r>
      <w:proofErr w:type="spellEnd"/>
      <w:r w:rsidRPr="00047B36">
        <w:rPr>
          <w:rFonts w:ascii="Tw Cen MT" w:eastAsia="Arial" w:hAnsi="Tw Cen MT" w:cs="Arial"/>
          <w:lang w:val="en-US"/>
        </w:rPr>
        <w:t xml:space="preserve">, 2003). </w:t>
      </w:r>
    </w:p>
    <w:p w:rsidR="000642F5" w:rsidRPr="00047B36" w:rsidRDefault="004C5121" w:rsidP="00727FE8">
      <w:pPr>
        <w:spacing w:after="0" w:line="360" w:lineRule="auto"/>
        <w:jc w:val="both"/>
        <w:rPr>
          <w:rFonts w:ascii="Tw Cen MT" w:hAnsi="Tw Cen MT"/>
          <w:lang w:val="en-US"/>
        </w:rPr>
      </w:pPr>
      <w:r w:rsidRPr="00047B36">
        <w:rPr>
          <w:rFonts w:ascii="Tw Cen MT" w:eastAsia="Arial" w:hAnsi="Tw Cen MT" w:cs="Arial"/>
          <w:lang w:val="en-US"/>
        </w:rPr>
        <w:t>Findings vis-à-vis the influence of eco-labels on consumers´ preferences for seafood products are inconsistent. Survey-based studies have found that consumers are willing to pay a premium price (</w:t>
      </w:r>
      <w:proofErr w:type="spellStart"/>
      <w:r w:rsidRPr="00047B36">
        <w:rPr>
          <w:rFonts w:ascii="Tw Cen MT" w:eastAsia="Arial" w:hAnsi="Tw Cen MT" w:cs="Arial"/>
          <w:lang w:val="en-US"/>
        </w:rPr>
        <w:t>Jaffry</w:t>
      </w:r>
      <w:proofErr w:type="spellEnd"/>
      <w:r w:rsidRPr="00047B36">
        <w:rPr>
          <w:rFonts w:ascii="Tw Cen MT" w:eastAsia="Arial" w:hAnsi="Tw Cen MT" w:cs="Arial"/>
          <w:lang w:val="en-US"/>
        </w:rPr>
        <w:t xml:space="preserve"> et al., 2004; </w:t>
      </w:r>
      <w:proofErr w:type="spellStart"/>
      <w:r w:rsidRPr="00047B36">
        <w:rPr>
          <w:rFonts w:ascii="Tw Cen MT" w:eastAsia="Arial" w:hAnsi="Tw Cen MT" w:cs="Arial"/>
          <w:lang w:val="en-US"/>
        </w:rPr>
        <w:t>Roheim</w:t>
      </w:r>
      <w:proofErr w:type="spellEnd"/>
      <w:r w:rsidRPr="00047B36">
        <w:rPr>
          <w:rFonts w:ascii="Tw Cen MT" w:eastAsia="Arial" w:hAnsi="Tw Cen MT" w:cs="Arial"/>
          <w:lang w:val="en-US"/>
        </w:rPr>
        <w:t xml:space="preserve"> et al., 2011; </w:t>
      </w:r>
      <w:proofErr w:type="spellStart"/>
      <w:r w:rsidRPr="00047B36">
        <w:rPr>
          <w:rFonts w:ascii="Tw Cen MT" w:eastAsia="Arial" w:hAnsi="Tw Cen MT" w:cs="Arial"/>
          <w:lang w:val="en-US"/>
        </w:rPr>
        <w:t>Witkin</w:t>
      </w:r>
      <w:proofErr w:type="spellEnd"/>
      <w:r w:rsidRPr="00047B36">
        <w:rPr>
          <w:rFonts w:ascii="Tw Cen MT" w:eastAsia="Arial" w:hAnsi="Tw Cen MT" w:cs="Arial"/>
          <w:lang w:val="en-US"/>
        </w:rPr>
        <w:t xml:space="preserve"> et al., 2015), which was later confirmed by a British study of Alaska </w:t>
      </w:r>
      <w:proofErr w:type="spellStart"/>
      <w:r w:rsidRPr="00047B36">
        <w:rPr>
          <w:rFonts w:ascii="Tw Cen MT" w:eastAsia="Arial" w:hAnsi="Tw Cen MT" w:cs="Arial"/>
          <w:lang w:val="en-US"/>
        </w:rPr>
        <w:t>pollock</w:t>
      </w:r>
      <w:proofErr w:type="spellEnd"/>
      <w:r w:rsidRPr="00047B36">
        <w:rPr>
          <w:rFonts w:ascii="Tw Cen MT" w:eastAsia="Arial" w:hAnsi="Tw Cen MT" w:cs="Arial"/>
          <w:lang w:val="en-US"/>
        </w:rPr>
        <w:t xml:space="preserve"> based on scanner data – premium of 14% (</w:t>
      </w:r>
      <w:proofErr w:type="spellStart"/>
      <w:r w:rsidRPr="00047B36">
        <w:rPr>
          <w:rFonts w:ascii="Tw Cen MT" w:eastAsia="Arial" w:hAnsi="Tw Cen MT" w:cs="Arial"/>
          <w:lang w:val="en-US"/>
        </w:rPr>
        <w:t>Roheim</w:t>
      </w:r>
      <w:proofErr w:type="spellEnd"/>
      <w:r w:rsidRPr="00047B36">
        <w:rPr>
          <w:rFonts w:ascii="Tw Cen MT" w:eastAsia="Arial" w:hAnsi="Tw Cen MT" w:cs="Arial"/>
          <w:lang w:val="en-US"/>
        </w:rPr>
        <w:t xml:space="preserve"> et al., 2011).In contrast, others cite evidence that sustainability is only a minor concern in their purchasing (</w:t>
      </w:r>
      <w:proofErr w:type="spellStart"/>
      <w:r w:rsidRPr="00047B36">
        <w:rPr>
          <w:rFonts w:ascii="Tw Cen MT" w:eastAsia="Arial" w:hAnsi="Tw Cen MT" w:cs="Arial"/>
          <w:lang w:val="en-US"/>
        </w:rPr>
        <w:t>Kvalvik</w:t>
      </w:r>
      <w:proofErr w:type="spellEnd"/>
      <w:r w:rsidRPr="00047B36">
        <w:rPr>
          <w:rFonts w:ascii="Tw Cen MT" w:eastAsia="Arial" w:hAnsi="Tw Cen MT" w:cs="Arial"/>
          <w:lang w:val="en-US"/>
        </w:rPr>
        <w:t xml:space="preserve"> et al., 2014) or that consumers will not sacrifice a favorite fish to purchase a less-favored fish that has an eco-label (</w:t>
      </w:r>
      <w:proofErr w:type="spellStart"/>
      <w:r w:rsidRPr="00047B36">
        <w:rPr>
          <w:rFonts w:ascii="Tw Cen MT" w:eastAsia="Arial" w:hAnsi="Tw Cen MT" w:cs="Arial"/>
          <w:lang w:val="en-US"/>
        </w:rPr>
        <w:t>Goyert</w:t>
      </w:r>
      <w:proofErr w:type="spellEnd"/>
      <w:r w:rsidRPr="00047B36">
        <w:rPr>
          <w:rFonts w:ascii="Tw Cen MT" w:eastAsia="Arial" w:hAnsi="Tw Cen MT" w:cs="Arial"/>
          <w:lang w:val="en-US"/>
        </w:rPr>
        <w:t xml:space="preserve"> et al., 2010; Gutierrez and Thornton, 2014). Other studies seem to confirm this as they show that eco-certified products are niche markets with market shares of less than 5% (</w:t>
      </w:r>
      <w:proofErr w:type="spellStart"/>
      <w:r w:rsidRPr="00047B36">
        <w:rPr>
          <w:rFonts w:ascii="Tw Cen MT" w:eastAsia="Arial" w:hAnsi="Tw Cen MT" w:cs="Arial"/>
          <w:lang w:val="en-US"/>
        </w:rPr>
        <w:t>Fliess</w:t>
      </w:r>
      <w:proofErr w:type="spellEnd"/>
      <w:r w:rsidRPr="00047B36">
        <w:rPr>
          <w:rFonts w:ascii="Tw Cen MT" w:eastAsia="Arial" w:hAnsi="Tw Cen MT" w:cs="Arial"/>
          <w:lang w:val="en-US"/>
        </w:rPr>
        <w:t xml:space="preserve"> et al., 2007).</w:t>
      </w:r>
    </w:p>
    <w:p w:rsidR="000642F5" w:rsidRPr="00047B36" w:rsidRDefault="004C5121" w:rsidP="00727FE8">
      <w:pPr>
        <w:spacing w:after="0" w:line="360" w:lineRule="auto"/>
        <w:jc w:val="both"/>
        <w:rPr>
          <w:rFonts w:ascii="Tw Cen MT" w:hAnsi="Tw Cen MT"/>
          <w:lang w:val="en-US"/>
        </w:rPr>
      </w:pPr>
      <w:r w:rsidRPr="00047B36">
        <w:rPr>
          <w:rFonts w:ascii="Tw Cen MT" w:eastAsia="Arial" w:hAnsi="Tw Cen MT" w:cs="Arial"/>
          <w:lang w:val="en-US"/>
        </w:rPr>
        <w:t xml:space="preserve">The limited and contradictory research about the consumers’ response to the MSC label, and sustainable fish in general, is at odds with the importance of knowledge about demand. As ecolabels are voluntary systems, fisheries will not adopt the label unless they perceive it may bring a competitive advantage. Getting the label entails a significant investment for a fishery; it is likely that fisheries will make such an effort if they reap benefits in the consumer market. Thus, it is key to know whether being certified provides a competitive advantage in the market. To our knowledge, this question has not been entirely answered. </w:t>
      </w:r>
    </w:p>
    <w:p w:rsidR="000642F5" w:rsidRPr="00047B36" w:rsidRDefault="004C5121" w:rsidP="00727FE8">
      <w:pPr>
        <w:spacing w:after="0" w:line="360" w:lineRule="auto"/>
        <w:jc w:val="both"/>
        <w:rPr>
          <w:rFonts w:ascii="Tw Cen MT" w:hAnsi="Tw Cen MT"/>
          <w:lang w:val="en-US"/>
        </w:rPr>
      </w:pPr>
      <w:r w:rsidRPr="00047B36">
        <w:rPr>
          <w:rFonts w:ascii="Tw Cen MT" w:eastAsia="Arial" w:hAnsi="Tw Cen MT" w:cs="Arial"/>
          <w:lang w:val="en-US"/>
        </w:rPr>
        <w:t xml:space="preserve">This study intends to enrich existing literature in three ways. First, by using behavioral data (actual sales), it aims to raise validity as most of the studies have used hypothetical data such as surveys or choice experiments (to our knowledge only one study has used scanner data to assess </w:t>
      </w:r>
      <w:r w:rsidRPr="00047B36">
        <w:rPr>
          <w:rFonts w:ascii="Tw Cen MT" w:eastAsia="Arial" w:hAnsi="Tw Cen MT" w:cs="Arial"/>
          <w:lang w:val="en-US"/>
        </w:rPr>
        <w:lastRenderedPageBreak/>
        <w:t xml:space="preserve">demand responses to MSC, </w:t>
      </w:r>
      <w:proofErr w:type="spellStart"/>
      <w:r w:rsidRPr="00047B36">
        <w:rPr>
          <w:rFonts w:ascii="Tw Cen MT" w:eastAsia="Arial" w:hAnsi="Tw Cen MT" w:cs="Arial"/>
          <w:lang w:val="en-US"/>
        </w:rPr>
        <w:t>Roheim</w:t>
      </w:r>
      <w:proofErr w:type="spellEnd"/>
      <w:r w:rsidRPr="00047B36">
        <w:rPr>
          <w:rFonts w:ascii="Tw Cen MT" w:eastAsia="Arial" w:hAnsi="Tw Cen MT" w:cs="Arial"/>
          <w:lang w:val="en-US"/>
        </w:rPr>
        <w:t xml:space="preserve"> et al., 2011). The validity of these methods has been questioned by researchers. </w:t>
      </w:r>
      <w:proofErr w:type="spellStart"/>
      <w:r w:rsidRPr="00047B36">
        <w:rPr>
          <w:rFonts w:ascii="Tw Cen MT" w:eastAsia="Arial" w:hAnsi="Tw Cen MT" w:cs="Arial"/>
          <w:lang w:val="en-US"/>
        </w:rPr>
        <w:t>Goyert</w:t>
      </w:r>
      <w:proofErr w:type="spellEnd"/>
      <w:r w:rsidRPr="00047B36">
        <w:rPr>
          <w:rFonts w:ascii="Tw Cen MT" w:eastAsia="Arial" w:hAnsi="Tw Cen MT" w:cs="Arial"/>
          <w:lang w:val="en-US"/>
        </w:rPr>
        <w:t xml:space="preserve"> and colleagues (2010) report the case of a supermarket that charged a premium of 10% following survey results, but their market share was cut by 50%. This shows that consumer reported data and behavioral data may be quite different.</w:t>
      </w:r>
    </w:p>
    <w:p w:rsidR="000642F5" w:rsidRPr="00047B36" w:rsidRDefault="004C5121" w:rsidP="00727FE8">
      <w:pPr>
        <w:spacing w:after="0" w:line="360" w:lineRule="auto"/>
        <w:jc w:val="both"/>
        <w:rPr>
          <w:rFonts w:ascii="Tw Cen MT" w:hAnsi="Tw Cen MT"/>
          <w:lang w:val="en-US"/>
        </w:rPr>
      </w:pPr>
      <w:r w:rsidRPr="00047B36">
        <w:rPr>
          <w:rFonts w:ascii="Tw Cen MT" w:eastAsia="Arial" w:hAnsi="Tw Cen MT" w:cs="Arial"/>
          <w:lang w:val="en-US"/>
        </w:rPr>
        <w:t>Second, existing research has been conducted in countries where eco-certified fish reaches market shares higher than the average for eco-certified goods (</w:t>
      </w:r>
      <w:proofErr w:type="spellStart"/>
      <w:r w:rsidRPr="00047B36">
        <w:rPr>
          <w:rFonts w:ascii="Tw Cen MT" w:eastAsia="Arial" w:hAnsi="Tw Cen MT" w:cs="Arial"/>
          <w:lang w:val="en-US"/>
        </w:rPr>
        <w:t>Fliess</w:t>
      </w:r>
      <w:proofErr w:type="spellEnd"/>
      <w:r w:rsidRPr="00047B36">
        <w:rPr>
          <w:rFonts w:ascii="Tw Cen MT" w:eastAsia="Arial" w:hAnsi="Tw Cen MT" w:cs="Arial"/>
          <w:lang w:val="en-US"/>
        </w:rPr>
        <w:t xml:space="preserve"> et al., 2007). Sales of such goods in these countries may lead to misleading conclusion that eco-labelled products are successful, when the actual case may be that these countries are the exceptions rather than the rule. Therefore, to correctly assess whether eco-labels provide a competitive advantage, it is necessary to present evidence from other countries as consumers’ responses vary across countries (Johnston et al., 2001). In Spain, the willingness to buy eco-certified fish is strong (91%) (WWF, 2011) but use of eco-labels is still marginal, which is the situation faced by many countries. By focusing on a country where penetration of labels is closer to averages, validity of findings will increase as findings are replicated across the population and could provide insights for markets where eco-labels are at the introductory stage. </w:t>
      </w:r>
    </w:p>
    <w:p w:rsidR="000642F5" w:rsidRPr="00047B36" w:rsidRDefault="004C5121" w:rsidP="00727FE8">
      <w:pPr>
        <w:spacing w:after="0" w:line="360" w:lineRule="auto"/>
        <w:jc w:val="both"/>
        <w:rPr>
          <w:rFonts w:ascii="Tw Cen MT" w:hAnsi="Tw Cen MT"/>
          <w:lang w:val="en-US"/>
        </w:rPr>
      </w:pPr>
      <w:r w:rsidRPr="00047B36">
        <w:rPr>
          <w:rFonts w:ascii="Tw Cen MT" w:eastAsia="Arial" w:hAnsi="Tw Cen MT" w:cs="Arial"/>
          <w:lang w:val="en-US"/>
        </w:rPr>
        <w:t xml:space="preserve">Third, as previous studies have found that preferences vary inter-species (Johnston et al., 2001), this study presents results of three products (hake, cod, and processed hake) to examine whether demand reacts differently in each case. </w:t>
      </w:r>
    </w:p>
    <w:p w:rsidR="000642F5" w:rsidRPr="00047B36" w:rsidRDefault="004C5121" w:rsidP="00727FE8">
      <w:pPr>
        <w:spacing w:after="0" w:line="360" w:lineRule="auto"/>
        <w:jc w:val="both"/>
        <w:rPr>
          <w:rFonts w:ascii="Tw Cen MT" w:hAnsi="Tw Cen MT"/>
          <w:lang w:val="en-US"/>
        </w:rPr>
      </w:pPr>
      <w:r w:rsidRPr="00047B36">
        <w:rPr>
          <w:rFonts w:ascii="Tw Cen MT" w:eastAsia="Arial" w:hAnsi="Tw Cen MT" w:cs="Arial"/>
          <w:b/>
          <w:lang w:val="en-US"/>
        </w:rPr>
        <w:t>2. Studies on demand for sustainable fish</w:t>
      </w:r>
    </w:p>
    <w:p w:rsidR="000642F5" w:rsidRPr="00047B36" w:rsidRDefault="004C5121" w:rsidP="00727FE8">
      <w:pPr>
        <w:spacing w:after="0" w:line="360" w:lineRule="auto"/>
        <w:jc w:val="both"/>
        <w:rPr>
          <w:rFonts w:ascii="Tw Cen MT" w:hAnsi="Tw Cen MT"/>
          <w:lang w:val="en-US"/>
        </w:rPr>
      </w:pPr>
      <w:r w:rsidRPr="00047B36">
        <w:rPr>
          <w:rFonts w:ascii="Tw Cen MT" w:eastAsia="Arial" w:hAnsi="Tw Cen MT" w:cs="Arial"/>
          <w:lang w:val="en-US"/>
        </w:rPr>
        <w:t>Few studies have examined demand for MSC or other sustainable labels in the fish industry. Existing studies have examined two issues: whether consumers have a preference for sustainable seafood (</w:t>
      </w:r>
      <w:proofErr w:type="spellStart"/>
      <w:r w:rsidRPr="00047B36">
        <w:rPr>
          <w:rFonts w:ascii="Tw Cen MT" w:eastAsia="Arial" w:hAnsi="Tw Cen MT" w:cs="Arial"/>
          <w:lang w:val="en-US"/>
        </w:rPr>
        <w:t>Jaffry</w:t>
      </w:r>
      <w:proofErr w:type="spellEnd"/>
      <w:r w:rsidRPr="00047B36">
        <w:rPr>
          <w:rFonts w:ascii="Tw Cen MT" w:eastAsia="Arial" w:hAnsi="Tw Cen MT" w:cs="Arial"/>
          <w:lang w:val="en-US"/>
        </w:rPr>
        <w:t xml:space="preserve"> et al., 2004; Johnston et al., 2001; Uchida et al., 2014), what the profile of “green fish” buyer looks like (</w:t>
      </w:r>
      <w:proofErr w:type="spellStart"/>
      <w:r w:rsidRPr="00047B36">
        <w:rPr>
          <w:rFonts w:ascii="Tw Cen MT" w:eastAsia="Arial" w:hAnsi="Tw Cen MT" w:cs="Arial"/>
          <w:lang w:val="en-US"/>
        </w:rPr>
        <w:t>Brécard</w:t>
      </w:r>
      <w:proofErr w:type="spellEnd"/>
      <w:r w:rsidRPr="00047B36">
        <w:rPr>
          <w:rFonts w:ascii="Tw Cen MT" w:eastAsia="Arial" w:hAnsi="Tw Cen MT" w:cs="Arial"/>
          <w:lang w:val="en-US"/>
        </w:rPr>
        <w:t xml:space="preserve"> et al., 2009) and how much more they are willing to pay for this attribute (Johnston et al., 2001; </w:t>
      </w:r>
      <w:proofErr w:type="spellStart"/>
      <w:r w:rsidRPr="00047B36">
        <w:rPr>
          <w:rFonts w:ascii="Tw Cen MT" w:eastAsia="Arial" w:hAnsi="Tw Cen MT" w:cs="Arial"/>
          <w:lang w:val="en-US"/>
        </w:rPr>
        <w:t>Roheim</w:t>
      </w:r>
      <w:proofErr w:type="spellEnd"/>
      <w:r w:rsidRPr="00047B36">
        <w:rPr>
          <w:rFonts w:ascii="Tw Cen MT" w:eastAsia="Arial" w:hAnsi="Tw Cen MT" w:cs="Arial"/>
          <w:lang w:val="en-US"/>
        </w:rPr>
        <w:t xml:space="preserve"> et al., 2011; Uchida et al., 2014). </w:t>
      </w:r>
    </w:p>
    <w:p w:rsidR="000642F5" w:rsidRPr="00047B36" w:rsidRDefault="004C5121" w:rsidP="00727FE8">
      <w:pPr>
        <w:spacing w:after="0" w:line="360" w:lineRule="auto"/>
        <w:jc w:val="both"/>
        <w:rPr>
          <w:rFonts w:ascii="Tw Cen MT" w:hAnsi="Tw Cen MT"/>
          <w:lang w:val="en-US"/>
        </w:rPr>
      </w:pPr>
      <w:r w:rsidRPr="00047B36">
        <w:rPr>
          <w:rFonts w:ascii="Tw Cen MT" w:eastAsia="Arial" w:hAnsi="Tw Cen MT" w:cs="Arial"/>
          <w:b/>
          <w:lang w:val="en-US"/>
        </w:rPr>
        <w:t>2.1. Consumers´ preferences for sustainable fish</w:t>
      </w:r>
    </w:p>
    <w:p w:rsidR="000642F5" w:rsidRPr="00047B36" w:rsidRDefault="004C5121" w:rsidP="00727FE8">
      <w:pPr>
        <w:spacing w:after="0" w:line="360" w:lineRule="auto"/>
        <w:jc w:val="both"/>
        <w:rPr>
          <w:rFonts w:ascii="Tw Cen MT" w:hAnsi="Tw Cen MT"/>
          <w:lang w:val="en-US"/>
        </w:rPr>
      </w:pPr>
      <w:r w:rsidRPr="00047B36">
        <w:rPr>
          <w:rFonts w:ascii="Tw Cen MT" w:eastAsia="Arial" w:hAnsi="Tw Cen MT" w:cs="Arial"/>
          <w:lang w:val="en-US"/>
        </w:rPr>
        <w:t>Academic research about consumers´ preferences for sustainable fish is scant. According to an article featured in The Telegraph in 2011 (The Telegraph, 2011), across Europe 88% of people would support fish coming from sustainable sources and 78 per cent of people across the 14 EU countries polled wanted to see the fisheries policy reformed. A previous survey (Seafood Choices Alliance, 2005) found that purchases of seafood by European consumers were driven largely by quality considerations, but 79% report that environmental considerations are also important, even more important than price or convenience. 86% of consumers declare they would be more likely to buy seafood labeled as environmentally friendly. The average price premium supported is 10%; 25% of consumers are willing to pay 10% more.</w:t>
      </w:r>
    </w:p>
    <w:p w:rsidR="000642F5" w:rsidRPr="00047B36" w:rsidRDefault="004C5121" w:rsidP="00727FE8">
      <w:pPr>
        <w:spacing w:after="0" w:line="360" w:lineRule="auto"/>
        <w:jc w:val="both"/>
        <w:rPr>
          <w:rFonts w:ascii="Tw Cen MT" w:hAnsi="Tw Cen MT"/>
          <w:lang w:val="en-US"/>
        </w:rPr>
      </w:pPr>
      <w:r w:rsidRPr="00047B36">
        <w:rPr>
          <w:rFonts w:ascii="Tw Cen MT" w:eastAsia="Arial" w:hAnsi="Tw Cen MT" w:cs="Arial"/>
          <w:lang w:val="en-US"/>
        </w:rPr>
        <w:lastRenderedPageBreak/>
        <w:t>In Spain the willingness to buy eco-certified fish is even stronger (91%) (WWF, 2011). However, this result should be handled with caution. A four-country study of sustainability and food (</w:t>
      </w:r>
      <w:proofErr w:type="spellStart"/>
      <w:r w:rsidRPr="00047B36">
        <w:rPr>
          <w:rFonts w:ascii="Tw Cen MT" w:eastAsia="Arial" w:hAnsi="Tw Cen MT" w:cs="Arial"/>
          <w:lang w:val="en-US"/>
        </w:rPr>
        <w:t>Grunert</w:t>
      </w:r>
      <w:proofErr w:type="spellEnd"/>
      <w:r w:rsidRPr="00047B36">
        <w:rPr>
          <w:rFonts w:ascii="Tw Cen MT" w:eastAsia="Arial" w:hAnsi="Tw Cen MT" w:cs="Arial"/>
          <w:lang w:val="en-US"/>
        </w:rPr>
        <w:t xml:space="preserve"> et al., 2014) found that Spanish consumers exhibited the highest level of concern of the four studied countries; yet, use of sustainable labels was rather low. </w:t>
      </w:r>
    </w:p>
    <w:p w:rsidR="000642F5" w:rsidRPr="00047B36" w:rsidRDefault="004C5121" w:rsidP="00727FE8">
      <w:pPr>
        <w:spacing w:after="0" w:line="360" w:lineRule="auto"/>
        <w:jc w:val="both"/>
        <w:rPr>
          <w:rFonts w:ascii="Tw Cen MT" w:hAnsi="Tw Cen MT"/>
          <w:lang w:val="en-US"/>
        </w:rPr>
      </w:pPr>
      <w:r w:rsidRPr="00047B36">
        <w:rPr>
          <w:rFonts w:ascii="Tw Cen MT" w:eastAsia="Arial" w:hAnsi="Tw Cen MT" w:cs="Arial"/>
          <w:lang w:val="en-US"/>
        </w:rPr>
        <w:t xml:space="preserve">Choice experiments also reveal a preference for sustainable fish. Yet, this preference is affected by other factors, such as the type of species </w:t>
      </w:r>
      <w:r w:rsidRPr="00047B36">
        <w:rPr>
          <w:rFonts w:ascii="Tw Cen MT" w:eastAsia="Arial" w:hAnsi="Tw Cen MT" w:cs="Arial"/>
          <w:highlight w:val="white"/>
          <w:lang w:val="en-US"/>
        </w:rPr>
        <w:t>(Johnston et al., 2001)</w:t>
      </w:r>
      <w:r w:rsidRPr="00047B36">
        <w:rPr>
          <w:rFonts w:ascii="Tw Cen MT" w:eastAsia="Arial" w:hAnsi="Tw Cen MT" w:cs="Arial"/>
          <w:lang w:val="en-US"/>
        </w:rPr>
        <w:t xml:space="preserve"> or the knowledge about fish stocks (Uchida et al., 2014)</w:t>
      </w:r>
    </w:p>
    <w:p w:rsidR="000642F5" w:rsidRPr="00047B36" w:rsidRDefault="004C5121" w:rsidP="00727FE8">
      <w:pPr>
        <w:spacing w:after="0" w:line="360" w:lineRule="auto"/>
        <w:jc w:val="both"/>
        <w:rPr>
          <w:rFonts w:ascii="Tw Cen MT" w:hAnsi="Tw Cen MT"/>
          <w:lang w:val="en-US"/>
        </w:rPr>
      </w:pPr>
      <w:r w:rsidRPr="00047B36">
        <w:rPr>
          <w:rFonts w:ascii="Tw Cen MT" w:eastAsia="Arial" w:hAnsi="Tw Cen MT" w:cs="Arial"/>
          <w:lang w:val="en-US"/>
        </w:rPr>
        <w:t xml:space="preserve">Studies of other sustainable labels have found that willingness to buy environmentally friendly goods is not enough: recognition and understanding of sustainable label are key antecedents of label use </w:t>
      </w:r>
      <w:r w:rsidRPr="00047B36">
        <w:rPr>
          <w:rFonts w:ascii="Tw Cen MT" w:eastAsia="Arial" w:hAnsi="Tw Cen MT" w:cs="Arial"/>
          <w:highlight w:val="white"/>
          <w:lang w:val="en-US"/>
        </w:rPr>
        <w:t>(</w:t>
      </w:r>
      <w:proofErr w:type="spellStart"/>
      <w:r w:rsidRPr="00047B36">
        <w:rPr>
          <w:rFonts w:ascii="Tw Cen MT" w:eastAsia="Arial" w:hAnsi="Tw Cen MT" w:cs="Arial"/>
          <w:highlight w:val="white"/>
          <w:lang w:val="en-US"/>
        </w:rPr>
        <w:t>Grunert</w:t>
      </w:r>
      <w:proofErr w:type="spellEnd"/>
      <w:r w:rsidRPr="00047B36">
        <w:rPr>
          <w:rFonts w:ascii="Tw Cen MT" w:eastAsia="Arial" w:hAnsi="Tw Cen MT" w:cs="Arial"/>
          <w:highlight w:val="white"/>
          <w:lang w:val="en-US"/>
        </w:rPr>
        <w:t xml:space="preserve"> et al., 2014; Valor et al., 2013)</w:t>
      </w:r>
      <w:r w:rsidRPr="00047B36">
        <w:rPr>
          <w:rFonts w:ascii="Tw Cen MT" w:eastAsia="Arial" w:hAnsi="Tw Cen MT" w:cs="Arial"/>
          <w:lang w:val="en-US"/>
        </w:rPr>
        <w:t>. However, research on sustainable labels has concluded that consumers cannot understand existing labels (Aspers</w:t>
      </w:r>
      <w:r w:rsidRPr="00047B36">
        <w:rPr>
          <w:rFonts w:ascii="Tw Cen MT" w:eastAsia="Arial" w:hAnsi="Tw Cen MT" w:cs="Arial"/>
          <w:highlight w:val="white"/>
          <w:lang w:val="en-US"/>
        </w:rPr>
        <w:t xml:space="preserve">, 2005, </w:t>
      </w:r>
      <w:r w:rsidRPr="00047B36">
        <w:rPr>
          <w:rFonts w:ascii="Tw Cen MT" w:eastAsia="Arial" w:hAnsi="Tw Cen MT" w:cs="Arial"/>
          <w:lang w:val="en-US"/>
        </w:rPr>
        <w:t>D´Souza et al., 2007,</w:t>
      </w:r>
      <w:r w:rsidRPr="00047B36">
        <w:rPr>
          <w:rFonts w:ascii="Tw Cen MT" w:eastAsia="Arial" w:hAnsi="Tw Cen MT" w:cs="Arial"/>
          <w:highlight w:val="white"/>
          <w:lang w:val="en-US"/>
        </w:rPr>
        <w:t xml:space="preserve"> </w:t>
      </w:r>
      <w:proofErr w:type="spellStart"/>
      <w:r w:rsidRPr="00047B36">
        <w:rPr>
          <w:rFonts w:ascii="Tw Cen MT" w:eastAsia="Arial" w:hAnsi="Tw Cen MT" w:cs="Arial"/>
          <w:lang w:val="en-US"/>
        </w:rPr>
        <w:t>Iwanow</w:t>
      </w:r>
      <w:proofErr w:type="spellEnd"/>
      <w:r w:rsidRPr="00047B36">
        <w:rPr>
          <w:rFonts w:ascii="Tw Cen MT" w:eastAsia="Arial" w:hAnsi="Tw Cen MT" w:cs="Arial"/>
          <w:highlight w:val="white"/>
          <w:lang w:val="en-US"/>
        </w:rPr>
        <w:t xml:space="preserve"> et al</w:t>
      </w:r>
      <w:r w:rsidRPr="00047B36">
        <w:rPr>
          <w:rFonts w:ascii="Tw Cen MT" w:eastAsia="Arial" w:hAnsi="Tw Cen MT" w:cs="Arial"/>
          <w:i/>
          <w:highlight w:val="white"/>
          <w:lang w:val="en-US"/>
        </w:rPr>
        <w:t>.</w:t>
      </w:r>
      <w:r w:rsidRPr="00047B36">
        <w:rPr>
          <w:rFonts w:ascii="Tw Cen MT" w:eastAsia="Arial" w:hAnsi="Tw Cen MT" w:cs="Arial"/>
          <w:highlight w:val="white"/>
          <w:lang w:val="en-US"/>
        </w:rPr>
        <w:t>, 2005</w:t>
      </w:r>
      <w:r w:rsidRPr="00047B36">
        <w:rPr>
          <w:rFonts w:ascii="Tw Cen MT" w:eastAsia="Arial" w:hAnsi="Tw Cen MT" w:cs="Arial"/>
          <w:lang w:val="en-US"/>
        </w:rPr>
        <w:t xml:space="preserve">, </w:t>
      </w:r>
      <w:proofErr w:type="spellStart"/>
      <w:r w:rsidRPr="00047B36">
        <w:rPr>
          <w:rFonts w:ascii="Tw Cen MT" w:eastAsia="Arial" w:hAnsi="Tw Cen MT" w:cs="Arial"/>
          <w:highlight w:val="white"/>
          <w:lang w:val="en-US"/>
        </w:rPr>
        <w:t>Stø</w:t>
      </w:r>
      <w:proofErr w:type="spellEnd"/>
      <w:r w:rsidRPr="00047B36">
        <w:rPr>
          <w:rFonts w:ascii="Tw Cen MT" w:eastAsia="Arial" w:hAnsi="Tw Cen MT" w:cs="Arial"/>
          <w:highlight w:val="white"/>
          <w:lang w:val="en-US"/>
        </w:rPr>
        <w:t xml:space="preserve"> and </w:t>
      </w:r>
      <w:proofErr w:type="spellStart"/>
      <w:r w:rsidRPr="00047B36">
        <w:rPr>
          <w:rFonts w:ascii="Tw Cen MT" w:eastAsia="Arial" w:hAnsi="Tw Cen MT" w:cs="Arial"/>
          <w:highlight w:val="white"/>
          <w:lang w:val="en-US"/>
        </w:rPr>
        <w:t>Strandbakken</w:t>
      </w:r>
      <w:proofErr w:type="spellEnd"/>
      <w:r w:rsidRPr="00047B36">
        <w:rPr>
          <w:rFonts w:ascii="Tw Cen MT" w:eastAsia="Arial" w:hAnsi="Tw Cen MT" w:cs="Arial"/>
          <w:highlight w:val="white"/>
          <w:lang w:val="en-US"/>
        </w:rPr>
        <w:t>, 2005</w:t>
      </w:r>
      <w:r w:rsidRPr="00047B36">
        <w:rPr>
          <w:rFonts w:ascii="Tw Cen MT" w:eastAsia="Arial" w:hAnsi="Tw Cen MT" w:cs="Arial"/>
          <w:lang w:val="en-US"/>
        </w:rPr>
        <w:t xml:space="preserve">) and this lack of knowledge is a barrier to increased sales. </w:t>
      </w:r>
    </w:p>
    <w:p w:rsidR="000642F5" w:rsidRPr="00047B36" w:rsidRDefault="004C5121" w:rsidP="00727FE8">
      <w:pPr>
        <w:spacing w:after="0" w:line="360" w:lineRule="auto"/>
        <w:jc w:val="both"/>
        <w:rPr>
          <w:rFonts w:ascii="Tw Cen MT" w:hAnsi="Tw Cen MT"/>
          <w:lang w:val="en-US"/>
        </w:rPr>
      </w:pPr>
      <w:r w:rsidRPr="00047B36">
        <w:rPr>
          <w:rFonts w:ascii="Tw Cen MT" w:eastAsia="Arial" w:hAnsi="Tw Cen MT" w:cs="Arial"/>
          <w:lang w:val="en-US"/>
        </w:rPr>
        <w:t xml:space="preserve">Also, consumers will buy labeled-products if they trust the label. Trust in the label has been found greatly influenced by the credibility of the awarding body: when a label is backed up by an independent party (e.g. NGO or government), the credibility increases </w:t>
      </w:r>
      <w:r w:rsidRPr="00047B36">
        <w:rPr>
          <w:rFonts w:ascii="Tw Cen MT" w:eastAsia="Arial" w:hAnsi="Tw Cen MT" w:cs="Arial"/>
          <w:highlight w:val="white"/>
          <w:lang w:val="en-US"/>
        </w:rPr>
        <w:t xml:space="preserve">(D´Souza et al., 2007; </w:t>
      </w:r>
      <w:r w:rsidRPr="00047B36">
        <w:rPr>
          <w:rFonts w:ascii="Tw Cen MT" w:eastAsia="Arial" w:hAnsi="Tw Cen MT" w:cs="Arial"/>
          <w:lang w:val="en-US"/>
        </w:rPr>
        <w:t xml:space="preserve">De </w:t>
      </w:r>
      <w:proofErr w:type="spellStart"/>
      <w:r w:rsidRPr="00047B36">
        <w:rPr>
          <w:rFonts w:ascii="Tw Cen MT" w:eastAsia="Arial" w:hAnsi="Tw Cen MT" w:cs="Arial"/>
          <w:lang w:val="en-US"/>
        </w:rPr>
        <w:t>Pelsmacker</w:t>
      </w:r>
      <w:proofErr w:type="spellEnd"/>
      <w:r w:rsidRPr="00047B36">
        <w:rPr>
          <w:rFonts w:ascii="Tw Cen MT" w:eastAsia="Arial" w:hAnsi="Tw Cen MT" w:cs="Arial"/>
          <w:lang w:val="en-US"/>
        </w:rPr>
        <w:t xml:space="preserve"> et al., 2005;</w:t>
      </w:r>
      <w:r w:rsidRPr="00047B36">
        <w:rPr>
          <w:rFonts w:ascii="Tw Cen MT" w:eastAsia="Arial" w:hAnsi="Tw Cen MT" w:cs="Arial"/>
          <w:highlight w:val="white"/>
          <w:lang w:val="en-US"/>
        </w:rPr>
        <w:t xml:space="preserve"> </w:t>
      </w:r>
      <w:r w:rsidRPr="00047B36">
        <w:rPr>
          <w:rFonts w:ascii="Tw Cen MT" w:eastAsia="Arial" w:hAnsi="Tw Cen MT" w:cs="Arial"/>
          <w:lang w:val="en-US"/>
        </w:rPr>
        <w:t>Langer</w:t>
      </w:r>
      <w:r w:rsidRPr="00047B36">
        <w:rPr>
          <w:rFonts w:ascii="Tw Cen MT" w:eastAsia="Arial" w:hAnsi="Tw Cen MT" w:cs="Arial"/>
          <w:highlight w:val="white"/>
          <w:lang w:val="en-US"/>
        </w:rPr>
        <w:t xml:space="preserve"> et al</w:t>
      </w:r>
      <w:r w:rsidRPr="00047B36">
        <w:rPr>
          <w:rFonts w:ascii="Tw Cen MT" w:eastAsia="Arial" w:hAnsi="Tw Cen MT" w:cs="Arial"/>
          <w:i/>
          <w:highlight w:val="white"/>
          <w:lang w:val="en-US"/>
        </w:rPr>
        <w:t>.</w:t>
      </w:r>
      <w:r w:rsidRPr="00047B36">
        <w:rPr>
          <w:rFonts w:ascii="Tw Cen MT" w:eastAsia="Arial" w:hAnsi="Tw Cen MT" w:cs="Arial"/>
          <w:highlight w:val="white"/>
          <w:lang w:val="en-US"/>
        </w:rPr>
        <w:t>, 2008</w:t>
      </w:r>
      <w:r w:rsidRPr="00047B36">
        <w:rPr>
          <w:rFonts w:ascii="Tw Cen MT" w:eastAsia="Arial" w:hAnsi="Tw Cen MT" w:cs="Arial"/>
          <w:lang w:val="en-US"/>
        </w:rPr>
        <w:t xml:space="preserve">). However, other studies have found that consumers receive food assurance schemes (Eden et al., 2008; </w:t>
      </w:r>
      <w:proofErr w:type="spellStart"/>
      <w:r w:rsidRPr="00047B36">
        <w:rPr>
          <w:rFonts w:ascii="Tw Cen MT" w:eastAsia="Arial" w:hAnsi="Tw Cen MT" w:cs="Arial"/>
          <w:lang w:val="en-US"/>
        </w:rPr>
        <w:t>Pieniak</w:t>
      </w:r>
      <w:proofErr w:type="spellEnd"/>
      <w:r w:rsidRPr="00047B36">
        <w:rPr>
          <w:rFonts w:ascii="Tw Cen MT" w:eastAsia="Arial" w:hAnsi="Tw Cen MT" w:cs="Arial"/>
          <w:lang w:val="en-US"/>
        </w:rPr>
        <w:t xml:space="preserve"> et al., 2007) with widespread skepticism and distrust.   </w:t>
      </w:r>
    </w:p>
    <w:p w:rsidR="000642F5" w:rsidRPr="00047B36" w:rsidRDefault="004C5121" w:rsidP="00727FE8">
      <w:pPr>
        <w:spacing w:after="0" w:line="360" w:lineRule="auto"/>
        <w:jc w:val="both"/>
        <w:rPr>
          <w:rFonts w:ascii="Tw Cen MT" w:hAnsi="Tw Cen MT"/>
          <w:lang w:val="en-US"/>
        </w:rPr>
      </w:pPr>
      <w:r w:rsidRPr="00047B36">
        <w:rPr>
          <w:rFonts w:ascii="Tw Cen MT" w:eastAsia="Arial" w:hAnsi="Tw Cen MT" w:cs="Arial"/>
          <w:lang w:val="en-US"/>
        </w:rPr>
        <w:t xml:space="preserve">A study of Spanish consumers </w:t>
      </w:r>
      <w:r w:rsidRPr="00047B36">
        <w:rPr>
          <w:rFonts w:ascii="Tw Cen MT" w:eastAsia="Arial" w:hAnsi="Tw Cen MT" w:cs="Arial"/>
          <w:highlight w:val="white"/>
          <w:lang w:val="en-US"/>
        </w:rPr>
        <w:t>(</w:t>
      </w:r>
      <w:proofErr w:type="spellStart"/>
      <w:r w:rsidRPr="00047B36">
        <w:rPr>
          <w:rFonts w:ascii="Tw Cen MT" w:eastAsia="Arial" w:hAnsi="Tw Cen MT" w:cs="Arial"/>
          <w:highlight w:val="white"/>
          <w:lang w:val="en-US"/>
        </w:rPr>
        <w:t>Carrero</w:t>
      </w:r>
      <w:proofErr w:type="spellEnd"/>
      <w:r w:rsidRPr="00047B36">
        <w:rPr>
          <w:rFonts w:ascii="Tw Cen MT" w:eastAsia="Arial" w:hAnsi="Tw Cen MT" w:cs="Arial"/>
          <w:highlight w:val="white"/>
          <w:lang w:val="en-US"/>
        </w:rPr>
        <w:t xml:space="preserve"> and Valor, 2012</w:t>
      </w:r>
      <w:r w:rsidRPr="00047B36">
        <w:rPr>
          <w:rFonts w:ascii="Tw Cen MT" w:eastAsia="Arial" w:hAnsi="Tw Cen MT" w:cs="Arial"/>
          <w:lang w:val="en-US"/>
        </w:rPr>
        <w:t xml:space="preserve">) found that awareness of the MSC logo was pretty low: only 1 out of 10 consumers recognized the logo on a list of 12 sustainable labels. Still the figure was similar to the recognition of the European organic label (10.3%) or Ecolabel (10.3%) and twice as much as that of FSC (4%). Fewer were able to correctly identify the issue protected by the MSC label and the awarding organization (17.4% and 2.2% of those recognizing the label). It is therefore not surprising that they award a credibility score of 5/10 points. </w:t>
      </w:r>
    </w:p>
    <w:p w:rsidR="000642F5" w:rsidRPr="00047B36" w:rsidRDefault="004C5121" w:rsidP="00727FE8">
      <w:pPr>
        <w:spacing w:after="0" w:line="360" w:lineRule="auto"/>
        <w:jc w:val="both"/>
        <w:rPr>
          <w:rFonts w:ascii="Tw Cen MT" w:hAnsi="Tw Cen MT"/>
          <w:lang w:val="en-US"/>
        </w:rPr>
      </w:pPr>
      <w:r w:rsidRPr="00047B36">
        <w:rPr>
          <w:rFonts w:ascii="Tw Cen MT" w:eastAsia="Arial" w:hAnsi="Tw Cen MT" w:cs="Arial"/>
          <w:lang w:val="en-US"/>
        </w:rPr>
        <w:t xml:space="preserve">Finally, some studies have described the profile of consumers in the understanding that socioeconomic factors influence consumers´ preferences </w:t>
      </w:r>
      <w:r w:rsidRPr="00047B36">
        <w:rPr>
          <w:rFonts w:ascii="Tw Cen MT" w:eastAsia="Arial" w:hAnsi="Tw Cen MT" w:cs="Arial"/>
          <w:highlight w:val="white"/>
          <w:lang w:val="en-US"/>
        </w:rPr>
        <w:t>(</w:t>
      </w:r>
      <w:proofErr w:type="spellStart"/>
      <w:r w:rsidRPr="00047B36">
        <w:rPr>
          <w:rFonts w:ascii="Tw Cen MT" w:eastAsia="Arial" w:hAnsi="Tw Cen MT" w:cs="Arial"/>
          <w:highlight w:val="white"/>
          <w:lang w:val="en-US"/>
        </w:rPr>
        <w:t>Brécard</w:t>
      </w:r>
      <w:proofErr w:type="spellEnd"/>
      <w:r w:rsidRPr="00047B36">
        <w:rPr>
          <w:rFonts w:ascii="Tw Cen MT" w:eastAsia="Arial" w:hAnsi="Tw Cen MT" w:cs="Arial"/>
          <w:highlight w:val="white"/>
          <w:lang w:val="en-US"/>
        </w:rPr>
        <w:t xml:space="preserve"> et al., 2009)</w:t>
      </w:r>
      <w:r w:rsidRPr="00047B36">
        <w:rPr>
          <w:rFonts w:ascii="Tw Cen MT" w:eastAsia="Arial" w:hAnsi="Tw Cen MT" w:cs="Arial"/>
          <w:lang w:val="en-US"/>
        </w:rPr>
        <w:t xml:space="preserve">. The profile of a green fish consumer is a young woman, well-educated, well-informed on the state of marine resources and not very trusting of the regulation of the fisheries. Yet, other studies have reached other results. Johnston and colleagues </w:t>
      </w:r>
      <w:r w:rsidRPr="00047B36">
        <w:rPr>
          <w:rFonts w:ascii="Tw Cen MT" w:eastAsia="Arial" w:hAnsi="Tw Cen MT" w:cs="Arial"/>
          <w:highlight w:val="white"/>
          <w:lang w:val="en-US"/>
        </w:rPr>
        <w:t>(2001)</w:t>
      </w:r>
      <w:r w:rsidRPr="00047B36">
        <w:rPr>
          <w:rFonts w:ascii="Tw Cen MT" w:eastAsia="Arial" w:hAnsi="Tw Cen MT" w:cs="Arial"/>
          <w:lang w:val="en-US"/>
        </w:rPr>
        <w:t xml:space="preserve"> found that in Norway higher education and age are associated with a lower probability of selecting certified seafood. Consistently with </w:t>
      </w:r>
      <w:proofErr w:type="spellStart"/>
      <w:r w:rsidRPr="00047B36">
        <w:rPr>
          <w:rFonts w:ascii="Tw Cen MT" w:eastAsia="Arial" w:hAnsi="Tw Cen MT" w:cs="Arial"/>
          <w:lang w:val="en-US"/>
        </w:rPr>
        <w:t>Brécard</w:t>
      </w:r>
      <w:proofErr w:type="spellEnd"/>
      <w:r w:rsidRPr="00047B36">
        <w:rPr>
          <w:rFonts w:ascii="Tw Cen MT" w:eastAsia="Arial" w:hAnsi="Tw Cen MT" w:cs="Arial"/>
          <w:lang w:val="en-US"/>
        </w:rPr>
        <w:t xml:space="preserve"> and colleagues </w:t>
      </w:r>
      <w:r w:rsidRPr="00047B36">
        <w:rPr>
          <w:rFonts w:ascii="Tw Cen MT" w:eastAsia="Arial" w:hAnsi="Tw Cen MT" w:cs="Arial"/>
          <w:highlight w:val="white"/>
          <w:lang w:val="en-US"/>
        </w:rPr>
        <w:t>(2009)</w:t>
      </w:r>
      <w:r w:rsidRPr="00047B36">
        <w:rPr>
          <w:rFonts w:ascii="Tw Cen MT" w:eastAsia="Arial" w:hAnsi="Tw Cen MT" w:cs="Arial"/>
          <w:lang w:val="en-US"/>
        </w:rPr>
        <w:t>, they found that a greater likelihood of selecting eco-labeled seafood is associated with females and higher income.</w:t>
      </w:r>
    </w:p>
    <w:p w:rsidR="000642F5" w:rsidRPr="00047B36" w:rsidRDefault="004C5121" w:rsidP="00727FE8">
      <w:pPr>
        <w:spacing w:after="0" w:line="360" w:lineRule="auto"/>
        <w:jc w:val="both"/>
        <w:rPr>
          <w:rFonts w:ascii="Tw Cen MT" w:hAnsi="Tw Cen MT"/>
          <w:lang w:val="en-US"/>
        </w:rPr>
      </w:pPr>
      <w:r w:rsidRPr="00047B36">
        <w:rPr>
          <w:rFonts w:ascii="Tw Cen MT" w:eastAsia="Arial" w:hAnsi="Tw Cen MT" w:cs="Arial"/>
          <w:b/>
          <w:lang w:val="en-US"/>
        </w:rPr>
        <w:t>2.2. Willingness to pay for eco-certified fish</w:t>
      </w:r>
    </w:p>
    <w:p w:rsidR="000642F5" w:rsidRPr="00047B36" w:rsidRDefault="004C5121" w:rsidP="00727FE8">
      <w:pPr>
        <w:spacing w:after="0" w:line="360" w:lineRule="auto"/>
        <w:jc w:val="both"/>
        <w:rPr>
          <w:rFonts w:ascii="Tw Cen MT" w:hAnsi="Tw Cen MT"/>
          <w:lang w:val="en-US"/>
        </w:rPr>
      </w:pPr>
      <w:r w:rsidRPr="00047B36">
        <w:rPr>
          <w:rFonts w:ascii="Tw Cen MT" w:eastAsia="Arial" w:hAnsi="Tw Cen MT" w:cs="Arial"/>
          <w:lang w:val="en-US"/>
        </w:rPr>
        <w:lastRenderedPageBreak/>
        <w:t xml:space="preserve">Another way of studying whether eco-labels provide an advantage is by examining consumers’ willingness to pay (WTP). Survey-based studies have found that consumers are willing to pay a premium </w:t>
      </w:r>
      <w:r w:rsidRPr="00047B36">
        <w:rPr>
          <w:rFonts w:ascii="Tw Cen MT" w:eastAsia="Arial" w:hAnsi="Tw Cen MT" w:cs="Arial"/>
          <w:highlight w:val="white"/>
          <w:lang w:val="en-US"/>
        </w:rPr>
        <w:t>(</w:t>
      </w:r>
      <w:proofErr w:type="spellStart"/>
      <w:r w:rsidRPr="00047B36">
        <w:rPr>
          <w:rFonts w:ascii="Tw Cen MT" w:eastAsia="Arial" w:hAnsi="Tw Cen MT" w:cs="Arial"/>
          <w:highlight w:val="white"/>
          <w:lang w:val="en-US"/>
        </w:rPr>
        <w:t>Roheim</w:t>
      </w:r>
      <w:proofErr w:type="spellEnd"/>
      <w:r w:rsidRPr="00047B36">
        <w:rPr>
          <w:rFonts w:ascii="Tw Cen MT" w:eastAsia="Arial" w:hAnsi="Tw Cen MT" w:cs="Arial"/>
          <w:highlight w:val="white"/>
          <w:lang w:val="en-US"/>
        </w:rPr>
        <w:t xml:space="preserve"> et al., 2011)</w:t>
      </w:r>
      <w:r w:rsidRPr="00047B36">
        <w:rPr>
          <w:rFonts w:ascii="Tw Cen MT" w:eastAsia="Arial" w:hAnsi="Tw Cen MT" w:cs="Arial"/>
          <w:lang w:val="en-US"/>
        </w:rPr>
        <w:t xml:space="preserve">. Studies using choice experiments have estimated a WTP of 15% -25% although this percentage varies depending on the origin of the fish (local </w:t>
      </w:r>
      <w:r w:rsidRPr="00047B36">
        <w:rPr>
          <w:rFonts w:ascii="Tw Cen MT" w:eastAsia="Arial" w:hAnsi="Tw Cen MT" w:cs="Arial"/>
          <w:i/>
          <w:lang w:val="en-US"/>
        </w:rPr>
        <w:t>vs</w:t>
      </w:r>
      <w:r w:rsidRPr="00047B36">
        <w:rPr>
          <w:rFonts w:ascii="Tw Cen MT" w:eastAsia="Arial" w:hAnsi="Tw Cen MT" w:cs="Arial"/>
          <w:lang w:val="en-US"/>
        </w:rPr>
        <w:t xml:space="preserve">. imported) and the trust in the information provided (Uchida et al., 2014). </w:t>
      </w:r>
    </w:p>
    <w:p w:rsidR="000642F5" w:rsidRPr="00047B36" w:rsidRDefault="004C5121" w:rsidP="00727FE8">
      <w:pPr>
        <w:spacing w:after="0" w:line="360" w:lineRule="auto"/>
        <w:jc w:val="both"/>
        <w:rPr>
          <w:rFonts w:ascii="Tw Cen MT" w:hAnsi="Tw Cen MT"/>
          <w:lang w:val="en-US"/>
        </w:rPr>
      </w:pPr>
      <w:r w:rsidRPr="00047B36">
        <w:rPr>
          <w:rFonts w:ascii="Tw Cen MT" w:eastAsia="Arial" w:hAnsi="Tw Cen MT" w:cs="Arial"/>
          <w:lang w:val="en-US"/>
        </w:rPr>
        <w:t xml:space="preserve">Since these results are based on hypothetical data the validity of these figures can be questioned. To our knowledge, only one paper used scanner data to compute the price premium actually paid for MSC-labeled products in UK. They found that on average consumers paid a premium of 14% which they found is higher than the premium paid for Fair Trade coffee in the British market </w:t>
      </w:r>
      <w:r w:rsidRPr="00047B36">
        <w:rPr>
          <w:rFonts w:ascii="Tw Cen MT" w:eastAsia="Arial" w:hAnsi="Tw Cen MT" w:cs="Arial"/>
          <w:highlight w:val="white"/>
          <w:lang w:val="en-US"/>
        </w:rPr>
        <w:t>(</w:t>
      </w:r>
      <w:proofErr w:type="spellStart"/>
      <w:r w:rsidRPr="00047B36">
        <w:rPr>
          <w:rFonts w:ascii="Tw Cen MT" w:eastAsia="Arial" w:hAnsi="Tw Cen MT" w:cs="Arial"/>
          <w:highlight w:val="white"/>
          <w:lang w:val="en-US"/>
        </w:rPr>
        <w:t>Roheim</w:t>
      </w:r>
      <w:proofErr w:type="spellEnd"/>
      <w:r w:rsidRPr="00047B36">
        <w:rPr>
          <w:rFonts w:ascii="Tw Cen MT" w:eastAsia="Arial" w:hAnsi="Tw Cen MT" w:cs="Arial"/>
          <w:highlight w:val="white"/>
          <w:lang w:val="en-US"/>
        </w:rPr>
        <w:t xml:space="preserve"> et al., 2011)</w:t>
      </w:r>
      <w:r w:rsidRPr="00047B36">
        <w:rPr>
          <w:rFonts w:ascii="Tw Cen MT" w:eastAsia="Arial" w:hAnsi="Tw Cen MT" w:cs="Arial"/>
          <w:lang w:val="en-US"/>
        </w:rPr>
        <w:t xml:space="preserve">. </w:t>
      </w:r>
    </w:p>
    <w:p w:rsidR="000642F5" w:rsidRPr="00047B36" w:rsidRDefault="004C5121" w:rsidP="00727FE8">
      <w:pPr>
        <w:spacing w:after="0" w:line="360" w:lineRule="auto"/>
        <w:jc w:val="both"/>
        <w:rPr>
          <w:rFonts w:ascii="Tw Cen MT" w:hAnsi="Tw Cen MT"/>
          <w:lang w:val="en-US"/>
        </w:rPr>
      </w:pPr>
      <w:r w:rsidRPr="00047B36">
        <w:rPr>
          <w:rFonts w:ascii="Tw Cen MT" w:eastAsia="Arial" w:hAnsi="Tw Cen MT" w:cs="Arial"/>
          <w:b/>
          <w:lang w:val="en-US"/>
        </w:rPr>
        <w:t>2.3. Consumers purchases and MSC-certified fish</w:t>
      </w:r>
    </w:p>
    <w:p w:rsidR="000642F5" w:rsidRPr="00047B36" w:rsidRDefault="004C5121" w:rsidP="00727FE8">
      <w:pPr>
        <w:spacing w:after="0" w:line="360" w:lineRule="auto"/>
        <w:jc w:val="both"/>
        <w:rPr>
          <w:rFonts w:ascii="Tw Cen MT" w:hAnsi="Tw Cen MT"/>
          <w:lang w:val="en-US"/>
        </w:rPr>
      </w:pPr>
      <w:r w:rsidRPr="00047B36">
        <w:rPr>
          <w:rFonts w:ascii="Tw Cen MT" w:eastAsia="Arial" w:hAnsi="Tw Cen MT" w:cs="Arial"/>
          <w:lang w:val="en-US"/>
        </w:rPr>
        <w:t xml:space="preserve">As aforementioned, this paper intends to assess whether being eco-certified provides fisheries with a competitive advantage in consumer markets. Previous papers on market benefits of eco-labels (Christian et al. 2013, </w:t>
      </w:r>
      <w:proofErr w:type="spellStart"/>
      <w:r w:rsidRPr="00047B36">
        <w:rPr>
          <w:rFonts w:ascii="Tw Cen MT" w:eastAsia="Arial" w:hAnsi="Tw Cen MT" w:cs="Arial"/>
          <w:lang w:val="en-US"/>
        </w:rPr>
        <w:t>Goyert</w:t>
      </w:r>
      <w:proofErr w:type="spellEnd"/>
      <w:r w:rsidRPr="00047B36">
        <w:rPr>
          <w:rFonts w:ascii="Tw Cen MT" w:eastAsia="Arial" w:hAnsi="Tw Cen MT" w:cs="Arial"/>
          <w:lang w:val="en-US"/>
        </w:rPr>
        <w:t xml:space="preserve"> et al., 2010, </w:t>
      </w:r>
      <w:proofErr w:type="spellStart"/>
      <w:r w:rsidRPr="00047B36">
        <w:rPr>
          <w:rFonts w:ascii="Tw Cen MT" w:eastAsia="Arial" w:hAnsi="Tw Cen MT" w:cs="Arial"/>
          <w:lang w:val="en-US"/>
        </w:rPr>
        <w:t>Roheim</w:t>
      </w:r>
      <w:proofErr w:type="spellEnd"/>
      <w:r w:rsidRPr="00047B36">
        <w:rPr>
          <w:rFonts w:ascii="Tw Cen MT" w:eastAsia="Arial" w:hAnsi="Tw Cen MT" w:cs="Arial"/>
          <w:lang w:val="en-US"/>
        </w:rPr>
        <w:t xml:space="preserve"> et al., 2011) and of quality labels more broadly (</w:t>
      </w:r>
      <w:r w:rsidRPr="00047B36">
        <w:rPr>
          <w:rFonts w:ascii="Tw Cen MT" w:eastAsia="Arial" w:hAnsi="Tw Cen MT" w:cs="Arial"/>
          <w:color w:val="222222"/>
          <w:highlight w:val="white"/>
          <w:lang w:val="en-US"/>
        </w:rPr>
        <w:t xml:space="preserve">Fotopoulos and </w:t>
      </w:r>
      <w:proofErr w:type="spellStart"/>
      <w:r w:rsidRPr="00047B36">
        <w:rPr>
          <w:rFonts w:ascii="Tw Cen MT" w:eastAsia="Arial" w:hAnsi="Tw Cen MT" w:cs="Arial"/>
          <w:color w:val="222222"/>
          <w:highlight w:val="white"/>
          <w:lang w:val="en-US"/>
        </w:rPr>
        <w:t>Krystallis</w:t>
      </w:r>
      <w:proofErr w:type="spellEnd"/>
      <w:r w:rsidRPr="00047B36">
        <w:rPr>
          <w:rFonts w:ascii="Tw Cen MT" w:eastAsia="Arial" w:hAnsi="Tw Cen MT" w:cs="Arial"/>
          <w:color w:val="222222"/>
          <w:highlight w:val="white"/>
          <w:lang w:val="en-US"/>
        </w:rPr>
        <w:t>, 2001)</w:t>
      </w:r>
      <w:r w:rsidRPr="00047B36">
        <w:rPr>
          <w:rFonts w:ascii="Tw Cen MT" w:eastAsia="Arial" w:hAnsi="Tw Cen MT" w:cs="Arial"/>
          <w:lang w:val="en-US"/>
        </w:rPr>
        <w:t xml:space="preserve"> have established that four conditions may provide with such an advantage. (1) Products sell at a premium; (2) Market shares are high and/or growing; (3) There is growing access to retailers; and (4) Positive own price elasticities and neutral cross price elasticities are observed. </w:t>
      </w:r>
    </w:p>
    <w:p w:rsidR="000642F5" w:rsidRPr="00047B36" w:rsidRDefault="004C5121" w:rsidP="00727FE8">
      <w:pPr>
        <w:spacing w:after="0" w:line="360" w:lineRule="auto"/>
        <w:jc w:val="both"/>
        <w:rPr>
          <w:rFonts w:ascii="Tw Cen MT" w:hAnsi="Tw Cen MT"/>
          <w:lang w:val="en-US"/>
        </w:rPr>
      </w:pPr>
      <w:r w:rsidRPr="00047B36">
        <w:rPr>
          <w:rFonts w:ascii="Tw Cen MT" w:eastAsia="Arial" w:hAnsi="Tw Cen MT" w:cs="Arial"/>
          <w:lang w:val="en-US"/>
        </w:rPr>
        <w:t>The rationale for these four criteria lies in the positive dynamics that eco-labels are expected to create: eco-labels eliminate information asymmetries between producers and consumers so that concerned consumers can find a product to buy in accordance to their beliefs even when prices are higher (1); demand then shifts to eco-certified products which will translate into higher market shares for eco-labelled fish (2). Retailers observing increasing sales begin introducing eco-certified fish into their portfolio (3). Finally, elasticities to eco-certified products are expected to be positive or neutral (</w:t>
      </w:r>
      <w:proofErr w:type="spellStart"/>
      <w:r w:rsidRPr="00047B36">
        <w:rPr>
          <w:rFonts w:ascii="Tw Cen MT" w:eastAsia="Arial" w:hAnsi="Tw Cen MT" w:cs="Arial"/>
          <w:lang w:val="en-US"/>
        </w:rPr>
        <w:t>Ngobo</w:t>
      </w:r>
      <w:proofErr w:type="spellEnd"/>
      <w:r w:rsidRPr="00047B36">
        <w:rPr>
          <w:rFonts w:ascii="Tw Cen MT" w:eastAsia="Arial" w:hAnsi="Tw Cen MT" w:cs="Arial"/>
          <w:lang w:val="en-US"/>
        </w:rPr>
        <w:t xml:space="preserve"> 2011). The “sustainable” nature of the product is a credence attribute as it cannot be assessed by consumers before, during or after purchase. In this type of product, prices have an important signaling function: a rise in price is interpreted by consumers as a sign of quality and is expected to raise trust as well as sales; conversely, a price cut would be negatively evaluated by consumers and demand will drop (4). Some authors (</w:t>
      </w:r>
      <w:proofErr w:type="spellStart"/>
      <w:r w:rsidRPr="00047B36">
        <w:rPr>
          <w:rFonts w:ascii="Tw Cen MT" w:eastAsia="Arial" w:hAnsi="Tw Cen MT" w:cs="Arial"/>
          <w:lang w:val="en-US"/>
        </w:rPr>
        <w:t>Goyert</w:t>
      </w:r>
      <w:proofErr w:type="spellEnd"/>
      <w:r w:rsidRPr="00047B36">
        <w:rPr>
          <w:rFonts w:ascii="Tw Cen MT" w:eastAsia="Arial" w:hAnsi="Tw Cen MT" w:cs="Arial"/>
          <w:lang w:val="en-US"/>
        </w:rPr>
        <w:t xml:space="preserve"> et al., 2010; </w:t>
      </w:r>
      <w:proofErr w:type="spellStart"/>
      <w:r w:rsidRPr="00047B36">
        <w:rPr>
          <w:rFonts w:ascii="Tw Cen MT" w:eastAsia="Arial" w:hAnsi="Tw Cen MT" w:cs="Arial"/>
          <w:lang w:val="en-US"/>
        </w:rPr>
        <w:t>Kvalvik</w:t>
      </w:r>
      <w:proofErr w:type="spellEnd"/>
      <w:r w:rsidRPr="00047B36">
        <w:rPr>
          <w:rFonts w:ascii="Tw Cen MT" w:eastAsia="Arial" w:hAnsi="Tw Cen MT" w:cs="Arial"/>
          <w:lang w:val="en-US"/>
        </w:rPr>
        <w:t xml:space="preserve"> et al., 2014) have defended that elasticities may be the best indicator of the nature of the good. Positive own-price elasticities and neutral cross-price elasticities will suggest that MSC-labeled products have successfully differentiated themselves in the market and have become superior goods thus fisheries may negotiate higher prices. However, if elasticities are negative to their own-price and greater than elasticities of non-</w:t>
      </w:r>
      <w:r w:rsidRPr="00047B36">
        <w:rPr>
          <w:rFonts w:ascii="Tw Cen MT" w:eastAsia="Arial" w:hAnsi="Tw Cen MT" w:cs="Arial"/>
          <w:lang w:val="en-US"/>
        </w:rPr>
        <w:lastRenderedPageBreak/>
        <w:t>certified fish, we should conclude that the differentiation has not been successful and/or the product is too pricey for the market.</w:t>
      </w:r>
    </w:p>
    <w:p w:rsidR="000642F5" w:rsidRPr="00047B36" w:rsidRDefault="004C5121" w:rsidP="00727FE8">
      <w:pPr>
        <w:spacing w:after="0" w:line="360" w:lineRule="auto"/>
        <w:rPr>
          <w:rFonts w:ascii="Tw Cen MT" w:hAnsi="Tw Cen MT"/>
          <w:lang w:val="en-US"/>
        </w:rPr>
      </w:pPr>
      <w:r w:rsidRPr="00047B36">
        <w:rPr>
          <w:rFonts w:ascii="Tw Cen MT" w:eastAsia="Arial" w:hAnsi="Tw Cen MT" w:cs="Arial"/>
          <w:b/>
          <w:lang w:val="en-US"/>
        </w:rPr>
        <w:t>3.Method</w:t>
      </w:r>
    </w:p>
    <w:p w:rsidR="000642F5" w:rsidRPr="00047B36" w:rsidRDefault="004C5121" w:rsidP="00727FE8">
      <w:pPr>
        <w:spacing w:after="0" w:line="360" w:lineRule="auto"/>
        <w:rPr>
          <w:rFonts w:ascii="Tw Cen MT" w:hAnsi="Tw Cen MT"/>
          <w:lang w:val="en-US"/>
        </w:rPr>
      </w:pPr>
      <w:r w:rsidRPr="00047B36">
        <w:rPr>
          <w:rFonts w:ascii="Tw Cen MT" w:eastAsia="Arial" w:hAnsi="Tw Cen MT" w:cs="Arial"/>
          <w:b/>
          <w:lang w:val="en-US"/>
        </w:rPr>
        <w:t xml:space="preserve">3.1.Data </w:t>
      </w:r>
    </w:p>
    <w:p w:rsidR="000642F5" w:rsidRPr="00047B36" w:rsidRDefault="004C5121" w:rsidP="00727FE8">
      <w:pPr>
        <w:spacing w:after="0" w:line="360" w:lineRule="auto"/>
        <w:jc w:val="both"/>
        <w:rPr>
          <w:rFonts w:ascii="Tw Cen MT" w:hAnsi="Tw Cen MT"/>
          <w:lang w:val="en-US"/>
        </w:rPr>
      </w:pPr>
      <w:r w:rsidRPr="00047B36">
        <w:rPr>
          <w:rFonts w:ascii="Tw Cen MT" w:eastAsia="Arial" w:hAnsi="Tw Cen MT" w:cs="Arial"/>
          <w:lang w:val="en-US"/>
        </w:rPr>
        <w:t xml:space="preserve">Data was obtained from the Nielsen retailers’ panel called Scan Track. This panel recorded sales from a sample of scanning-equipped chain and large independent grocery stores. The universe of retailers in Madrid amounts to 59 super stores and 1,652 supermarkets; the sample included in the panel is 59 and 770 respectively. To construct the sample, Nielsen takes into account sales potential (current and projected sales) and not retailers’ numerical representation. This form of sampling is considered optimal to quantify actual sales and gives the most accurate quantification of the volume and value sold of each product. </w:t>
      </w:r>
    </w:p>
    <w:p w:rsidR="000642F5" w:rsidRPr="00047B36" w:rsidRDefault="004C5121" w:rsidP="00727FE8">
      <w:pPr>
        <w:spacing w:after="0" w:line="360" w:lineRule="auto"/>
        <w:jc w:val="both"/>
        <w:rPr>
          <w:rFonts w:ascii="Tw Cen MT" w:hAnsi="Tw Cen MT"/>
          <w:lang w:val="en-US"/>
        </w:rPr>
      </w:pPr>
      <w:r w:rsidRPr="00047B36">
        <w:rPr>
          <w:rFonts w:ascii="Tw Cen MT" w:eastAsia="Arial" w:hAnsi="Tw Cen MT" w:cs="Arial"/>
          <w:lang w:val="en-US"/>
        </w:rPr>
        <w:t xml:space="preserve">Fishmongers are excluded from the universe as the panel only collects information of free-service grocery stores. However, this exclusion will not bias the results as no independent fishmonger has certification of chain custody, according to the MSC website. The only certified wholesaler does not serve independent fishmongers. Therefore, we would not find MSC-certified fish in fishmongers. </w:t>
      </w:r>
    </w:p>
    <w:p w:rsidR="000642F5" w:rsidRPr="00047B36" w:rsidRDefault="004C5121" w:rsidP="00727FE8">
      <w:pPr>
        <w:spacing w:after="0" w:line="360" w:lineRule="auto"/>
        <w:jc w:val="both"/>
        <w:rPr>
          <w:rFonts w:ascii="Tw Cen MT" w:hAnsi="Tw Cen MT"/>
          <w:lang w:val="en-US"/>
        </w:rPr>
      </w:pPr>
      <w:r w:rsidRPr="00047B36">
        <w:rPr>
          <w:rFonts w:ascii="Tw Cen MT" w:eastAsia="Arial" w:hAnsi="Tw Cen MT" w:cs="Arial"/>
          <w:lang w:val="en-US"/>
        </w:rPr>
        <w:t>The three subcategories of products examined are frozen hake, frozen cod and frozen processed hake, which represent 45% of total frozen fish purchases and 85% of certified frozen fish purchases. It must be noted that frozen fish is the second most important category after fresh fish and represents 20% of total fish consumption (</w:t>
      </w:r>
      <w:proofErr w:type="spellStart"/>
      <w:r w:rsidRPr="00047B36">
        <w:rPr>
          <w:rFonts w:ascii="Tw Cen MT" w:eastAsia="Arial" w:hAnsi="Tw Cen MT" w:cs="Arial"/>
          <w:lang w:val="en-US"/>
        </w:rPr>
        <w:t>Magrama</w:t>
      </w:r>
      <w:proofErr w:type="spellEnd"/>
      <w:r w:rsidRPr="00047B36">
        <w:rPr>
          <w:rFonts w:ascii="Tw Cen MT" w:eastAsia="Arial" w:hAnsi="Tw Cen MT" w:cs="Arial"/>
          <w:lang w:val="en-US"/>
        </w:rPr>
        <w:t xml:space="preserve"> 2014).</w:t>
      </w:r>
    </w:p>
    <w:p w:rsidR="000642F5" w:rsidRPr="00047B36" w:rsidRDefault="004C5121" w:rsidP="00727FE8">
      <w:pPr>
        <w:spacing w:after="0" w:line="360" w:lineRule="auto"/>
        <w:jc w:val="both"/>
        <w:rPr>
          <w:rFonts w:ascii="Tw Cen MT" w:hAnsi="Tw Cen MT"/>
          <w:lang w:val="en-US"/>
        </w:rPr>
      </w:pPr>
      <w:r w:rsidRPr="00047B36">
        <w:rPr>
          <w:rFonts w:ascii="Tw Cen MT" w:eastAsia="Arial" w:hAnsi="Tw Cen MT" w:cs="Arial"/>
          <w:lang w:val="en-US"/>
        </w:rPr>
        <w:t>Data cover a time span of 104 weeks from September 2011 to September 2013. Although for certified frozen cod and certified frozen hake, there is only information from September 2012 to September 2013, which adds up to a total of 55 weeks.</w:t>
      </w:r>
    </w:p>
    <w:p w:rsidR="000642F5" w:rsidRPr="00047B36" w:rsidRDefault="004C5121" w:rsidP="00727FE8">
      <w:pPr>
        <w:spacing w:after="0" w:line="360" w:lineRule="auto"/>
        <w:jc w:val="both"/>
        <w:rPr>
          <w:rFonts w:ascii="Tw Cen MT" w:hAnsi="Tw Cen MT"/>
          <w:lang w:val="en-US"/>
        </w:rPr>
      </w:pPr>
      <w:r w:rsidRPr="00047B36">
        <w:rPr>
          <w:rFonts w:ascii="Tw Cen MT" w:eastAsia="Arial" w:hAnsi="Tw Cen MT" w:cs="Arial"/>
          <w:lang w:val="en-US"/>
        </w:rPr>
        <w:t>Stock Keeping Units (SKUs), or unique codes attributed to an item, were given by Nielsen to differentiate between species and determine whether the SKU was MSC certified or non-certified and whether it was a national brand (NB) or private brand (PB). Therefore, this paper considers ten different “products” (NB certified frozen hake, NB non certified frozen hake, etc.) grouped into three species. It is worth mentioning that processed hake is the only PB certified product that exists.</w:t>
      </w:r>
    </w:p>
    <w:p w:rsidR="000642F5" w:rsidRPr="00047B36" w:rsidRDefault="004C5121" w:rsidP="00727FE8">
      <w:pPr>
        <w:spacing w:after="0" w:line="360" w:lineRule="auto"/>
        <w:jc w:val="both"/>
        <w:rPr>
          <w:rFonts w:ascii="Tw Cen MT" w:hAnsi="Tw Cen MT"/>
          <w:lang w:val="en-US"/>
        </w:rPr>
      </w:pPr>
      <w:r w:rsidRPr="00047B36">
        <w:rPr>
          <w:rFonts w:ascii="Tw Cen MT" w:eastAsia="Arial" w:hAnsi="Tw Cen MT" w:cs="Arial"/>
          <w:b/>
          <w:lang w:val="en-US"/>
        </w:rPr>
        <w:t>3.2.Demand</w:t>
      </w:r>
      <w:r w:rsidR="00BC3E0C" w:rsidRPr="00047B36">
        <w:rPr>
          <w:rFonts w:ascii="Tw Cen MT" w:eastAsia="Arial" w:hAnsi="Tw Cen MT" w:cs="Arial"/>
          <w:b/>
          <w:lang w:val="en-US"/>
        </w:rPr>
        <w:t xml:space="preserve"> </w:t>
      </w:r>
      <w:r w:rsidRPr="00047B36">
        <w:rPr>
          <w:rFonts w:ascii="Tw Cen MT" w:eastAsia="Arial" w:hAnsi="Tw Cen MT" w:cs="Arial"/>
          <w:b/>
          <w:lang w:val="en-US"/>
        </w:rPr>
        <w:t>equations</w:t>
      </w:r>
    </w:p>
    <w:p w:rsidR="000642F5" w:rsidRPr="00047B36" w:rsidRDefault="004C5121" w:rsidP="00727FE8">
      <w:pPr>
        <w:spacing w:after="0" w:line="360" w:lineRule="auto"/>
        <w:jc w:val="both"/>
        <w:rPr>
          <w:rFonts w:ascii="Tw Cen MT" w:hAnsi="Tw Cen MT"/>
          <w:lang w:val="en-US"/>
        </w:rPr>
      </w:pPr>
      <w:r w:rsidRPr="00047B36">
        <w:rPr>
          <w:rFonts w:ascii="Tw Cen MT" w:eastAsia="Arial" w:hAnsi="Tw Cen MT" w:cs="Arial"/>
          <w:lang w:val="en-US"/>
        </w:rPr>
        <w:t>For each product “</w:t>
      </w:r>
      <w:proofErr w:type="spellStart"/>
      <w:r w:rsidRPr="00047B36">
        <w:rPr>
          <w:rFonts w:ascii="Tw Cen MT" w:eastAsia="Arial" w:hAnsi="Tw Cen MT" w:cs="Arial"/>
          <w:lang w:val="en-US"/>
        </w:rPr>
        <w:t>i</w:t>
      </w:r>
      <w:proofErr w:type="spellEnd"/>
      <w:r w:rsidRPr="00047B36">
        <w:rPr>
          <w:rFonts w:ascii="Tw Cen MT" w:eastAsia="Arial" w:hAnsi="Tw Cen MT" w:cs="Arial"/>
          <w:lang w:val="en-US"/>
        </w:rPr>
        <w:t>”, belonging to subcategory (specie) “C”, which includes j=1,2,…J products, a demand equation has been specified for econometric estimation, each of them with the following structure:</w:t>
      </w:r>
    </w:p>
    <w:p w:rsidR="000642F5" w:rsidRPr="00047B36" w:rsidRDefault="007E3BF1" w:rsidP="00727FE8">
      <w:pPr>
        <w:spacing w:after="0" w:line="360" w:lineRule="auto"/>
        <w:jc w:val="both"/>
        <w:rPr>
          <w:rFonts w:ascii="Tw Cen MT" w:hAnsi="Tw Cen MT"/>
          <w:color w:val="FF0000"/>
          <w:lang w:val="en-US"/>
        </w:rPr>
      </w:pPr>
      <m:oMath>
        <m:func>
          <m:funcPr>
            <m:ctrlPr>
              <w:rPr>
                <w:rFonts w:ascii="Cambria Math" w:eastAsia="Tw Cen MT" w:hAnsi="Cambria Math" w:cs="Arial"/>
                <w:color w:val="FF0000"/>
                <w:lang w:val="en-US"/>
              </w:rPr>
            </m:ctrlPr>
          </m:funcPr>
          <m:fName>
            <m:r>
              <m:rPr>
                <m:sty m:val="p"/>
              </m:rPr>
              <w:rPr>
                <w:rFonts w:ascii="Cambria Math" w:eastAsia="Tw Cen MT" w:hAnsi="Cambria Math" w:cs="Arial"/>
                <w:color w:val="FF0000"/>
                <w:lang w:val="en-US"/>
              </w:rPr>
              <m:t>ln</m:t>
            </m:r>
          </m:fName>
          <m:e>
            <m:d>
              <m:dPr>
                <m:ctrlPr>
                  <w:rPr>
                    <w:rFonts w:ascii="Cambria Math" w:eastAsia="Tw Cen MT" w:hAnsi="Cambria Math" w:cs="Arial"/>
                    <w:i/>
                    <w:color w:val="FF0000"/>
                    <w:lang w:val="en-US"/>
                  </w:rPr>
                </m:ctrlPr>
              </m:dPr>
              <m:e>
                <m:sSub>
                  <m:sSubPr>
                    <m:ctrlPr>
                      <w:rPr>
                        <w:rFonts w:ascii="Cambria Math" w:eastAsia="Tw Cen MT" w:hAnsi="Cambria Math" w:cs="Arial"/>
                        <w:i/>
                        <w:color w:val="FF0000"/>
                        <w:lang w:val="en-US"/>
                      </w:rPr>
                    </m:ctrlPr>
                  </m:sSubPr>
                  <m:e>
                    <m:r>
                      <w:rPr>
                        <w:rFonts w:ascii="Cambria Math" w:eastAsia="Tw Cen MT" w:hAnsi="Cambria Math" w:cs="Arial"/>
                        <w:color w:val="FF0000"/>
                        <w:lang w:val="en-US"/>
                      </w:rPr>
                      <m:t>q</m:t>
                    </m:r>
                  </m:e>
                  <m:sub>
                    <m:r>
                      <w:rPr>
                        <w:rFonts w:ascii="Cambria Math" w:eastAsia="Tw Cen MT" w:hAnsi="Cambria Math" w:cs="Arial"/>
                        <w:color w:val="FF0000"/>
                        <w:lang w:val="en-US"/>
                      </w:rPr>
                      <m:t>it</m:t>
                    </m:r>
                  </m:sub>
                </m:sSub>
              </m:e>
            </m:d>
          </m:e>
        </m:func>
        <m:r>
          <w:rPr>
            <w:rFonts w:ascii="Cambria Math" w:eastAsia="Tw Cen MT" w:hAnsi="Cambria Math" w:cs="Arial"/>
            <w:color w:val="FF0000"/>
            <w:lang w:val="en-US"/>
          </w:rPr>
          <m:t>=</m:t>
        </m:r>
        <m:sSub>
          <m:sSubPr>
            <m:ctrlPr>
              <w:rPr>
                <w:rFonts w:ascii="Cambria Math" w:eastAsia="Tw Cen MT" w:hAnsi="Cambria Math" w:cs="Arial"/>
                <w:i/>
                <w:color w:val="FF0000"/>
                <w:lang w:val="en-US"/>
              </w:rPr>
            </m:ctrlPr>
          </m:sSubPr>
          <m:e>
            <m:r>
              <w:rPr>
                <w:rFonts w:ascii="Cambria Math" w:eastAsia="Tw Cen MT" w:hAnsi="Cambria Math" w:cs="Arial"/>
                <w:color w:val="FF0000"/>
                <w:lang w:val="en-US"/>
              </w:rPr>
              <m:t>α</m:t>
            </m:r>
          </m:e>
          <m:sub>
            <m:r>
              <w:rPr>
                <w:rFonts w:ascii="Cambria Math" w:eastAsia="Tw Cen MT" w:hAnsi="Cambria Math" w:cs="Arial"/>
                <w:color w:val="FF0000"/>
                <w:lang w:val="en-US"/>
              </w:rPr>
              <m:t>i</m:t>
            </m:r>
          </m:sub>
        </m:sSub>
        <m:r>
          <w:rPr>
            <w:rFonts w:ascii="Cambria Math" w:eastAsia="Tw Cen MT" w:hAnsi="Cambria Math" w:cs="Arial"/>
            <w:color w:val="FF0000"/>
            <w:lang w:val="en-US"/>
          </w:rPr>
          <m:t>+</m:t>
        </m:r>
        <m:sSub>
          <m:sSubPr>
            <m:ctrlPr>
              <w:rPr>
                <w:rFonts w:ascii="Cambria Math" w:eastAsia="Tw Cen MT" w:hAnsi="Cambria Math" w:cs="Arial"/>
                <w:i/>
                <w:color w:val="FF0000"/>
                <w:lang w:val="en-US"/>
              </w:rPr>
            </m:ctrlPr>
          </m:sSubPr>
          <m:e>
            <m:r>
              <w:rPr>
                <w:rFonts w:ascii="Cambria Math" w:eastAsia="Tw Cen MT" w:hAnsi="Cambria Math" w:cs="Arial"/>
                <w:color w:val="FF0000"/>
                <w:lang w:val="en-US"/>
              </w:rPr>
              <m:t>β</m:t>
            </m:r>
          </m:e>
          <m:sub>
            <m:r>
              <w:rPr>
                <w:rFonts w:ascii="Cambria Math" w:eastAsia="Tw Cen MT" w:hAnsi="Cambria Math" w:cs="Arial"/>
                <w:color w:val="FF0000"/>
                <w:lang w:val="en-US"/>
              </w:rPr>
              <m:t>i</m:t>
            </m:r>
          </m:sub>
        </m:sSub>
        <m:func>
          <m:funcPr>
            <m:ctrlPr>
              <w:rPr>
                <w:rFonts w:ascii="Cambria Math" w:eastAsia="Tw Cen MT" w:hAnsi="Cambria Math" w:cs="Arial"/>
                <w:color w:val="FF0000"/>
                <w:lang w:val="en-US"/>
              </w:rPr>
            </m:ctrlPr>
          </m:funcPr>
          <m:fName>
            <m:r>
              <m:rPr>
                <m:sty m:val="p"/>
              </m:rPr>
              <w:rPr>
                <w:rFonts w:ascii="Cambria Math" w:eastAsia="Tw Cen MT" w:hAnsi="Cambria Math" w:cs="Arial"/>
                <w:color w:val="FF0000"/>
                <w:lang w:val="en-US"/>
              </w:rPr>
              <m:t>ln</m:t>
            </m:r>
          </m:fName>
          <m:e>
            <m:d>
              <m:dPr>
                <m:ctrlPr>
                  <w:rPr>
                    <w:rFonts w:ascii="Cambria Math" w:eastAsia="Tw Cen MT" w:hAnsi="Cambria Math" w:cs="Arial"/>
                    <w:i/>
                    <w:color w:val="FF0000"/>
                    <w:lang w:val="en-US"/>
                  </w:rPr>
                </m:ctrlPr>
              </m:dPr>
              <m:e>
                <m:sSub>
                  <m:sSubPr>
                    <m:ctrlPr>
                      <w:rPr>
                        <w:rFonts w:ascii="Cambria Math" w:eastAsia="Tw Cen MT" w:hAnsi="Cambria Math" w:cs="Arial"/>
                        <w:i/>
                        <w:color w:val="FF0000"/>
                        <w:lang w:val="en-US"/>
                      </w:rPr>
                    </m:ctrlPr>
                  </m:sSubPr>
                  <m:e>
                    <m:r>
                      <w:rPr>
                        <w:rFonts w:ascii="Cambria Math" w:eastAsia="Tw Cen MT" w:hAnsi="Cambria Math" w:cs="Arial"/>
                        <w:color w:val="FF0000"/>
                        <w:lang w:val="en-US"/>
                      </w:rPr>
                      <m:t>q</m:t>
                    </m:r>
                  </m:e>
                  <m:sub>
                    <m:r>
                      <w:rPr>
                        <w:rFonts w:ascii="Cambria Math" w:eastAsia="Tw Cen MT" w:hAnsi="Cambria Math" w:cs="Arial"/>
                        <w:color w:val="FF0000"/>
                        <w:lang w:val="en-US"/>
                      </w:rPr>
                      <m:t>i</m:t>
                    </m:r>
                    <m:d>
                      <m:dPr>
                        <m:ctrlPr>
                          <w:rPr>
                            <w:rFonts w:ascii="Cambria Math" w:eastAsia="Tw Cen MT" w:hAnsi="Cambria Math" w:cs="Arial"/>
                            <w:i/>
                            <w:color w:val="FF0000"/>
                            <w:lang w:val="en-US"/>
                          </w:rPr>
                        </m:ctrlPr>
                      </m:dPr>
                      <m:e>
                        <m:r>
                          <w:rPr>
                            <w:rFonts w:ascii="Cambria Math" w:eastAsia="Tw Cen MT" w:hAnsi="Cambria Math" w:cs="Arial"/>
                            <w:color w:val="FF0000"/>
                            <w:lang w:val="en-US"/>
                          </w:rPr>
                          <m:t>t-1</m:t>
                        </m:r>
                      </m:e>
                    </m:d>
                  </m:sub>
                </m:sSub>
              </m:e>
            </m:d>
          </m:e>
        </m:func>
        <m:r>
          <w:rPr>
            <w:rFonts w:ascii="Cambria Math" w:eastAsia="Tw Cen MT" w:hAnsi="Cambria Math" w:cs="Arial"/>
            <w:color w:val="FF0000"/>
            <w:lang w:val="en-US"/>
          </w:rPr>
          <m:t>+</m:t>
        </m:r>
        <m:nary>
          <m:naryPr>
            <m:chr m:val="∑"/>
            <m:limLoc m:val="undOvr"/>
            <m:supHide m:val="1"/>
            <m:ctrlPr>
              <w:rPr>
                <w:rFonts w:ascii="Cambria Math" w:eastAsia="Tw Cen MT" w:hAnsi="Cambria Math" w:cs="Arial"/>
                <w:i/>
                <w:color w:val="FF0000"/>
                <w:lang w:val="en-US"/>
              </w:rPr>
            </m:ctrlPr>
          </m:naryPr>
          <m:sub>
            <m:r>
              <w:rPr>
                <w:rFonts w:ascii="Cambria Math" w:eastAsia="Tw Cen MT" w:hAnsi="Cambria Math" w:cs="Arial"/>
                <w:color w:val="FF0000"/>
                <w:lang w:val="en-US"/>
              </w:rPr>
              <m:t>j≠i</m:t>
            </m:r>
          </m:sub>
          <m:sup/>
          <m:e>
            <m:sSub>
              <m:sSubPr>
                <m:ctrlPr>
                  <w:rPr>
                    <w:rFonts w:ascii="Cambria Math" w:eastAsia="Tw Cen MT" w:hAnsi="Cambria Math" w:cs="Arial"/>
                    <w:i/>
                    <w:color w:val="FF0000"/>
                    <w:lang w:val="en-US"/>
                  </w:rPr>
                </m:ctrlPr>
              </m:sSubPr>
              <m:e>
                <m:r>
                  <w:rPr>
                    <w:rFonts w:ascii="Cambria Math" w:eastAsia="Tw Cen MT" w:hAnsi="Cambria Math" w:cs="Arial"/>
                    <w:color w:val="FF0000"/>
                    <w:lang w:val="en-US"/>
                  </w:rPr>
                  <m:t>θ</m:t>
                </m:r>
              </m:e>
              <m:sub>
                <m:r>
                  <w:rPr>
                    <w:rFonts w:ascii="Cambria Math" w:eastAsia="Tw Cen MT" w:hAnsi="Cambria Math" w:cs="Arial"/>
                    <w:color w:val="FF0000"/>
                    <w:lang w:val="en-US"/>
                  </w:rPr>
                  <m:t>ji</m:t>
                </m:r>
              </m:sub>
            </m:sSub>
            <m:r>
              <m:rPr>
                <m:sty m:val="p"/>
              </m:rPr>
              <w:rPr>
                <w:rFonts w:ascii="Cambria Math" w:eastAsia="Tw Cen MT" w:hAnsi="Cambria Math" w:cs="Arial"/>
                <w:color w:val="FF0000"/>
                <w:lang w:val="en-US"/>
              </w:rPr>
              <m:t>ln⁡</m:t>
            </m:r>
            <m:r>
              <w:rPr>
                <w:rFonts w:ascii="Cambria Math" w:eastAsia="Tw Cen MT" w:hAnsi="Cambria Math" w:cs="Arial"/>
                <w:color w:val="FF0000"/>
                <w:lang w:val="en-US"/>
              </w:rPr>
              <m:t>(</m:t>
            </m:r>
            <m:sSub>
              <m:sSubPr>
                <m:ctrlPr>
                  <w:rPr>
                    <w:rFonts w:ascii="Cambria Math" w:eastAsia="Tw Cen MT" w:hAnsi="Cambria Math" w:cs="Arial"/>
                    <w:i/>
                    <w:color w:val="FF0000"/>
                    <w:lang w:val="en-US"/>
                  </w:rPr>
                </m:ctrlPr>
              </m:sSubPr>
              <m:e>
                <m:r>
                  <w:rPr>
                    <w:rFonts w:ascii="Cambria Math" w:eastAsia="Tw Cen MT" w:hAnsi="Cambria Math" w:cs="Arial"/>
                    <w:color w:val="FF0000"/>
                    <w:lang w:val="en-US"/>
                  </w:rPr>
                  <m:t>q</m:t>
                </m:r>
              </m:e>
              <m:sub>
                <m:r>
                  <w:rPr>
                    <w:rFonts w:ascii="Cambria Math" w:eastAsia="Tw Cen MT" w:hAnsi="Cambria Math" w:cs="Arial"/>
                    <w:color w:val="FF0000"/>
                    <w:lang w:val="en-US"/>
                  </w:rPr>
                  <m:t>jt</m:t>
                </m:r>
              </m:sub>
            </m:sSub>
          </m:e>
        </m:nary>
        <m:r>
          <w:rPr>
            <w:rFonts w:ascii="Cambria Math" w:eastAsia="Tw Cen MT" w:hAnsi="Cambria Math" w:cs="Arial"/>
            <w:color w:val="FF0000"/>
            <w:lang w:val="en-US"/>
          </w:rPr>
          <m:t>)+</m:t>
        </m:r>
        <m:nary>
          <m:naryPr>
            <m:chr m:val="∑"/>
            <m:limLoc m:val="undOvr"/>
            <m:supHide m:val="1"/>
            <m:ctrlPr>
              <w:rPr>
                <w:rFonts w:ascii="Cambria Math" w:eastAsia="Tw Cen MT" w:hAnsi="Cambria Math" w:cs="Arial"/>
                <w:i/>
                <w:color w:val="FF0000"/>
                <w:lang w:val="en-US"/>
              </w:rPr>
            </m:ctrlPr>
          </m:naryPr>
          <m:sub>
            <m:r>
              <w:rPr>
                <w:rFonts w:ascii="Cambria Math" w:eastAsia="Tw Cen MT" w:hAnsi="Cambria Math" w:cs="Arial"/>
                <w:color w:val="FF0000"/>
                <w:lang w:val="en-US"/>
              </w:rPr>
              <m:t>j</m:t>
            </m:r>
          </m:sub>
          <m:sup/>
          <m:e>
            <m:sSub>
              <m:sSubPr>
                <m:ctrlPr>
                  <w:rPr>
                    <w:rFonts w:ascii="Cambria Math" w:eastAsia="Tw Cen MT" w:hAnsi="Cambria Math" w:cs="Arial"/>
                    <w:i/>
                    <w:color w:val="FF0000"/>
                    <w:lang w:val="en-US"/>
                  </w:rPr>
                </m:ctrlPr>
              </m:sSubPr>
              <m:e>
                <m:r>
                  <w:rPr>
                    <w:rFonts w:ascii="Cambria Math" w:eastAsia="Tw Cen MT" w:hAnsi="Cambria Math" w:cs="Arial"/>
                    <w:color w:val="FF0000"/>
                    <w:lang w:val="en-US"/>
                  </w:rPr>
                  <m:t>η</m:t>
                </m:r>
              </m:e>
              <m:sub>
                <m:r>
                  <w:rPr>
                    <w:rFonts w:ascii="Cambria Math" w:eastAsia="Tw Cen MT" w:hAnsi="Cambria Math" w:cs="Arial"/>
                    <w:color w:val="FF0000"/>
                    <w:lang w:val="en-US"/>
                  </w:rPr>
                  <m:t>ji</m:t>
                </m:r>
              </m:sub>
            </m:sSub>
            <m:r>
              <m:rPr>
                <m:sty m:val="p"/>
              </m:rPr>
              <w:rPr>
                <w:rFonts w:ascii="Cambria Math" w:eastAsia="Tw Cen MT" w:hAnsi="Cambria Math" w:cs="Arial"/>
                <w:color w:val="FF0000"/>
                <w:lang w:val="en-US"/>
              </w:rPr>
              <m:t>ln⁡</m:t>
            </m:r>
            <m:r>
              <w:rPr>
                <w:rFonts w:ascii="Cambria Math" w:eastAsia="Tw Cen MT" w:hAnsi="Cambria Math" w:cs="Arial"/>
                <w:color w:val="FF0000"/>
                <w:lang w:val="en-US"/>
              </w:rPr>
              <m:t>(</m:t>
            </m:r>
            <m:sSub>
              <m:sSubPr>
                <m:ctrlPr>
                  <w:rPr>
                    <w:rFonts w:ascii="Cambria Math" w:eastAsia="Tw Cen MT" w:hAnsi="Cambria Math" w:cs="Arial"/>
                    <w:i/>
                    <w:color w:val="FF0000"/>
                    <w:lang w:val="en-US"/>
                  </w:rPr>
                </m:ctrlPr>
              </m:sSubPr>
              <m:e>
                <m:r>
                  <w:rPr>
                    <w:rFonts w:ascii="Cambria Math" w:eastAsia="Tw Cen MT" w:hAnsi="Cambria Math" w:cs="Arial"/>
                    <w:color w:val="FF0000"/>
                    <w:lang w:val="en-US"/>
                  </w:rPr>
                  <m:t>p</m:t>
                </m:r>
              </m:e>
              <m:sub>
                <m:r>
                  <w:rPr>
                    <w:rFonts w:ascii="Cambria Math" w:eastAsia="Tw Cen MT" w:hAnsi="Cambria Math" w:cs="Arial"/>
                    <w:color w:val="FF0000"/>
                    <w:lang w:val="en-US"/>
                  </w:rPr>
                  <m:t>jt</m:t>
                </m:r>
              </m:sub>
            </m:sSub>
            <m:r>
              <w:rPr>
                <w:rFonts w:ascii="Cambria Math" w:eastAsia="Tw Cen MT" w:hAnsi="Cambria Math" w:cs="Arial"/>
                <w:color w:val="FF0000"/>
                <w:lang w:val="en-US"/>
              </w:rPr>
              <m:t>)</m:t>
            </m:r>
          </m:e>
        </m:nary>
        <m:r>
          <w:rPr>
            <w:rFonts w:ascii="Cambria Math" w:eastAsia="Tw Cen MT" w:hAnsi="Cambria Math" w:cs="Arial"/>
            <w:color w:val="FF0000"/>
            <w:lang w:val="en-US"/>
          </w:rPr>
          <m:t>+</m:t>
        </m:r>
        <m:nary>
          <m:naryPr>
            <m:chr m:val="∑"/>
            <m:limLoc m:val="undOvr"/>
            <m:supHide m:val="1"/>
            <m:ctrlPr>
              <w:rPr>
                <w:rFonts w:ascii="Cambria Math" w:eastAsia="Tw Cen MT" w:hAnsi="Cambria Math" w:cs="Arial"/>
                <w:i/>
                <w:color w:val="FF0000"/>
                <w:lang w:val="en-US"/>
              </w:rPr>
            </m:ctrlPr>
          </m:naryPr>
          <m:sub>
            <m:r>
              <w:rPr>
                <w:rFonts w:ascii="Cambria Math" w:eastAsia="Tw Cen MT" w:hAnsi="Cambria Math" w:cs="Arial"/>
                <w:color w:val="FF0000"/>
                <w:lang w:val="en-US"/>
              </w:rPr>
              <m:t>j</m:t>
            </m:r>
          </m:sub>
          <m:sup/>
          <m:e>
            <m:sSub>
              <m:sSubPr>
                <m:ctrlPr>
                  <w:rPr>
                    <w:rFonts w:ascii="Cambria Math" w:eastAsia="Tw Cen MT" w:hAnsi="Cambria Math" w:cs="Arial"/>
                    <w:i/>
                    <w:color w:val="FF0000"/>
                    <w:lang w:val="en-US"/>
                  </w:rPr>
                </m:ctrlPr>
              </m:sSubPr>
              <m:e>
                <m:r>
                  <w:rPr>
                    <w:rFonts w:ascii="Cambria Math" w:eastAsia="Tw Cen MT" w:hAnsi="Cambria Math" w:cs="Arial"/>
                    <w:color w:val="FF0000"/>
                    <w:lang w:val="en-US"/>
                  </w:rPr>
                  <m:t>γ</m:t>
                </m:r>
              </m:e>
              <m:sub>
                <m:r>
                  <w:rPr>
                    <w:rFonts w:ascii="Cambria Math" w:eastAsia="Tw Cen MT" w:hAnsi="Cambria Math" w:cs="Arial"/>
                    <w:color w:val="FF0000"/>
                    <w:lang w:val="en-US"/>
                  </w:rPr>
                  <m:t>ji</m:t>
                </m:r>
              </m:sub>
            </m:sSub>
            <m:sSub>
              <m:sSubPr>
                <m:ctrlPr>
                  <w:rPr>
                    <w:rFonts w:ascii="Cambria Math" w:eastAsia="Tw Cen MT" w:hAnsi="Cambria Math" w:cs="Arial"/>
                    <w:i/>
                    <w:color w:val="FF0000"/>
                    <w:lang w:val="en-US"/>
                  </w:rPr>
                </m:ctrlPr>
              </m:sSubPr>
              <m:e>
                <m:r>
                  <w:rPr>
                    <w:rFonts w:ascii="Cambria Math" w:eastAsia="Tw Cen MT" w:hAnsi="Cambria Math" w:cs="Arial"/>
                    <w:color w:val="FF0000"/>
                    <w:lang w:val="en-US"/>
                  </w:rPr>
                  <m:t>ND</m:t>
                </m:r>
              </m:e>
              <m:sub>
                <m:r>
                  <w:rPr>
                    <w:rFonts w:ascii="Cambria Math" w:eastAsia="Tw Cen MT" w:hAnsi="Cambria Math" w:cs="Arial"/>
                    <w:color w:val="FF0000"/>
                    <w:lang w:val="en-US"/>
                  </w:rPr>
                  <m:t>jt</m:t>
                </m:r>
              </m:sub>
            </m:sSub>
          </m:e>
        </m:nary>
        <m:r>
          <w:rPr>
            <w:rFonts w:ascii="Cambria Math" w:eastAsia="Tw Cen MT" w:hAnsi="Cambria Math" w:cs="Arial"/>
            <w:color w:val="FF0000"/>
            <w:lang w:val="en-US"/>
          </w:rPr>
          <m:t>+</m:t>
        </m:r>
        <m:nary>
          <m:naryPr>
            <m:chr m:val="∑"/>
            <m:limLoc m:val="undOvr"/>
            <m:supHide m:val="1"/>
            <m:ctrlPr>
              <w:rPr>
                <w:rFonts w:ascii="Cambria Math" w:eastAsia="Tw Cen MT" w:hAnsi="Cambria Math" w:cs="Arial"/>
                <w:i/>
                <w:color w:val="FF0000"/>
                <w:lang w:val="en-US"/>
              </w:rPr>
            </m:ctrlPr>
          </m:naryPr>
          <m:sub>
            <m:r>
              <w:rPr>
                <w:rFonts w:ascii="Cambria Math" w:eastAsia="Tw Cen MT" w:hAnsi="Cambria Math" w:cs="Arial"/>
                <w:color w:val="FF0000"/>
                <w:lang w:val="en-US"/>
              </w:rPr>
              <m:t>j</m:t>
            </m:r>
          </m:sub>
          <m:sup/>
          <m:e>
            <m:sSub>
              <m:sSubPr>
                <m:ctrlPr>
                  <w:rPr>
                    <w:rFonts w:ascii="Cambria Math" w:eastAsia="Tw Cen MT" w:hAnsi="Cambria Math" w:cs="Arial"/>
                    <w:i/>
                    <w:color w:val="FF0000"/>
                    <w:lang w:val="en-US"/>
                  </w:rPr>
                </m:ctrlPr>
              </m:sSubPr>
              <m:e>
                <m:r>
                  <w:rPr>
                    <w:rFonts w:ascii="Cambria Math" w:eastAsia="Tw Cen MT" w:hAnsi="Cambria Math" w:cs="Arial"/>
                    <w:color w:val="FF0000"/>
                    <w:lang w:val="en-US"/>
                  </w:rPr>
                  <m:t>φ</m:t>
                </m:r>
              </m:e>
              <m:sub>
                <m:r>
                  <w:rPr>
                    <w:rFonts w:ascii="Cambria Math" w:eastAsia="Tw Cen MT" w:hAnsi="Cambria Math" w:cs="Arial"/>
                    <w:color w:val="FF0000"/>
                    <w:lang w:val="en-US"/>
                  </w:rPr>
                  <m:t>ji</m:t>
                </m:r>
              </m:sub>
            </m:sSub>
            <m:sSub>
              <m:sSubPr>
                <m:ctrlPr>
                  <w:rPr>
                    <w:rFonts w:ascii="Cambria Math" w:eastAsia="Tw Cen MT" w:hAnsi="Cambria Math" w:cs="Arial"/>
                    <w:i/>
                    <w:color w:val="FF0000"/>
                    <w:lang w:val="en-US"/>
                  </w:rPr>
                </m:ctrlPr>
              </m:sSubPr>
              <m:e>
                <m:r>
                  <w:rPr>
                    <w:rFonts w:ascii="Cambria Math" w:eastAsia="Tw Cen MT" w:hAnsi="Cambria Math" w:cs="Arial"/>
                    <w:color w:val="FF0000"/>
                    <w:lang w:val="en-US"/>
                  </w:rPr>
                  <m:t>width</m:t>
                </m:r>
              </m:e>
              <m:sub>
                <m:r>
                  <w:rPr>
                    <w:rFonts w:ascii="Cambria Math" w:eastAsia="Tw Cen MT" w:hAnsi="Cambria Math" w:cs="Arial"/>
                    <w:color w:val="FF0000"/>
                    <w:lang w:val="en-US"/>
                  </w:rPr>
                  <m:t>jt</m:t>
                </m:r>
              </m:sub>
            </m:sSub>
          </m:e>
        </m:nary>
        <m:r>
          <w:rPr>
            <w:rFonts w:ascii="Cambria Math" w:eastAsia="Tw Cen MT" w:hAnsi="Cambria Math" w:cs="Arial"/>
            <w:color w:val="FF0000"/>
            <w:lang w:val="en-US"/>
          </w:rPr>
          <m:t>++</m:t>
        </m:r>
        <m:sSub>
          <m:sSubPr>
            <m:ctrlPr>
              <w:rPr>
                <w:rFonts w:ascii="Cambria Math" w:eastAsia="Tw Cen MT" w:hAnsi="Cambria Math" w:cs="Arial"/>
                <w:i/>
                <w:color w:val="FF0000"/>
                <w:lang w:val="en-US"/>
              </w:rPr>
            </m:ctrlPr>
          </m:sSubPr>
          <m:e>
            <m:r>
              <w:rPr>
                <w:rFonts w:ascii="Cambria Math" w:eastAsia="Tw Cen MT" w:hAnsi="Cambria Math" w:cs="Arial"/>
                <w:color w:val="FF0000"/>
                <w:lang w:val="en-US"/>
              </w:rPr>
              <m:t>κ</m:t>
            </m:r>
          </m:e>
          <m:sub>
            <m:r>
              <w:rPr>
                <w:rFonts w:ascii="Cambria Math" w:eastAsia="Tw Cen MT" w:hAnsi="Cambria Math" w:cs="Arial"/>
                <w:color w:val="FF0000"/>
                <w:lang w:val="en-US"/>
              </w:rPr>
              <m:t>i</m:t>
            </m:r>
          </m:sub>
        </m:sSub>
        <m:sSub>
          <m:sSubPr>
            <m:ctrlPr>
              <w:rPr>
                <w:rFonts w:ascii="Cambria Math" w:eastAsia="Tw Cen MT" w:hAnsi="Cambria Math" w:cs="Arial"/>
                <w:i/>
                <w:color w:val="FF0000"/>
                <w:lang w:val="en-US"/>
              </w:rPr>
            </m:ctrlPr>
          </m:sSubPr>
          <m:e>
            <m:r>
              <w:rPr>
                <w:rFonts w:ascii="Cambria Math" w:eastAsia="Tw Cen MT" w:hAnsi="Cambria Math" w:cs="Arial"/>
                <w:color w:val="FF0000"/>
                <w:lang w:val="en-US"/>
              </w:rPr>
              <m:t>christmas</m:t>
            </m:r>
          </m:e>
          <m:sub>
            <m:r>
              <w:rPr>
                <w:rFonts w:ascii="Cambria Math" w:eastAsia="Tw Cen MT" w:hAnsi="Cambria Math" w:cs="Arial"/>
                <w:color w:val="FF0000"/>
                <w:lang w:val="en-US"/>
              </w:rPr>
              <m:t>t</m:t>
            </m:r>
          </m:sub>
        </m:sSub>
        <m:r>
          <w:rPr>
            <w:rFonts w:ascii="Cambria Math" w:eastAsia="Tw Cen MT" w:hAnsi="Cambria Math" w:cs="Arial"/>
            <w:color w:val="FF0000"/>
            <w:lang w:val="en-US"/>
          </w:rPr>
          <m:t>+</m:t>
        </m:r>
        <m:sSub>
          <m:sSubPr>
            <m:ctrlPr>
              <w:rPr>
                <w:rFonts w:ascii="Cambria Math" w:eastAsia="Tw Cen MT" w:hAnsi="Cambria Math" w:cs="Arial"/>
                <w:i/>
                <w:color w:val="FF0000"/>
                <w:lang w:val="en-US"/>
              </w:rPr>
            </m:ctrlPr>
          </m:sSubPr>
          <m:e>
            <m:r>
              <w:rPr>
                <w:rFonts w:ascii="Cambria Math" w:eastAsia="Tw Cen MT" w:hAnsi="Cambria Math" w:cs="Arial"/>
                <w:color w:val="FF0000"/>
                <w:lang w:val="en-US"/>
              </w:rPr>
              <m:t>λ</m:t>
            </m:r>
          </m:e>
          <m:sub>
            <m:r>
              <w:rPr>
                <w:rFonts w:ascii="Cambria Math" w:eastAsia="Tw Cen MT" w:hAnsi="Cambria Math" w:cs="Arial"/>
                <w:color w:val="FF0000"/>
                <w:lang w:val="en-US"/>
              </w:rPr>
              <m:t>i</m:t>
            </m:r>
          </m:sub>
        </m:sSub>
        <m:sSub>
          <m:sSubPr>
            <m:ctrlPr>
              <w:rPr>
                <w:rFonts w:ascii="Cambria Math" w:eastAsia="Tw Cen MT" w:hAnsi="Cambria Math" w:cs="Arial"/>
                <w:i/>
                <w:color w:val="FF0000"/>
                <w:lang w:val="en-US"/>
              </w:rPr>
            </m:ctrlPr>
          </m:sSubPr>
          <m:e>
            <m:r>
              <w:rPr>
                <w:rFonts w:ascii="Cambria Math" w:eastAsia="Tw Cen MT" w:hAnsi="Cambria Math" w:cs="Arial"/>
                <w:color w:val="FF0000"/>
                <w:lang w:val="en-US"/>
              </w:rPr>
              <m:t>lent</m:t>
            </m:r>
          </m:e>
          <m:sub>
            <m:r>
              <w:rPr>
                <w:rFonts w:ascii="Cambria Math" w:eastAsia="Tw Cen MT" w:hAnsi="Cambria Math" w:cs="Arial"/>
                <w:color w:val="FF0000"/>
                <w:lang w:val="en-US"/>
              </w:rPr>
              <m:t>t</m:t>
            </m:r>
          </m:sub>
        </m:sSub>
        <m:r>
          <w:rPr>
            <w:rFonts w:ascii="Cambria Math" w:eastAsia="Tw Cen MT" w:hAnsi="Cambria Math" w:cs="Arial"/>
            <w:color w:val="FF0000"/>
            <w:lang w:val="en-US"/>
          </w:rPr>
          <m:t>+</m:t>
        </m:r>
        <m:sSub>
          <m:sSubPr>
            <m:ctrlPr>
              <w:rPr>
                <w:rFonts w:ascii="Cambria Math" w:eastAsia="Tw Cen MT" w:hAnsi="Cambria Math" w:cs="Arial"/>
                <w:i/>
                <w:color w:val="FF0000"/>
                <w:lang w:val="en-US"/>
              </w:rPr>
            </m:ctrlPr>
          </m:sSubPr>
          <m:e>
            <m:r>
              <w:rPr>
                <w:rFonts w:ascii="Cambria Math" w:eastAsia="Tw Cen MT" w:hAnsi="Cambria Math" w:cs="Arial"/>
                <w:color w:val="FF0000"/>
                <w:lang w:val="en-US"/>
              </w:rPr>
              <m:t>ε</m:t>
            </m:r>
          </m:e>
          <m:sub>
            <m:r>
              <w:rPr>
                <w:rFonts w:ascii="Cambria Math" w:eastAsia="Tw Cen MT" w:hAnsi="Cambria Math" w:cs="Arial"/>
                <w:color w:val="FF0000"/>
                <w:lang w:val="en-US"/>
              </w:rPr>
              <m:t>it</m:t>
            </m:r>
          </m:sub>
        </m:sSub>
      </m:oMath>
      <w:r w:rsidR="008534AC" w:rsidRPr="00047B36">
        <w:rPr>
          <w:rFonts w:ascii="Tw Cen MT" w:eastAsia="Tw Cen MT" w:hAnsi="Tw Cen MT" w:cs="Arial"/>
          <w:color w:val="FF0000"/>
          <w:lang w:val="en-US"/>
        </w:rPr>
        <w:tab/>
      </w:r>
      <w:r w:rsidR="004C5121" w:rsidRPr="00047B36">
        <w:rPr>
          <w:rFonts w:ascii="Tw Cen MT" w:eastAsia="Arial" w:hAnsi="Tw Cen MT" w:cs="Arial"/>
          <w:color w:val="FF0000"/>
          <w:lang w:val="en-US"/>
        </w:rPr>
        <w:tab/>
      </w:r>
      <w:r w:rsidR="004C5121" w:rsidRPr="00047B36">
        <w:rPr>
          <w:rFonts w:ascii="Tw Cen MT" w:eastAsia="Arial" w:hAnsi="Tw Cen MT" w:cs="Arial"/>
          <w:color w:val="FF0000"/>
          <w:lang w:val="en-US"/>
        </w:rPr>
        <w:tab/>
      </w:r>
      <w:r w:rsidR="004C5121" w:rsidRPr="00047B36">
        <w:rPr>
          <w:rFonts w:ascii="Tw Cen MT" w:eastAsia="Arial" w:hAnsi="Tw Cen MT" w:cs="Arial"/>
          <w:color w:val="FF0000"/>
          <w:lang w:val="en-US"/>
        </w:rPr>
        <w:tab/>
      </w:r>
      <w:r w:rsidR="004C5121" w:rsidRPr="00047B36">
        <w:rPr>
          <w:rFonts w:ascii="Tw Cen MT" w:eastAsia="Arial" w:hAnsi="Tw Cen MT" w:cs="Arial"/>
          <w:color w:val="FF0000"/>
          <w:lang w:val="en-US"/>
        </w:rPr>
        <w:tab/>
      </w:r>
      <w:r w:rsidR="004C5121" w:rsidRPr="00047B36">
        <w:rPr>
          <w:rFonts w:ascii="Tw Cen MT" w:eastAsia="Arial" w:hAnsi="Tw Cen MT" w:cs="Arial"/>
          <w:color w:val="FF0000"/>
          <w:lang w:val="en-US"/>
        </w:rPr>
        <w:tab/>
      </w:r>
      <w:r w:rsidR="004C5121" w:rsidRPr="00047B36">
        <w:rPr>
          <w:rFonts w:ascii="Tw Cen MT" w:eastAsia="Arial" w:hAnsi="Tw Cen MT" w:cs="Arial"/>
          <w:color w:val="FF0000"/>
          <w:lang w:val="en-US"/>
        </w:rPr>
        <w:tab/>
      </w:r>
      <w:r w:rsidR="004C5121" w:rsidRPr="00047B36">
        <w:rPr>
          <w:rFonts w:ascii="Tw Cen MT" w:eastAsia="Arial" w:hAnsi="Tw Cen MT" w:cs="Arial"/>
          <w:color w:val="FF0000"/>
          <w:lang w:val="en-US"/>
        </w:rPr>
        <w:tab/>
        <w:t>[1]</w:t>
      </w:r>
    </w:p>
    <w:p w:rsidR="000642F5" w:rsidRPr="00047B36" w:rsidRDefault="004C5121" w:rsidP="00727FE8">
      <w:pPr>
        <w:spacing w:after="0" w:line="360" w:lineRule="auto"/>
        <w:jc w:val="both"/>
        <w:rPr>
          <w:rFonts w:ascii="Tw Cen MT" w:eastAsia="Arial" w:hAnsi="Tw Cen MT" w:cs="Arial"/>
          <w:lang w:val="en-US"/>
        </w:rPr>
      </w:pPr>
      <w:r w:rsidRPr="00047B36">
        <w:rPr>
          <w:rFonts w:ascii="Tw Cen MT" w:eastAsia="Arial" w:hAnsi="Tw Cen MT" w:cs="Arial"/>
          <w:lang w:val="en-US"/>
        </w:rPr>
        <w:t>where ln(</w:t>
      </w:r>
      <w:proofErr w:type="spellStart"/>
      <w:r w:rsidRPr="00047B36">
        <w:rPr>
          <w:rFonts w:ascii="Tw Cen MT" w:eastAsia="Arial" w:hAnsi="Tw Cen MT" w:cs="Arial"/>
          <w:lang w:val="en-US"/>
        </w:rPr>
        <w:t>q</w:t>
      </w:r>
      <w:r w:rsidRPr="00047B36">
        <w:rPr>
          <w:rFonts w:ascii="Tw Cen MT" w:eastAsia="Arial" w:hAnsi="Tw Cen MT" w:cs="Arial"/>
          <w:vertAlign w:val="subscript"/>
          <w:lang w:val="en-US"/>
        </w:rPr>
        <w:t>t</w:t>
      </w:r>
      <w:proofErr w:type="spellEnd"/>
      <w:r w:rsidRPr="00047B36">
        <w:rPr>
          <w:rFonts w:ascii="Tw Cen MT" w:eastAsia="Arial" w:hAnsi="Tw Cen MT" w:cs="Arial"/>
          <w:lang w:val="en-US"/>
        </w:rPr>
        <w:t>) stands for the natural logarithm of units sold, ln(q</w:t>
      </w:r>
      <w:r w:rsidRPr="00047B36">
        <w:rPr>
          <w:rFonts w:ascii="Tw Cen MT" w:eastAsia="Arial" w:hAnsi="Tw Cen MT" w:cs="Arial"/>
          <w:vertAlign w:val="subscript"/>
          <w:lang w:val="en-US"/>
        </w:rPr>
        <w:t>(t-1)</w:t>
      </w:r>
      <w:r w:rsidRPr="00047B36">
        <w:rPr>
          <w:rFonts w:ascii="Tw Cen MT" w:eastAsia="Arial" w:hAnsi="Tw Cen MT" w:cs="Arial"/>
          <w:lang w:val="en-US"/>
        </w:rPr>
        <w:t>) stands for one week lagged sales,</w:t>
      </w:r>
      <w:r w:rsidR="00370787" w:rsidRPr="00047B36">
        <w:rPr>
          <w:rFonts w:ascii="Tw Cen MT" w:eastAsia="Arial" w:hAnsi="Tw Cen MT" w:cs="Arial"/>
          <w:lang w:val="en-US"/>
        </w:rPr>
        <w:t xml:space="preserve"> ln(</w:t>
      </w:r>
      <w:proofErr w:type="spellStart"/>
      <w:r w:rsidRPr="00047B36">
        <w:rPr>
          <w:rFonts w:ascii="Tw Cen MT" w:eastAsia="Arial" w:hAnsi="Tw Cen MT" w:cs="Arial"/>
          <w:lang w:val="en-US"/>
        </w:rPr>
        <w:t>p</w:t>
      </w:r>
      <w:r w:rsidR="00370787" w:rsidRPr="00047B36">
        <w:rPr>
          <w:rFonts w:ascii="Tw Cen MT" w:eastAsia="Arial" w:hAnsi="Tw Cen MT" w:cs="Arial"/>
          <w:vertAlign w:val="subscript"/>
          <w:lang w:val="en-US"/>
        </w:rPr>
        <w:t>jt</w:t>
      </w:r>
      <w:proofErr w:type="spellEnd"/>
      <w:r w:rsidR="00370787" w:rsidRPr="00047B36">
        <w:rPr>
          <w:rFonts w:ascii="Tw Cen MT" w:eastAsia="Arial" w:hAnsi="Tw Cen MT" w:cs="Arial"/>
          <w:lang w:val="en-US"/>
        </w:rPr>
        <w:t xml:space="preserve">) </w:t>
      </w:r>
      <w:r w:rsidRPr="00047B36">
        <w:rPr>
          <w:rFonts w:ascii="Tw Cen MT" w:eastAsia="Arial" w:hAnsi="Tw Cen MT" w:cs="Arial"/>
          <w:lang w:val="en-US"/>
        </w:rPr>
        <w:t>stands for unit price</w:t>
      </w:r>
      <w:r w:rsidR="00370787" w:rsidRPr="00047B36">
        <w:rPr>
          <w:rFonts w:ascii="Tw Cen MT" w:eastAsia="Arial" w:hAnsi="Tw Cen MT" w:cs="Arial"/>
          <w:lang w:val="en-US"/>
        </w:rPr>
        <w:t xml:space="preserve"> </w:t>
      </w:r>
      <w:r w:rsidR="00370787" w:rsidRPr="00047B36">
        <w:rPr>
          <w:rFonts w:ascii="Tw Cen MT" w:eastAsia="Arial" w:hAnsi="Tw Cen MT" w:cs="Arial"/>
          <w:color w:val="FF0000"/>
          <w:lang w:val="en-US"/>
        </w:rPr>
        <w:t>(in logs)</w:t>
      </w:r>
      <w:r w:rsidRPr="00047B36">
        <w:rPr>
          <w:rFonts w:ascii="Tw Cen MT" w:eastAsia="Arial" w:hAnsi="Tw Cen MT" w:cs="Arial"/>
          <w:lang w:val="en-US"/>
        </w:rPr>
        <w:t xml:space="preserve"> of product j in week t.  ND stands for numerical distribution, whereas </w:t>
      </w:r>
      <w:proofErr w:type="spellStart"/>
      <w:r w:rsidRPr="00047B36">
        <w:rPr>
          <w:rFonts w:ascii="Tw Cen MT" w:eastAsia="Arial" w:hAnsi="Tw Cen MT" w:cs="Arial"/>
          <w:lang w:val="en-US"/>
        </w:rPr>
        <w:t>Width</w:t>
      </w:r>
      <w:r w:rsidRPr="00047B36">
        <w:rPr>
          <w:rFonts w:ascii="Tw Cen MT" w:eastAsia="Arial" w:hAnsi="Tw Cen MT" w:cs="Arial"/>
          <w:vertAlign w:val="subscript"/>
          <w:lang w:val="en-US"/>
        </w:rPr>
        <w:t>jt</w:t>
      </w:r>
      <w:proofErr w:type="spellEnd"/>
      <w:r w:rsidRPr="00047B36">
        <w:rPr>
          <w:rFonts w:ascii="Tw Cen MT" w:eastAsia="Arial" w:hAnsi="Tw Cen MT" w:cs="Arial"/>
          <w:lang w:val="en-US"/>
        </w:rPr>
        <w:t xml:space="preserve"> stands for “width of promotion” of product j in week t. </w:t>
      </w:r>
    </w:p>
    <w:p w:rsidR="008534AC" w:rsidRPr="00047B36" w:rsidRDefault="008534AC" w:rsidP="00727FE8">
      <w:pPr>
        <w:spacing w:after="0" w:line="360" w:lineRule="auto"/>
        <w:jc w:val="both"/>
        <w:rPr>
          <w:rFonts w:ascii="Tw Cen MT" w:hAnsi="Tw Cen MT"/>
          <w:color w:val="FF0000"/>
          <w:lang w:val="en-US"/>
        </w:rPr>
      </w:pPr>
      <w:r w:rsidRPr="00047B36">
        <w:rPr>
          <w:rFonts w:ascii="Tw Cen MT" w:eastAsia="Arial" w:hAnsi="Tw Cen MT" w:cs="Arial"/>
          <w:color w:val="FF0000"/>
          <w:lang w:val="en-US"/>
        </w:rPr>
        <w:t>The demand equation follows the standard double-log functional form</w:t>
      </w:r>
      <w:r w:rsidR="00FD28EE" w:rsidRPr="00047B36">
        <w:rPr>
          <w:rFonts w:ascii="Tw Cen MT" w:eastAsia="Arial" w:hAnsi="Tw Cen MT" w:cs="Arial"/>
          <w:color w:val="FF0000"/>
          <w:lang w:val="en-US"/>
        </w:rPr>
        <w:t xml:space="preserve"> for quantities and prices</w:t>
      </w:r>
      <w:r w:rsidRPr="00047B36">
        <w:rPr>
          <w:rFonts w:ascii="Tw Cen MT" w:eastAsia="Arial" w:hAnsi="Tw Cen MT" w:cs="Arial"/>
          <w:color w:val="FF0000"/>
          <w:lang w:val="en-US"/>
        </w:rPr>
        <w:t xml:space="preserve">, as </w:t>
      </w:r>
      <w:r w:rsidR="00FD28EE" w:rsidRPr="00047B36">
        <w:rPr>
          <w:rFonts w:ascii="Tw Cen MT" w:eastAsia="Arial" w:hAnsi="Tw Cen MT" w:cs="Arial"/>
          <w:color w:val="FF0000"/>
          <w:lang w:val="en-US"/>
        </w:rPr>
        <w:t xml:space="preserve">it is </w:t>
      </w:r>
      <w:r w:rsidRPr="00047B36">
        <w:rPr>
          <w:rFonts w:ascii="Tw Cen MT" w:eastAsia="Arial" w:hAnsi="Tw Cen MT" w:cs="Arial"/>
          <w:color w:val="FF0000"/>
          <w:lang w:val="en-US"/>
        </w:rPr>
        <w:t xml:space="preserve">usual in marketing </w:t>
      </w:r>
      <w:r w:rsidR="00FD28EE" w:rsidRPr="00047B36">
        <w:rPr>
          <w:rFonts w:ascii="Tw Cen MT" w:eastAsia="Arial" w:hAnsi="Tw Cen MT" w:cs="Arial"/>
          <w:color w:val="FF0000"/>
          <w:lang w:val="en-US"/>
        </w:rPr>
        <w:t>econometric</w:t>
      </w:r>
      <w:r w:rsidRPr="00047B36">
        <w:rPr>
          <w:rFonts w:ascii="Tw Cen MT" w:eastAsia="Arial" w:hAnsi="Tw Cen MT" w:cs="Arial"/>
          <w:color w:val="FF0000"/>
          <w:lang w:val="en-US"/>
        </w:rPr>
        <w:t xml:space="preserve"> literature</w:t>
      </w:r>
      <w:r w:rsidR="00711D34" w:rsidRPr="00047B36">
        <w:rPr>
          <w:rFonts w:ascii="Tw Cen MT" w:eastAsia="Arial" w:hAnsi="Tw Cen MT" w:cs="Arial"/>
          <w:color w:val="FF0000"/>
          <w:lang w:val="en-US"/>
        </w:rPr>
        <w:t xml:space="preserve"> (Hoch </w:t>
      </w:r>
      <w:r w:rsidR="00711D34" w:rsidRPr="00047B36">
        <w:rPr>
          <w:rFonts w:ascii="Tw Cen MT" w:eastAsia="Arial" w:hAnsi="Tw Cen MT" w:cs="Arial"/>
          <w:i/>
          <w:color w:val="FF0000"/>
          <w:lang w:val="en-US"/>
        </w:rPr>
        <w:t>et, al</w:t>
      </w:r>
      <w:r w:rsidR="00711D34" w:rsidRPr="00047B36">
        <w:rPr>
          <w:rFonts w:ascii="Tw Cen MT" w:eastAsia="Arial" w:hAnsi="Tw Cen MT" w:cs="Arial"/>
          <w:color w:val="FF0000"/>
          <w:lang w:val="en-US"/>
        </w:rPr>
        <w:t xml:space="preserve">, 1995, </w:t>
      </w:r>
      <w:r w:rsidRPr="00047B36">
        <w:rPr>
          <w:rFonts w:ascii="Tw Cen MT" w:eastAsia="Arial" w:hAnsi="Tw Cen MT" w:cs="Arial"/>
          <w:color w:val="FF0000"/>
          <w:lang w:val="en-US"/>
        </w:rPr>
        <w:t xml:space="preserve">Alston </w:t>
      </w:r>
      <w:r w:rsidRPr="00047B36">
        <w:rPr>
          <w:rFonts w:ascii="Tw Cen MT" w:eastAsia="Arial" w:hAnsi="Tw Cen MT" w:cs="Arial"/>
          <w:i/>
          <w:color w:val="FF0000"/>
          <w:lang w:val="en-US"/>
        </w:rPr>
        <w:t xml:space="preserve">et al., </w:t>
      </w:r>
      <w:r w:rsidRPr="00047B36">
        <w:rPr>
          <w:rFonts w:ascii="Tw Cen MT" w:eastAsia="Arial" w:hAnsi="Tw Cen MT" w:cs="Arial"/>
          <w:color w:val="FF0000"/>
          <w:lang w:val="en-US"/>
        </w:rPr>
        <w:t>2002)</w:t>
      </w:r>
      <w:r w:rsidR="00FD28EE" w:rsidRPr="00047B36">
        <w:rPr>
          <w:rFonts w:ascii="Tw Cen MT" w:eastAsia="Arial" w:hAnsi="Tw Cen MT" w:cs="Arial"/>
          <w:color w:val="FF0000"/>
          <w:lang w:val="en-US"/>
        </w:rPr>
        <w:t xml:space="preserve">. Numerical distribution and width promotion were not transformed because they are percentage themselves and this eases interpretation. </w:t>
      </w:r>
    </w:p>
    <w:p w:rsidR="008534AC" w:rsidRPr="00047B36" w:rsidRDefault="008534AC" w:rsidP="008534AC">
      <w:pPr>
        <w:spacing w:after="0" w:line="360" w:lineRule="auto"/>
        <w:jc w:val="both"/>
        <w:rPr>
          <w:rFonts w:ascii="Tw Cen MT" w:eastAsia="Tw Cen MT" w:hAnsi="Tw Cen MT" w:cs="Arial"/>
          <w:lang w:val="en-US"/>
        </w:rPr>
      </w:pPr>
      <w:r w:rsidRPr="00047B36">
        <w:rPr>
          <w:rFonts w:ascii="Tw Cen MT" w:eastAsia="Tw Cen MT" w:hAnsi="Tw Cen MT" w:cs="Arial"/>
          <w:lang w:val="en-US"/>
        </w:rPr>
        <w:t xml:space="preserve">The coefficients </w:t>
      </w:r>
      <w:r w:rsidRPr="00047B36">
        <w:rPr>
          <w:rFonts w:ascii="Tw Cen MT" w:eastAsia="Tw Cen MT" w:hAnsi="Tw Cen MT" w:cs="Arial"/>
          <w:lang w:val="en-US"/>
        </w:rPr>
        <w:t></w:t>
      </w:r>
      <w:r w:rsidRPr="00047B36">
        <w:rPr>
          <w:rFonts w:ascii="Tw Cen MT" w:eastAsia="Tw Cen MT" w:hAnsi="Tw Cen MT" w:cs="Arial"/>
          <w:lang w:val="en-US"/>
        </w:rPr>
        <w:t xml:space="preserve">can be directly interpreted as price </w:t>
      </w:r>
      <w:r w:rsidRPr="00047B36">
        <w:rPr>
          <w:rFonts w:ascii="Tw Cen MT" w:eastAsia="Tw Cen MT" w:hAnsi="Tw Cen MT" w:cs="Arial"/>
          <w:color w:val="FF0000"/>
          <w:lang w:val="en-US"/>
        </w:rPr>
        <w:t>elasticities</w:t>
      </w:r>
      <w:r w:rsidRPr="00047B36">
        <w:rPr>
          <w:rFonts w:ascii="Tw Cen MT" w:eastAsia="Tw Cen MT" w:hAnsi="Tw Cen MT" w:cs="Arial"/>
          <w:lang w:val="en-US"/>
        </w:rPr>
        <w:t xml:space="preserve">, being own-price elasticities when subscripts </w:t>
      </w:r>
      <w:proofErr w:type="spellStart"/>
      <w:r w:rsidRPr="00047B36">
        <w:rPr>
          <w:rFonts w:ascii="Tw Cen MT" w:eastAsia="Tw Cen MT" w:hAnsi="Tw Cen MT" w:cs="Arial"/>
          <w:lang w:val="en-US"/>
        </w:rPr>
        <w:t>i</w:t>
      </w:r>
      <w:proofErr w:type="spellEnd"/>
      <w:r w:rsidRPr="00047B36">
        <w:rPr>
          <w:rFonts w:ascii="Tw Cen MT" w:eastAsia="Tw Cen MT" w:hAnsi="Tw Cen MT" w:cs="Arial"/>
          <w:lang w:val="en-US"/>
        </w:rPr>
        <w:t xml:space="preserve"> and j are equal, and cross-price elasticities otherwise. </w:t>
      </w:r>
    </w:p>
    <w:p w:rsidR="008534AC" w:rsidRPr="00047B36" w:rsidRDefault="008534AC" w:rsidP="008534AC">
      <w:pPr>
        <w:spacing w:after="0" w:line="360" w:lineRule="auto"/>
        <w:jc w:val="both"/>
        <w:rPr>
          <w:rFonts w:ascii="Tw Cen MT" w:eastAsia="Tw Cen MT" w:hAnsi="Tw Cen MT" w:cs="Arial"/>
          <w:lang w:val="en-US"/>
        </w:rPr>
      </w:pPr>
      <w:r w:rsidRPr="00047B36">
        <w:rPr>
          <w:rFonts w:ascii="Tw Cen MT" w:eastAsia="Tw Cen MT" w:hAnsi="Tw Cen MT" w:cs="Arial"/>
          <w:lang w:val="en-US"/>
        </w:rPr>
        <w:t xml:space="preserve"> coefficients represent sales – numerical distribution semi-elasticities, and </w:t>
      </w:r>
      <w:r w:rsidRPr="00047B36">
        <w:rPr>
          <w:rFonts w:ascii="Tw Cen MT" w:eastAsia="Tw Cen MT" w:hAnsi="Tw Cen MT" w:cs="Arial"/>
          <w:lang w:val="en-US"/>
        </w:rPr>
        <w:t xml:space="preserve"> sales semi-elasticities to changes in width of promotion. Finally </w:t>
      </w:r>
      <w:r w:rsidRPr="00047B36">
        <w:rPr>
          <w:rFonts w:ascii="Tw Cen MT" w:eastAsia="Tw Cen MT" w:hAnsi="Tw Cen MT" w:cs="Arial"/>
          <w:lang w:val="en-US"/>
        </w:rPr>
        <w:t xml:space="preserve"> and </w:t>
      </w:r>
      <w:r w:rsidRPr="00047B36">
        <w:rPr>
          <w:rFonts w:ascii="Tw Cen MT" w:eastAsia="Tw Cen MT" w:hAnsi="Tw Cen MT" w:cs="Arial"/>
          <w:lang w:val="en-US"/>
        </w:rPr>
        <w:t> coefficient captures percentage changes in sales in the period of Christmas and Lent, respectively.</w:t>
      </w:r>
    </w:p>
    <w:p w:rsidR="000642F5" w:rsidRPr="00047B36" w:rsidRDefault="004C5121" w:rsidP="00727FE8">
      <w:pPr>
        <w:spacing w:after="0" w:line="360" w:lineRule="auto"/>
        <w:jc w:val="both"/>
        <w:rPr>
          <w:rFonts w:ascii="Tw Cen MT" w:hAnsi="Tw Cen MT"/>
          <w:lang w:val="en-US"/>
        </w:rPr>
      </w:pPr>
      <w:r w:rsidRPr="00047B36">
        <w:rPr>
          <w:rFonts w:ascii="Tw Cen MT" w:eastAsia="Arial" w:hAnsi="Tw Cen MT" w:cs="Arial"/>
          <w:b/>
          <w:lang w:val="en-US"/>
        </w:rPr>
        <w:t>3.3.Variables definition</w:t>
      </w:r>
    </w:p>
    <w:p w:rsidR="000642F5" w:rsidRPr="00047B36" w:rsidRDefault="004C5121" w:rsidP="00727FE8">
      <w:pPr>
        <w:spacing w:after="0" w:line="360" w:lineRule="auto"/>
        <w:jc w:val="both"/>
        <w:rPr>
          <w:rFonts w:ascii="Tw Cen MT" w:hAnsi="Tw Cen MT"/>
          <w:lang w:val="en-US"/>
        </w:rPr>
      </w:pPr>
      <w:r w:rsidRPr="00047B36">
        <w:rPr>
          <w:rFonts w:ascii="Tw Cen MT" w:eastAsia="Arial" w:hAnsi="Tw Cen MT" w:cs="Arial"/>
          <w:i/>
          <w:lang w:val="en-US"/>
        </w:rPr>
        <w:t xml:space="preserve">Quantities. </w:t>
      </w:r>
      <w:r w:rsidRPr="00047B36">
        <w:rPr>
          <w:rFonts w:ascii="Tw Cen MT" w:eastAsia="Arial" w:hAnsi="Tw Cen MT" w:cs="Arial"/>
          <w:lang w:val="en-US"/>
        </w:rPr>
        <w:t>Equivalent physical units sold from each category have been used as dependent variables in each demand equation. They have been measured in logs due to two reasons: first, weekly quantities show high positive (right) skewness; second, the univariate relationship between quantities sold and price is not linear</w:t>
      </w:r>
      <w:r w:rsidR="00B41548" w:rsidRPr="00047B36">
        <w:rPr>
          <w:rFonts w:ascii="Tw Cen MT" w:eastAsia="Arial" w:hAnsi="Tw Cen MT" w:cs="Arial"/>
          <w:lang w:val="en-US"/>
        </w:rPr>
        <w:t>.</w:t>
      </w:r>
    </w:p>
    <w:p w:rsidR="000642F5" w:rsidRPr="00047B36" w:rsidRDefault="004C5121" w:rsidP="00727FE8">
      <w:pPr>
        <w:spacing w:after="0" w:line="360" w:lineRule="auto"/>
        <w:jc w:val="both"/>
        <w:rPr>
          <w:rFonts w:ascii="Tw Cen MT" w:hAnsi="Tw Cen MT"/>
          <w:lang w:val="en-US"/>
        </w:rPr>
      </w:pPr>
      <w:r w:rsidRPr="00047B36">
        <w:rPr>
          <w:rFonts w:ascii="Tw Cen MT" w:eastAsia="Arial" w:hAnsi="Tw Cen MT" w:cs="Arial"/>
          <w:i/>
          <w:lang w:val="en-US"/>
        </w:rPr>
        <w:t xml:space="preserve">Lagged log-quantities. </w:t>
      </w:r>
      <w:r w:rsidRPr="00047B36">
        <w:rPr>
          <w:rFonts w:ascii="Tw Cen MT" w:eastAsia="Arial" w:hAnsi="Tw Cen MT" w:cs="Arial"/>
          <w:lang w:val="en-US"/>
        </w:rPr>
        <w:t xml:space="preserve">Each equation includes one week lagged equivalent  units  sold  (in  logs)  to capture possible  inertial  effects  in  sales if  one week’s sales influence  sales  for  the  following week due to stockpiling effects or the habitual inclusion of fish in the shopping basket. </w:t>
      </w:r>
    </w:p>
    <w:p w:rsidR="000642F5" w:rsidRPr="00047B36" w:rsidRDefault="004C5121" w:rsidP="00727FE8">
      <w:pPr>
        <w:spacing w:after="0" w:line="360" w:lineRule="auto"/>
        <w:jc w:val="both"/>
        <w:rPr>
          <w:rFonts w:ascii="Tw Cen MT" w:hAnsi="Tw Cen MT"/>
          <w:color w:val="FF0000"/>
          <w:lang w:val="en-US"/>
        </w:rPr>
      </w:pPr>
      <w:r w:rsidRPr="00047B36">
        <w:rPr>
          <w:rFonts w:ascii="Tw Cen MT" w:eastAsia="Arial" w:hAnsi="Tw Cen MT" w:cs="Arial"/>
          <w:i/>
          <w:lang w:val="en-US"/>
        </w:rPr>
        <w:t xml:space="preserve">Prices. </w:t>
      </w:r>
      <w:r w:rsidRPr="00047B36">
        <w:rPr>
          <w:rFonts w:ascii="Tw Cen MT" w:eastAsia="Arial" w:hAnsi="Tw Cen MT" w:cs="Arial"/>
          <w:lang w:val="en-US"/>
        </w:rPr>
        <w:t>For each week and product, prices are calculated by dividing sales value between sales units. Therefore, price is given as a unit value, not actual price (</w:t>
      </w:r>
      <w:proofErr w:type="spellStart"/>
      <w:r w:rsidRPr="00047B36">
        <w:rPr>
          <w:rFonts w:ascii="Tw Cen MT" w:eastAsia="Arial" w:hAnsi="Tw Cen MT" w:cs="Arial"/>
          <w:lang w:val="en-US"/>
        </w:rPr>
        <w:t>Roheim</w:t>
      </w:r>
      <w:proofErr w:type="spellEnd"/>
      <w:r w:rsidRPr="00047B36">
        <w:rPr>
          <w:rFonts w:ascii="Tw Cen MT" w:eastAsia="Arial" w:hAnsi="Tw Cen MT" w:cs="Arial"/>
          <w:lang w:val="en-US"/>
        </w:rPr>
        <w:t xml:space="preserve"> et al. 2011).</w:t>
      </w:r>
      <w:r w:rsidR="00711D34" w:rsidRPr="00047B36">
        <w:rPr>
          <w:rFonts w:ascii="Tw Cen MT" w:eastAsia="Arial" w:hAnsi="Tw Cen MT" w:cs="Arial"/>
          <w:lang w:val="en-US"/>
        </w:rPr>
        <w:t xml:space="preserve"> </w:t>
      </w:r>
      <w:r w:rsidR="00F44747" w:rsidRPr="00047B36">
        <w:rPr>
          <w:rFonts w:ascii="Tw Cen MT" w:eastAsia="Arial" w:hAnsi="Tw Cen MT" w:cs="Arial"/>
          <w:b/>
          <w:color w:val="FF0000"/>
          <w:lang w:val="en-US"/>
        </w:rPr>
        <w:t>Prices have measured in logs for the same reasons as quantities above.</w:t>
      </w:r>
      <w:r w:rsidR="00F44747" w:rsidRPr="00047B36">
        <w:rPr>
          <w:rFonts w:ascii="Tw Cen MT" w:eastAsia="Arial" w:hAnsi="Tw Cen MT" w:cs="Arial"/>
          <w:color w:val="FF0000"/>
          <w:lang w:val="en-US"/>
        </w:rPr>
        <w:t xml:space="preserve"> </w:t>
      </w:r>
    </w:p>
    <w:p w:rsidR="000642F5" w:rsidRPr="00047B36" w:rsidRDefault="004C5121" w:rsidP="00727FE8">
      <w:pPr>
        <w:spacing w:after="0" w:line="360" w:lineRule="auto"/>
        <w:jc w:val="both"/>
        <w:rPr>
          <w:rFonts w:ascii="Tw Cen MT" w:hAnsi="Tw Cen MT"/>
          <w:lang w:val="en-US"/>
        </w:rPr>
      </w:pPr>
      <w:r w:rsidRPr="00047B36">
        <w:rPr>
          <w:rFonts w:ascii="Tw Cen MT" w:eastAsia="Arial" w:hAnsi="Tw Cen MT" w:cs="Arial"/>
          <w:i/>
          <w:lang w:val="en-US"/>
        </w:rPr>
        <w:t xml:space="preserve">Numerical distribution. </w:t>
      </w:r>
      <w:r w:rsidRPr="00047B36">
        <w:rPr>
          <w:rFonts w:ascii="Tw Cen MT" w:eastAsia="Arial" w:hAnsi="Tw Cen MT" w:cs="Arial"/>
          <w:lang w:val="en-US"/>
        </w:rPr>
        <w:t xml:space="preserve">This variable  has  been  calculated  as  the  percentage of  retailers  selling  each  of  the products each week. ND is an indicator of availability of the product, as a high ND indicates widespread availability. </w:t>
      </w:r>
    </w:p>
    <w:p w:rsidR="000642F5" w:rsidRPr="00047B36" w:rsidRDefault="004C5121" w:rsidP="00727FE8">
      <w:pPr>
        <w:spacing w:after="0" w:line="360" w:lineRule="auto"/>
        <w:jc w:val="both"/>
        <w:rPr>
          <w:rFonts w:ascii="Tw Cen MT" w:hAnsi="Tw Cen MT"/>
          <w:lang w:val="en-US"/>
        </w:rPr>
      </w:pPr>
      <w:r w:rsidRPr="00047B36">
        <w:rPr>
          <w:rFonts w:ascii="Tw Cen MT" w:eastAsia="Arial" w:hAnsi="Tw Cen MT" w:cs="Arial"/>
          <w:i/>
          <w:lang w:val="en-US"/>
        </w:rPr>
        <w:t xml:space="preserve">Width of promotion. </w:t>
      </w:r>
      <w:r w:rsidRPr="00047B36">
        <w:rPr>
          <w:rFonts w:ascii="Tw Cen MT" w:eastAsia="Arial" w:hAnsi="Tw Cen MT" w:cs="Arial"/>
          <w:lang w:val="en-US"/>
        </w:rPr>
        <w:t xml:space="preserve">This variable has been calculated as a percentage of retailers where the subcategory is sold by promotion over total number of retailers where the subcategory j is for sale. It is worth mentioning that the effects that both availability and width of promotion have on sales depends on the size of the retailers where the product is present or on promotion. A large retailer gives more people the opportunity to buy the product than a small retailer (making the </w:t>
      </w:r>
      <w:r w:rsidRPr="00047B36">
        <w:rPr>
          <w:rFonts w:ascii="Tw Cen MT" w:eastAsia="Arial" w:hAnsi="Tw Cen MT" w:cs="Arial"/>
          <w:lang w:val="en-US"/>
        </w:rPr>
        <w:lastRenderedPageBreak/>
        <w:t xml:space="preserve">assumption that no one chooses a retailer because of certified fish). Therefore, both variables should have been built weighted by retailer size, but this information was not available for the authors. </w:t>
      </w:r>
    </w:p>
    <w:p w:rsidR="000642F5" w:rsidRPr="00047B36" w:rsidRDefault="004C5121" w:rsidP="00727FE8">
      <w:pPr>
        <w:spacing w:after="0" w:line="360" w:lineRule="auto"/>
        <w:jc w:val="both"/>
        <w:rPr>
          <w:rFonts w:ascii="Tw Cen MT" w:hAnsi="Tw Cen MT"/>
          <w:lang w:val="en-US"/>
        </w:rPr>
      </w:pPr>
      <w:r w:rsidRPr="00047B36">
        <w:rPr>
          <w:rFonts w:ascii="Tw Cen MT" w:eastAsia="Arial" w:hAnsi="Tw Cen MT" w:cs="Arial"/>
          <w:i/>
          <w:lang w:val="en-US"/>
        </w:rPr>
        <w:t xml:space="preserve">Seasonal Time effects. </w:t>
      </w:r>
    </w:p>
    <w:p w:rsidR="000642F5" w:rsidRPr="00047B36" w:rsidRDefault="004C5121" w:rsidP="00727FE8">
      <w:pPr>
        <w:spacing w:after="0" w:line="360" w:lineRule="auto"/>
        <w:ind w:left="708"/>
        <w:jc w:val="both"/>
        <w:rPr>
          <w:rFonts w:ascii="Tw Cen MT" w:hAnsi="Tw Cen MT"/>
          <w:lang w:val="en-US"/>
        </w:rPr>
      </w:pPr>
      <w:r w:rsidRPr="00047B36">
        <w:rPr>
          <w:rFonts w:ascii="Tw Cen MT" w:eastAsia="Arial" w:hAnsi="Tw Cen MT" w:cs="Arial"/>
          <w:lang w:val="en-US"/>
        </w:rPr>
        <w:t>Christmas. This variable takes value 1 if the week “</w:t>
      </w:r>
      <w:proofErr w:type="spellStart"/>
      <w:r w:rsidRPr="00047B36">
        <w:rPr>
          <w:rFonts w:ascii="Tw Cen MT" w:eastAsia="Arial" w:hAnsi="Tw Cen MT" w:cs="Arial"/>
          <w:lang w:val="en-US"/>
        </w:rPr>
        <w:t>i-th</w:t>
      </w:r>
      <w:proofErr w:type="spellEnd"/>
      <w:r w:rsidRPr="00047B36">
        <w:rPr>
          <w:rFonts w:ascii="Tw Cen MT" w:eastAsia="Arial" w:hAnsi="Tw Cen MT" w:cs="Arial"/>
          <w:lang w:val="en-US"/>
        </w:rPr>
        <w:t>” is week 50, 51 or 52 (Christmas time and  previous  weeks,  when  it  is  supposed  consumers  make  their  purchases  for  Christmas celebrations),  and  it  takes  value  0  otherwise.  This dummy tries to capture seasonal effects on prices due to Christmas (and pre-Christmas) special buys.</w:t>
      </w:r>
    </w:p>
    <w:p w:rsidR="000642F5" w:rsidRPr="00047B36" w:rsidRDefault="004C5121" w:rsidP="00727FE8">
      <w:pPr>
        <w:spacing w:after="0" w:line="360" w:lineRule="auto"/>
        <w:ind w:left="708"/>
        <w:jc w:val="both"/>
        <w:rPr>
          <w:rFonts w:ascii="Tw Cen MT" w:hAnsi="Tw Cen MT"/>
          <w:lang w:val="en-US"/>
        </w:rPr>
      </w:pPr>
      <w:r w:rsidRPr="00047B36">
        <w:rPr>
          <w:rFonts w:ascii="Tw Cen MT" w:eastAsia="Arial" w:hAnsi="Tw Cen MT" w:cs="Arial"/>
          <w:lang w:val="en-US"/>
        </w:rPr>
        <w:t>Lent. This variable takes value 1 if the week belongs to the Lent period (six weeks previous to Easter) and 0 otherwise. This dummy intends to capture seasonal effects on sales due to Easter's cooking traditions. In the Catholic tradition, meat consumption is forbidden some days during Lent period. The tradition is to replace meat with fish, especially cod. Nowadays, despite the loss of religious influence, the cooking traditions remain and this is the rationale for adding this variable to the models.</w:t>
      </w:r>
    </w:p>
    <w:p w:rsidR="000642F5" w:rsidRPr="00047B36" w:rsidRDefault="004C5121" w:rsidP="00727FE8">
      <w:pPr>
        <w:spacing w:after="0" w:line="360" w:lineRule="auto"/>
        <w:jc w:val="both"/>
        <w:rPr>
          <w:rFonts w:ascii="Tw Cen MT" w:hAnsi="Tw Cen MT"/>
          <w:lang w:val="en-US"/>
        </w:rPr>
      </w:pPr>
      <w:r w:rsidRPr="00047B36">
        <w:rPr>
          <w:rFonts w:ascii="Tw Cen MT" w:eastAsia="Arial" w:hAnsi="Tw Cen MT" w:cs="Arial"/>
          <w:b/>
          <w:lang w:val="en-US"/>
        </w:rPr>
        <w:t xml:space="preserve">3.4.Model and econometric technique of estimation </w:t>
      </w:r>
    </w:p>
    <w:p w:rsidR="000642F5" w:rsidRPr="00047B36" w:rsidRDefault="004C5121" w:rsidP="00727FE8">
      <w:pPr>
        <w:spacing w:after="0" w:line="360" w:lineRule="auto"/>
        <w:jc w:val="both"/>
        <w:rPr>
          <w:rFonts w:ascii="Tw Cen MT" w:hAnsi="Tw Cen MT"/>
          <w:lang w:val="en-US"/>
        </w:rPr>
      </w:pPr>
      <w:bookmarkStart w:id="1" w:name="gjdgxs" w:colFirst="0" w:colLast="0"/>
      <w:bookmarkEnd w:id="1"/>
      <w:r w:rsidRPr="00047B36">
        <w:rPr>
          <w:rFonts w:ascii="Tw Cen MT" w:eastAsia="Arial" w:hAnsi="Tw Cen MT" w:cs="Arial"/>
          <w:lang w:val="en-US"/>
        </w:rPr>
        <w:t xml:space="preserve">Instead of estimating each equation separately, three SUR systems of equations were computed, one for each of the species. Each of these SUR systems conjointly estimates the three brands for hake and cod (MSC-certified NB, noncertified NB, and PB), and the four brands for frozen processed hake (MSC-certified NB and PB, and noncertified NB and PB). </w:t>
      </w:r>
    </w:p>
    <w:p w:rsidR="000642F5" w:rsidRPr="00047B36" w:rsidRDefault="004C5121" w:rsidP="00727FE8">
      <w:pPr>
        <w:spacing w:after="0" w:line="360" w:lineRule="auto"/>
        <w:jc w:val="both"/>
        <w:rPr>
          <w:rFonts w:ascii="Tw Cen MT" w:hAnsi="Tw Cen MT"/>
          <w:lang w:val="en-US"/>
        </w:rPr>
      </w:pPr>
      <w:r w:rsidRPr="00047B36">
        <w:rPr>
          <w:rFonts w:ascii="Tw Cen MT" w:eastAsia="Arial" w:hAnsi="Tw Cen MT" w:cs="Arial"/>
          <w:lang w:val="en-US"/>
        </w:rPr>
        <w:t>The reason for using SUR models is that as the error terms of each equation within each of the categories could be contemporaneously correlated (all unobserved effects common to the whole category), we can achieve a more efficient estimation than by doing separated estimations by OLS (</w:t>
      </w:r>
      <w:proofErr w:type="spellStart"/>
      <w:r w:rsidRPr="00047B36">
        <w:rPr>
          <w:rFonts w:ascii="Tw Cen MT" w:eastAsia="Arial" w:hAnsi="Tw Cen MT" w:cs="Arial"/>
          <w:lang w:val="en-US"/>
        </w:rPr>
        <w:t>Zellner</w:t>
      </w:r>
      <w:proofErr w:type="spellEnd"/>
      <w:r w:rsidRPr="00047B36">
        <w:rPr>
          <w:rFonts w:ascii="Tw Cen MT" w:eastAsia="Arial" w:hAnsi="Tw Cen MT" w:cs="Arial"/>
          <w:lang w:val="en-US"/>
        </w:rPr>
        <w:t xml:space="preserve"> 1962). </w:t>
      </w:r>
    </w:p>
    <w:p w:rsidR="000642F5" w:rsidRPr="00047B36" w:rsidRDefault="004C5121" w:rsidP="00727FE8">
      <w:pPr>
        <w:spacing w:after="0" w:line="360" w:lineRule="auto"/>
        <w:jc w:val="both"/>
        <w:rPr>
          <w:rFonts w:ascii="Tw Cen MT" w:hAnsi="Tw Cen MT"/>
          <w:lang w:val="en-US"/>
        </w:rPr>
      </w:pPr>
      <w:r w:rsidRPr="00047B36">
        <w:rPr>
          <w:rFonts w:ascii="Tw Cen MT" w:eastAsia="Arial" w:hAnsi="Tw Cen MT" w:cs="Arial"/>
          <w:lang w:val="en-US"/>
        </w:rPr>
        <w:t xml:space="preserve">The </w:t>
      </w:r>
      <w:proofErr w:type="spellStart"/>
      <w:r w:rsidRPr="00047B36">
        <w:rPr>
          <w:rFonts w:ascii="Tw Cen MT" w:eastAsia="Arial" w:hAnsi="Tw Cen MT" w:cs="Arial"/>
          <w:lang w:val="en-US"/>
        </w:rPr>
        <w:t>Breusch</w:t>
      </w:r>
      <w:proofErr w:type="spellEnd"/>
      <w:r w:rsidRPr="00047B36">
        <w:rPr>
          <w:rFonts w:ascii="Tw Cen MT" w:eastAsia="Arial" w:hAnsi="Tw Cen MT" w:cs="Arial"/>
          <w:lang w:val="en-US"/>
        </w:rPr>
        <w:t xml:space="preserve">–Pagan test rejects the null hypothesis that residuals in each equation are uncorrelated at a 1% level of significance for frozen hake and frozen hake systems, whereas the strength of evidence against the null is lesser in the frozen processed cod system. It must be remarked that these gains in efficiency can only be achieved if the set of </w:t>
      </w:r>
      <w:proofErr w:type="spellStart"/>
      <w:r w:rsidRPr="00047B36">
        <w:rPr>
          <w:rFonts w:ascii="Tw Cen MT" w:eastAsia="Arial" w:hAnsi="Tw Cen MT" w:cs="Arial"/>
          <w:lang w:val="en-US"/>
        </w:rPr>
        <w:t>regressors</w:t>
      </w:r>
      <w:proofErr w:type="spellEnd"/>
      <w:r w:rsidRPr="00047B36">
        <w:rPr>
          <w:rFonts w:ascii="Tw Cen MT" w:eastAsia="Arial" w:hAnsi="Tw Cen MT" w:cs="Arial"/>
          <w:lang w:val="en-US"/>
        </w:rPr>
        <w:t xml:space="preserve"> in each equation of the system is not the same, as it is in this case.</w:t>
      </w:r>
    </w:p>
    <w:p w:rsidR="000642F5" w:rsidRPr="00047B36" w:rsidRDefault="004C5121" w:rsidP="00727FE8">
      <w:pPr>
        <w:spacing w:after="0" w:line="360" w:lineRule="auto"/>
        <w:jc w:val="both"/>
        <w:rPr>
          <w:rFonts w:ascii="Tw Cen MT" w:hAnsi="Tw Cen MT"/>
          <w:lang w:val="en-US"/>
        </w:rPr>
      </w:pPr>
      <w:r w:rsidRPr="00047B36">
        <w:rPr>
          <w:rFonts w:ascii="Tw Cen MT" w:eastAsia="Arial" w:hAnsi="Tw Cen MT" w:cs="Arial"/>
          <w:b/>
          <w:lang w:val="en-US"/>
        </w:rPr>
        <w:t>4. Results</w:t>
      </w:r>
    </w:p>
    <w:p w:rsidR="000642F5" w:rsidRPr="00047B36" w:rsidRDefault="004C5121" w:rsidP="00727FE8">
      <w:pPr>
        <w:spacing w:after="0" w:line="360" w:lineRule="auto"/>
        <w:rPr>
          <w:rFonts w:ascii="Tw Cen MT" w:hAnsi="Tw Cen MT"/>
          <w:lang w:val="en-US"/>
        </w:rPr>
      </w:pPr>
      <w:r w:rsidRPr="00047B36">
        <w:rPr>
          <w:rFonts w:ascii="Tw Cen MT" w:eastAsia="Arial" w:hAnsi="Tw Cen MT" w:cs="Arial"/>
          <w:b/>
          <w:lang w:val="en-US"/>
        </w:rPr>
        <w:t>4.1. Market share</w:t>
      </w:r>
    </w:p>
    <w:p w:rsidR="000642F5" w:rsidRPr="00047B36" w:rsidRDefault="004C5121" w:rsidP="00727FE8">
      <w:pPr>
        <w:spacing w:after="0" w:line="360" w:lineRule="auto"/>
        <w:jc w:val="both"/>
        <w:rPr>
          <w:rFonts w:ascii="Tw Cen MT" w:hAnsi="Tw Cen MT"/>
          <w:lang w:val="en-US"/>
        </w:rPr>
      </w:pPr>
      <w:r w:rsidRPr="00047B36">
        <w:rPr>
          <w:rFonts w:ascii="Tw Cen MT" w:eastAsia="Arial" w:hAnsi="Tw Cen MT" w:cs="Arial"/>
          <w:lang w:val="en-US"/>
        </w:rPr>
        <w:t xml:space="preserve">Data is shown for the whole period and for each third of the sample time span; as this is a growing market, averages can be misleading. For instance, frozen cod reaches a share of 5.1% in the last third of the time span, although the average share in the analyzed period is 3.4%. Therefore, this procedure will yield more accurate estimations. </w:t>
      </w:r>
    </w:p>
    <w:p w:rsidR="000642F5" w:rsidRPr="00047B36" w:rsidRDefault="004C5121" w:rsidP="00727FE8">
      <w:pPr>
        <w:spacing w:after="0" w:line="360" w:lineRule="auto"/>
        <w:jc w:val="both"/>
        <w:rPr>
          <w:rFonts w:ascii="Tw Cen MT" w:hAnsi="Tw Cen MT"/>
          <w:lang w:val="en-US"/>
        </w:rPr>
      </w:pPr>
      <w:r w:rsidRPr="00047B36">
        <w:rPr>
          <w:rFonts w:ascii="Tw Cen MT" w:eastAsia="Arial" w:hAnsi="Tw Cen MT" w:cs="Arial"/>
          <w:lang w:val="en-US"/>
        </w:rPr>
        <w:lastRenderedPageBreak/>
        <w:t>Shares of eco-certified fish are marginal, albeit growing, in the three species</w:t>
      </w:r>
      <w:r w:rsidR="00B41548" w:rsidRPr="00047B36">
        <w:rPr>
          <w:rFonts w:ascii="Tw Cen MT" w:eastAsia="Arial" w:hAnsi="Tw Cen MT" w:cs="Arial"/>
          <w:lang w:val="en-US"/>
        </w:rPr>
        <w:t xml:space="preserve"> (see Table 1)</w:t>
      </w:r>
      <w:r w:rsidRPr="00047B36">
        <w:rPr>
          <w:rFonts w:ascii="Tw Cen MT" w:eastAsia="Arial" w:hAnsi="Tw Cen MT" w:cs="Arial"/>
          <w:lang w:val="en-US"/>
        </w:rPr>
        <w:t>. The market is dominated by national brands; only for frozen processed hake is there a PB offering a certified variety. The share is even smaller for PBs, but the growth rate is higher than the other certified NBs in the subcategory. The market share is comparable to that of other eco-certified goods (</w:t>
      </w:r>
      <w:proofErr w:type="spellStart"/>
      <w:r w:rsidRPr="00047B36">
        <w:rPr>
          <w:rFonts w:ascii="Tw Cen MT" w:eastAsia="Arial" w:hAnsi="Tw Cen MT" w:cs="Arial"/>
          <w:lang w:val="en-US"/>
        </w:rPr>
        <w:t>Fliess</w:t>
      </w:r>
      <w:proofErr w:type="spellEnd"/>
      <w:r w:rsidRPr="00047B36">
        <w:rPr>
          <w:rFonts w:ascii="Tw Cen MT" w:eastAsia="Arial" w:hAnsi="Tw Cen MT" w:cs="Arial"/>
          <w:lang w:val="en-US"/>
        </w:rPr>
        <w:t xml:space="preserve"> et al., 2007). </w:t>
      </w:r>
    </w:p>
    <w:p w:rsidR="000642F5" w:rsidRPr="00047B36" w:rsidRDefault="004C5121" w:rsidP="00727FE8">
      <w:pPr>
        <w:spacing w:after="0" w:line="360" w:lineRule="auto"/>
        <w:jc w:val="center"/>
        <w:rPr>
          <w:rFonts w:ascii="Tw Cen MT" w:hAnsi="Tw Cen MT"/>
          <w:lang w:val="en-US"/>
        </w:rPr>
      </w:pPr>
      <w:r w:rsidRPr="00047B36">
        <w:rPr>
          <w:rFonts w:ascii="Tw Cen MT" w:eastAsia="Arial" w:hAnsi="Tw Cen MT" w:cs="Arial"/>
          <w:lang w:val="en-US"/>
        </w:rPr>
        <w:t>INSERT HERE TABLE 1</w:t>
      </w:r>
    </w:p>
    <w:p w:rsidR="000642F5" w:rsidRPr="00047B36" w:rsidRDefault="004C5121" w:rsidP="00727FE8">
      <w:pPr>
        <w:spacing w:after="0" w:line="360" w:lineRule="auto"/>
        <w:jc w:val="both"/>
        <w:rPr>
          <w:rFonts w:ascii="Tw Cen MT" w:hAnsi="Tw Cen MT"/>
          <w:lang w:val="en-US"/>
        </w:rPr>
      </w:pPr>
      <w:r w:rsidRPr="00047B36">
        <w:rPr>
          <w:rFonts w:ascii="Tw Cen MT" w:eastAsia="Arial" w:hAnsi="Tw Cen MT" w:cs="Arial"/>
          <w:i/>
          <w:lang w:val="en-US"/>
        </w:rPr>
        <w:t>4.2. Price and price premiums</w:t>
      </w:r>
    </w:p>
    <w:p w:rsidR="000642F5" w:rsidRPr="00047B36" w:rsidRDefault="004C5121" w:rsidP="00727FE8">
      <w:pPr>
        <w:spacing w:after="0" w:line="360" w:lineRule="auto"/>
        <w:jc w:val="both"/>
        <w:rPr>
          <w:rFonts w:ascii="Tw Cen MT" w:hAnsi="Tw Cen MT"/>
          <w:lang w:val="en-US"/>
        </w:rPr>
      </w:pPr>
      <w:r w:rsidRPr="00047B36">
        <w:rPr>
          <w:rFonts w:ascii="Tw Cen MT" w:eastAsia="Arial" w:hAnsi="Tw Cen MT" w:cs="Arial"/>
          <w:lang w:val="en-US"/>
        </w:rPr>
        <w:t>To estimate price premiums, the non-certified private brand (PB) was chosen as the base category</w:t>
      </w:r>
      <w:r w:rsidRPr="00047B36">
        <w:rPr>
          <w:rFonts w:ascii="Tw Cen MT" w:eastAsia="Arial" w:hAnsi="Tw Cen MT" w:cs="Arial"/>
          <w:vertAlign w:val="superscript"/>
        </w:rPr>
        <w:footnoteReference w:id="1"/>
      </w:r>
      <w:r w:rsidRPr="00047B36">
        <w:rPr>
          <w:rFonts w:ascii="Tw Cen MT" w:eastAsia="Arial" w:hAnsi="Tw Cen MT" w:cs="Arial"/>
          <w:lang w:val="en-US"/>
        </w:rPr>
        <w:t xml:space="preserve"> as private brands are the category with the cheapest prices. Average premium prices (in percentage) are shown for the whole period and for each third of the sample time span (see Table </w:t>
      </w:r>
      <w:r w:rsidR="00B41548" w:rsidRPr="00047B36">
        <w:rPr>
          <w:rFonts w:ascii="Tw Cen MT" w:eastAsia="Arial" w:hAnsi="Tw Cen MT" w:cs="Arial"/>
          <w:lang w:val="en-US"/>
        </w:rPr>
        <w:t>1</w:t>
      </w:r>
      <w:r w:rsidRPr="00047B36">
        <w:rPr>
          <w:rFonts w:ascii="Tw Cen MT" w:eastAsia="Arial" w:hAnsi="Tw Cen MT" w:cs="Arial"/>
          <w:lang w:val="en-US"/>
        </w:rPr>
        <w:t xml:space="preserve">). </w:t>
      </w:r>
    </w:p>
    <w:p w:rsidR="000642F5" w:rsidRPr="00047B36" w:rsidRDefault="004C5121" w:rsidP="00727FE8">
      <w:pPr>
        <w:spacing w:after="0" w:line="360" w:lineRule="auto"/>
        <w:jc w:val="both"/>
        <w:rPr>
          <w:rFonts w:ascii="Tw Cen MT" w:hAnsi="Tw Cen MT"/>
          <w:lang w:val="en-US"/>
        </w:rPr>
      </w:pPr>
      <w:r w:rsidRPr="00047B36">
        <w:rPr>
          <w:rFonts w:ascii="Tw Cen MT" w:eastAsia="Arial" w:hAnsi="Tw Cen MT" w:cs="Arial"/>
          <w:lang w:val="en-US"/>
        </w:rPr>
        <w:t>Data show that certified fish does not necessarily sell at a premium price. Frozen cod is systematically sold at a lower price than their non-certified counterparts. The frozen processed hake PB is also sold for a lower price than the non-certified PB. In contrast, NB frozen processed hake is double the price of the baseline. Last, certified NB frozen hake shows a modest but erratic premium (about 10% in the first third, -1% in th</w:t>
      </w:r>
      <w:r w:rsidR="00B41548" w:rsidRPr="00047B36">
        <w:rPr>
          <w:rFonts w:ascii="Tw Cen MT" w:eastAsia="Arial" w:hAnsi="Tw Cen MT" w:cs="Arial"/>
          <w:lang w:val="en-US"/>
        </w:rPr>
        <w:t xml:space="preserve">e second and 7,5% in the third). </w:t>
      </w:r>
      <w:r w:rsidRPr="00047B36">
        <w:rPr>
          <w:rFonts w:ascii="Tw Cen MT" w:eastAsia="Arial" w:hAnsi="Tw Cen MT" w:cs="Arial"/>
          <w:lang w:val="en-US"/>
        </w:rPr>
        <w:t>Retailers and producers are probably testing to determine the right price, adjusting it throughout the period.</w:t>
      </w:r>
    </w:p>
    <w:p w:rsidR="000642F5" w:rsidRPr="00047B36" w:rsidRDefault="004C5121" w:rsidP="00727FE8">
      <w:pPr>
        <w:spacing w:after="0" w:line="360" w:lineRule="auto"/>
        <w:jc w:val="both"/>
        <w:rPr>
          <w:rFonts w:ascii="Tw Cen MT" w:hAnsi="Tw Cen MT"/>
          <w:lang w:val="en-US"/>
        </w:rPr>
      </w:pPr>
      <w:r w:rsidRPr="00047B36">
        <w:rPr>
          <w:rFonts w:ascii="Tw Cen MT" w:eastAsia="Arial" w:hAnsi="Tw Cen MT" w:cs="Arial"/>
          <w:lang w:val="en-US"/>
        </w:rPr>
        <w:t xml:space="preserve">The premium for MSC-certified goods varies inter-species and depending on whether the product is sold under a retailer’s brand or a manufacturer’s. Moreover, as Table </w:t>
      </w:r>
      <w:r w:rsidR="00B41548" w:rsidRPr="00047B36">
        <w:rPr>
          <w:rFonts w:ascii="Tw Cen MT" w:eastAsia="Arial" w:hAnsi="Tw Cen MT" w:cs="Arial"/>
          <w:lang w:val="en-US"/>
        </w:rPr>
        <w:t>1</w:t>
      </w:r>
      <w:r w:rsidRPr="00047B36">
        <w:rPr>
          <w:rFonts w:ascii="Tw Cen MT" w:eastAsia="Arial" w:hAnsi="Tw Cen MT" w:cs="Arial"/>
          <w:lang w:val="en-US"/>
        </w:rPr>
        <w:t xml:space="preserve"> shows, the width of promotion evidences that eco-certified fish has a similar promotional behavior as their counterparts. There is not a different pattern between certified and non-certified; the only exception is PB processed hake. </w:t>
      </w:r>
    </w:p>
    <w:p w:rsidR="000642F5" w:rsidRPr="00047B36" w:rsidRDefault="004C5121" w:rsidP="00727FE8">
      <w:pPr>
        <w:spacing w:after="0" w:line="360" w:lineRule="auto"/>
        <w:jc w:val="both"/>
        <w:rPr>
          <w:rFonts w:ascii="Tw Cen MT" w:hAnsi="Tw Cen MT"/>
          <w:lang w:val="en-US"/>
        </w:rPr>
      </w:pPr>
      <w:r w:rsidRPr="00047B36">
        <w:rPr>
          <w:rFonts w:ascii="Tw Cen MT" w:eastAsia="Arial" w:hAnsi="Tw Cen MT" w:cs="Arial"/>
          <w:i/>
          <w:lang w:val="en-US"/>
        </w:rPr>
        <w:t>4.4. Access to retailers</w:t>
      </w:r>
    </w:p>
    <w:p w:rsidR="000642F5" w:rsidRPr="00047B36" w:rsidRDefault="004C5121" w:rsidP="00727FE8">
      <w:pPr>
        <w:spacing w:after="0" w:line="360" w:lineRule="auto"/>
        <w:jc w:val="both"/>
        <w:rPr>
          <w:rFonts w:ascii="Tw Cen MT" w:hAnsi="Tw Cen MT"/>
          <w:lang w:val="en-US"/>
        </w:rPr>
      </w:pPr>
      <w:r w:rsidRPr="00047B36">
        <w:rPr>
          <w:rFonts w:ascii="Tw Cen MT" w:eastAsia="Arial" w:hAnsi="Tw Cen MT" w:cs="Arial"/>
          <w:lang w:val="en-US"/>
        </w:rPr>
        <w:t xml:space="preserve">Table </w:t>
      </w:r>
      <w:r w:rsidR="00B41548" w:rsidRPr="00047B36">
        <w:rPr>
          <w:rFonts w:ascii="Tw Cen MT" w:eastAsia="Arial" w:hAnsi="Tw Cen MT" w:cs="Arial"/>
          <w:lang w:val="en-US"/>
        </w:rPr>
        <w:t>1</w:t>
      </w:r>
      <w:r w:rsidRPr="00047B36">
        <w:rPr>
          <w:rFonts w:ascii="Tw Cen MT" w:eastAsia="Arial" w:hAnsi="Tw Cen MT" w:cs="Arial"/>
          <w:lang w:val="en-US"/>
        </w:rPr>
        <w:t xml:space="preserve"> shows the numerical distribution for each product for the whole period and for each third of the sample time span. Numerical distribution can be seen as a proxy for product availability or access to retailers. Data shows that certified frozen fish is available in a small percentage of retailers (less than a fifth of them at maximum); yet availability is growing fast (e.g. it more than doubled along the time span) except in the case of the PB frozen processed hake which has a marginal presence in only a couple of retailers across the whole period (only one chain is offering this product and its market share is around 3.7%). </w:t>
      </w:r>
    </w:p>
    <w:p w:rsidR="000642F5" w:rsidRPr="00047B36" w:rsidRDefault="004C5121" w:rsidP="00727FE8">
      <w:pPr>
        <w:spacing w:after="0" w:line="360" w:lineRule="auto"/>
        <w:rPr>
          <w:rFonts w:ascii="Tw Cen MT" w:hAnsi="Tw Cen MT"/>
          <w:lang w:val="en-US"/>
        </w:rPr>
      </w:pPr>
      <w:r w:rsidRPr="00047B36">
        <w:rPr>
          <w:rFonts w:ascii="Tw Cen MT" w:eastAsia="Arial" w:hAnsi="Tw Cen MT" w:cs="Arial"/>
          <w:b/>
          <w:lang w:val="en-US"/>
        </w:rPr>
        <w:t>4.5. Model results</w:t>
      </w:r>
    </w:p>
    <w:p w:rsidR="000642F5" w:rsidRPr="00047B36" w:rsidRDefault="004C5121" w:rsidP="00727FE8">
      <w:pPr>
        <w:spacing w:after="0" w:line="360" w:lineRule="auto"/>
        <w:jc w:val="both"/>
        <w:rPr>
          <w:rFonts w:ascii="Tw Cen MT" w:hAnsi="Tw Cen MT"/>
          <w:lang w:val="en-US"/>
        </w:rPr>
      </w:pPr>
      <w:r w:rsidRPr="00047B36">
        <w:rPr>
          <w:rFonts w:ascii="Tw Cen MT" w:eastAsia="Arial" w:hAnsi="Tw Cen MT" w:cs="Arial"/>
          <w:lang w:val="en-US"/>
        </w:rPr>
        <w:lastRenderedPageBreak/>
        <w:t xml:space="preserve">Tables </w:t>
      </w:r>
      <w:r w:rsidR="00B41548" w:rsidRPr="00047B36">
        <w:rPr>
          <w:rFonts w:ascii="Tw Cen MT" w:eastAsia="Arial" w:hAnsi="Tw Cen MT" w:cs="Arial"/>
          <w:lang w:val="en-US"/>
        </w:rPr>
        <w:t>2</w:t>
      </w:r>
      <w:r w:rsidRPr="00047B36">
        <w:rPr>
          <w:rFonts w:ascii="Tw Cen MT" w:eastAsia="Arial" w:hAnsi="Tw Cen MT" w:cs="Arial"/>
          <w:lang w:val="en-US"/>
        </w:rPr>
        <w:t xml:space="preserve">, </w:t>
      </w:r>
      <w:r w:rsidR="00B41548" w:rsidRPr="00047B36">
        <w:rPr>
          <w:rFonts w:ascii="Tw Cen MT" w:eastAsia="Arial" w:hAnsi="Tw Cen MT" w:cs="Arial"/>
          <w:lang w:val="en-US"/>
        </w:rPr>
        <w:t>3 and 4</w:t>
      </w:r>
      <w:r w:rsidRPr="00047B36">
        <w:rPr>
          <w:rFonts w:ascii="Tw Cen MT" w:eastAsia="Arial" w:hAnsi="Tw Cen MT" w:cs="Arial"/>
          <w:lang w:val="en-US"/>
        </w:rPr>
        <w:t xml:space="preserve"> show main estimation results for the three SUR models proposed in this paper; one for each of the subcategories above mentioned. Model results will allow the assessment of the four conditions of favorable demand (elasticities) and to examine the influence on demand of the previous variables. Comments presented below are mainly focused on estimates for the certified fish varieties. </w:t>
      </w:r>
    </w:p>
    <w:p w:rsidR="000642F5" w:rsidRPr="00047B36" w:rsidRDefault="004C5121" w:rsidP="00727FE8">
      <w:pPr>
        <w:spacing w:after="0" w:line="360" w:lineRule="auto"/>
        <w:rPr>
          <w:rFonts w:ascii="Tw Cen MT" w:hAnsi="Tw Cen MT"/>
          <w:lang w:val="en-US"/>
        </w:rPr>
      </w:pPr>
      <w:r w:rsidRPr="00047B36">
        <w:rPr>
          <w:rFonts w:ascii="Tw Cen MT" w:eastAsia="Arial" w:hAnsi="Tw Cen MT" w:cs="Arial"/>
          <w:i/>
          <w:lang w:val="en-US"/>
        </w:rPr>
        <w:t xml:space="preserve">4.5.1. Own price </w:t>
      </w:r>
      <w:r w:rsidRPr="00047B36">
        <w:rPr>
          <w:rFonts w:ascii="Tw Cen MT" w:eastAsia="Arial" w:hAnsi="Tw Cen MT" w:cs="Arial"/>
          <w:i/>
          <w:color w:val="FF0000"/>
          <w:lang w:val="en-US"/>
        </w:rPr>
        <w:t>elasticities</w:t>
      </w:r>
    </w:p>
    <w:p w:rsidR="000642F5" w:rsidRPr="00047B36" w:rsidRDefault="004C5121" w:rsidP="00727FE8">
      <w:pPr>
        <w:spacing w:after="0" w:line="360" w:lineRule="auto"/>
        <w:jc w:val="both"/>
        <w:rPr>
          <w:rFonts w:ascii="Tw Cen MT" w:eastAsia="Arial" w:hAnsi="Tw Cen MT" w:cs="Arial"/>
          <w:b/>
          <w:color w:val="FF0000"/>
          <w:lang w:val="en-US"/>
        </w:rPr>
      </w:pPr>
      <w:r w:rsidRPr="00047B36">
        <w:rPr>
          <w:rFonts w:ascii="Tw Cen MT" w:eastAsia="Arial" w:hAnsi="Tw Cen MT" w:cs="Arial"/>
          <w:lang w:val="en-US"/>
        </w:rPr>
        <w:t xml:space="preserve">Frozen cod. </w:t>
      </w:r>
      <w:r w:rsidRPr="00047B36">
        <w:rPr>
          <w:rFonts w:ascii="Tw Cen MT" w:eastAsia="Arial" w:hAnsi="Tw Cen MT" w:cs="Arial"/>
          <w:b/>
          <w:color w:val="FF0000"/>
          <w:lang w:val="en-US"/>
        </w:rPr>
        <w:t>The estimate of the price coefficient for certified NB frozen cod is -</w:t>
      </w:r>
      <w:r w:rsidR="00BC3E0C" w:rsidRPr="00047B36">
        <w:rPr>
          <w:rFonts w:ascii="Tw Cen MT" w:eastAsia="Arial" w:hAnsi="Tw Cen MT" w:cs="Arial"/>
          <w:b/>
          <w:color w:val="FF0000"/>
          <w:lang w:val="en-US"/>
        </w:rPr>
        <w:t>2</w:t>
      </w:r>
      <w:r w:rsidRPr="00047B36">
        <w:rPr>
          <w:rFonts w:ascii="Tw Cen MT" w:eastAsia="Arial" w:hAnsi="Tw Cen MT" w:cs="Arial"/>
          <w:b/>
          <w:color w:val="FF0000"/>
          <w:lang w:val="en-US"/>
        </w:rPr>
        <w:t>.</w:t>
      </w:r>
      <w:r w:rsidR="00BC3E0C" w:rsidRPr="00047B36">
        <w:rPr>
          <w:rFonts w:ascii="Tw Cen MT" w:eastAsia="Arial" w:hAnsi="Tw Cen MT" w:cs="Arial"/>
          <w:b/>
          <w:color w:val="FF0000"/>
          <w:lang w:val="en-US"/>
        </w:rPr>
        <w:t>71</w:t>
      </w:r>
      <w:r w:rsidRPr="00047B36">
        <w:rPr>
          <w:rFonts w:ascii="Tw Cen MT" w:eastAsia="Arial" w:hAnsi="Tw Cen MT" w:cs="Arial"/>
          <w:b/>
          <w:color w:val="FF0000"/>
          <w:lang w:val="en-US"/>
        </w:rPr>
        <w:t>. Since the model has a log specification, this coefficient can be directly interpreted as elasticity. In this case, it means that a 1</w:t>
      </w:r>
      <w:r w:rsidR="00370787" w:rsidRPr="00047B36">
        <w:rPr>
          <w:rFonts w:ascii="Tw Cen MT" w:eastAsia="Arial" w:hAnsi="Tw Cen MT" w:cs="Arial"/>
          <w:b/>
          <w:color w:val="FF0000"/>
          <w:lang w:val="en-US"/>
        </w:rPr>
        <w:t>%</w:t>
      </w:r>
      <w:r w:rsidRPr="00047B36">
        <w:rPr>
          <w:rFonts w:ascii="Tw Cen MT" w:eastAsia="Arial" w:hAnsi="Tw Cen MT" w:cs="Arial"/>
          <w:b/>
          <w:color w:val="FF0000"/>
          <w:lang w:val="en-US"/>
        </w:rPr>
        <w:t xml:space="preserve"> increase in price causes sales to decline by </w:t>
      </w:r>
      <w:r w:rsidR="00370787" w:rsidRPr="00047B36">
        <w:rPr>
          <w:rFonts w:ascii="Tw Cen MT" w:eastAsia="Arial" w:hAnsi="Tw Cen MT" w:cs="Arial"/>
          <w:b/>
          <w:color w:val="FF0000"/>
          <w:lang w:val="en-US"/>
        </w:rPr>
        <w:t>-2.7</w:t>
      </w:r>
      <w:r w:rsidR="00BC3E0C" w:rsidRPr="00047B36">
        <w:rPr>
          <w:rFonts w:ascii="Tw Cen MT" w:eastAsia="Arial" w:hAnsi="Tw Cen MT" w:cs="Arial"/>
          <w:b/>
          <w:color w:val="FF0000"/>
          <w:lang w:val="en-US"/>
        </w:rPr>
        <w:t>1</w:t>
      </w:r>
      <w:r w:rsidR="00370787" w:rsidRPr="00047B36">
        <w:rPr>
          <w:rFonts w:ascii="Tw Cen MT" w:eastAsia="Arial" w:hAnsi="Tw Cen MT" w:cs="Arial"/>
          <w:b/>
          <w:color w:val="FF0000"/>
          <w:lang w:val="en-US"/>
        </w:rPr>
        <w:t>%</w:t>
      </w:r>
      <w:r w:rsidRPr="00047B36">
        <w:rPr>
          <w:rFonts w:ascii="Tw Cen MT" w:eastAsia="Arial" w:hAnsi="Tw Cen MT" w:cs="Arial"/>
          <w:b/>
          <w:color w:val="FF0000"/>
          <w:lang w:val="en-US"/>
        </w:rPr>
        <w:t xml:space="preserve">. As this elasticity has a negative sign, we conclude that differentiation of this good has not been successful. Furthermore, it can be seen that this own-price sensitivity is </w:t>
      </w:r>
      <w:r w:rsidR="00BC3E0C" w:rsidRPr="00047B36">
        <w:rPr>
          <w:rFonts w:ascii="Tw Cen MT" w:eastAsia="Arial" w:hAnsi="Tw Cen MT" w:cs="Arial"/>
          <w:b/>
          <w:color w:val="FF0000"/>
          <w:lang w:val="en-US"/>
        </w:rPr>
        <w:t xml:space="preserve">similar of that of non-certified NB (-2.98) but </w:t>
      </w:r>
      <w:r w:rsidRPr="00047B36">
        <w:rPr>
          <w:rFonts w:ascii="Tw Cen MT" w:eastAsia="Arial" w:hAnsi="Tw Cen MT" w:cs="Arial"/>
          <w:b/>
          <w:color w:val="FF0000"/>
          <w:lang w:val="en-US"/>
        </w:rPr>
        <w:t xml:space="preserve">greater </w:t>
      </w:r>
      <w:r w:rsidR="00BC3E0C" w:rsidRPr="00047B36">
        <w:rPr>
          <w:rFonts w:ascii="Tw Cen MT" w:eastAsia="Arial" w:hAnsi="Tw Cen MT" w:cs="Arial"/>
          <w:b/>
          <w:color w:val="FF0000"/>
          <w:lang w:val="en-US"/>
        </w:rPr>
        <w:t xml:space="preserve">than </w:t>
      </w:r>
      <w:r w:rsidRPr="00047B36">
        <w:rPr>
          <w:rFonts w:ascii="Tw Cen MT" w:eastAsia="Arial" w:hAnsi="Tw Cen MT" w:cs="Arial"/>
          <w:b/>
          <w:color w:val="FF0000"/>
          <w:lang w:val="en-US"/>
        </w:rPr>
        <w:t>non-certified PB</w:t>
      </w:r>
      <w:r w:rsidR="00BC3E0C" w:rsidRPr="00047B36">
        <w:rPr>
          <w:rFonts w:ascii="Tw Cen MT" w:eastAsia="Arial" w:hAnsi="Tw Cen MT" w:cs="Arial"/>
          <w:b/>
          <w:color w:val="FF0000"/>
          <w:lang w:val="en-US"/>
        </w:rPr>
        <w:t xml:space="preserve"> (-1.75)</w:t>
      </w:r>
      <w:r w:rsidRPr="00047B36">
        <w:rPr>
          <w:rFonts w:ascii="Tw Cen MT" w:eastAsia="Arial" w:hAnsi="Tw Cen MT" w:cs="Arial"/>
          <w:b/>
          <w:color w:val="FF0000"/>
          <w:lang w:val="en-US"/>
        </w:rPr>
        <w:t xml:space="preserve">. Therefore, a price reduction could produce a stronger sales growth in certified cod </w:t>
      </w:r>
      <w:r w:rsidR="00BC3E0C" w:rsidRPr="00047B36">
        <w:rPr>
          <w:rFonts w:ascii="Tw Cen MT" w:eastAsia="Arial" w:hAnsi="Tw Cen MT" w:cs="Arial"/>
          <w:b/>
          <w:color w:val="FF0000"/>
          <w:lang w:val="en-US"/>
        </w:rPr>
        <w:t xml:space="preserve">and non-certified NB. </w:t>
      </w:r>
    </w:p>
    <w:p w:rsidR="000642F5" w:rsidRPr="00047B36" w:rsidRDefault="004C5121" w:rsidP="00727FE8">
      <w:pPr>
        <w:spacing w:after="0" w:line="360" w:lineRule="auto"/>
        <w:jc w:val="both"/>
        <w:rPr>
          <w:rFonts w:ascii="Tw Cen MT" w:hAnsi="Tw Cen MT"/>
          <w:b/>
          <w:color w:val="FF0000"/>
          <w:lang w:val="en-US"/>
        </w:rPr>
      </w:pPr>
      <w:r w:rsidRPr="00047B36">
        <w:rPr>
          <w:rFonts w:ascii="Tw Cen MT" w:eastAsia="Arial" w:hAnsi="Tw Cen MT" w:cs="Arial"/>
          <w:lang w:val="en-US"/>
        </w:rPr>
        <w:t xml:space="preserve">Frozen hake. </w:t>
      </w:r>
      <w:r w:rsidRPr="00047B36">
        <w:rPr>
          <w:rFonts w:ascii="Tw Cen MT" w:eastAsia="Arial" w:hAnsi="Tw Cen MT" w:cs="Arial"/>
          <w:b/>
          <w:color w:val="FF0000"/>
          <w:lang w:val="en-US"/>
        </w:rPr>
        <w:t xml:space="preserve">The results for own-price elasticity for frozen hake offer a similar picture to that of the frozen cod. The price semi-elasticity of certified NB is </w:t>
      </w:r>
      <w:r w:rsidR="00E5260A" w:rsidRPr="00047B36">
        <w:rPr>
          <w:rFonts w:ascii="Tw Cen MT" w:eastAsia="Arial" w:hAnsi="Tw Cen MT" w:cs="Arial"/>
          <w:b/>
          <w:color w:val="FF0000"/>
          <w:lang w:val="en-US"/>
        </w:rPr>
        <w:t>-2.5</w:t>
      </w:r>
      <w:r w:rsidRPr="00047B36">
        <w:rPr>
          <w:rFonts w:ascii="Tw Cen MT" w:eastAsia="Arial" w:hAnsi="Tw Cen MT" w:cs="Arial"/>
          <w:b/>
          <w:color w:val="FF0000"/>
          <w:lang w:val="en-US"/>
        </w:rPr>
        <w:t xml:space="preserve">7, </w:t>
      </w:r>
      <w:r w:rsidR="00E5260A" w:rsidRPr="00047B36">
        <w:rPr>
          <w:rFonts w:ascii="Tw Cen MT" w:eastAsia="Arial" w:hAnsi="Tw Cen MT" w:cs="Arial"/>
          <w:b/>
          <w:color w:val="FF0000"/>
          <w:lang w:val="en-US"/>
        </w:rPr>
        <w:t xml:space="preserve">similar to non-certified and </w:t>
      </w:r>
      <w:r w:rsidRPr="00047B36">
        <w:rPr>
          <w:rFonts w:ascii="Tw Cen MT" w:eastAsia="Arial" w:hAnsi="Tw Cen MT" w:cs="Arial"/>
          <w:b/>
          <w:color w:val="FF0000"/>
          <w:lang w:val="en-US"/>
        </w:rPr>
        <w:t xml:space="preserve">greater than non-certified </w:t>
      </w:r>
      <w:r w:rsidR="00E5260A" w:rsidRPr="00047B36">
        <w:rPr>
          <w:rFonts w:ascii="Tw Cen MT" w:eastAsia="Arial" w:hAnsi="Tw Cen MT" w:cs="Arial"/>
          <w:b/>
          <w:color w:val="FF0000"/>
          <w:lang w:val="en-US"/>
        </w:rPr>
        <w:t>PB</w:t>
      </w:r>
      <w:r w:rsidRPr="00047B36">
        <w:rPr>
          <w:rFonts w:ascii="Tw Cen MT" w:eastAsia="Arial" w:hAnsi="Tw Cen MT" w:cs="Arial"/>
          <w:b/>
          <w:color w:val="FF0000"/>
          <w:lang w:val="en-US"/>
        </w:rPr>
        <w:t xml:space="preserve">. Thus, the same comments apply in this case.  </w:t>
      </w:r>
    </w:p>
    <w:p w:rsidR="000642F5" w:rsidRPr="00047B36" w:rsidRDefault="004C5121" w:rsidP="00727FE8">
      <w:pPr>
        <w:spacing w:after="0" w:line="360" w:lineRule="auto"/>
        <w:jc w:val="both"/>
        <w:rPr>
          <w:rFonts w:ascii="Tw Cen MT" w:hAnsi="Tw Cen MT"/>
          <w:b/>
          <w:color w:val="FF0000"/>
          <w:lang w:val="en-US"/>
        </w:rPr>
      </w:pPr>
      <w:r w:rsidRPr="00047B36">
        <w:rPr>
          <w:rFonts w:ascii="Tw Cen MT" w:eastAsia="Arial" w:hAnsi="Tw Cen MT" w:cs="Arial"/>
          <w:lang w:val="en-US"/>
        </w:rPr>
        <w:t xml:space="preserve">Frozen processed hake. </w:t>
      </w:r>
      <w:r w:rsidRPr="00047B36">
        <w:rPr>
          <w:rFonts w:ascii="Tw Cen MT" w:eastAsia="Arial" w:hAnsi="Tw Cen MT" w:cs="Arial"/>
          <w:b/>
          <w:color w:val="FF0000"/>
          <w:lang w:val="en-US"/>
        </w:rPr>
        <w:t xml:space="preserve">In this subcategory, results are different. </w:t>
      </w:r>
      <w:r w:rsidR="00E5260A" w:rsidRPr="00047B36">
        <w:rPr>
          <w:rFonts w:ascii="Tw Cen MT" w:eastAsia="Arial" w:hAnsi="Tw Cen MT" w:cs="Arial"/>
          <w:b/>
          <w:color w:val="FF0000"/>
          <w:lang w:val="en-US"/>
        </w:rPr>
        <w:t xml:space="preserve">The same pattern observed above repeats here for certified NB and non-certified NB and PB: </w:t>
      </w:r>
      <w:r w:rsidRPr="00047B36">
        <w:rPr>
          <w:rFonts w:ascii="Tw Cen MT" w:eastAsia="Arial" w:hAnsi="Tw Cen MT" w:cs="Arial"/>
          <w:b/>
          <w:color w:val="FF0000"/>
          <w:lang w:val="en-US"/>
        </w:rPr>
        <w:t>own-price elasticity is still negative for certified NB with a value of -</w:t>
      </w:r>
      <w:r w:rsidR="00E5260A" w:rsidRPr="00047B36">
        <w:rPr>
          <w:rFonts w:ascii="Tw Cen MT" w:eastAsia="Arial" w:hAnsi="Tw Cen MT" w:cs="Arial"/>
          <w:b/>
          <w:color w:val="FF0000"/>
          <w:lang w:val="en-US"/>
        </w:rPr>
        <w:t>1</w:t>
      </w:r>
      <w:r w:rsidRPr="00047B36">
        <w:rPr>
          <w:rFonts w:ascii="Tw Cen MT" w:eastAsia="Arial" w:hAnsi="Tw Cen MT" w:cs="Arial"/>
          <w:b/>
          <w:color w:val="FF0000"/>
          <w:lang w:val="en-US"/>
        </w:rPr>
        <w:t>.</w:t>
      </w:r>
      <w:r w:rsidR="00E5260A" w:rsidRPr="00047B36">
        <w:rPr>
          <w:rFonts w:ascii="Tw Cen MT" w:eastAsia="Arial" w:hAnsi="Tw Cen MT" w:cs="Arial"/>
          <w:b/>
          <w:color w:val="FF0000"/>
          <w:lang w:val="en-US"/>
        </w:rPr>
        <w:t>61</w:t>
      </w:r>
      <w:r w:rsidRPr="00047B36">
        <w:rPr>
          <w:rFonts w:ascii="Tw Cen MT" w:eastAsia="Arial" w:hAnsi="Tw Cen MT" w:cs="Arial"/>
          <w:b/>
          <w:color w:val="FF0000"/>
          <w:lang w:val="en-US"/>
        </w:rPr>
        <w:t xml:space="preserve">. </w:t>
      </w:r>
      <w:r w:rsidR="00E5260A" w:rsidRPr="00047B36">
        <w:rPr>
          <w:rFonts w:ascii="Tw Cen MT" w:eastAsia="Arial" w:hAnsi="Tw Cen MT" w:cs="Arial"/>
          <w:b/>
          <w:color w:val="FF0000"/>
          <w:lang w:val="en-US"/>
        </w:rPr>
        <w:t xml:space="preserve">In contrast, </w:t>
      </w:r>
      <w:r w:rsidRPr="00047B36">
        <w:rPr>
          <w:rFonts w:ascii="Tw Cen MT" w:eastAsia="Arial" w:hAnsi="Tw Cen MT" w:cs="Arial"/>
          <w:b/>
          <w:color w:val="FF0000"/>
          <w:lang w:val="en-US"/>
        </w:rPr>
        <w:t xml:space="preserve">certified PB frozen hake presents a significant and positive elasticity with an estimated value of </w:t>
      </w:r>
      <w:r w:rsidR="00E5260A" w:rsidRPr="00047B36">
        <w:rPr>
          <w:rFonts w:ascii="Tw Cen MT" w:eastAsia="Arial" w:hAnsi="Tw Cen MT" w:cs="Arial"/>
          <w:b/>
          <w:color w:val="FF0000"/>
          <w:lang w:val="en-US"/>
        </w:rPr>
        <w:t>4</w:t>
      </w:r>
      <w:r w:rsidRPr="00047B36">
        <w:rPr>
          <w:rFonts w:ascii="Tw Cen MT" w:eastAsia="Arial" w:hAnsi="Tw Cen MT" w:cs="Arial"/>
          <w:b/>
          <w:color w:val="FF0000"/>
          <w:lang w:val="en-US"/>
        </w:rPr>
        <w:t>.</w:t>
      </w:r>
      <w:r w:rsidR="00E5260A" w:rsidRPr="00047B36">
        <w:rPr>
          <w:rFonts w:ascii="Tw Cen MT" w:eastAsia="Arial" w:hAnsi="Tw Cen MT" w:cs="Arial"/>
          <w:b/>
          <w:color w:val="FF0000"/>
          <w:lang w:val="en-US"/>
        </w:rPr>
        <w:t>16</w:t>
      </w:r>
      <w:r w:rsidRPr="00047B36">
        <w:rPr>
          <w:rFonts w:ascii="Tw Cen MT" w:eastAsia="Arial" w:hAnsi="Tw Cen MT" w:cs="Arial"/>
          <w:b/>
          <w:color w:val="FF0000"/>
          <w:lang w:val="en-US"/>
        </w:rPr>
        <w:t xml:space="preserve">. This would suggest that this product may be perceived by consumers to be of higher quality and therefore consumers are willing to pay a higher price. These results suggest that the private brand eco-certified fish is the SKU with the desired own-price elasticity. Yet the sample size is small and therefore this result should be understood as tentative. </w:t>
      </w:r>
    </w:p>
    <w:p w:rsidR="000642F5" w:rsidRPr="00047B36" w:rsidRDefault="004C5121" w:rsidP="00727FE8">
      <w:pPr>
        <w:spacing w:after="0" w:line="360" w:lineRule="auto"/>
        <w:jc w:val="both"/>
        <w:rPr>
          <w:rFonts w:ascii="Tw Cen MT" w:hAnsi="Tw Cen MT"/>
          <w:lang w:val="en-US"/>
        </w:rPr>
      </w:pPr>
      <w:r w:rsidRPr="00047B36">
        <w:rPr>
          <w:rFonts w:ascii="Tw Cen MT" w:eastAsia="Arial" w:hAnsi="Tw Cen MT" w:cs="Arial"/>
          <w:i/>
          <w:lang w:val="en-US"/>
        </w:rPr>
        <w:t>4.5.2. Cross price elasticities</w:t>
      </w:r>
    </w:p>
    <w:p w:rsidR="000642F5" w:rsidRPr="00047B36" w:rsidRDefault="004C5121" w:rsidP="00727FE8">
      <w:pPr>
        <w:spacing w:after="0" w:line="360" w:lineRule="auto"/>
        <w:jc w:val="both"/>
        <w:rPr>
          <w:rFonts w:ascii="Tw Cen MT" w:hAnsi="Tw Cen MT"/>
          <w:lang w:val="en-US"/>
        </w:rPr>
      </w:pPr>
      <w:r w:rsidRPr="00047B36">
        <w:rPr>
          <w:rFonts w:ascii="Tw Cen MT" w:eastAsia="Arial" w:hAnsi="Tw Cen MT" w:cs="Arial"/>
          <w:lang w:val="en-US"/>
        </w:rPr>
        <w:t xml:space="preserve">Frozen cod. Coefficients of non-certified fish prices are non-significant in the model. Thus, certified frozen cod sales are not affected if non-certified varieties change their prices. Conversely, the price of certified frozen cod influences the sales of its counterparts: negatively for the PB cod, and positively for the NB. Therefore, the certified and the PB variety should be seen as substitute goods although this relationship is only one-sided. This could suggest that there is a core base of customers who are loyal to the MSC-fish. </w:t>
      </w:r>
    </w:p>
    <w:p w:rsidR="000642F5" w:rsidRPr="00047B36" w:rsidRDefault="004C5121" w:rsidP="00727FE8">
      <w:pPr>
        <w:spacing w:after="0" w:line="360" w:lineRule="auto"/>
        <w:jc w:val="both"/>
        <w:rPr>
          <w:rFonts w:ascii="Tw Cen MT" w:hAnsi="Tw Cen MT"/>
          <w:b/>
          <w:color w:val="FF0000"/>
          <w:lang w:val="en-US"/>
        </w:rPr>
      </w:pPr>
      <w:r w:rsidRPr="00047B36">
        <w:rPr>
          <w:rFonts w:ascii="Tw Cen MT" w:eastAsia="Arial" w:hAnsi="Tw Cen MT" w:cs="Arial"/>
          <w:lang w:val="en-US"/>
        </w:rPr>
        <w:t xml:space="preserve">Frozen hake. In this variety, contrary to the results above, the certified NB and the non-certified PB are substitute goods, although the differences in the intensity of the asymmetry are remarkable: </w:t>
      </w:r>
      <w:r w:rsidRPr="00047B36">
        <w:rPr>
          <w:rFonts w:ascii="Tw Cen MT" w:eastAsia="Arial" w:hAnsi="Tw Cen MT" w:cs="Arial"/>
          <w:b/>
          <w:color w:val="FF0000"/>
          <w:lang w:val="en-US"/>
        </w:rPr>
        <w:t>changes in non-certified PB hake influences certified hake sales</w:t>
      </w:r>
      <w:r w:rsidR="00E5260A" w:rsidRPr="00047B36">
        <w:rPr>
          <w:rFonts w:ascii="Tw Cen MT" w:eastAsia="Arial" w:hAnsi="Tw Cen MT" w:cs="Arial"/>
          <w:b/>
          <w:color w:val="FF0000"/>
          <w:lang w:val="en-US"/>
        </w:rPr>
        <w:t xml:space="preserve"> almost</w:t>
      </w:r>
      <w:r w:rsidRPr="00047B36">
        <w:rPr>
          <w:rFonts w:ascii="Tw Cen MT" w:eastAsia="Arial" w:hAnsi="Tw Cen MT" w:cs="Arial"/>
          <w:b/>
          <w:color w:val="FF0000"/>
          <w:lang w:val="en-US"/>
        </w:rPr>
        <w:t xml:space="preserve"> twenty times that of its counterpart. Non-certified NB and certified hake are less related. </w:t>
      </w:r>
    </w:p>
    <w:p w:rsidR="000642F5" w:rsidRPr="00047B36" w:rsidRDefault="004C5121" w:rsidP="00727FE8">
      <w:pPr>
        <w:spacing w:after="0" w:line="360" w:lineRule="auto"/>
        <w:jc w:val="both"/>
        <w:rPr>
          <w:rFonts w:ascii="Tw Cen MT" w:hAnsi="Tw Cen MT"/>
          <w:lang w:val="en-US"/>
        </w:rPr>
      </w:pPr>
      <w:r w:rsidRPr="00047B36">
        <w:rPr>
          <w:rFonts w:ascii="Tw Cen MT" w:eastAsia="Arial" w:hAnsi="Tw Cen MT" w:cs="Arial"/>
          <w:lang w:val="en-US"/>
        </w:rPr>
        <w:lastRenderedPageBreak/>
        <w:t xml:space="preserve">Frozen processed hake. In this variety, certified PB and certified NB show a quite different pattern. Certified NB Processed hake behaves in a similar way to the certified frozen hake. However, certified PB processed hake has no significant cross-price elasticities. Therefore, certified PB frozen processed hake, despite its little importance, is a product that seems to occupy a market niche of a luxurious nature in the category. </w:t>
      </w:r>
    </w:p>
    <w:p w:rsidR="000642F5" w:rsidRPr="00047B36" w:rsidRDefault="004C5121" w:rsidP="00727FE8">
      <w:pPr>
        <w:spacing w:after="0" w:line="360" w:lineRule="auto"/>
        <w:jc w:val="both"/>
        <w:rPr>
          <w:rFonts w:ascii="Tw Cen MT" w:hAnsi="Tw Cen MT"/>
          <w:lang w:val="en-US"/>
        </w:rPr>
      </w:pPr>
      <w:r w:rsidRPr="00047B36">
        <w:rPr>
          <w:rFonts w:ascii="Tw Cen MT" w:eastAsia="Arial" w:hAnsi="Tw Cen MT" w:cs="Arial"/>
          <w:lang w:val="en-US"/>
        </w:rPr>
        <w:t xml:space="preserve">Width of promotion is non-significant in frozen cod and frozen processed hake and slightly sensitive in the case of frozen hake: if the percentage of shops where the product is on promotion increases by </w:t>
      </w:r>
      <w:r w:rsidR="003C64E5" w:rsidRPr="00047B36">
        <w:rPr>
          <w:rFonts w:ascii="Tw Cen MT" w:eastAsia="Arial" w:hAnsi="Tw Cen MT" w:cs="Arial"/>
          <w:lang w:val="en-US"/>
        </w:rPr>
        <w:t>1%</w:t>
      </w:r>
      <w:r w:rsidRPr="00047B36">
        <w:rPr>
          <w:rFonts w:ascii="Tw Cen MT" w:eastAsia="Arial" w:hAnsi="Tw Cen MT" w:cs="Arial"/>
          <w:lang w:val="en-US"/>
        </w:rPr>
        <w:t xml:space="preserve">, sales increase by </w:t>
      </w:r>
      <w:r w:rsidR="003C64E5" w:rsidRPr="00047B36">
        <w:rPr>
          <w:rFonts w:ascii="Tw Cen MT" w:eastAsia="Arial" w:hAnsi="Tw Cen MT" w:cs="Arial"/>
          <w:b/>
          <w:color w:val="FF0000"/>
          <w:lang w:val="en-US"/>
        </w:rPr>
        <w:t>0.9</w:t>
      </w:r>
      <w:r w:rsidRPr="00047B36">
        <w:rPr>
          <w:rFonts w:ascii="Tw Cen MT" w:eastAsia="Arial" w:hAnsi="Tw Cen MT" w:cs="Arial"/>
          <w:b/>
          <w:color w:val="FF0000"/>
          <w:lang w:val="en-US"/>
        </w:rPr>
        <w:t>%.</w:t>
      </w:r>
      <w:r w:rsidRPr="00047B36">
        <w:rPr>
          <w:rFonts w:ascii="Tw Cen MT" w:eastAsia="Arial" w:hAnsi="Tw Cen MT" w:cs="Arial"/>
          <w:color w:val="FF0000"/>
          <w:lang w:val="en-US"/>
        </w:rPr>
        <w:t xml:space="preserve"> </w:t>
      </w:r>
      <w:r w:rsidRPr="00047B36">
        <w:rPr>
          <w:rFonts w:ascii="Tw Cen MT" w:eastAsia="Arial" w:hAnsi="Tw Cen MT" w:cs="Arial"/>
          <w:lang w:val="en-US"/>
        </w:rPr>
        <w:t xml:space="preserve">These results, along with price elasticity results, suggest that certified fish demand is price-driven, but not promotion-driven. </w:t>
      </w:r>
    </w:p>
    <w:p w:rsidR="000642F5" w:rsidRPr="00047B36" w:rsidRDefault="004C5121" w:rsidP="00727FE8">
      <w:pPr>
        <w:spacing w:after="0" w:line="360" w:lineRule="auto"/>
        <w:jc w:val="both"/>
        <w:rPr>
          <w:rFonts w:ascii="Tw Cen MT" w:hAnsi="Tw Cen MT"/>
          <w:lang w:val="en-US"/>
        </w:rPr>
      </w:pPr>
      <w:r w:rsidRPr="00047B36">
        <w:rPr>
          <w:rFonts w:ascii="Tw Cen MT" w:eastAsia="Arial" w:hAnsi="Tw Cen MT" w:cs="Arial"/>
          <w:i/>
          <w:lang w:val="en-US"/>
        </w:rPr>
        <w:t>4.5.3. Numerical distribution</w:t>
      </w:r>
    </w:p>
    <w:p w:rsidR="000642F5" w:rsidRPr="00047B36" w:rsidRDefault="004C5121" w:rsidP="00727FE8">
      <w:pPr>
        <w:spacing w:after="0" w:line="360" w:lineRule="auto"/>
        <w:jc w:val="both"/>
        <w:rPr>
          <w:rFonts w:ascii="Tw Cen MT" w:hAnsi="Tw Cen MT"/>
          <w:lang w:val="en-US"/>
        </w:rPr>
      </w:pPr>
      <w:r w:rsidRPr="00047B36">
        <w:rPr>
          <w:rFonts w:ascii="Tw Cen MT" w:eastAsia="Arial" w:hAnsi="Tw Cen MT" w:cs="Arial"/>
          <w:color w:val="auto"/>
          <w:lang w:val="en-US"/>
        </w:rPr>
        <w:t xml:space="preserve">It is worth noting that the elasticity has not been computed for certified PB fish because its numerical distribution has not changed in the sample time span. </w:t>
      </w:r>
      <w:r w:rsidRPr="00047B36">
        <w:rPr>
          <w:rFonts w:ascii="Tw Cen MT" w:eastAsia="Arial" w:hAnsi="Tw Cen MT" w:cs="Arial"/>
          <w:lang w:val="en-US"/>
        </w:rPr>
        <w:t xml:space="preserve">Availability of certified varieties has a positive influence on </w:t>
      </w:r>
      <w:r w:rsidRPr="00047B36">
        <w:rPr>
          <w:rFonts w:ascii="Tw Cen MT" w:eastAsia="Arial" w:hAnsi="Tw Cen MT" w:cs="Arial"/>
          <w:color w:val="auto"/>
          <w:lang w:val="en-US"/>
        </w:rPr>
        <w:t xml:space="preserve">demand. </w:t>
      </w:r>
      <w:r w:rsidR="003C64E5" w:rsidRPr="00047B36">
        <w:rPr>
          <w:rFonts w:ascii="Tw Cen MT" w:eastAsia="Arial" w:hAnsi="Tw Cen MT" w:cs="Arial"/>
          <w:color w:val="auto"/>
          <w:lang w:val="en-US"/>
        </w:rPr>
        <w:t>Moreover</w:t>
      </w:r>
      <w:r w:rsidRPr="00047B36">
        <w:rPr>
          <w:rFonts w:ascii="Tw Cen MT" w:eastAsia="Arial" w:hAnsi="Tw Cen MT" w:cs="Arial"/>
          <w:color w:val="auto"/>
          <w:lang w:val="en-US"/>
        </w:rPr>
        <w:t>, demand is more sensitive to availability for certified fish than it is for its counterparts.</w:t>
      </w:r>
      <w:r w:rsidRPr="00047B36">
        <w:rPr>
          <w:rFonts w:ascii="Tw Cen MT" w:eastAsia="Arial" w:hAnsi="Tw Cen MT" w:cs="Arial"/>
          <w:color w:val="FF0000"/>
          <w:lang w:val="en-US"/>
        </w:rPr>
        <w:t xml:space="preserve">  </w:t>
      </w:r>
    </w:p>
    <w:p w:rsidR="000642F5" w:rsidRPr="00047B36" w:rsidRDefault="004C5121" w:rsidP="00727FE8">
      <w:pPr>
        <w:spacing w:after="0" w:line="360" w:lineRule="auto"/>
        <w:jc w:val="both"/>
        <w:rPr>
          <w:rFonts w:ascii="Tw Cen MT" w:hAnsi="Tw Cen MT"/>
          <w:lang w:val="en-US"/>
        </w:rPr>
      </w:pPr>
      <w:r w:rsidRPr="00047B36">
        <w:rPr>
          <w:rFonts w:ascii="Tw Cen MT" w:eastAsia="Arial" w:hAnsi="Tw Cen MT" w:cs="Arial"/>
          <w:i/>
          <w:lang w:val="en-US"/>
        </w:rPr>
        <w:t>4.5.4. Lagged quantities</w:t>
      </w:r>
    </w:p>
    <w:p w:rsidR="000642F5" w:rsidRPr="00047B36" w:rsidRDefault="004C5121" w:rsidP="00727FE8">
      <w:pPr>
        <w:spacing w:after="0" w:line="360" w:lineRule="auto"/>
        <w:jc w:val="both"/>
        <w:rPr>
          <w:rFonts w:ascii="Tw Cen MT" w:hAnsi="Tw Cen MT"/>
          <w:lang w:val="en-US"/>
        </w:rPr>
      </w:pPr>
      <w:r w:rsidRPr="00047B36">
        <w:rPr>
          <w:rFonts w:ascii="Tw Cen MT" w:eastAsia="Arial" w:hAnsi="Tw Cen MT" w:cs="Arial"/>
          <w:lang w:val="en-US"/>
        </w:rPr>
        <w:t>Elasticities with respect to the previous week's sales also present different patterns among subcategories. No significant relationship between past and present sales has been found for either certified frozen cod or for certified NB frozen processed hake. Nevertheless, there is a positive and barely significant relationship (p-value=.08) for certified NB frozen hake, although with a small elasticity value of 0.14. This elasticity is clearly greater for certified PB frozen processed hake, with a value of 0.80. This result suggests that for this variety, consumers tend to repeat purchases from one week to the next.</w:t>
      </w:r>
    </w:p>
    <w:p w:rsidR="000642F5" w:rsidRPr="00047B36" w:rsidRDefault="004C5121" w:rsidP="00727FE8">
      <w:pPr>
        <w:spacing w:after="0" w:line="360" w:lineRule="auto"/>
        <w:jc w:val="both"/>
        <w:rPr>
          <w:rFonts w:ascii="Tw Cen MT" w:hAnsi="Tw Cen MT"/>
          <w:lang w:val="en-US"/>
        </w:rPr>
      </w:pPr>
      <w:r w:rsidRPr="00047B36">
        <w:rPr>
          <w:rFonts w:ascii="Tw Cen MT" w:eastAsia="Arial" w:hAnsi="Tw Cen MT" w:cs="Arial"/>
          <w:i/>
          <w:lang w:val="en-US"/>
        </w:rPr>
        <w:t>4.5.5. Seasonal time effects</w:t>
      </w:r>
    </w:p>
    <w:p w:rsidR="000642F5" w:rsidRPr="00047B36" w:rsidRDefault="00077B3A" w:rsidP="00727FE8">
      <w:pPr>
        <w:spacing w:after="0" w:line="360" w:lineRule="auto"/>
        <w:jc w:val="both"/>
        <w:rPr>
          <w:rFonts w:ascii="Tw Cen MT" w:hAnsi="Tw Cen MT"/>
          <w:lang w:val="en-US"/>
        </w:rPr>
      </w:pPr>
      <w:r w:rsidRPr="00047B36">
        <w:rPr>
          <w:rFonts w:ascii="Tw Cen MT" w:eastAsia="Arial" w:hAnsi="Tw Cen MT" w:cs="Arial"/>
          <w:b/>
          <w:color w:val="FF0000"/>
          <w:lang w:val="en-US"/>
        </w:rPr>
        <w:t xml:space="preserve">Weekly sales of certified NB frozen cod, certified NB hake </w:t>
      </w:r>
      <w:r w:rsidR="004C5121" w:rsidRPr="00047B36">
        <w:rPr>
          <w:rFonts w:ascii="Tw Cen MT" w:eastAsia="Arial" w:hAnsi="Tw Cen MT" w:cs="Arial"/>
          <w:b/>
          <w:color w:val="FF0000"/>
          <w:lang w:val="en-US"/>
        </w:rPr>
        <w:t>did not change in a significant way during Lent. Therefore it seems that the tradition of preparing cod-based dishes during Lent could be holding. However, again PB frozen processed hake ex</w:t>
      </w:r>
      <w:r w:rsidRPr="00047B36">
        <w:rPr>
          <w:rFonts w:ascii="Tw Cen MT" w:eastAsia="Arial" w:hAnsi="Tw Cen MT" w:cs="Arial"/>
          <w:b/>
          <w:color w:val="FF0000"/>
          <w:lang w:val="en-US"/>
        </w:rPr>
        <w:t>perienced a sales increase of 35</w:t>
      </w:r>
      <w:r w:rsidR="004C5121" w:rsidRPr="00047B36">
        <w:rPr>
          <w:rFonts w:ascii="Tw Cen MT" w:eastAsia="Arial" w:hAnsi="Tw Cen MT" w:cs="Arial"/>
          <w:b/>
          <w:color w:val="FF0000"/>
          <w:lang w:val="en-US"/>
        </w:rPr>
        <w:t>% in Lent.</w:t>
      </w:r>
      <w:r w:rsidR="004C5121" w:rsidRPr="00047B36">
        <w:rPr>
          <w:rFonts w:ascii="Tw Cen MT" w:eastAsia="Arial" w:hAnsi="Tw Cen MT" w:cs="Arial"/>
          <w:lang w:val="en-US"/>
        </w:rPr>
        <w:t xml:space="preserve"> Regarding the Christmas period, none of the certified varieties show a rise in sales. </w:t>
      </w:r>
    </w:p>
    <w:p w:rsidR="000642F5" w:rsidRPr="00047B36" w:rsidRDefault="004C5121" w:rsidP="00727FE8">
      <w:pPr>
        <w:spacing w:after="0" w:line="360" w:lineRule="auto"/>
        <w:jc w:val="center"/>
        <w:rPr>
          <w:rFonts w:ascii="Tw Cen MT" w:hAnsi="Tw Cen MT"/>
          <w:lang w:val="en-US"/>
        </w:rPr>
      </w:pPr>
      <w:r w:rsidRPr="00047B36">
        <w:rPr>
          <w:rFonts w:ascii="Tw Cen MT" w:eastAsia="Arial" w:hAnsi="Tw Cen MT" w:cs="Arial"/>
          <w:lang w:val="en-US"/>
        </w:rPr>
        <w:t xml:space="preserve">INSERT HERE TABLES </w:t>
      </w:r>
      <w:r w:rsidR="00AD62F9" w:rsidRPr="00047B36">
        <w:rPr>
          <w:rFonts w:ascii="Tw Cen MT" w:eastAsia="Arial" w:hAnsi="Tw Cen MT" w:cs="Arial"/>
          <w:lang w:val="en-US"/>
        </w:rPr>
        <w:t>2</w:t>
      </w:r>
      <w:r w:rsidRPr="00047B36">
        <w:rPr>
          <w:rFonts w:ascii="Tw Cen MT" w:eastAsia="Arial" w:hAnsi="Tw Cen MT" w:cs="Arial"/>
          <w:lang w:val="en-US"/>
        </w:rPr>
        <w:t xml:space="preserve">, </w:t>
      </w:r>
      <w:r w:rsidR="00AD62F9" w:rsidRPr="00047B36">
        <w:rPr>
          <w:rFonts w:ascii="Tw Cen MT" w:eastAsia="Arial" w:hAnsi="Tw Cen MT" w:cs="Arial"/>
          <w:lang w:val="en-US"/>
        </w:rPr>
        <w:t>3</w:t>
      </w:r>
      <w:r w:rsidRPr="00047B36">
        <w:rPr>
          <w:rFonts w:ascii="Tw Cen MT" w:eastAsia="Arial" w:hAnsi="Tw Cen MT" w:cs="Arial"/>
          <w:lang w:val="en-US"/>
        </w:rPr>
        <w:t xml:space="preserve"> AND </w:t>
      </w:r>
      <w:r w:rsidR="00AD62F9" w:rsidRPr="00047B36">
        <w:rPr>
          <w:rFonts w:ascii="Tw Cen MT" w:eastAsia="Arial" w:hAnsi="Tw Cen MT" w:cs="Arial"/>
          <w:lang w:val="en-US"/>
        </w:rPr>
        <w:t>4</w:t>
      </w:r>
    </w:p>
    <w:p w:rsidR="000642F5" w:rsidRPr="00047B36" w:rsidRDefault="004C5121" w:rsidP="00727FE8">
      <w:pPr>
        <w:spacing w:after="0" w:line="360" w:lineRule="auto"/>
        <w:rPr>
          <w:rFonts w:ascii="Tw Cen MT" w:hAnsi="Tw Cen MT"/>
          <w:lang w:val="en-US"/>
        </w:rPr>
      </w:pPr>
      <w:r w:rsidRPr="00047B36">
        <w:rPr>
          <w:rFonts w:ascii="Tw Cen MT" w:eastAsia="Arial" w:hAnsi="Tw Cen MT" w:cs="Arial"/>
          <w:b/>
          <w:lang w:val="en-US"/>
        </w:rPr>
        <w:t>5. Conclusions</w:t>
      </w:r>
    </w:p>
    <w:p w:rsidR="00727FE8" w:rsidRPr="00047B36" w:rsidRDefault="00727FE8" w:rsidP="00727FE8">
      <w:pPr>
        <w:autoSpaceDE w:val="0"/>
        <w:autoSpaceDN w:val="0"/>
        <w:adjustRightInd w:val="0"/>
        <w:spacing w:after="0" w:line="360" w:lineRule="auto"/>
        <w:jc w:val="both"/>
        <w:rPr>
          <w:rFonts w:ascii="Tw Cen MT" w:eastAsia="Arial" w:hAnsi="Tw Cen MT" w:cs="Arial"/>
          <w:lang w:val="en-US"/>
        </w:rPr>
      </w:pPr>
      <w:r w:rsidRPr="00047B36">
        <w:rPr>
          <w:rFonts w:ascii="Tw Cen MT" w:hAnsi="Tw Cen MT" w:cs="Arial"/>
          <w:lang w:val="en-US"/>
        </w:rPr>
        <w:t>This paper has examined whether being eco-certified may provide brands with a competitive advantage, in the particular domain of seafood. Given the size and growth rates of the market, we conclude that it is at an infancy stage; MSC-certified brands were introduced a year ago. Therefore, the market is still at an introductory stage, yet the timespan is insufficient to assess whether sales of these products will follow an inverted “U” shape over time or not.</w:t>
      </w:r>
      <w:r w:rsidRPr="00047B36">
        <w:rPr>
          <w:rFonts w:ascii="Tw Cen MT" w:eastAsia="Arial" w:hAnsi="Tw Cen MT" w:cs="Arial"/>
          <w:lang w:val="en-US"/>
        </w:rPr>
        <w:t xml:space="preserve"> </w:t>
      </w:r>
    </w:p>
    <w:p w:rsidR="00727FE8" w:rsidRPr="00047B36" w:rsidRDefault="00727FE8" w:rsidP="00727FE8">
      <w:pPr>
        <w:autoSpaceDE w:val="0"/>
        <w:autoSpaceDN w:val="0"/>
        <w:adjustRightInd w:val="0"/>
        <w:spacing w:after="0" w:line="360" w:lineRule="auto"/>
        <w:jc w:val="both"/>
        <w:rPr>
          <w:rFonts w:ascii="Tw Cen MT" w:hAnsi="Tw Cen MT" w:cs="Arial"/>
          <w:lang w:val="en-US"/>
        </w:rPr>
      </w:pPr>
      <w:r w:rsidRPr="00047B36">
        <w:rPr>
          <w:rFonts w:ascii="Tw Cen MT" w:hAnsi="Tw Cen MT" w:cs="Arial"/>
          <w:lang w:val="en-US"/>
        </w:rPr>
        <w:lastRenderedPageBreak/>
        <w:t>Scholarship has defended that the price premiums are a likely reason for the limited size of the market. However, this does not seem to be the case here. It is difficult to reach an overall conclusion about the premium as there is no common pattern across species. Some varieties sell at a premium and others at a lower price. Also, the premium itself varies over time, evidencing an erratic pattern. This suggests that brands are testing what the right price should be. Moreover, the differences in price and premium across species may be due to different market structures and consumers’ preferences in each variety. Available data did not allow further examination. Future research should examine whether this is the case.</w:t>
      </w:r>
    </w:p>
    <w:p w:rsidR="00727FE8" w:rsidRPr="00047B36" w:rsidRDefault="00727FE8" w:rsidP="00727FE8">
      <w:pPr>
        <w:autoSpaceDE w:val="0"/>
        <w:autoSpaceDN w:val="0"/>
        <w:adjustRightInd w:val="0"/>
        <w:spacing w:after="0" w:line="360" w:lineRule="auto"/>
        <w:jc w:val="both"/>
        <w:rPr>
          <w:rFonts w:ascii="Tw Cen MT" w:hAnsi="Tw Cen MT" w:cs="Arial"/>
          <w:lang w:val="en-US"/>
        </w:rPr>
      </w:pPr>
      <w:r w:rsidRPr="00047B36">
        <w:rPr>
          <w:rFonts w:ascii="Tw Cen MT" w:hAnsi="Tw Cen MT" w:cs="Arial"/>
          <w:lang w:val="en-US"/>
        </w:rPr>
        <w:t>Price elasticities however, suggest that the certified national varieties have not succeeded at differentiating their brand. Own-price elasticities are negative and of greater size than their counterparts which means that a price reduction could produce stronger sales growth in the certified national varieties than in the counterparts. Only the certified brand has positive own-price elasticities which should be seen as an indication of successful differentiation in the market.</w:t>
      </w:r>
    </w:p>
    <w:p w:rsidR="00727FE8" w:rsidRPr="00047B36" w:rsidRDefault="00727FE8" w:rsidP="00727FE8">
      <w:pPr>
        <w:autoSpaceDE w:val="0"/>
        <w:autoSpaceDN w:val="0"/>
        <w:adjustRightInd w:val="0"/>
        <w:spacing w:after="0" w:line="360" w:lineRule="auto"/>
        <w:jc w:val="both"/>
        <w:rPr>
          <w:rFonts w:ascii="Tw Cen MT" w:eastAsia="Arial" w:hAnsi="Tw Cen MT" w:cs="Arial"/>
          <w:lang w:val="en-US"/>
        </w:rPr>
      </w:pPr>
      <w:r w:rsidRPr="00047B36">
        <w:rPr>
          <w:rFonts w:ascii="Tw Cen MT" w:hAnsi="Tw Cen MT" w:cs="Arial"/>
          <w:lang w:val="en-US"/>
        </w:rPr>
        <w:t>A second reason to explain the limited size of the market is the constrained availability. This explanation fits better with the data although again there are differences across varieties. Moreover, the model shows that demand reacts very favorably to increases in availability and does so systematically for the three varieties under examination. This should be read as good news for certified fisheries. If sales increase as distribution increases, it is because they are tapping into an underlying preference of consumers. Their efforts should therefore go on to increase the reach of retailers selling certified fish.</w:t>
      </w:r>
      <w:r w:rsidRPr="00047B36">
        <w:rPr>
          <w:rFonts w:ascii="Tw Cen MT" w:eastAsia="Arial" w:hAnsi="Tw Cen MT" w:cs="Arial"/>
          <w:lang w:val="en-US"/>
        </w:rPr>
        <w:t xml:space="preserve"> </w:t>
      </w:r>
    </w:p>
    <w:p w:rsidR="00727FE8" w:rsidRPr="00047B36" w:rsidRDefault="00727FE8" w:rsidP="00727FE8">
      <w:pPr>
        <w:autoSpaceDE w:val="0"/>
        <w:autoSpaceDN w:val="0"/>
        <w:adjustRightInd w:val="0"/>
        <w:spacing w:after="0" w:line="360" w:lineRule="auto"/>
        <w:jc w:val="both"/>
        <w:rPr>
          <w:rFonts w:ascii="Tw Cen MT" w:eastAsia="Arial" w:hAnsi="Tw Cen MT" w:cs="Arial"/>
          <w:i/>
          <w:lang w:val="en-US"/>
        </w:rPr>
      </w:pPr>
      <w:r w:rsidRPr="00047B36">
        <w:rPr>
          <w:rFonts w:ascii="Tw Cen MT" w:hAnsi="Tw Cen MT" w:cs="Arial"/>
          <w:lang w:val="en-US"/>
        </w:rPr>
        <w:t>All indications of a positive response to demand are present in the private label: even though their share of the market is marginal, the growth rates are higher than that of the national brands, own-price elasticity is positive and cross price elasticity is negative. Research in organic markets has reached similar conclusions about the positive reaction of demand to organic private labels (</w:t>
      </w:r>
      <w:proofErr w:type="spellStart"/>
      <w:r w:rsidRPr="00047B36">
        <w:rPr>
          <w:rFonts w:ascii="Tw Cen MT" w:hAnsi="Tw Cen MT" w:cs="Arial"/>
          <w:lang w:val="en-US"/>
        </w:rPr>
        <w:t>Bezawada</w:t>
      </w:r>
      <w:proofErr w:type="spellEnd"/>
      <w:r w:rsidRPr="00047B36">
        <w:rPr>
          <w:rFonts w:ascii="Tw Cen MT" w:hAnsi="Tw Cen MT" w:cs="Arial"/>
          <w:lang w:val="en-US"/>
        </w:rPr>
        <w:t xml:space="preserve"> and </w:t>
      </w:r>
      <w:proofErr w:type="spellStart"/>
      <w:r w:rsidRPr="00047B36">
        <w:rPr>
          <w:rFonts w:ascii="Tw Cen MT" w:hAnsi="Tw Cen MT" w:cs="Arial"/>
          <w:lang w:val="en-US"/>
        </w:rPr>
        <w:t>Pawles</w:t>
      </w:r>
      <w:proofErr w:type="spellEnd"/>
      <w:r w:rsidRPr="00047B36">
        <w:rPr>
          <w:rFonts w:ascii="Tw Cen MT" w:hAnsi="Tw Cen MT" w:cs="Arial"/>
          <w:lang w:val="en-US"/>
        </w:rPr>
        <w:t xml:space="preserve">, 2012; </w:t>
      </w:r>
      <w:proofErr w:type="spellStart"/>
      <w:r w:rsidRPr="00047B36">
        <w:rPr>
          <w:rFonts w:ascii="Tw Cen MT" w:hAnsi="Tw Cen MT" w:cs="Arial"/>
          <w:lang w:val="en-US"/>
        </w:rPr>
        <w:t>Ngobo</w:t>
      </w:r>
      <w:proofErr w:type="spellEnd"/>
      <w:r w:rsidRPr="00047B36">
        <w:rPr>
          <w:rFonts w:ascii="Tw Cen MT" w:hAnsi="Tw Cen MT" w:cs="Arial"/>
          <w:lang w:val="en-US"/>
        </w:rPr>
        <w:t>, 2011). Further research should focus on certified private brands and assess its potential, examining the reasons why the indicators are systematically better for PB than for NB.</w:t>
      </w:r>
      <w:r w:rsidRPr="00047B36">
        <w:rPr>
          <w:rFonts w:ascii="Tw Cen MT" w:eastAsia="Arial" w:hAnsi="Tw Cen MT" w:cs="Arial"/>
          <w:i/>
          <w:lang w:val="en-US"/>
        </w:rPr>
        <w:t xml:space="preserve"> </w:t>
      </w:r>
    </w:p>
    <w:p w:rsidR="00727FE8" w:rsidRPr="00047B36" w:rsidRDefault="00727FE8" w:rsidP="00727FE8">
      <w:pPr>
        <w:autoSpaceDE w:val="0"/>
        <w:autoSpaceDN w:val="0"/>
        <w:adjustRightInd w:val="0"/>
        <w:spacing w:after="0" w:line="360" w:lineRule="auto"/>
        <w:jc w:val="both"/>
        <w:rPr>
          <w:rFonts w:ascii="Tw Cen MT" w:hAnsi="Tw Cen MT" w:cs="Arial"/>
          <w:lang w:val="en-US"/>
        </w:rPr>
      </w:pPr>
      <w:r w:rsidRPr="00047B36">
        <w:rPr>
          <w:rFonts w:ascii="Tw Cen MT" w:hAnsi="Tw Cen MT" w:cs="Arial"/>
          <w:lang w:val="en-US"/>
        </w:rPr>
        <w:t xml:space="preserve">Looking at the empirical results, fisheries should consider marketing their products under the retailers' brands as findings show that this may contribute to a competitive advantage in the market. </w:t>
      </w:r>
    </w:p>
    <w:p w:rsidR="00727FE8" w:rsidRPr="00047B36" w:rsidRDefault="00727FE8" w:rsidP="00727FE8">
      <w:pPr>
        <w:autoSpaceDE w:val="0"/>
        <w:autoSpaceDN w:val="0"/>
        <w:adjustRightInd w:val="0"/>
        <w:spacing w:after="0" w:line="360" w:lineRule="auto"/>
        <w:jc w:val="both"/>
        <w:rPr>
          <w:rFonts w:ascii="Tw Cen MT" w:hAnsi="Tw Cen MT" w:cs="Arial"/>
          <w:lang w:val="en-US"/>
        </w:rPr>
      </w:pPr>
      <w:r w:rsidRPr="00047B36">
        <w:rPr>
          <w:rFonts w:ascii="Tw Cen MT" w:hAnsi="Tw Cen MT" w:cs="Arial"/>
          <w:lang w:val="en-US"/>
        </w:rPr>
        <w:t xml:space="preserve">Also, brands should make efforts should to create a differentiated product, maybe by creating awareness of the MSC logo and what it entails and by promoting the unique aspects of MSC-certified seafood, be it the differential impact on the environmental and contribution to marine resources, or by emphasizing health-related attributes. They should also try to address the </w:t>
      </w:r>
      <w:r w:rsidRPr="00047B36">
        <w:rPr>
          <w:rFonts w:ascii="Tw Cen MT" w:hAnsi="Tw Cen MT" w:cs="Arial"/>
          <w:lang w:val="en-US"/>
        </w:rPr>
        <w:lastRenderedPageBreak/>
        <w:t>potential distrust in the label, by communicating wide and large the process for awarding the label and who is the awarding body.</w:t>
      </w:r>
    </w:p>
    <w:p w:rsidR="00727FE8" w:rsidRPr="00047B36" w:rsidRDefault="00727FE8" w:rsidP="00727FE8">
      <w:pPr>
        <w:autoSpaceDE w:val="0"/>
        <w:autoSpaceDN w:val="0"/>
        <w:adjustRightInd w:val="0"/>
        <w:spacing w:after="0" w:line="360" w:lineRule="auto"/>
        <w:jc w:val="both"/>
        <w:rPr>
          <w:rFonts w:ascii="Tw Cen MT" w:hAnsi="Tw Cen MT" w:cs="Arial"/>
          <w:lang w:val="en-US"/>
        </w:rPr>
      </w:pPr>
      <w:r w:rsidRPr="00047B36">
        <w:rPr>
          <w:rFonts w:ascii="Tw Cen MT" w:hAnsi="Tw Cen MT" w:cs="Arial"/>
          <w:lang w:val="en-US"/>
        </w:rPr>
        <w:t>Regarding pricing, brands should not follow neither price driven nor promotion driven strategies. As results do not show any common pricing strategy, it should be recommended to test different price premiums (respect to non-sustainable varieties) in order to achieve the optimal price. The key factor seems to be to create a differentiated product, and to make of price another signal of quality rather than a barrier.</w:t>
      </w:r>
    </w:p>
    <w:p w:rsidR="00727FE8" w:rsidRPr="00047B36" w:rsidRDefault="00727FE8" w:rsidP="00727FE8">
      <w:pPr>
        <w:autoSpaceDE w:val="0"/>
        <w:autoSpaceDN w:val="0"/>
        <w:adjustRightInd w:val="0"/>
        <w:spacing w:after="0" w:line="360" w:lineRule="auto"/>
        <w:jc w:val="both"/>
        <w:rPr>
          <w:rFonts w:ascii="Tw Cen MT" w:eastAsia="Arial" w:hAnsi="Tw Cen MT" w:cs="Arial"/>
          <w:i/>
          <w:lang w:val="en-US"/>
        </w:rPr>
      </w:pPr>
      <w:r w:rsidRPr="00047B36">
        <w:rPr>
          <w:rFonts w:ascii="Tw Cen MT" w:hAnsi="Tw Cen MT" w:cs="Arial"/>
          <w:lang w:val="en-US"/>
        </w:rPr>
        <w:t>There are evidences of repeated purchases; consequently, brands could offer promotions aimed at encouraging trial and later on, build customer loyalty. It is clear that the main barrier for consumers is availability. Certified fisheries are not gaining access to retailers. Our data show that sales are very sensitive to availability and it is plausible to fear a vicious circle: not enough sales drive MSC-certified goods out of retailers, which in turn would prevent greater sales. Studies, such as the one presented here, may be used by brands to make their case vis-à-vis retailers to gain distribution coverage.</w:t>
      </w:r>
    </w:p>
    <w:p w:rsidR="000642F5" w:rsidRPr="00047B36" w:rsidRDefault="004C5121" w:rsidP="00727FE8">
      <w:pPr>
        <w:spacing w:after="0" w:line="360" w:lineRule="auto"/>
        <w:jc w:val="both"/>
        <w:rPr>
          <w:rFonts w:ascii="Tw Cen MT" w:hAnsi="Tw Cen MT"/>
          <w:lang w:val="en-US"/>
        </w:rPr>
      </w:pPr>
      <w:r w:rsidRPr="00047B36">
        <w:rPr>
          <w:rFonts w:ascii="Tw Cen MT" w:eastAsia="Arial" w:hAnsi="Tw Cen MT" w:cs="Arial"/>
          <w:i/>
          <w:lang w:val="en-US"/>
        </w:rPr>
        <w:t>Acknowledgments</w:t>
      </w:r>
    </w:p>
    <w:p w:rsidR="000642F5" w:rsidRPr="00047B36" w:rsidRDefault="004C5121" w:rsidP="00727FE8">
      <w:pPr>
        <w:spacing w:after="0" w:line="360" w:lineRule="auto"/>
        <w:jc w:val="both"/>
        <w:rPr>
          <w:rFonts w:ascii="Tw Cen MT" w:hAnsi="Tw Cen MT"/>
          <w:lang w:val="en-US"/>
        </w:rPr>
      </w:pPr>
      <w:r w:rsidRPr="00047B36">
        <w:rPr>
          <w:rFonts w:ascii="Tw Cen MT" w:eastAsia="Arial" w:hAnsi="Tw Cen MT" w:cs="Arial"/>
          <w:lang w:val="en-US"/>
        </w:rPr>
        <w:t xml:space="preserve">The authors thank Nielsen for sharing their database for the purposes of this study. </w:t>
      </w:r>
    </w:p>
    <w:p w:rsidR="000642F5" w:rsidRPr="00047B36" w:rsidRDefault="000642F5" w:rsidP="00727FE8">
      <w:pPr>
        <w:spacing w:after="0" w:line="360" w:lineRule="auto"/>
        <w:jc w:val="both"/>
        <w:rPr>
          <w:rFonts w:ascii="Tw Cen MT" w:hAnsi="Tw Cen MT"/>
          <w:lang w:val="en-US"/>
        </w:rPr>
      </w:pPr>
    </w:p>
    <w:p w:rsidR="000642F5" w:rsidRPr="00047B36" w:rsidRDefault="004C5121" w:rsidP="00727FE8">
      <w:pPr>
        <w:spacing w:after="0" w:line="360" w:lineRule="auto"/>
        <w:rPr>
          <w:rFonts w:ascii="Tw Cen MT" w:hAnsi="Tw Cen MT"/>
          <w:lang w:val="en-US"/>
        </w:rPr>
      </w:pPr>
      <w:r w:rsidRPr="00047B36">
        <w:rPr>
          <w:rFonts w:ascii="Tw Cen MT" w:eastAsia="Arial" w:hAnsi="Tw Cen MT" w:cs="Arial"/>
          <w:b/>
          <w:lang w:val="en-US"/>
        </w:rPr>
        <w:t xml:space="preserve">References </w:t>
      </w:r>
    </w:p>
    <w:p w:rsidR="008534AC" w:rsidRPr="00047B36" w:rsidRDefault="008534AC" w:rsidP="00727FE8">
      <w:pPr>
        <w:spacing w:after="0" w:line="360" w:lineRule="auto"/>
        <w:jc w:val="both"/>
        <w:rPr>
          <w:rFonts w:ascii="Tw Cen MT" w:eastAsia="Arial" w:hAnsi="Tw Cen MT" w:cs="Arial"/>
          <w:color w:val="FF0000"/>
          <w:lang w:val="en-US"/>
        </w:rPr>
      </w:pPr>
      <w:r w:rsidRPr="00047B36">
        <w:rPr>
          <w:rFonts w:ascii="Tw Cen MT" w:eastAsia="Arial" w:hAnsi="Tw Cen MT" w:cs="Arial"/>
          <w:color w:val="FF0000"/>
          <w:lang w:val="en-US"/>
        </w:rPr>
        <w:t xml:space="preserve">Alston, J. M., </w:t>
      </w:r>
      <w:proofErr w:type="spellStart"/>
      <w:r w:rsidRPr="00047B36">
        <w:rPr>
          <w:rFonts w:ascii="Tw Cen MT" w:eastAsia="Arial" w:hAnsi="Tw Cen MT" w:cs="Arial"/>
          <w:color w:val="FF0000"/>
          <w:lang w:val="en-US"/>
        </w:rPr>
        <w:t>Chalfant</w:t>
      </w:r>
      <w:proofErr w:type="spellEnd"/>
      <w:r w:rsidRPr="00047B36">
        <w:rPr>
          <w:rFonts w:ascii="Tw Cen MT" w:eastAsia="Arial" w:hAnsi="Tw Cen MT" w:cs="Arial"/>
          <w:color w:val="FF0000"/>
          <w:lang w:val="en-US"/>
        </w:rPr>
        <w:t>, J. A., &amp; Piggott, N. E. (2002). Estimating and testing the compensated double-log demand model. Applied Economics, 34(9), 1177-1186.</w:t>
      </w:r>
    </w:p>
    <w:p w:rsidR="000642F5" w:rsidRPr="00047B36" w:rsidRDefault="004C5121" w:rsidP="00727FE8">
      <w:pPr>
        <w:spacing w:after="0" w:line="360" w:lineRule="auto"/>
        <w:jc w:val="both"/>
        <w:rPr>
          <w:rFonts w:ascii="Tw Cen MT" w:hAnsi="Tw Cen MT"/>
          <w:lang w:val="en-US"/>
        </w:rPr>
      </w:pPr>
      <w:r w:rsidRPr="00047B36">
        <w:rPr>
          <w:rFonts w:ascii="Tw Cen MT" w:eastAsia="Arial" w:hAnsi="Tw Cen MT" w:cs="Arial"/>
          <w:lang w:val="en-US"/>
        </w:rPr>
        <w:t xml:space="preserve">Aspers, P., (2005). Labeling fashion markets. International Journal of Consumer Studies, 32(6), 633–638. </w:t>
      </w:r>
    </w:p>
    <w:p w:rsidR="000642F5" w:rsidRPr="00047B36" w:rsidRDefault="004C5121" w:rsidP="00727FE8">
      <w:pPr>
        <w:spacing w:after="0" w:line="360" w:lineRule="auto"/>
        <w:jc w:val="both"/>
        <w:rPr>
          <w:rFonts w:ascii="Tw Cen MT" w:hAnsi="Tw Cen MT"/>
          <w:lang w:val="en-US"/>
        </w:rPr>
      </w:pPr>
      <w:proofErr w:type="spellStart"/>
      <w:r w:rsidRPr="00047B36">
        <w:rPr>
          <w:rFonts w:ascii="Tw Cen MT" w:eastAsia="Arial" w:hAnsi="Tw Cen MT" w:cs="Arial"/>
          <w:highlight w:val="white"/>
          <w:lang w:val="en-US"/>
        </w:rPr>
        <w:t>Bezawada</w:t>
      </w:r>
      <w:proofErr w:type="spellEnd"/>
      <w:r w:rsidRPr="00047B36">
        <w:rPr>
          <w:rFonts w:ascii="Tw Cen MT" w:eastAsia="Arial" w:hAnsi="Tw Cen MT" w:cs="Arial"/>
          <w:highlight w:val="white"/>
          <w:lang w:val="en-US"/>
        </w:rPr>
        <w:t xml:space="preserve">, R., &amp; </w:t>
      </w:r>
      <w:proofErr w:type="spellStart"/>
      <w:r w:rsidRPr="00047B36">
        <w:rPr>
          <w:rFonts w:ascii="Tw Cen MT" w:eastAsia="Arial" w:hAnsi="Tw Cen MT" w:cs="Arial"/>
          <w:highlight w:val="white"/>
          <w:lang w:val="en-US"/>
        </w:rPr>
        <w:t>Pauwels</w:t>
      </w:r>
      <w:proofErr w:type="spellEnd"/>
      <w:r w:rsidRPr="00047B36">
        <w:rPr>
          <w:rFonts w:ascii="Tw Cen MT" w:eastAsia="Arial" w:hAnsi="Tw Cen MT" w:cs="Arial"/>
          <w:highlight w:val="white"/>
          <w:lang w:val="en-US"/>
        </w:rPr>
        <w:t xml:space="preserve">, K. (2013). What is special about marketing organic products? How organic assortment, price, and promotions drive retailer performance. Journal of Marketing, 77(1), 31-51. </w:t>
      </w:r>
    </w:p>
    <w:p w:rsidR="000642F5" w:rsidRPr="00047B36" w:rsidRDefault="004C5121" w:rsidP="00727FE8">
      <w:pPr>
        <w:spacing w:after="0" w:line="360" w:lineRule="auto"/>
        <w:jc w:val="both"/>
        <w:rPr>
          <w:rFonts w:ascii="Tw Cen MT" w:hAnsi="Tw Cen MT"/>
          <w:lang w:val="en-US"/>
        </w:rPr>
      </w:pPr>
      <w:proofErr w:type="spellStart"/>
      <w:r w:rsidRPr="00047B36">
        <w:rPr>
          <w:rFonts w:ascii="Tw Cen MT" w:eastAsia="Arial" w:hAnsi="Tw Cen MT" w:cs="Arial"/>
          <w:highlight w:val="white"/>
          <w:lang w:val="en-US"/>
        </w:rPr>
        <w:t>Blomquist</w:t>
      </w:r>
      <w:proofErr w:type="spellEnd"/>
      <w:r w:rsidRPr="00047B36">
        <w:rPr>
          <w:rFonts w:ascii="Tw Cen MT" w:eastAsia="Arial" w:hAnsi="Tw Cen MT" w:cs="Arial"/>
          <w:highlight w:val="white"/>
          <w:lang w:val="en-US"/>
        </w:rPr>
        <w:t xml:space="preserve">, J., </w:t>
      </w:r>
      <w:proofErr w:type="spellStart"/>
      <w:r w:rsidRPr="00047B36">
        <w:rPr>
          <w:rFonts w:ascii="Tw Cen MT" w:eastAsia="Arial" w:hAnsi="Tw Cen MT" w:cs="Arial"/>
          <w:highlight w:val="white"/>
          <w:lang w:val="en-US"/>
        </w:rPr>
        <w:t>Bartolino</w:t>
      </w:r>
      <w:proofErr w:type="spellEnd"/>
      <w:r w:rsidRPr="00047B36">
        <w:rPr>
          <w:rFonts w:ascii="Tw Cen MT" w:eastAsia="Arial" w:hAnsi="Tw Cen MT" w:cs="Arial"/>
          <w:highlight w:val="white"/>
          <w:lang w:val="en-US"/>
        </w:rPr>
        <w:t>, V., &amp; Waldo, S. (2015). Price Premiums for Providing Eco</w:t>
      </w:r>
      <w:r w:rsidRPr="00047B36">
        <w:rPr>
          <w:rFonts w:ascii="Cambria Math" w:eastAsia="Cambria" w:hAnsi="Cambria Math" w:cs="Cambria Math"/>
          <w:highlight w:val="white"/>
          <w:lang w:val="en-US"/>
        </w:rPr>
        <w:t>‐</w:t>
      </w:r>
      <w:r w:rsidRPr="00047B36">
        <w:rPr>
          <w:rFonts w:ascii="Tw Cen MT" w:eastAsia="Arial" w:hAnsi="Tw Cen MT" w:cs="Arial"/>
          <w:highlight w:val="white"/>
          <w:lang w:val="en-US"/>
        </w:rPr>
        <w:t>labelled Seafood: Evidence from MSC</w:t>
      </w:r>
      <w:r w:rsidRPr="00047B36">
        <w:rPr>
          <w:rFonts w:ascii="Cambria Math" w:eastAsia="Cambria" w:hAnsi="Cambria Math" w:cs="Cambria Math"/>
          <w:highlight w:val="white"/>
          <w:lang w:val="en-US"/>
        </w:rPr>
        <w:t>‐</w:t>
      </w:r>
      <w:r w:rsidRPr="00047B36">
        <w:rPr>
          <w:rFonts w:ascii="Tw Cen MT" w:eastAsia="Arial" w:hAnsi="Tw Cen MT" w:cs="Arial"/>
          <w:highlight w:val="white"/>
          <w:lang w:val="en-US"/>
        </w:rPr>
        <w:t>certified cod in Sweden. Journal of Agricultural Economics,</w:t>
      </w:r>
      <w:r w:rsidRPr="00047B36">
        <w:rPr>
          <w:rFonts w:ascii="Tw Cen MT" w:hAnsi="Tw Cen MT"/>
          <w:lang w:val="en-US"/>
        </w:rPr>
        <w:t xml:space="preserve"> </w:t>
      </w:r>
      <w:r w:rsidRPr="00047B36">
        <w:rPr>
          <w:rFonts w:ascii="Tw Cen MT" w:eastAsia="Arial" w:hAnsi="Tw Cen MT" w:cs="Arial"/>
          <w:highlight w:val="white"/>
          <w:lang w:val="en-US"/>
        </w:rPr>
        <w:t>66(3), 690-704</w:t>
      </w:r>
    </w:p>
    <w:p w:rsidR="000642F5" w:rsidRPr="00047B36" w:rsidRDefault="004C5121" w:rsidP="00727FE8">
      <w:pPr>
        <w:spacing w:after="0" w:line="360" w:lineRule="auto"/>
        <w:jc w:val="both"/>
        <w:rPr>
          <w:rFonts w:ascii="Tw Cen MT" w:hAnsi="Tw Cen MT"/>
        </w:rPr>
      </w:pPr>
      <w:proofErr w:type="spellStart"/>
      <w:r w:rsidRPr="00047B36">
        <w:rPr>
          <w:rFonts w:ascii="Tw Cen MT" w:eastAsia="Arial" w:hAnsi="Tw Cen MT" w:cs="Arial"/>
          <w:highlight w:val="white"/>
          <w:lang w:val="en-US"/>
        </w:rPr>
        <w:t>Brécard</w:t>
      </w:r>
      <w:proofErr w:type="spellEnd"/>
      <w:r w:rsidRPr="00047B36">
        <w:rPr>
          <w:rFonts w:ascii="Tw Cen MT" w:eastAsia="Arial" w:hAnsi="Tw Cen MT" w:cs="Arial"/>
          <w:highlight w:val="white"/>
          <w:lang w:val="en-US"/>
        </w:rPr>
        <w:t xml:space="preserve">, D., </w:t>
      </w:r>
      <w:proofErr w:type="spellStart"/>
      <w:r w:rsidRPr="00047B36">
        <w:rPr>
          <w:rFonts w:ascii="Tw Cen MT" w:eastAsia="Arial" w:hAnsi="Tw Cen MT" w:cs="Arial"/>
          <w:highlight w:val="white"/>
          <w:lang w:val="en-US"/>
        </w:rPr>
        <w:t>Hlaimi</w:t>
      </w:r>
      <w:proofErr w:type="spellEnd"/>
      <w:r w:rsidRPr="00047B36">
        <w:rPr>
          <w:rFonts w:ascii="Tw Cen MT" w:eastAsia="Arial" w:hAnsi="Tw Cen MT" w:cs="Arial"/>
          <w:highlight w:val="white"/>
          <w:lang w:val="en-US"/>
        </w:rPr>
        <w:t xml:space="preserve">, B., Lucas, S., </w:t>
      </w:r>
      <w:proofErr w:type="spellStart"/>
      <w:r w:rsidRPr="00047B36">
        <w:rPr>
          <w:rFonts w:ascii="Tw Cen MT" w:eastAsia="Arial" w:hAnsi="Tw Cen MT" w:cs="Arial"/>
          <w:highlight w:val="white"/>
          <w:lang w:val="en-US"/>
        </w:rPr>
        <w:t>Perraudeau</w:t>
      </w:r>
      <w:proofErr w:type="spellEnd"/>
      <w:r w:rsidRPr="00047B36">
        <w:rPr>
          <w:rFonts w:ascii="Tw Cen MT" w:eastAsia="Arial" w:hAnsi="Tw Cen MT" w:cs="Arial"/>
          <w:highlight w:val="white"/>
          <w:lang w:val="en-US"/>
        </w:rPr>
        <w:t xml:space="preserve">, Y., &amp; </w:t>
      </w:r>
      <w:proofErr w:type="spellStart"/>
      <w:r w:rsidRPr="00047B36">
        <w:rPr>
          <w:rFonts w:ascii="Tw Cen MT" w:eastAsia="Arial" w:hAnsi="Tw Cen MT" w:cs="Arial"/>
          <w:highlight w:val="white"/>
          <w:lang w:val="en-US"/>
        </w:rPr>
        <w:t>Salladarré</w:t>
      </w:r>
      <w:proofErr w:type="spellEnd"/>
      <w:r w:rsidRPr="00047B36">
        <w:rPr>
          <w:rFonts w:ascii="Tw Cen MT" w:eastAsia="Arial" w:hAnsi="Tw Cen MT" w:cs="Arial"/>
          <w:highlight w:val="white"/>
          <w:lang w:val="en-US"/>
        </w:rPr>
        <w:t xml:space="preserve">, F., 2009. Determinants of demand for green products: An application to eco-label demand for fish in Europe. </w:t>
      </w:r>
      <w:proofErr w:type="spellStart"/>
      <w:r w:rsidRPr="00047B36">
        <w:rPr>
          <w:rFonts w:ascii="Tw Cen MT" w:eastAsia="Arial" w:hAnsi="Tw Cen MT" w:cs="Arial"/>
          <w:highlight w:val="white"/>
        </w:rPr>
        <w:t>Ecological</w:t>
      </w:r>
      <w:proofErr w:type="spellEnd"/>
      <w:r w:rsidRPr="00047B36">
        <w:rPr>
          <w:rFonts w:ascii="Tw Cen MT" w:eastAsia="Arial" w:hAnsi="Tw Cen MT" w:cs="Arial"/>
          <w:highlight w:val="white"/>
        </w:rPr>
        <w:t xml:space="preserve"> </w:t>
      </w:r>
      <w:proofErr w:type="spellStart"/>
      <w:r w:rsidRPr="00047B36">
        <w:rPr>
          <w:rFonts w:ascii="Tw Cen MT" w:eastAsia="Arial" w:hAnsi="Tw Cen MT" w:cs="Arial"/>
          <w:highlight w:val="white"/>
        </w:rPr>
        <w:t>economics</w:t>
      </w:r>
      <w:proofErr w:type="spellEnd"/>
      <w:r w:rsidRPr="00047B36">
        <w:rPr>
          <w:rFonts w:ascii="Tw Cen MT" w:eastAsia="Arial" w:hAnsi="Tw Cen MT" w:cs="Arial"/>
          <w:highlight w:val="white"/>
        </w:rPr>
        <w:t>, 69(1), 115-125.</w:t>
      </w:r>
    </w:p>
    <w:p w:rsidR="000642F5" w:rsidRPr="00047B36" w:rsidRDefault="004C5121" w:rsidP="00727FE8">
      <w:pPr>
        <w:spacing w:after="0" w:line="360" w:lineRule="auto"/>
        <w:rPr>
          <w:rFonts w:ascii="Tw Cen MT" w:hAnsi="Tw Cen MT"/>
          <w:lang w:val="en-US"/>
        </w:rPr>
      </w:pPr>
      <w:r w:rsidRPr="00047B36">
        <w:rPr>
          <w:rFonts w:ascii="Tw Cen MT" w:eastAsia="Arial" w:hAnsi="Tw Cen MT" w:cs="Arial"/>
        </w:rPr>
        <w:t xml:space="preserve">Carrero, I. &amp; Valor, C., 2012. La relación del consumidor con el etiquetado responsable. </w:t>
      </w:r>
      <w:proofErr w:type="spellStart"/>
      <w:r w:rsidRPr="00047B36">
        <w:rPr>
          <w:rFonts w:ascii="Tw Cen MT" w:eastAsia="Arial" w:hAnsi="Tw Cen MT" w:cs="Arial"/>
          <w:lang w:val="en-US"/>
        </w:rPr>
        <w:t>Revista</w:t>
      </w:r>
      <w:proofErr w:type="spellEnd"/>
      <w:r w:rsidRPr="00047B36">
        <w:rPr>
          <w:rFonts w:ascii="Tw Cen MT" w:eastAsia="Arial" w:hAnsi="Tw Cen MT" w:cs="Arial"/>
          <w:lang w:val="en-US"/>
        </w:rPr>
        <w:t xml:space="preserve"> de RSE, 10(4), 79-104</w:t>
      </w:r>
    </w:p>
    <w:p w:rsidR="000642F5" w:rsidRPr="00047B36" w:rsidRDefault="004C5121" w:rsidP="00727FE8">
      <w:pPr>
        <w:spacing w:after="0" w:line="360" w:lineRule="auto"/>
        <w:jc w:val="both"/>
        <w:rPr>
          <w:rFonts w:ascii="Tw Cen MT" w:hAnsi="Tw Cen MT"/>
          <w:lang w:val="en-US"/>
        </w:rPr>
      </w:pPr>
      <w:r w:rsidRPr="00047B36">
        <w:rPr>
          <w:rFonts w:ascii="Tw Cen MT" w:eastAsia="Arial" w:hAnsi="Tw Cen MT" w:cs="Arial"/>
          <w:highlight w:val="white"/>
          <w:lang w:val="en-US"/>
        </w:rPr>
        <w:lastRenderedPageBreak/>
        <w:t xml:space="preserve">Christian, C., </w:t>
      </w:r>
      <w:proofErr w:type="spellStart"/>
      <w:r w:rsidRPr="00047B36">
        <w:rPr>
          <w:rFonts w:ascii="Tw Cen MT" w:eastAsia="Arial" w:hAnsi="Tw Cen MT" w:cs="Arial"/>
          <w:highlight w:val="white"/>
          <w:lang w:val="en-US"/>
        </w:rPr>
        <w:t>Ainley</w:t>
      </w:r>
      <w:proofErr w:type="spellEnd"/>
      <w:r w:rsidRPr="00047B36">
        <w:rPr>
          <w:rFonts w:ascii="Tw Cen MT" w:eastAsia="Arial" w:hAnsi="Tw Cen MT" w:cs="Arial"/>
          <w:highlight w:val="white"/>
          <w:lang w:val="en-US"/>
        </w:rPr>
        <w:t xml:space="preserve">, D., Bailey, M., Dayton, P., </w:t>
      </w:r>
      <w:proofErr w:type="spellStart"/>
      <w:r w:rsidRPr="00047B36">
        <w:rPr>
          <w:rFonts w:ascii="Tw Cen MT" w:eastAsia="Arial" w:hAnsi="Tw Cen MT" w:cs="Arial"/>
          <w:highlight w:val="white"/>
          <w:lang w:val="en-US"/>
        </w:rPr>
        <w:t>Hocevar</w:t>
      </w:r>
      <w:proofErr w:type="spellEnd"/>
      <w:r w:rsidRPr="00047B36">
        <w:rPr>
          <w:rFonts w:ascii="Tw Cen MT" w:eastAsia="Arial" w:hAnsi="Tw Cen MT" w:cs="Arial"/>
          <w:highlight w:val="white"/>
          <w:lang w:val="en-US"/>
        </w:rPr>
        <w:t xml:space="preserve">, J., </w:t>
      </w:r>
      <w:proofErr w:type="spellStart"/>
      <w:r w:rsidRPr="00047B36">
        <w:rPr>
          <w:rFonts w:ascii="Tw Cen MT" w:eastAsia="Arial" w:hAnsi="Tw Cen MT" w:cs="Arial"/>
          <w:highlight w:val="white"/>
          <w:lang w:val="en-US"/>
        </w:rPr>
        <w:t>LeVine</w:t>
      </w:r>
      <w:proofErr w:type="spellEnd"/>
      <w:r w:rsidRPr="00047B36">
        <w:rPr>
          <w:rFonts w:ascii="Tw Cen MT" w:eastAsia="Arial" w:hAnsi="Tw Cen MT" w:cs="Arial"/>
          <w:highlight w:val="white"/>
          <w:lang w:val="en-US"/>
        </w:rPr>
        <w:t xml:space="preserve">, M., &amp; </w:t>
      </w:r>
      <w:proofErr w:type="spellStart"/>
      <w:r w:rsidRPr="00047B36">
        <w:rPr>
          <w:rFonts w:ascii="Tw Cen MT" w:eastAsia="Arial" w:hAnsi="Tw Cen MT" w:cs="Arial"/>
          <w:highlight w:val="white"/>
          <w:lang w:val="en-US"/>
        </w:rPr>
        <w:t>Jacquet</w:t>
      </w:r>
      <w:proofErr w:type="spellEnd"/>
      <w:r w:rsidRPr="00047B36">
        <w:rPr>
          <w:rFonts w:ascii="Tw Cen MT" w:eastAsia="Arial" w:hAnsi="Tw Cen MT" w:cs="Arial"/>
          <w:highlight w:val="white"/>
          <w:lang w:val="en-US"/>
        </w:rPr>
        <w:t>, J., 2013. A Review of formal objections to Marine Stewardship Council fisheries certifications. Biological Conservation, 161(1), 10-17.</w:t>
      </w:r>
    </w:p>
    <w:p w:rsidR="000642F5" w:rsidRPr="00047B36" w:rsidRDefault="004C5121" w:rsidP="00727FE8">
      <w:pPr>
        <w:spacing w:after="0" w:line="360" w:lineRule="auto"/>
        <w:jc w:val="both"/>
        <w:rPr>
          <w:rFonts w:ascii="Tw Cen MT" w:hAnsi="Tw Cen MT"/>
          <w:lang w:val="en-US"/>
        </w:rPr>
      </w:pPr>
      <w:r w:rsidRPr="00047B36">
        <w:rPr>
          <w:rFonts w:ascii="Tw Cen MT" w:eastAsia="Arial" w:hAnsi="Tw Cen MT" w:cs="Arial"/>
          <w:lang w:val="en-US"/>
        </w:rPr>
        <w:t xml:space="preserve">D´Souza, C., </w:t>
      </w:r>
      <w:proofErr w:type="spellStart"/>
      <w:r w:rsidRPr="00047B36">
        <w:rPr>
          <w:rFonts w:ascii="Tw Cen MT" w:eastAsia="Arial" w:hAnsi="Tw Cen MT" w:cs="Arial"/>
          <w:lang w:val="en-US"/>
        </w:rPr>
        <w:t>Taghian</w:t>
      </w:r>
      <w:proofErr w:type="spellEnd"/>
      <w:r w:rsidRPr="00047B36">
        <w:rPr>
          <w:rFonts w:ascii="Tw Cen MT" w:eastAsia="Arial" w:hAnsi="Tw Cen MT" w:cs="Arial"/>
          <w:lang w:val="en-US"/>
        </w:rPr>
        <w:t xml:space="preserve">, M., Lamb, P., &amp; </w:t>
      </w:r>
      <w:proofErr w:type="spellStart"/>
      <w:r w:rsidRPr="00047B36">
        <w:rPr>
          <w:rFonts w:ascii="Tw Cen MT" w:eastAsia="Arial" w:hAnsi="Tw Cen MT" w:cs="Arial"/>
          <w:lang w:val="en-US"/>
        </w:rPr>
        <w:t>Peritatko</w:t>
      </w:r>
      <w:proofErr w:type="spellEnd"/>
      <w:r w:rsidRPr="00047B36">
        <w:rPr>
          <w:rFonts w:ascii="Tw Cen MT" w:eastAsia="Arial" w:hAnsi="Tw Cen MT" w:cs="Arial"/>
          <w:lang w:val="en-US"/>
        </w:rPr>
        <w:t>, R. (2007). Green Decisions: Demographics and Consumer Understanding of Environmental Labels. International Journal of Consumer Studies, 31(4), 371–376.</w:t>
      </w:r>
    </w:p>
    <w:p w:rsidR="000642F5" w:rsidRPr="00047B36" w:rsidRDefault="004C5121" w:rsidP="00727FE8">
      <w:pPr>
        <w:spacing w:after="0" w:line="360" w:lineRule="auto"/>
        <w:jc w:val="both"/>
        <w:rPr>
          <w:rFonts w:ascii="Tw Cen MT" w:hAnsi="Tw Cen MT"/>
          <w:lang w:val="en-US"/>
        </w:rPr>
      </w:pPr>
      <w:r w:rsidRPr="00047B36">
        <w:rPr>
          <w:rFonts w:ascii="Tw Cen MT" w:eastAsia="Arial" w:hAnsi="Tw Cen MT" w:cs="Arial"/>
          <w:lang w:val="en-US"/>
        </w:rPr>
        <w:t xml:space="preserve">De </w:t>
      </w:r>
      <w:proofErr w:type="spellStart"/>
      <w:r w:rsidRPr="00047B36">
        <w:rPr>
          <w:rFonts w:ascii="Tw Cen MT" w:eastAsia="Arial" w:hAnsi="Tw Cen MT" w:cs="Arial"/>
          <w:lang w:val="en-US"/>
        </w:rPr>
        <w:t>Pelsmacker</w:t>
      </w:r>
      <w:proofErr w:type="spellEnd"/>
      <w:r w:rsidRPr="00047B36">
        <w:rPr>
          <w:rFonts w:ascii="Tw Cen MT" w:eastAsia="Arial" w:hAnsi="Tw Cen MT" w:cs="Arial"/>
          <w:lang w:val="en-US"/>
        </w:rPr>
        <w:t xml:space="preserve">, P., </w:t>
      </w:r>
      <w:proofErr w:type="spellStart"/>
      <w:r w:rsidRPr="00047B36">
        <w:rPr>
          <w:rFonts w:ascii="Tw Cen MT" w:eastAsia="Arial" w:hAnsi="Tw Cen MT" w:cs="Arial"/>
          <w:lang w:val="en-US"/>
        </w:rPr>
        <w:t>Janssens</w:t>
      </w:r>
      <w:proofErr w:type="spellEnd"/>
      <w:r w:rsidRPr="00047B36">
        <w:rPr>
          <w:rFonts w:ascii="Tw Cen MT" w:eastAsia="Arial" w:hAnsi="Tw Cen MT" w:cs="Arial"/>
          <w:lang w:val="en-US"/>
        </w:rPr>
        <w:t xml:space="preserve">, W., </w:t>
      </w:r>
      <w:proofErr w:type="spellStart"/>
      <w:r w:rsidRPr="00047B36">
        <w:rPr>
          <w:rFonts w:ascii="Tw Cen MT" w:eastAsia="Arial" w:hAnsi="Tw Cen MT" w:cs="Arial"/>
          <w:lang w:val="en-US"/>
        </w:rPr>
        <w:t>Sterckx</w:t>
      </w:r>
      <w:proofErr w:type="spellEnd"/>
      <w:r w:rsidRPr="00047B36">
        <w:rPr>
          <w:rFonts w:ascii="Tw Cen MT" w:eastAsia="Arial" w:hAnsi="Tw Cen MT" w:cs="Arial"/>
          <w:lang w:val="en-US"/>
        </w:rPr>
        <w:t xml:space="preserve">, E. &amp; </w:t>
      </w:r>
      <w:proofErr w:type="spellStart"/>
      <w:r w:rsidRPr="00047B36">
        <w:rPr>
          <w:rFonts w:ascii="Tw Cen MT" w:eastAsia="Arial" w:hAnsi="Tw Cen MT" w:cs="Arial"/>
          <w:lang w:val="en-US"/>
        </w:rPr>
        <w:t>Mielants</w:t>
      </w:r>
      <w:proofErr w:type="spellEnd"/>
      <w:r w:rsidRPr="00047B36">
        <w:rPr>
          <w:rFonts w:ascii="Tw Cen MT" w:eastAsia="Arial" w:hAnsi="Tw Cen MT" w:cs="Arial"/>
          <w:lang w:val="en-US"/>
        </w:rPr>
        <w:t>, C. (2005). Consumer preferences for the marketing of ethically labeled coffee. International Marketing Review, 22(5), 512-530.</w:t>
      </w:r>
    </w:p>
    <w:p w:rsidR="000642F5" w:rsidRPr="00047B36" w:rsidRDefault="004C5121" w:rsidP="00727FE8">
      <w:pPr>
        <w:spacing w:after="0" w:line="360" w:lineRule="auto"/>
        <w:jc w:val="both"/>
        <w:rPr>
          <w:rFonts w:ascii="Tw Cen MT" w:hAnsi="Tw Cen MT"/>
          <w:lang w:val="en-US"/>
        </w:rPr>
      </w:pPr>
      <w:r w:rsidRPr="00047B36">
        <w:rPr>
          <w:rFonts w:ascii="Tw Cen MT" w:eastAsia="Arial" w:hAnsi="Tw Cen MT" w:cs="Arial"/>
          <w:highlight w:val="white"/>
          <w:lang w:val="en-US"/>
        </w:rPr>
        <w:t xml:space="preserve">Eden, S., Bear, C., Walker, G. (2008). The </w:t>
      </w:r>
      <w:proofErr w:type="spellStart"/>
      <w:r w:rsidRPr="00047B36">
        <w:rPr>
          <w:rFonts w:ascii="Tw Cen MT" w:eastAsia="Arial" w:hAnsi="Tw Cen MT" w:cs="Arial"/>
          <w:highlight w:val="white"/>
          <w:lang w:val="en-US"/>
        </w:rPr>
        <w:t>sceptical</w:t>
      </w:r>
      <w:proofErr w:type="spellEnd"/>
      <w:r w:rsidRPr="00047B36">
        <w:rPr>
          <w:rFonts w:ascii="Tw Cen MT" w:eastAsia="Arial" w:hAnsi="Tw Cen MT" w:cs="Arial"/>
          <w:highlight w:val="white"/>
          <w:lang w:val="en-US"/>
        </w:rPr>
        <w:t xml:space="preserve"> consumer? Exploring views about food assurance. Food Policy, 33(6), 624-630.</w:t>
      </w:r>
    </w:p>
    <w:p w:rsidR="000642F5" w:rsidRPr="00047B36" w:rsidRDefault="004C5121" w:rsidP="00727FE8">
      <w:pPr>
        <w:spacing w:after="0" w:line="360" w:lineRule="auto"/>
        <w:jc w:val="both"/>
        <w:rPr>
          <w:rFonts w:ascii="Tw Cen MT" w:hAnsi="Tw Cen MT"/>
          <w:lang w:val="en-US"/>
        </w:rPr>
      </w:pPr>
      <w:proofErr w:type="spellStart"/>
      <w:r w:rsidRPr="00047B36">
        <w:rPr>
          <w:rFonts w:ascii="Tw Cen MT" w:eastAsia="Arial" w:hAnsi="Tw Cen MT" w:cs="Arial"/>
          <w:lang w:val="en-US"/>
        </w:rPr>
        <w:t>Fliess</w:t>
      </w:r>
      <w:proofErr w:type="spellEnd"/>
      <w:r w:rsidRPr="00047B36">
        <w:rPr>
          <w:rFonts w:ascii="Tw Cen MT" w:eastAsia="Arial" w:hAnsi="Tw Cen MT" w:cs="Arial"/>
          <w:lang w:val="en-US"/>
        </w:rPr>
        <w:t xml:space="preserve">, B., Lee, H.J., </w:t>
      </w:r>
      <w:proofErr w:type="spellStart"/>
      <w:r w:rsidRPr="00047B36">
        <w:rPr>
          <w:rFonts w:ascii="Tw Cen MT" w:eastAsia="Arial" w:hAnsi="Tw Cen MT" w:cs="Arial"/>
          <w:lang w:val="en-US"/>
        </w:rPr>
        <w:t>Dubreuil</w:t>
      </w:r>
      <w:proofErr w:type="spellEnd"/>
      <w:r w:rsidRPr="00047B36">
        <w:rPr>
          <w:rFonts w:ascii="Tw Cen MT" w:eastAsia="Arial" w:hAnsi="Tw Cen MT" w:cs="Arial"/>
          <w:lang w:val="en-US"/>
        </w:rPr>
        <w:t xml:space="preserve">, O.L. &amp; </w:t>
      </w:r>
      <w:proofErr w:type="spellStart"/>
      <w:r w:rsidRPr="00047B36">
        <w:rPr>
          <w:rFonts w:ascii="Tw Cen MT" w:eastAsia="Arial" w:hAnsi="Tw Cen MT" w:cs="Arial"/>
          <w:lang w:val="en-US"/>
        </w:rPr>
        <w:t>Agatiello</w:t>
      </w:r>
      <w:proofErr w:type="spellEnd"/>
      <w:r w:rsidRPr="00047B36">
        <w:rPr>
          <w:rFonts w:ascii="Tw Cen MT" w:eastAsia="Arial" w:hAnsi="Tw Cen MT" w:cs="Arial"/>
          <w:lang w:val="en-US"/>
        </w:rPr>
        <w:t xml:space="preserve">, O. (2007). CSR and trade: informing consumers about social and environmental conditions of </w:t>
      </w:r>
      <w:proofErr w:type="spellStart"/>
      <w:r w:rsidRPr="00047B36">
        <w:rPr>
          <w:rFonts w:ascii="Tw Cen MT" w:eastAsia="Arial" w:hAnsi="Tw Cen MT" w:cs="Arial"/>
          <w:lang w:val="en-US"/>
        </w:rPr>
        <w:t>globalised</w:t>
      </w:r>
      <w:proofErr w:type="spellEnd"/>
      <w:r w:rsidRPr="00047B36">
        <w:rPr>
          <w:rFonts w:ascii="Tw Cen MT" w:eastAsia="Arial" w:hAnsi="Tw Cen MT" w:cs="Arial"/>
          <w:lang w:val="en-US"/>
        </w:rPr>
        <w:t xml:space="preserve"> production, Trade Policy Working Paper No. 47 – Part I, Working Party of the Trade Committee, TD/TC/WP(2006)17/FINAL.</w:t>
      </w:r>
    </w:p>
    <w:p w:rsidR="000642F5" w:rsidRPr="00047B36" w:rsidRDefault="004C5121" w:rsidP="00727FE8">
      <w:pPr>
        <w:spacing w:after="0" w:line="360" w:lineRule="auto"/>
        <w:jc w:val="both"/>
        <w:rPr>
          <w:rFonts w:ascii="Tw Cen MT" w:hAnsi="Tw Cen MT"/>
          <w:lang w:val="en-US"/>
        </w:rPr>
      </w:pPr>
      <w:r w:rsidRPr="00047B36">
        <w:rPr>
          <w:rFonts w:ascii="Tw Cen MT" w:eastAsia="Arial" w:hAnsi="Tw Cen MT" w:cs="Arial"/>
          <w:color w:val="222222"/>
          <w:highlight w:val="white"/>
          <w:lang w:val="en-US"/>
        </w:rPr>
        <w:t xml:space="preserve">Fotopoulos, C., &amp; </w:t>
      </w:r>
      <w:proofErr w:type="spellStart"/>
      <w:r w:rsidRPr="00047B36">
        <w:rPr>
          <w:rFonts w:ascii="Tw Cen MT" w:eastAsia="Arial" w:hAnsi="Tw Cen MT" w:cs="Arial"/>
          <w:color w:val="222222"/>
          <w:highlight w:val="white"/>
          <w:lang w:val="en-US"/>
        </w:rPr>
        <w:t>Krystallis</w:t>
      </w:r>
      <w:proofErr w:type="spellEnd"/>
      <w:r w:rsidRPr="00047B36">
        <w:rPr>
          <w:rFonts w:ascii="Tw Cen MT" w:eastAsia="Arial" w:hAnsi="Tw Cen MT" w:cs="Arial"/>
          <w:color w:val="222222"/>
          <w:highlight w:val="white"/>
          <w:lang w:val="en-US"/>
        </w:rPr>
        <w:t>, A. (2001). Are quality labels a real marketing advantage? A conjoint application on Greek PDO protected olive oil. Journal of International Food &amp; Agribusiness Marketing, 12(1), 1-22.</w:t>
      </w:r>
    </w:p>
    <w:p w:rsidR="000642F5" w:rsidRPr="00047B36" w:rsidRDefault="004C5121" w:rsidP="00727FE8">
      <w:pPr>
        <w:spacing w:after="0" w:line="360" w:lineRule="auto"/>
        <w:jc w:val="both"/>
        <w:rPr>
          <w:rFonts w:ascii="Tw Cen MT" w:hAnsi="Tw Cen MT"/>
          <w:lang w:val="en-US"/>
        </w:rPr>
      </w:pPr>
      <w:proofErr w:type="spellStart"/>
      <w:r w:rsidRPr="00047B36">
        <w:rPr>
          <w:rFonts w:ascii="Tw Cen MT" w:eastAsia="Arial" w:hAnsi="Tw Cen MT" w:cs="Arial"/>
          <w:highlight w:val="white"/>
          <w:lang w:val="en-US"/>
        </w:rPr>
        <w:t>Goyert</w:t>
      </w:r>
      <w:proofErr w:type="spellEnd"/>
      <w:r w:rsidRPr="00047B36">
        <w:rPr>
          <w:rFonts w:ascii="Tw Cen MT" w:eastAsia="Arial" w:hAnsi="Tw Cen MT" w:cs="Arial"/>
          <w:highlight w:val="white"/>
          <w:lang w:val="en-US"/>
        </w:rPr>
        <w:t xml:space="preserve">, W., </w:t>
      </w:r>
      <w:proofErr w:type="spellStart"/>
      <w:r w:rsidRPr="00047B36">
        <w:rPr>
          <w:rFonts w:ascii="Tw Cen MT" w:eastAsia="Arial" w:hAnsi="Tw Cen MT" w:cs="Arial"/>
          <w:highlight w:val="white"/>
          <w:lang w:val="en-US"/>
        </w:rPr>
        <w:t>Sagarin</w:t>
      </w:r>
      <w:proofErr w:type="spellEnd"/>
      <w:r w:rsidRPr="00047B36">
        <w:rPr>
          <w:rFonts w:ascii="Tw Cen MT" w:eastAsia="Arial" w:hAnsi="Tw Cen MT" w:cs="Arial"/>
          <w:highlight w:val="white"/>
          <w:lang w:val="en-US"/>
        </w:rPr>
        <w:t xml:space="preserve">, R., &amp; </w:t>
      </w:r>
      <w:proofErr w:type="spellStart"/>
      <w:r w:rsidRPr="00047B36">
        <w:rPr>
          <w:rFonts w:ascii="Tw Cen MT" w:eastAsia="Arial" w:hAnsi="Tw Cen MT" w:cs="Arial"/>
          <w:highlight w:val="white"/>
          <w:lang w:val="en-US"/>
        </w:rPr>
        <w:t>Annala</w:t>
      </w:r>
      <w:proofErr w:type="spellEnd"/>
      <w:r w:rsidRPr="00047B36">
        <w:rPr>
          <w:rFonts w:ascii="Tw Cen MT" w:eastAsia="Arial" w:hAnsi="Tw Cen MT" w:cs="Arial"/>
          <w:highlight w:val="white"/>
          <w:lang w:val="en-US"/>
        </w:rPr>
        <w:t>, J., (2010). The promise and pitfalls of marine stewardship council certification: Maine lobster as a case study. Marine policy</w:t>
      </w:r>
      <w:r w:rsidRPr="00047B36">
        <w:rPr>
          <w:rFonts w:ascii="Tw Cen MT" w:eastAsia="Arial" w:hAnsi="Tw Cen MT" w:cs="Arial"/>
          <w:i/>
          <w:highlight w:val="white"/>
          <w:lang w:val="en-US"/>
        </w:rPr>
        <w:t>,</w:t>
      </w:r>
      <w:r w:rsidRPr="00047B36">
        <w:rPr>
          <w:rFonts w:ascii="Tw Cen MT" w:eastAsia="Arial" w:hAnsi="Tw Cen MT" w:cs="Arial"/>
          <w:highlight w:val="white"/>
          <w:lang w:val="en-US"/>
        </w:rPr>
        <w:t xml:space="preserve"> 34(5), 1103-1109.</w:t>
      </w:r>
    </w:p>
    <w:p w:rsidR="000642F5" w:rsidRPr="00047B36" w:rsidRDefault="004C5121" w:rsidP="00727FE8">
      <w:pPr>
        <w:spacing w:after="0" w:line="360" w:lineRule="auto"/>
        <w:jc w:val="both"/>
        <w:rPr>
          <w:rFonts w:ascii="Tw Cen MT" w:hAnsi="Tw Cen MT"/>
          <w:lang w:val="en-US"/>
        </w:rPr>
      </w:pPr>
      <w:proofErr w:type="spellStart"/>
      <w:r w:rsidRPr="00047B36">
        <w:rPr>
          <w:rFonts w:ascii="Tw Cen MT" w:eastAsia="Arial" w:hAnsi="Tw Cen MT" w:cs="Arial"/>
          <w:highlight w:val="white"/>
          <w:lang w:val="en-US"/>
        </w:rPr>
        <w:t>Grunert</w:t>
      </w:r>
      <w:proofErr w:type="spellEnd"/>
      <w:r w:rsidRPr="00047B36">
        <w:rPr>
          <w:rFonts w:ascii="Tw Cen MT" w:eastAsia="Arial" w:hAnsi="Tw Cen MT" w:cs="Arial"/>
          <w:highlight w:val="white"/>
          <w:lang w:val="en-US"/>
        </w:rPr>
        <w:t xml:space="preserve">, KG., </w:t>
      </w:r>
      <w:proofErr w:type="spellStart"/>
      <w:r w:rsidRPr="00047B36">
        <w:rPr>
          <w:rFonts w:ascii="Tw Cen MT" w:eastAsia="Arial" w:hAnsi="Tw Cen MT" w:cs="Arial"/>
          <w:highlight w:val="white"/>
          <w:lang w:val="en-US"/>
        </w:rPr>
        <w:t>Hieke</w:t>
      </w:r>
      <w:proofErr w:type="spellEnd"/>
      <w:r w:rsidRPr="00047B36">
        <w:rPr>
          <w:rFonts w:ascii="Tw Cen MT" w:eastAsia="Arial" w:hAnsi="Tw Cen MT" w:cs="Arial"/>
          <w:highlight w:val="white"/>
          <w:lang w:val="en-US"/>
        </w:rPr>
        <w:t>, S. &amp; Wills, J. (2014). Sustainability labels on food products: Consumer motivation, understanding and use. Food Policy, 44(3), 177-189.</w:t>
      </w:r>
    </w:p>
    <w:p w:rsidR="000642F5" w:rsidRPr="00047B36" w:rsidRDefault="004C5121" w:rsidP="00727FE8">
      <w:pPr>
        <w:spacing w:after="0" w:line="360" w:lineRule="auto"/>
        <w:jc w:val="both"/>
        <w:rPr>
          <w:rFonts w:ascii="Tw Cen MT" w:eastAsia="Arial" w:hAnsi="Tw Cen MT" w:cs="Arial"/>
          <w:lang w:val="en-US"/>
        </w:rPr>
      </w:pPr>
      <w:r w:rsidRPr="00047B36">
        <w:rPr>
          <w:rFonts w:ascii="Tw Cen MT" w:eastAsia="Arial" w:hAnsi="Tw Cen MT" w:cs="Arial"/>
          <w:highlight w:val="white"/>
          <w:lang w:val="en-US"/>
        </w:rPr>
        <w:t>Gutierrez, A., &amp; Thornton, T. F. (2014). Can consumers understand sustainability through seafood eco-labels? A US and UK case study. Sustainability, 6(11), 8195-8217.</w:t>
      </w:r>
    </w:p>
    <w:p w:rsidR="00711D34" w:rsidRPr="00047B36" w:rsidRDefault="00711D34" w:rsidP="00727FE8">
      <w:pPr>
        <w:spacing w:after="0" w:line="360" w:lineRule="auto"/>
        <w:jc w:val="both"/>
        <w:rPr>
          <w:rFonts w:ascii="Tw Cen MT" w:hAnsi="Tw Cen MT"/>
          <w:color w:val="FF0000"/>
          <w:lang w:val="en-US"/>
        </w:rPr>
      </w:pPr>
      <w:r w:rsidRPr="00047B36">
        <w:rPr>
          <w:rFonts w:ascii="Tw Cen MT" w:hAnsi="Tw Cen MT"/>
          <w:color w:val="FF0000"/>
          <w:lang w:val="en-US"/>
        </w:rPr>
        <w:t>Hoch, S. J., Kim, B. D., Montgomery, A. L., &amp; Rossi, P. E. (1995). Determinants of store-level price elasticity. Journal of marketing Research, 17-29.</w:t>
      </w:r>
    </w:p>
    <w:p w:rsidR="000642F5" w:rsidRPr="00047B36" w:rsidRDefault="004C5121" w:rsidP="00727FE8">
      <w:pPr>
        <w:spacing w:after="0" w:line="360" w:lineRule="auto"/>
        <w:jc w:val="both"/>
        <w:rPr>
          <w:rFonts w:ascii="Tw Cen MT" w:hAnsi="Tw Cen MT"/>
          <w:lang w:val="en-US"/>
        </w:rPr>
      </w:pPr>
      <w:proofErr w:type="spellStart"/>
      <w:r w:rsidRPr="00047B36">
        <w:rPr>
          <w:rFonts w:ascii="Tw Cen MT" w:eastAsia="Arial" w:hAnsi="Tw Cen MT" w:cs="Arial"/>
          <w:lang w:val="en-US"/>
        </w:rPr>
        <w:t>Iwanow</w:t>
      </w:r>
      <w:proofErr w:type="spellEnd"/>
      <w:r w:rsidRPr="00047B36">
        <w:rPr>
          <w:rFonts w:ascii="Tw Cen MT" w:eastAsia="Arial" w:hAnsi="Tw Cen MT" w:cs="Arial"/>
          <w:lang w:val="en-US"/>
        </w:rPr>
        <w:t xml:space="preserve">, H., </w:t>
      </w:r>
      <w:proofErr w:type="spellStart"/>
      <w:r w:rsidRPr="00047B36">
        <w:rPr>
          <w:rFonts w:ascii="Tw Cen MT" w:eastAsia="Arial" w:hAnsi="Tw Cen MT" w:cs="Arial"/>
          <w:lang w:val="en-US"/>
        </w:rPr>
        <w:t>McEachern</w:t>
      </w:r>
      <w:proofErr w:type="spellEnd"/>
      <w:r w:rsidRPr="00047B36">
        <w:rPr>
          <w:rFonts w:ascii="Tw Cen MT" w:eastAsia="Arial" w:hAnsi="Tw Cen MT" w:cs="Arial"/>
          <w:lang w:val="en-US"/>
        </w:rPr>
        <w:t>, MG., &amp; Jeffrey, A. (2005). The Influence of Ethical Trading Policies on Consumer Apparel Purchase Decisions. A Focus on The Gap Inc. International Journal of Retail and Distribution Management, 33(5), 371-387.</w:t>
      </w:r>
    </w:p>
    <w:p w:rsidR="000642F5" w:rsidRPr="00047B36" w:rsidRDefault="004C5121" w:rsidP="00727FE8">
      <w:pPr>
        <w:spacing w:after="0" w:line="360" w:lineRule="auto"/>
        <w:jc w:val="both"/>
        <w:rPr>
          <w:rFonts w:ascii="Tw Cen MT" w:hAnsi="Tw Cen MT"/>
          <w:lang w:val="en-US"/>
        </w:rPr>
      </w:pPr>
      <w:proofErr w:type="spellStart"/>
      <w:r w:rsidRPr="00047B36">
        <w:rPr>
          <w:rFonts w:ascii="Tw Cen MT" w:eastAsia="Arial" w:hAnsi="Tw Cen MT" w:cs="Arial"/>
          <w:highlight w:val="white"/>
          <w:lang w:val="en-US"/>
        </w:rPr>
        <w:t>Jaffry</w:t>
      </w:r>
      <w:proofErr w:type="spellEnd"/>
      <w:r w:rsidRPr="00047B36">
        <w:rPr>
          <w:rFonts w:ascii="Tw Cen MT" w:eastAsia="Arial" w:hAnsi="Tw Cen MT" w:cs="Arial"/>
          <w:highlight w:val="white"/>
          <w:lang w:val="en-US"/>
        </w:rPr>
        <w:t xml:space="preserve">, S., Pickering, H., Ghulam, Y., </w:t>
      </w:r>
      <w:proofErr w:type="spellStart"/>
      <w:r w:rsidRPr="00047B36">
        <w:rPr>
          <w:rFonts w:ascii="Tw Cen MT" w:eastAsia="Arial" w:hAnsi="Tw Cen MT" w:cs="Arial"/>
          <w:highlight w:val="white"/>
          <w:lang w:val="en-US"/>
        </w:rPr>
        <w:t>Whitmarsh</w:t>
      </w:r>
      <w:proofErr w:type="spellEnd"/>
      <w:r w:rsidRPr="00047B36">
        <w:rPr>
          <w:rFonts w:ascii="Tw Cen MT" w:eastAsia="Arial" w:hAnsi="Tw Cen MT" w:cs="Arial"/>
          <w:highlight w:val="white"/>
          <w:lang w:val="en-US"/>
        </w:rPr>
        <w:t>, D., &amp; Wattage, P., (2004). Consumer choices for quality and sustainability labeled seafood products in the UK, Food Policy, 29(3), 215-228.</w:t>
      </w:r>
    </w:p>
    <w:p w:rsidR="000642F5" w:rsidRPr="00047B36" w:rsidRDefault="004C5121" w:rsidP="00727FE8">
      <w:pPr>
        <w:spacing w:after="0" w:line="360" w:lineRule="auto"/>
        <w:jc w:val="both"/>
        <w:rPr>
          <w:rFonts w:ascii="Tw Cen MT" w:hAnsi="Tw Cen MT"/>
          <w:lang w:val="en-US"/>
        </w:rPr>
      </w:pPr>
      <w:r w:rsidRPr="00047B36">
        <w:rPr>
          <w:rFonts w:ascii="Tw Cen MT" w:eastAsia="Arial" w:hAnsi="Tw Cen MT" w:cs="Arial"/>
          <w:highlight w:val="white"/>
          <w:lang w:val="en-US"/>
        </w:rPr>
        <w:t xml:space="preserve">Johnston, RJ., </w:t>
      </w:r>
      <w:proofErr w:type="spellStart"/>
      <w:r w:rsidRPr="00047B36">
        <w:rPr>
          <w:rFonts w:ascii="Tw Cen MT" w:eastAsia="Arial" w:hAnsi="Tw Cen MT" w:cs="Arial"/>
          <w:highlight w:val="white"/>
          <w:lang w:val="en-US"/>
        </w:rPr>
        <w:t>Wessells</w:t>
      </w:r>
      <w:proofErr w:type="spellEnd"/>
      <w:r w:rsidRPr="00047B36">
        <w:rPr>
          <w:rFonts w:ascii="Tw Cen MT" w:eastAsia="Arial" w:hAnsi="Tw Cen MT" w:cs="Arial"/>
          <w:highlight w:val="white"/>
          <w:lang w:val="en-US"/>
        </w:rPr>
        <w:t xml:space="preserve">, CR., Donath, H., &amp;  </w:t>
      </w:r>
      <w:proofErr w:type="spellStart"/>
      <w:r w:rsidRPr="00047B36">
        <w:rPr>
          <w:rFonts w:ascii="Tw Cen MT" w:eastAsia="Arial" w:hAnsi="Tw Cen MT" w:cs="Arial"/>
          <w:highlight w:val="white"/>
          <w:lang w:val="en-US"/>
        </w:rPr>
        <w:t>Asche</w:t>
      </w:r>
      <w:proofErr w:type="spellEnd"/>
      <w:r w:rsidRPr="00047B36">
        <w:rPr>
          <w:rFonts w:ascii="Tw Cen MT" w:eastAsia="Arial" w:hAnsi="Tw Cen MT" w:cs="Arial"/>
          <w:highlight w:val="white"/>
          <w:lang w:val="en-US"/>
        </w:rPr>
        <w:t xml:space="preserve">, F. (2001).“Measuring Consumer Preferences for </w:t>
      </w:r>
      <w:proofErr w:type="spellStart"/>
      <w:r w:rsidRPr="00047B36">
        <w:rPr>
          <w:rFonts w:ascii="Tw Cen MT" w:eastAsia="Arial" w:hAnsi="Tw Cen MT" w:cs="Arial"/>
          <w:highlight w:val="white"/>
          <w:lang w:val="en-US"/>
        </w:rPr>
        <w:t>Ecolabeled</w:t>
      </w:r>
      <w:proofErr w:type="spellEnd"/>
      <w:r w:rsidRPr="00047B36">
        <w:rPr>
          <w:rFonts w:ascii="Tw Cen MT" w:eastAsia="Arial" w:hAnsi="Tw Cen MT" w:cs="Arial"/>
          <w:highlight w:val="white"/>
          <w:lang w:val="en-US"/>
        </w:rPr>
        <w:t xml:space="preserve"> Seafood: An International Comparison. Journal of Agricultural &amp; Resource Economics, 26(1), 20-39</w:t>
      </w:r>
    </w:p>
    <w:p w:rsidR="000642F5" w:rsidRPr="00047B36" w:rsidRDefault="004C5121" w:rsidP="00727FE8">
      <w:pPr>
        <w:spacing w:after="0" w:line="360" w:lineRule="auto"/>
        <w:jc w:val="both"/>
        <w:rPr>
          <w:rFonts w:ascii="Tw Cen MT" w:hAnsi="Tw Cen MT"/>
          <w:lang w:val="en-US"/>
        </w:rPr>
      </w:pPr>
      <w:proofErr w:type="spellStart"/>
      <w:r w:rsidRPr="00047B36">
        <w:rPr>
          <w:rFonts w:ascii="Tw Cen MT" w:eastAsia="Arial" w:hAnsi="Tw Cen MT" w:cs="Arial"/>
          <w:highlight w:val="white"/>
          <w:lang w:val="en-US"/>
        </w:rPr>
        <w:t>Kvalvik</w:t>
      </w:r>
      <w:proofErr w:type="spellEnd"/>
      <w:r w:rsidRPr="00047B36">
        <w:rPr>
          <w:rFonts w:ascii="Tw Cen MT" w:eastAsia="Arial" w:hAnsi="Tw Cen MT" w:cs="Arial"/>
          <w:highlight w:val="white"/>
          <w:lang w:val="en-US"/>
        </w:rPr>
        <w:t xml:space="preserve">, I., </w:t>
      </w:r>
      <w:proofErr w:type="spellStart"/>
      <w:r w:rsidRPr="00047B36">
        <w:rPr>
          <w:rFonts w:ascii="Tw Cen MT" w:eastAsia="Arial" w:hAnsi="Tw Cen MT" w:cs="Arial"/>
          <w:highlight w:val="white"/>
          <w:lang w:val="en-US"/>
        </w:rPr>
        <w:t>Noestvold</w:t>
      </w:r>
      <w:proofErr w:type="spellEnd"/>
      <w:r w:rsidRPr="00047B36">
        <w:rPr>
          <w:rFonts w:ascii="Tw Cen MT" w:eastAsia="Arial" w:hAnsi="Tw Cen MT" w:cs="Arial"/>
          <w:highlight w:val="white"/>
          <w:lang w:val="en-US"/>
        </w:rPr>
        <w:t>, BH., &amp; Young, JA. (2014). National or supranational fisherie9s sustainability certification schemes? A critical analysis of Norwegian and Icelandic responses. Marine Policy, 46(3), 137-142.</w:t>
      </w:r>
    </w:p>
    <w:p w:rsidR="000642F5" w:rsidRPr="00047B36" w:rsidRDefault="004C5121" w:rsidP="00727FE8">
      <w:pPr>
        <w:spacing w:after="0" w:line="360" w:lineRule="auto"/>
        <w:jc w:val="both"/>
        <w:rPr>
          <w:rFonts w:ascii="Tw Cen MT" w:hAnsi="Tw Cen MT"/>
        </w:rPr>
      </w:pPr>
      <w:r w:rsidRPr="00047B36">
        <w:rPr>
          <w:rFonts w:ascii="Tw Cen MT" w:eastAsia="Arial" w:hAnsi="Tw Cen MT" w:cs="Arial"/>
          <w:lang w:val="en-US"/>
        </w:rPr>
        <w:lastRenderedPageBreak/>
        <w:t xml:space="preserve">Langer, A., </w:t>
      </w:r>
      <w:proofErr w:type="spellStart"/>
      <w:r w:rsidRPr="00047B36">
        <w:rPr>
          <w:rFonts w:ascii="Tw Cen MT" w:eastAsia="Arial" w:hAnsi="Tw Cen MT" w:cs="Arial"/>
          <w:lang w:val="en-US"/>
        </w:rPr>
        <w:t>Eisend</w:t>
      </w:r>
      <w:proofErr w:type="spellEnd"/>
      <w:r w:rsidRPr="00047B36">
        <w:rPr>
          <w:rFonts w:ascii="Tw Cen MT" w:eastAsia="Arial" w:hAnsi="Tw Cen MT" w:cs="Arial"/>
          <w:lang w:val="en-US"/>
        </w:rPr>
        <w:t xml:space="preserve">, M. &amp; </w:t>
      </w:r>
      <w:proofErr w:type="spellStart"/>
      <w:r w:rsidRPr="00047B36">
        <w:rPr>
          <w:rFonts w:ascii="Tw Cen MT" w:eastAsia="Arial" w:hAnsi="Tw Cen MT" w:cs="Arial"/>
          <w:lang w:val="en-US"/>
        </w:rPr>
        <w:t>Kuß</w:t>
      </w:r>
      <w:proofErr w:type="spellEnd"/>
      <w:r w:rsidRPr="00047B36">
        <w:rPr>
          <w:rFonts w:ascii="Tw Cen MT" w:eastAsia="Arial" w:hAnsi="Tw Cen MT" w:cs="Arial"/>
          <w:lang w:val="en-US"/>
        </w:rPr>
        <w:t xml:space="preserve">, A., (2008). The Impact of Eco-Labels on Consumers: Less Information, More Confusion?. </w:t>
      </w:r>
      <w:proofErr w:type="spellStart"/>
      <w:r w:rsidRPr="00047B36">
        <w:rPr>
          <w:rFonts w:ascii="Tw Cen MT" w:eastAsia="Arial" w:hAnsi="Tw Cen MT" w:cs="Arial"/>
        </w:rPr>
        <w:t>European</w:t>
      </w:r>
      <w:proofErr w:type="spellEnd"/>
      <w:r w:rsidRPr="00047B36">
        <w:rPr>
          <w:rFonts w:ascii="Tw Cen MT" w:eastAsia="Arial" w:hAnsi="Tw Cen MT" w:cs="Arial"/>
        </w:rPr>
        <w:t xml:space="preserve"> </w:t>
      </w:r>
      <w:proofErr w:type="spellStart"/>
      <w:r w:rsidRPr="00047B36">
        <w:rPr>
          <w:rFonts w:ascii="Tw Cen MT" w:eastAsia="Arial" w:hAnsi="Tw Cen MT" w:cs="Arial"/>
        </w:rPr>
        <w:t>Advances</w:t>
      </w:r>
      <w:proofErr w:type="spellEnd"/>
      <w:r w:rsidRPr="00047B36">
        <w:rPr>
          <w:rFonts w:ascii="Tw Cen MT" w:eastAsia="Arial" w:hAnsi="Tw Cen MT" w:cs="Arial"/>
        </w:rPr>
        <w:t xml:space="preserve"> in </w:t>
      </w:r>
      <w:proofErr w:type="spellStart"/>
      <w:r w:rsidRPr="00047B36">
        <w:rPr>
          <w:rFonts w:ascii="Tw Cen MT" w:eastAsia="Arial" w:hAnsi="Tw Cen MT" w:cs="Arial"/>
        </w:rPr>
        <w:t>Consumer</w:t>
      </w:r>
      <w:proofErr w:type="spellEnd"/>
      <w:r w:rsidRPr="00047B36">
        <w:rPr>
          <w:rFonts w:ascii="Tw Cen MT" w:eastAsia="Arial" w:hAnsi="Tw Cen MT" w:cs="Arial"/>
        </w:rPr>
        <w:t xml:space="preserve"> </w:t>
      </w:r>
      <w:proofErr w:type="spellStart"/>
      <w:r w:rsidRPr="00047B36">
        <w:rPr>
          <w:rFonts w:ascii="Tw Cen MT" w:eastAsia="Arial" w:hAnsi="Tw Cen MT" w:cs="Arial"/>
        </w:rPr>
        <w:t>Research</w:t>
      </w:r>
      <w:proofErr w:type="spellEnd"/>
      <w:r w:rsidRPr="00047B36">
        <w:rPr>
          <w:rFonts w:ascii="Tw Cen MT" w:eastAsia="Arial" w:hAnsi="Tw Cen MT" w:cs="Arial"/>
        </w:rPr>
        <w:t>, 8, 334 - 335.</w:t>
      </w:r>
    </w:p>
    <w:p w:rsidR="000642F5" w:rsidRPr="00047B36" w:rsidRDefault="004C5121" w:rsidP="00727FE8">
      <w:pPr>
        <w:spacing w:after="0" w:line="360" w:lineRule="auto"/>
        <w:rPr>
          <w:rFonts w:ascii="Tw Cen MT" w:hAnsi="Tw Cen MT"/>
        </w:rPr>
      </w:pPr>
      <w:r w:rsidRPr="00047B36">
        <w:rPr>
          <w:rFonts w:ascii="Tw Cen MT" w:eastAsia="Arial" w:hAnsi="Tw Cen MT" w:cs="Arial"/>
        </w:rPr>
        <w:t>MAGRAMA, 2014. Datos de Consumo Alimentario en España 2013 [</w:t>
      </w:r>
      <w:proofErr w:type="spellStart"/>
      <w:r w:rsidRPr="00047B36">
        <w:rPr>
          <w:rFonts w:ascii="Tw Cen MT" w:eastAsia="Arial" w:hAnsi="Tw Cen MT" w:cs="Arial"/>
        </w:rPr>
        <w:t>Food</w:t>
      </w:r>
      <w:proofErr w:type="spellEnd"/>
      <w:r w:rsidRPr="00047B36">
        <w:rPr>
          <w:rFonts w:ascii="Tw Cen MT" w:eastAsia="Arial" w:hAnsi="Tw Cen MT" w:cs="Arial"/>
        </w:rPr>
        <w:t xml:space="preserve"> </w:t>
      </w:r>
      <w:proofErr w:type="spellStart"/>
      <w:r w:rsidRPr="00047B36">
        <w:rPr>
          <w:rFonts w:ascii="Tw Cen MT" w:eastAsia="Arial" w:hAnsi="Tw Cen MT" w:cs="Arial"/>
        </w:rPr>
        <w:t>consumption</w:t>
      </w:r>
      <w:proofErr w:type="spellEnd"/>
      <w:r w:rsidRPr="00047B36">
        <w:rPr>
          <w:rFonts w:ascii="Tw Cen MT" w:eastAsia="Arial" w:hAnsi="Tw Cen MT" w:cs="Arial"/>
        </w:rPr>
        <w:t xml:space="preserve"> in </w:t>
      </w:r>
      <w:proofErr w:type="spellStart"/>
      <w:r w:rsidRPr="00047B36">
        <w:rPr>
          <w:rFonts w:ascii="Tw Cen MT" w:eastAsia="Arial" w:hAnsi="Tw Cen MT" w:cs="Arial"/>
        </w:rPr>
        <w:t>Spain</w:t>
      </w:r>
      <w:proofErr w:type="spellEnd"/>
      <w:r w:rsidRPr="00047B36">
        <w:rPr>
          <w:rFonts w:ascii="Tw Cen MT" w:eastAsia="Arial" w:hAnsi="Tw Cen MT" w:cs="Arial"/>
        </w:rPr>
        <w:t xml:space="preserve">, 2013]. </w:t>
      </w:r>
    </w:p>
    <w:p w:rsidR="000642F5" w:rsidRPr="00047B36" w:rsidRDefault="004C5121" w:rsidP="00727FE8">
      <w:pPr>
        <w:spacing w:after="0" w:line="360" w:lineRule="auto"/>
        <w:jc w:val="both"/>
        <w:rPr>
          <w:rFonts w:ascii="Tw Cen MT" w:hAnsi="Tw Cen MT"/>
          <w:lang w:val="en-US"/>
        </w:rPr>
      </w:pPr>
      <w:proofErr w:type="spellStart"/>
      <w:r w:rsidRPr="00047B36">
        <w:rPr>
          <w:rFonts w:ascii="Tw Cen MT" w:eastAsia="Arial" w:hAnsi="Tw Cen MT" w:cs="Arial"/>
          <w:highlight w:val="white"/>
          <w:lang w:val="en-US"/>
        </w:rPr>
        <w:t>Ngobo</w:t>
      </w:r>
      <w:proofErr w:type="spellEnd"/>
      <w:r w:rsidRPr="00047B36">
        <w:rPr>
          <w:rFonts w:ascii="Tw Cen MT" w:eastAsia="Arial" w:hAnsi="Tw Cen MT" w:cs="Arial"/>
          <w:highlight w:val="white"/>
          <w:lang w:val="en-US"/>
        </w:rPr>
        <w:t xml:space="preserve">, P. V. (2011). What drives household choice of organic products in grocery stores?. Journal of Retailing, 87(1), 90-100. </w:t>
      </w:r>
    </w:p>
    <w:p w:rsidR="000642F5" w:rsidRPr="00047B36" w:rsidRDefault="004C5121" w:rsidP="00727FE8">
      <w:pPr>
        <w:spacing w:after="0" w:line="360" w:lineRule="auto"/>
        <w:jc w:val="both"/>
        <w:rPr>
          <w:rFonts w:ascii="Tw Cen MT" w:hAnsi="Tw Cen MT"/>
          <w:lang w:val="en-US"/>
        </w:rPr>
      </w:pPr>
      <w:proofErr w:type="spellStart"/>
      <w:r w:rsidRPr="00047B36">
        <w:rPr>
          <w:rFonts w:ascii="Tw Cen MT" w:eastAsia="Arial" w:hAnsi="Tw Cen MT" w:cs="Arial"/>
          <w:color w:val="222222"/>
          <w:highlight w:val="white"/>
          <w:lang w:val="en-US"/>
        </w:rPr>
        <w:t>Pieniak</w:t>
      </w:r>
      <w:proofErr w:type="spellEnd"/>
      <w:r w:rsidRPr="00047B36">
        <w:rPr>
          <w:rFonts w:ascii="Tw Cen MT" w:eastAsia="Arial" w:hAnsi="Tw Cen MT" w:cs="Arial"/>
          <w:color w:val="222222"/>
          <w:highlight w:val="white"/>
          <w:lang w:val="en-US"/>
        </w:rPr>
        <w:t xml:space="preserve">, Z., </w:t>
      </w:r>
      <w:proofErr w:type="spellStart"/>
      <w:r w:rsidRPr="00047B36">
        <w:rPr>
          <w:rFonts w:ascii="Tw Cen MT" w:eastAsia="Arial" w:hAnsi="Tw Cen MT" w:cs="Arial"/>
          <w:color w:val="222222"/>
          <w:highlight w:val="white"/>
          <w:lang w:val="en-US"/>
        </w:rPr>
        <w:t>Verbeke</w:t>
      </w:r>
      <w:proofErr w:type="spellEnd"/>
      <w:r w:rsidRPr="00047B36">
        <w:rPr>
          <w:rFonts w:ascii="Tw Cen MT" w:eastAsia="Arial" w:hAnsi="Tw Cen MT" w:cs="Arial"/>
          <w:color w:val="222222"/>
          <w:highlight w:val="white"/>
          <w:lang w:val="en-US"/>
        </w:rPr>
        <w:t xml:space="preserve">, W., </w:t>
      </w:r>
      <w:proofErr w:type="spellStart"/>
      <w:r w:rsidRPr="00047B36">
        <w:rPr>
          <w:rFonts w:ascii="Tw Cen MT" w:eastAsia="Arial" w:hAnsi="Tw Cen MT" w:cs="Arial"/>
          <w:color w:val="222222"/>
          <w:highlight w:val="white"/>
          <w:lang w:val="en-US"/>
        </w:rPr>
        <w:t>Vermeir</w:t>
      </w:r>
      <w:proofErr w:type="spellEnd"/>
      <w:r w:rsidRPr="00047B36">
        <w:rPr>
          <w:rFonts w:ascii="Tw Cen MT" w:eastAsia="Arial" w:hAnsi="Tw Cen MT" w:cs="Arial"/>
          <w:color w:val="222222"/>
          <w:highlight w:val="white"/>
          <w:lang w:val="en-US"/>
        </w:rPr>
        <w:t xml:space="preserve">, I., </w:t>
      </w:r>
      <w:proofErr w:type="spellStart"/>
      <w:r w:rsidRPr="00047B36">
        <w:rPr>
          <w:rFonts w:ascii="Tw Cen MT" w:eastAsia="Arial" w:hAnsi="Tw Cen MT" w:cs="Arial"/>
          <w:color w:val="222222"/>
          <w:highlight w:val="white"/>
          <w:lang w:val="en-US"/>
        </w:rPr>
        <w:t>Bruns</w:t>
      </w:r>
      <w:proofErr w:type="spellEnd"/>
      <w:r w:rsidRPr="00047B36">
        <w:rPr>
          <w:rFonts w:ascii="Cambria Math" w:eastAsia="Cambria" w:hAnsi="Cambria Math" w:cs="Cambria Math"/>
          <w:color w:val="222222"/>
          <w:highlight w:val="white"/>
          <w:lang w:val="en-US"/>
        </w:rPr>
        <w:t>⊘</w:t>
      </w:r>
      <w:r w:rsidRPr="00047B36">
        <w:rPr>
          <w:rFonts w:ascii="Tw Cen MT" w:eastAsia="Arial" w:hAnsi="Tw Cen MT" w:cs="Arial"/>
          <w:color w:val="222222"/>
          <w:highlight w:val="white"/>
          <w:lang w:val="en-US"/>
        </w:rPr>
        <w:t>, K., &amp; Olsen, S. O. (2007). Consumer interest in fish information and labelling: exploratory insights. Journal of International Food &amp; Agribusiness Marketing, </w:t>
      </w:r>
      <w:r w:rsidRPr="00047B36">
        <w:rPr>
          <w:rFonts w:ascii="Tw Cen MT" w:eastAsia="Arial" w:hAnsi="Tw Cen MT" w:cs="Arial"/>
          <w:i/>
          <w:color w:val="222222"/>
          <w:highlight w:val="white"/>
          <w:lang w:val="en-US"/>
        </w:rPr>
        <w:t>19</w:t>
      </w:r>
      <w:r w:rsidRPr="00047B36">
        <w:rPr>
          <w:rFonts w:ascii="Tw Cen MT" w:eastAsia="Arial" w:hAnsi="Tw Cen MT" w:cs="Arial"/>
          <w:color w:val="222222"/>
          <w:highlight w:val="white"/>
          <w:lang w:val="en-US"/>
        </w:rPr>
        <w:t>(2-3), 117-141.</w:t>
      </w:r>
    </w:p>
    <w:p w:rsidR="000642F5" w:rsidRPr="00047B36" w:rsidRDefault="004C5121" w:rsidP="00727FE8">
      <w:pPr>
        <w:spacing w:after="0" w:line="360" w:lineRule="auto"/>
        <w:jc w:val="both"/>
        <w:rPr>
          <w:rFonts w:ascii="Tw Cen MT" w:hAnsi="Tw Cen MT"/>
          <w:lang w:val="en-US"/>
        </w:rPr>
      </w:pPr>
      <w:proofErr w:type="spellStart"/>
      <w:r w:rsidRPr="00047B36">
        <w:rPr>
          <w:rFonts w:ascii="Tw Cen MT" w:eastAsia="Arial" w:hAnsi="Tw Cen MT" w:cs="Arial"/>
          <w:highlight w:val="white"/>
          <w:lang w:val="en-US"/>
        </w:rPr>
        <w:t>Roheim</w:t>
      </w:r>
      <w:proofErr w:type="spellEnd"/>
      <w:r w:rsidRPr="00047B36">
        <w:rPr>
          <w:rFonts w:ascii="Tw Cen MT" w:eastAsia="Arial" w:hAnsi="Tw Cen MT" w:cs="Arial"/>
          <w:highlight w:val="white"/>
          <w:lang w:val="en-US"/>
        </w:rPr>
        <w:t xml:space="preserve">, C. A. (2003). Early indications of market impacts from the marine stewardship council's </w:t>
      </w:r>
      <w:proofErr w:type="spellStart"/>
      <w:r w:rsidRPr="00047B36">
        <w:rPr>
          <w:rFonts w:ascii="Tw Cen MT" w:eastAsia="Arial" w:hAnsi="Tw Cen MT" w:cs="Arial"/>
          <w:highlight w:val="white"/>
          <w:lang w:val="en-US"/>
        </w:rPr>
        <w:t>ecolabeling</w:t>
      </w:r>
      <w:proofErr w:type="spellEnd"/>
      <w:r w:rsidRPr="00047B36">
        <w:rPr>
          <w:rFonts w:ascii="Tw Cen MT" w:eastAsia="Arial" w:hAnsi="Tw Cen MT" w:cs="Arial"/>
          <w:highlight w:val="white"/>
          <w:lang w:val="en-US"/>
        </w:rPr>
        <w:t xml:space="preserve"> of seafood. Marine resource economics,18(1)</w:t>
      </w:r>
      <w:r w:rsidRPr="00047B36">
        <w:rPr>
          <w:rFonts w:ascii="Tw Cen MT" w:eastAsia="Arial" w:hAnsi="Tw Cen MT" w:cs="Arial"/>
          <w:i/>
          <w:highlight w:val="white"/>
          <w:lang w:val="en-US"/>
        </w:rPr>
        <w:t>,</w:t>
      </w:r>
      <w:r w:rsidRPr="00047B36">
        <w:rPr>
          <w:rFonts w:ascii="Tw Cen MT" w:eastAsia="Arial" w:hAnsi="Tw Cen MT" w:cs="Arial"/>
          <w:highlight w:val="white"/>
          <w:lang w:val="en-US"/>
        </w:rPr>
        <w:t xml:space="preserve"> 95-104</w:t>
      </w:r>
    </w:p>
    <w:p w:rsidR="000642F5" w:rsidRPr="00047B36" w:rsidRDefault="004C5121" w:rsidP="00727FE8">
      <w:pPr>
        <w:spacing w:after="0" w:line="360" w:lineRule="auto"/>
        <w:jc w:val="both"/>
        <w:rPr>
          <w:rFonts w:ascii="Tw Cen MT" w:hAnsi="Tw Cen MT"/>
          <w:lang w:val="en-US"/>
        </w:rPr>
      </w:pPr>
      <w:proofErr w:type="spellStart"/>
      <w:r w:rsidRPr="00047B36">
        <w:rPr>
          <w:rFonts w:ascii="Tw Cen MT" w:eastAsia="Arial" w:hAnsi="Tw Cen MT" w:cs="Arial"/>
          <w:highlight w:val="white"/>
          <w:lang w:val="en-US"/>
        </w:rPr>
        <w:t>Roheim</w:t>
      </w:r>
      <w:proofErr w:type="spellEnd"/>
      <w:r w:rsidRPr="00047B36">
        <w:rPr>
          <w:rFonts w:ascii="Tw Cen MT" w:eastAsia="Arial" w:hAnsi="Tw Cen MT" w:cs="Arial"/>
          <w:highlight w:val="white"/>
          <w:lang w:val="en-US"/>
        </w:rPr>
        <w:t xml:space="preserve">, CA., </w:t>
      </w:r>
      <w:proofErr w:type="spellStart"/>
      <w:r w:rsidRPr="00047B36">
        <w:rPr>
          <w:rFonts w:ascii="Tw Cen MT" w:eastAsia="Arial" w:hAnsi="Tw Cen MT" w:cs="Arial"/>
          <w:highlight w:val="white"/>
          <w:lang w:val="en-US"/>
        </w:rPr>
        <w:t>Asche</w:t>
      </w:r>
      <w:proofErr w:type="spellEnd"/>
      <w:r w:rsidRPr="00047B36">
        <w:rPr>
          <w:rFonts w:ascii="Tw Cen MT" w:eastAsia="Arial" w:hAnsi="Tw Cen MT" w:cs="Arial"/>
          <w:highlight w:val="white"/>
          <w:lang w:val="en-US"/>
        </w:rPr>
        <w:t xml:space="preserve">, F., &amp; Santos, J. (2011). The elusive price premium for </w:t>
      </w:r>
      <w:proofErr w:type="spellStart"/>
      <w:r w:rsidRPr="00047B36">
        <w:rPr>
          <w:rFonts w:ascii="Tw Cen MT" w:eastAsia="Arial" w:hAnsi="Tw Cen MT" w:cs="Arial"/>
          <w:highlight w:val="white"/>
          <w:lang w:val="en-US"/>
        </w:rPr>
        <w:t>ecolabeled</w:t>
      </w:r>
      <w:proofErr w:type="spellEnd"/>
      <w:r w:rsidRPr="00047B36">
        <w:rPr>
          <w:rFonts w:ascii="Tw Cen MT" w:eastAsia="Arial" w:hAnsi="Tw Cen MT" w:cs="Arial"/>
          <w:highlight w:val="white"/>
          <w:lang w:val="en-US"/>
        </w:rPr>
        <w:t xml:space="preserve"> products: evidence from seafood in the UK market. Journal of Agricultural Economics, 62(3), 655-668.</w:t>
      </w:r>
    </w:p>
    <w:p w:rsidR="000642F5" w:rsidRPr="00047B36" w:rsidRDefault="004C5121" w:rsidP="00727FE8">
      <w:pPr>
        <w:spacing w:after="0" w:line="360" w:lineRule="auto"/>
        <w:jc w:val="both"/>
        <w:rPr>
          <w:rFonts w:ascii="Tw Cen MT" w:hAnsi="Tw Cen MT"/>
          <w:lang w:val="en-US"/>
        </w:rPr>
      </w:pPr>
      <w:r w:rsidRPr="00047B36">
        <w:rPr>
          <w:rFonts w:ascii="Tw Cen MT" w:eastAsia="Arial" w:hAnsi="Tw Cen MT" w:cs="Arial"/>
          <w:lang w:val="en-US"/>
        </w:rPr>
        <w:t xml:space="preserve">Seafood Choices Alliance, 2005. Constant Cravings: The European Consumer and Sustainable Seafood Choices. Seafood Choices Alliance. Available at </w:t>
      </w:r>
      <w:hyperlink r:id="rId11">
        <w:r w:rsidRPr="00047B36">
          <w:rPr>
            <w:rFonts w:ascii="Tw Cen MT" w:eastAsia="Arial" w:hAnsi="Tw Cen MT" w:cs="Arial"/>
            <w:lang w:val="en-US"/>
          </w:rPr>
          <w:t>http://www.seafoodchoices.org/resources/documents/EUConsumer.pdf</w:t>
        </w:r>
      </w:hyperlink>
      <w:r w:rsidRPr="00047B36">
        <w:rPr>
          <w:rFonts w:ascii="Tw Cen MT" w:eastAsia="Arial" w:hAnsi="Tw Cen MT" w:cs="Arial"/>
          <w:lang w:val="en-US"/>
        </w:rPr>
        <w:t xml:space="preserve"> (22nd May 2014)</w:t>
      </w:r>
    </w:p>
    <w:p w:rsidR="000642F5" w:rsidRPr="00047B36" w:rsidRDefault="004C5121" w:rsidP="00727FE8">
      <w:pPr>
        <w:spacing w:after="0" w:line="360" w:lineRule="auto"/>
        <w:jc w:val="both"/>
        <w:rPr>
          <w:rFonts w:ascii="Tw Cen MT" w:hAnsi="Tw Cen MT"/>
          <w:lang w:val="en-US"/>
        </w:rPr>
      </w:pPr>
      <w:proofErr w:type="spellStart"/>
      <w:r w:rsidRPr="00047B36">
        <w:rPr>
          <w:rFonts w:ascii="Tw Cen MT" w:eastAsia="Arial" w:hAnsi="Tw Cen MT" w:cs="Arial"/>
          <w:lang w:val="en-US"/>
        </w:rPr>
        <w:t>Stø</w:t>
      </w:r>
      <w:proofErr w:type="spellEnd"/>
      <w:r w:rsidRPr="00047B36">
        <w:rPr>
          <w:rFonts w:ascii="Tw Cen MT" w:eastAsia="Arial" w:hAnsi="Tw Cen MT" w:cs="Arial"/>
          <w:lang w:val="en-US"/>
        </w:rPr>
        <w:t xml:space="preserve">, E. &amp; </w:t>
      </w:r>
      <w:proofErr w:type="spellStart"/>
      <w:r w:rsidRPr="00047B36">
        <w:rPr>
          <w:rFonts w:ascii="Tw Cen MT" w:eastAsia="Arial" w:hAnsi="Tw Cen MT" w:cs="Arial"/>
          <w:lang w:val="en-US"/>
        </w:rPr>
        <w:t>Strandbakken</w:t>
      </w:r>
      <w:proofErr w:type="spellEnd"/>
      <w:r w:rsidRPr="00047B36">
        <w:rPr>
          <w:rFonts w:ascii="Tw Cen MT" w:eastAsia="Arial" w:hAnsi="Tw Cen MT" w:cs="Arial"/>
          <w:lang w:val="en-US"/>
        </w:rPr>
        <w:t xml:space="preserve">, P. (2005). Ecolabels and Consumers. In Rubik, F. &amp; Frankl, P. (ed.), The future of </w:t>
      </w:r>
      <w:proofErr w:type="spellStart"/>
      <w:r w:rsidRPr="00047B36">
        <w:rPr>
          <w:rFonts w:ascii="Tw Cen MT" w:eastAsia="Arial" w:hAnsi="Tw Cen MT" w:cs="Arial"/>
          <w:lang w:val="en-US"/>
        </w:rPr>
        <w:t>Ecolabeling</w:t>
      </w:r>
      <w:proofErr w:type="spellEnd"/>
      <w:r w:rsidRPr="00047B36">
        <w:rPr>
          <w:rFonts w:ascii="Tw Cen MT" w:eastAsia="Arial" w:hAnsi="Tw Cen MT" w:cs="Arial"/>
          <w:lang w:val="en-US"/>
        </w:rPr>
        <w:t xml:space="preserve"> Making Environmental Product Information Systems Effective (pp. 92-119). London: Greenleaf Publishing.</w:t>
      </w:r>
    </w:p>
    <w:p w:rsidR="000642F5" w:rsidRPr="00047B36" w:rsidRDefault="004C5121" w:rsidP="00727FE8">
      <w:pPr>
        <w:spacing w:after="0" w:line="360" w:lineRule="auto"/>
        <w:jc w:val="both"/>
        <w:rPr>
          <w:rFonts w:ascii="Tw Cen MT" w:hAnsi="Tw Cen MT"/>
          <w:lang w:val="en-US"/>
        </w:rPr>
      </w:pPr>
      <w:r w:rsidRPr="00047B36">
        <w:rPr>
          <w:rFonts w:ascii="Tw Cen MT" w:eastAsia="Arial" w:hAnsi="Tw Cen MT" w:cs="Arial"/>
          <w:lang w:val="en-US"/>
        </w:rPr>
        <w:t xml:space="preserve">The Telegraph (2011). Consumers demand fish from sustainable sources. </w:t>
      </w:r>
      <w:proofErr w:type="spellStart"/>
      <w:r w:rsidRPr="00047B36">
        <w:rPr>
          <w:rFonts w:ascii="Tw Cen MT" w:eastAsia="Arial" w:hAnsi="Tw Cen MT" w:cs="Arial"/>
          <w:lang w:val="en-US"/>
        </w:rPr>
        <w:t>YouGov</w:t>
      </w:r>
      <w:proofErr w:type="spellEnd"/>
      <w:r w:rsidRPr="00047B36">
        <w:rPr>
          <w:rFonts w:ascii="Tw Cen MT" w:eastAsia="Arial" w:hAnsi="Tw Cen MT" w:cs="Arial"/>
          <w:lang w:val="en-US"/>
        </w:rPr>
        <w:t xml:space="preserve"> survey results. Press clip 14/05/2011 available at </w:t>
      </w:r>
      <w:hyperlink r:id="rId12">
        <w:r w:rsidRPr="00047B36">
          <w:rPr>
            <w:rFonts w:ascii="Tw Cen MT" w:eastAsia="Arial" w:hAnsi="Tw Cen MT" w:cs="Arial"/>
            <w:lang w:val="en-US"/>
          </w:rPr>
          <w:t>http://www.telegraph.co.uk/foodanddrink/8446198/Consumers-demand-fish-from-sustainable-sources.html (22</w:t>
        </w:r>
      </w:hyperlink>
      <w:r w:rsidRPr="00047B36">
        <w:rPr>
          <w:rFonts w:ascii="Tw Cen MT" w:eastAsia="Arial" w:hAnsi="Tw Cen MT" w:cs="Arial"/>
          <w:lang w:val="en-US"/>
        </w:rPr>
        <w:t xml:space="preserve"> May 2014)</w:t>
      </w:r>
    </w:p>
    <w:p w:rsidR="000642F5" w:rsidRPr="00047B36" w:rsidRDefault="004C5121" w:rsidP="00727FE8">
      <w:pPr>
        <w:spacing w:after="0" w:line="360" w:lineRule="auto"/>
        <w:rPr>
          <w:rFonts w:ascii="Tw Cen MT" w:hAnsi="Tw Cen MT"/>
          <w:lang w:val="en-US"/>
        </w:rPr>
      </w:pPr>
      <w:proofErr w:type="spellStart"/>
      <w:r w:rsidRPr="00047B36">
        <w:rPr>
          <w:rFonts w:ascii="Tw Cen MT" w:eastAsia="Arial" w:hAnsi="Tw Cen MT" w:cs="Arial"/>
          <w:highlight w:val="white"/>
        </w:rPr>
        <w:t>Uchida</w:t>
      </w:r>
      <w:proofErr w:type="spellEnd"/>
      <w:r w:rsidRPr="00047B36">
        <w:rPr>
          <w:rFonts w:ascii="Tw Cen MT" w:eastAsia="Arial" w:hAnsi="Tw Cen MT" w:cs="Arial"/>
          <w:highlight w:val="white"/>
        </w:rPr>
        <w:t xml:space="preserve">, H., </w:t>
      </w:r>
      <w:proofErr w:type="spellStart"/>
      <w:r w:rsidRPr="00047B36">
        <w:rPr>
          <w:rFonts w:ascii="Tw Cen MT" w:eastAsia="Arial" w:hAnsi="Tw Cen MT" w:cs="Arial"/>
          <w:highlight w:val="white"/>
        </w:rPr>
        <w:t>Onozaka</w:t>
      </w:r>
      <w:proofErr w:type="spellEnd"/>
      <w:r w:rsidRPr="00047B36">
        <w:rPr>
          <w:rFonts w:ascii="Tw Cen MT" w:eastAsia="Arial" w:hAnsi="Tw Cen MT" w:cs="Arial"/>
          <w:highlight w:val="white"/>
        </w:rPr>
        <w:t xml:space="preserve">, Y., Morita, T. &amp; </w:t>
      </w:r>
      <w:proofErr w:type="spellStart"/>
      <w:r w:rsidRPr="00047B36">
        <w:rPr>
          <w:rFonts w:ascii="Tw Cen MT" w:eastAsia="Arial" w:hAnsi="Tw Cen MT" w:cs="Arial"/>
          <w:highlight w:val="white"/>
        </w:rPr>
        <w:t>Managi</w:t>
      </w:r>
      <w:proofErr w:type="spellEnd"/>
      <w:r w:rsidRPr="00047B36">
        <w:rPr>
          <w:rFonts w:ascii="Tw Cen MT" w:eastAsia="Arial" w:hAnsi="Tw Cen MT" w:cs="Arial"/>
          <w:highlight w:val="white"/>
        </w:rPr>
        <w:t xml:space="preserve">, S. (2014). </w:t>
      </w:r>
      <w:r w:rsidRPr="00047B36">
        <w:rPr>
          <w:rFonts w:ascii="Tw Cen MT" w:eastAsia="Arial" w:hAnsi="Tw Cen MT" w:cs="Arial"/>
          <w:highlight w:val="white"/>
          <w:lang w:val="en-US"/>
        </w:rPr>
        <w:t xml:space="preserve">Demand for </w:t>
      </w:r>
      <w:proofErr w:type="spellStart"/>
      <w:r w:rsidRPr="00047B36">
        <w:rPr>
          <w:rFonts w:ascii="Tw Cen MT" w:eastAsia="Arial" w:hAnsi="Tw Cen MT" w:cs="Arial"/>
          <w:highlight w:val="white"/>
          <w:lang w:val="en-US"/>
        </w:rPr>
        <w:t>ecolabeled</w:t>
      </w:r>
      <w:proofErr w:type="spellEnd"/>
      <w:r w:rsidRPr="00047B36">
        <w:rPr>
          <w:rFonts w:ascii="Tw Cen MT" w:eastAsia="Arial" w:hAnsi="Tw Cen MT" w:cs="Arial"/>
          <w:highlight w:val="white"/>
          <w:lang w:val="en-US"/>
        </w:rPr>
        <w:t xml:space="preserve"> seafood in the Japanese market: A conjoint analysis of the impact of information and interaction with other labels. Food Policy, 44(2), 68-76.</w:t>
      </w:r>
    </w:p>
    <w:p w:rsidR="000642F5" w:rsidRPr="00047B36" w:rsidRDefault="004C5121" w:rsidP="00727FE8">
      <w:pPr>
        <w:spacing w:after="0" w:line="360" w:lineRule="auto"/>
        <w:jc w:val="both"/>
        <w:rPr>
          <w:rFonts w:ascii="Tw Cen MT" w:hAnsi="Tw Cen MT"/>
          <w:lang w:val="en-US"/>
        </w:rPr>
      </w:pPr>
      <w:r w:rsidRPr="00047B36">
        <w:rPr>
          <w:rFonts w:ascii="Tw Cen MT" w:eastAsia="Arial" w:hAnsi="Tw Cen MT" w:cs="Arial"/>
        </w:rPr>
        <w:t xml:space="preserve">Valor, C., Carrero, I. &amp; Redondo, R. (2013). </w:t>
      </w:r>
      <w:r w:rsidRPr="00047B36">
        <w:rPr>
          <w:rFonts w:ascii="Tw Cen MT" w:eastAsia="Arial" w:hAnsi="Tw Cen MT" w:cs="Arial"/>
          <w:lang w:val="en-US"/>
        </w:rPr>
        <w:t>The influence of knowledge and motivation on sustainable label use. Journal of Agricultural and Environmental Ethics, 27(4), 591-607</w:t>
      </w:r>
    </w:p>
    <w:p w:rsidR="000642F5" w:rsidRPr="00047B36" w:rsidRDefault="004C5121" w:rsidP="00727FE8">
      <w:pPr>
        <w:spacing w:after="0" w:line="360" w:lineRule="auto"/>
        <w:jc w:val="both"/>
        <w:rPr>
          <w:rFonts w:ascii="Tw Cen MT" w:hAnsi="Tw Cen MT"/>
          <w:lang w:val="en-US"/>
        </w:rPr>
      </w:pPr>
      <w:proofErr w:type="spellStart"/>
      <w:r w:rsidRPr="00047B36">
        <w:rPr>
          <w:rFonts w:ascii="Tw Cen MT" w:eastAsia="Arial" w:hAnsi="Tw Cen MT" w:cs="Arial"/>
          <w:highlight w:val="white"/>
          <w:lang w:val="en-US"/>
        </w:rPr>
        <w:t>Witkin</w:t>
      </w:r>
      <w:proofErr w:type="spellEnd"/>
      <w:r w:rsidRPr="00047B36">
        <w:rPr>
          <w:rFonts w:ascii="Tw Cen MT" w:eastAsia="Arial" w:hAnsi="Tw Cen MT" w:cs="Arial"/>
          <w:highlight w:val="white"/>
          <w:lang w:val="en-US"/>
        </w:rPr>
        <w:t xml:space="preserve">, T., </w:t>
      </w:r>
      <w:proofErr w:type="spellStart"/>
      <w:r w:rsidRPr="00047B36">
        <w:rPr>
          <w:rFonts w:ascii="Tw Cen MT" w:eastAsia="Arial" w:hAnsi="Tw Cen MT" w:cs="Arial"/>
          <w:highlight w:val="white"/>
          <w:lang w:val="en-US"/>
        </w:rPr>
        <w:t>Dissanayake</w:t>
      </w:r>
      <w:proofErr w:type="spellEnd"/>
      <w:r w:rsidRPr="00047B36">
        <w:rPr>
          <w:rFonts w:ascii="Tw Cen MT" w:eastAsia="Arial" w:hAnsi="Tw Cen MT" w:cs="Arial"/>
          <w:highlight w:val="white"/>
          <w:lang w:val="en-US"/>
        </w:rPr>
        <w:t xml:space="preserve">, S. T., &amp; </w:t>
      </w:r>
      <w:proofErr w:type="spellStart"/>
      <w:r w:rsidRPr="00047B36">
        <w:rPr>
          <w:rFonts w:ascii="Tw Cen MT" w:eastAsia="Arial" w:hAnsi="Tw Cen MT" w:cs="Arial"/>
          <w:highlight w:val="white"/>
          <w:lang w:val="en-US"/>
        </w:rPr>
        <w:t>McClenachan</w:t>
      </w:r>
      <w:proofErr w:type="spellEnd"/>
      <w:r w:rsidRPr="00047B36">
        <w:rPr>
          <w:rFonts w:ascii="Tw Cen MT" w:eastAsia="Arial" w:hAnsi="Tw Cen MT" w:cs="Arial"/>
          <w:highlight w:val="white"/>
          <w:lang w:val="en-US"/>
        </w:rPr>
        <w:t>, L. (2015). Opportunities and barriers for fisheries diversification: Consumer choice in New England. Fisheries Research, 168(2), 56-62.</w:t>
      </w:r>
    </w:p>
    <w:p w:rsidR="000642F5" w:rsidRPr="00047B36" w:rsidRDefault="004C5121" w:rsidP="00727FE8">
      <w:pPr>
        <w:spacing w:after="0" w:line="360" w:lineRule="auto"/>
        <w:jc w:val="both"/>
        <w:rPr>
          <w:rFonts w:ascii="Tw Cen MT" w:hAnsi="Tw Cen MT"/>
          <w:lang w:val="en-US"/>
        </w:rPr>
      </w:pPr>
      <w:r w:rsidRPr="00047B36">
        <w:rPr>
          <w:rFonts w:ascii="Tw Cen MT" w:eastAsia="Arial" w:hAnsi="Tw Cen MT" w:cs="Arial"/>
          <w:lang w:val="en-US"/>
        </w:rPr>
        <w:t xml:space="preserve">WWF, 2011. Common Fisheries Policy. European citizens poll: The results. April 2011 </w:t>
      </w:r>
      <w:hyperlink r:id="rId13">
        <w:r w:rsidRPr="00047B36">
          <w:rPr>
            <w:rFonts w:ascii="Tw Cen MT" w:eastAsia="Arial" w:hAnsi="Tw Cen MT" w:cs="Arial"/>
            <w:lang w:val="en-US"/>
          </w:rPr>
          <w:t>http://awsassets.panda.org/downloads/data_fish_poll_results.pdf</w:t>
        </w:r>
      </w:hyperlink>
      <w:r w:rsidRPr="00047B36">
        <w:rPr>
          <w:rFonts w:ascii="Tw Cen MT" w:eastAsia="Arial" w:hAnsi="Tw Cen MT" w:cs="Arial"/>
          <w:lang w:val="en-US"/>
        </w:rPr>
        <w:t xml:space="preserve"> (22nd May 2014).</w:t>
      </w:r>
    </w:p>
    <w:p w:rsidR="000642F5" w:rsidRPr="00047B36" w:rsidRDefault="004C5121" w:rsidP="00727FE8">
      <w:pPr>
        <w:spacing w:after="0" w:line="360" w:lineRule="auto"/>
        <w:jc w:val="both"/>
        <w:rPr>
          <w:rFonts w:ascii="Tw Cen MT" w:hAnsi="Tw Cen MT"/>
        </w:rPr>
      </w:pPr>
      <w:bookmarkStart w:id="2" w:name="_30j0zll" w:colFirst="0" w:colLast="0"/>
      <w:bookmarkEnd w:id="2"/>
      <w:proofErr w:type="spellStart"/>
      <w:r w:rsidRPr="00047B36">
        <w:rPr>
          <w:rFonts w:ascii="Tw Cen MT" w:eastAsia="Arial" w:hAnsi="Tw Cen MT" w:cs="Arial"/>
          <w:lang w:val="en-US"/>
        </w:rPr>
        <w:t>Zellner</w:t>
      </w:r>
      <w:proofErr w:type="spellEnd"/>
      <w:r w:rsidRPr="00047B36">
        <w:rPr>
          <w:rFonts w:ascii="Tw Cen MT" w:eastAsia="Arial" w:hAnsi="Tw Cen MT" w:cs="Arial"/>
          <w:lang w:val="en-US"/>
        </w:rPr>
        <w:t xml:space="preserve">, A. (1962). An efficient method of estimating seemingly unrelated regressions and tests for aggregation bias. </w:t>
      </w:r>
      <w:proofErr w:type="spellStart"/>
      <w:r w:rsidRPr="00047B36">
        <w:rPr>
          <w:rFonts w:ascii="Tw Cen MT" w:eastAsia="Arial" w:hAnsi="Tw Cen MT" w:cs="Arial"/>
        </w:rPr>
        <w:t>Journal</w:t>
      </w:r>
      <w:proofErr w:type="spellEnd"/>
      <w:r w:rsidRPr="00047B36">
        <w:rPr>
          <w:rFonts w:ascii="Tw Cen MT" w:eastAsia="Arial" w:hAnsi="Tw Cen MT" w:cs="Arial"/>
        </w:rPr>
        <w:t xml:space="preserve"> of </w:t>
      </w:r>
      <w:proofErr w:type="spellStart"/>
      <w:r w:rsidRPr="00047B36">
        <w:rPr>
          <w:rFonts w:ascii="Tw Cen MT" w:eastAsia="Arial" w:hAnsi="Tw Cen MT" w:cs="Arial"/>
        </w:rPr>
        <w:t>the</w:t>
      </w:r>
      <w:proofErr w:type="spellEnd"/>
      <w:r w:rsidRPr="00047B36">
        <w:rPr>
          <w:rFonts w:ascii="Tw Cen MT" w:eastAsia="Arial" w:hAnsi="Tw Cen MT" w:cs="Arial"/>
        </w:rPr>
        <w:t xml:space="preserve"> American </w:t>
      </w:r>
      <w:proofErr w:type="spellStart"/>
      <w:r w:rsidRPr="00047B36">
        <w:rPr>
          <w:rFonts w:ascii="Tw Cen MT" w:eastAsia="Arial" w:hAnsi="Tw Cen MT" w:cs="Arial"/>
        </w:rPr>
        <w:t>Statistical</w:t>
      </w:r>
      <w:proofErr w:type="spellEnd"/>
      <w:r w:rsidRPr="00047B36">
        <w:rPr>
          <w:rFonts w:ascii="Tw Cen MT" w:eastAsia="Arial" w:hAnsi="Tw Cen MT" w:cs="Arial"/>
        </w:rPr>
        <w:t xml:space="preserve"> </w:t>
      </w:r>
      <w:proofErr w:type="spellStart"/>
      <w:r w:rsidRPr="00047B36">
        <w:rPr>
          <w:rFonts w:ascii="Tw Cen MT" w:eastAsia="Arial" w:hAnsi="Tw Cen MT" w:cs="Arial"/>
        </w:rPr>
        <w:t>Association</w:t>
      </w:r>
      <w:proofErr w:type="spellEnd"/>
      <w:r w:rsidRPr="00047B36">
        <w:rPr>
          <w:rFonts w:ascii="Tw Cen MT" w:eastAsia="Arial" w:hAnsi="Tw Cen MT" w:cs="Arial"/>
        </w:rPr>
        <w:t>, 57(298), 348-369.</w:t>
      </w:r>
    </w:p>
    <w:p w:rsidR="000642F5" w:rsidRPr="00047B36" w:rsidRDefault="000642F5" w:rsidP="00727FE8">
      <w:pPr>
        <w:spacing w:after="0" w:line="360" w:lineRule="auto"/>
        <w:jc w:val="both"/>
        <w:rPr>
          <w:rFonts w:ascii="Tw Cen MT" w:hAnsi="Tw Cen MT"/>
        </w:rPr>
      </w:pPr>
    </w:p>
    <w:sectPr w:rsidR="000642F5" w:rsidRPr="00047B36">
      <w:footerReference w:type="default" r:id="rId14"/>
      <w:pgSz w:w="11906" w:h="16838"/>
      <w:pgMar w:top="1417" w:right="1701" w:bottom="1417" w:left="1701"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3BF1" w:rsidRDefault="007E3BF1">
      <w:pPr>
        <w:spacing w:after="0" w:line="240" w:lineRule="auto"/>
      </w:pPr>
      <w:r>
        <w:separator/>
      </w:r>
    </w:p>
  </w:endnote>
  <w:endnote w:type="continuationSeparator" w:id="0">
    <w:p w:rsidR="007E3BF1" w:rsidRDefault="007E3B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w Cen MT">
    <w:panose1 w:val="020B06020201040206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42F5" w:rsidRDefault="004C5121">
    <w:pPr>
      <w:tabs>
        <w:tab w:val="center" w:pos="4252"/>
        <w:tab w:val="right" w:pos="8504"/>
      </w:tabs>
      <w:spacing w:after="708" w:line="240" w:lineRule="auto"/>
      <w:jc w:val="right"/>
    </w:pPr>
    <w:r>
      <w:fldChar w:fldCharType="begin"/>
    </w:r>
    <w:r>
      <w:instrText>PAGE</w:instrText>
    </w:r>
    <w:r>
      <w:fldChar w:fldCharType="separate"/>
    </w:r>
    <w:r w:rsidR="00047B36">
      <w:rPr>
        <w:noProof/>
      </w:rPr>
      <w:t>1</w:t>
    </w:r>
    <w:r>
      <w:fldChar w:fldCharType="end"/>
    </w:r>
  </w:p>
  <w:p w:rsidR="000642F5" w:rsidRDefault="000642F5">
    <w:pPr>
      <w:tabs>
        <w:tab w:val="center" w:pos="4252"/>
        <w:tab w:val="right" w:pos="8504"/>
      </w:tabs>
      <w:spacing w:after="708" w:line="240" w:lineRule="auto"/>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3BF1" w:rsidRDefault="007E3BF1">
      <w:pPr>
        <w:spacing w:after="0" w:line="240" w:lineRule="auto"/>
      </w:pPr>
      <w:r>
        <w:separator/>
      </w:r>
    </w:p>
  </w:footnote>
  <w:footnote w:type="continuationSeparator" w:id="0">
    <w:p w:rsidR="007E3BF1" w:rsidRDefault="007E3BF1">
      <w:pPr>
        <w:spacing w:after="0" w:line="240" w:lineRule="auto"/>
      </w:pPr>
      <w:r>
        <w:continuationSeparator/>
      </w:r>
    </w:p>
  </w:footnote>
  <w:footnote w:id="1">
    <w:p w:rsidR="000642F5" w:rsidRPr="00B41548" w:rsidRDefault="004C5121">
      <w:pPr>
        <w:spacing w:after="0" w:line="360" w:lineRule="auto"/>
        <w:jc w:val="both"/>
        <w:rPr>
          <w:lang w:val="en-US"/>
        </w:rPr>
      </w:pPr>
      <w:r>
        <w:rPr>
          <w:vertAlign w:val="superscript"/>
        </w:rPr>
        <w:footnoteRef/>
      </w:r>
      <w:r w:rsidRPr="00B41548">
        <w:rPr>
          <w:sz w:val="20"/>
          <w:szCs w:val="20"/>
          <w:lang w:val="en-US"/>
        </w:rPr>
        <w:t xml:space="preserve"> </w:t>
      </w:r>
      <w:r w:rsidRPr="00B41548">
        <w:rPr>
          <w:rFonts w:ascii="Arial" w:eastAsia="Arial" w:hAnsi="Arial" w:cs="Arial"/>
          <w:sz w:val="20"/>
          <w:szCs w:val="20"/>
          <w:lang w:val="en-US"/>
        </w:rPr>
        <w:t>Other papers estimate a hedonic price model, where price is explained by different attributes of product (</w:t>
      </w:r>
      <w:proofErr w:type="spellStart"/>
      <w:r w:rsidRPr="00B41548">
        <w:rPr>
          <w:rFonts w:ascii="Arial" w:eastAsia="Arial" w:hAnsi="Arial" w:cs="Arial"/>
          <w:sz w:val="20"/>
          <w:szCs w:val="20"/>
          <w:lang w:val="en-US"/>
        </w:rPr>
        <w:t>Roheim</w:t>
      </w:r>
      <w:proofErr w:type="spellEnd"/>
      <w:r w:rsidRPr="00B41548">
        <w:rPr>
          <w:rFonts w:ascii="Arial" w:eastAsia="Arial" w:hAnsi="Arial" w:cs="Arial"/>
          <w:sz w:val="20"/>
          <w:szCs w:val="20"/>
          <w:lang w:val="en-US"/>
        </w:rPr>
        <w:t xml:space="preserve"> et al., 2011); however, this information is not available in the scanner data and cannot be calculated.</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74129"/>
    <w:multiLevelType w:val="multilevel"/>
    <w:tmpl w:val="16A29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3981EBC"/>
    <w:multiLevelType w:val="multilevel"/>
    <w:tmpl w:val="7D886A78"/>
    <w:lvl w:ilvl="0">
      <w:start w:val="1"/>
      <w:numFmt w:val="decimal"/>
      <w:lvlText w:val="%1."/>
      <w:lvlJc w:val="left"/>
      <w:pPr>
        <w:ind w:left="720" w:firstLine="360"/>
      </w:pPr>
      <w:rPr>
        <w:color w:val="000000"/>
      </w:r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isplayBackgroundShape/>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0642F5"/>
    <w:rsid w:val="00047B36"/>
    <w:rsid w:val="000642F5"/>
    <w:rsid w:val="00077B3A"/>
    <w:rsid w:val="00090ED9"/>
    <w:rsid w:val="00370787"/>
    <w:rsid w:val="003C64E5"/>
    <w:rsid w:val="004C5121"/>
    <w:rsid w:val="00711D34"/>
    <w:rsid w:val="00727FE8"/>
    <w:rsid w:val="00772C34"/>
    <w:rsid w:val="007E3BF1"/>
    <w:rsid w:val="008534AC"/>
    <w:rsid w:val="00A40FD0"/>
    <w:rsid w:val="00A64B35"/>
    <w:rsid w:val="00AD62F9"/>
    <w:rsid w:val="00B41548"/>
    <w:rsid w:val="00BC3E0C"/>
    <w:rsid w:val="00C31A12"/>
    <w:rsid w:val="00D60B38"/>
    <w:rsid w:val="00DC1B53"/>
    <w:rsid w:val="00E5260A"/>
    <w:rsid w:val="00F44747"/>
    <w:rsid w:val="00FD28E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color w:val="000000"/>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pPr>
      <w:keepNext/>
      <w:keepLines/>
      <w:spacing w:before="480" w:after="0"/>
      <w:outlineLvl w:val="0"/>
    </w:pPr>
    <w:rPr>
      <w:rFonts w:ascii="Cambria" w:eastAsia="Cambria" w:hAnsi="Cambria" w:cs="Cambria"/>
      <w:b/>
      <w:color w:val="3B618E"/>
      <w:sz w:val="28"/>
      <w:szCs w:val="28"/>
    </w:rPr>
  </w:style>
  <w:style w:type="paragraph" w:styleId="Ttulo2">
    <w:name w:val="heading 2"/>
    <w:basedOn w:val="Normal"/>
    <w:next w:val="Normal"/>
    <w:pPr>
      <w:keepNext/>
      <w:keepLines/>
      <w:spacing w:before="360" w:after="80"/>
      <w:contextualSpacing/>
      <w:outlineLvl w:val="1"/>
    </w:pPr>
    <w:rPr>
      <w:b/>
      <w:sz w:val="36"/>
      <w:szCs w:val="36"/>
    </w:rPr>
  </w:style>
  <w:style w:type="paragraph" w:styleId="Ttulo3">
    <w:name w:val="heading 3"/>
    <w:basedOn w:val="Normal"/>
    <w:next w:val="Normal"/>
    <w:pPr>
      <w:keepNext/>
      <w:keepLines/>
      <w:spacing w:before="280" w:after="80"/>
      <w:contextualSpacing/>
      <w:outlineLvl w:val="2"/>
    </w:pPr>
    <w:rPr>
      <w:b/>
      <w:sz w:val="28"/>
      <w:szCs w:val="28"/>
    </w:rPr>
  </w:style>
  <w:style w:type="paragraph" w:styleId="Ttulo4">
    <w:name w:val="heading 4"/>
    <w:basedOn w:val="Normal"/>
    <w:next w:val="Normal"/>
    <w:pPr>
      <w:keepNext/>
      <w:keepLines/>
      <w:spacing w:before="240" w:after="40"/>
      <w:contextualSpacing/>
      <w:outlineLvl w:val="3"/>
    </w:pPr>
    <w:rPr>
      <w:b/>
      <w:sz w:val="24"/>
      <w:szCs w:val="24"/>
    </w:rPr>
  </w:style>
  <w:style w:type="paragraph" w:styleId="Ttulo5">
    <w:name w:val="heading 5"/>
    <w:basedOn w:val="Normal"/>
    <w:next w:val="Normal"/>
    <w:pPr>
      <w:keepNext/>
      <w:keepLines/>
      <w:spacing w:before="220" w:after="40"/>
      <w:contextualSpacing/>
      <w:outlineLvl w:val="4"/>
    </w:pPr>
    <w:rPr>
      <w:b/>
    </w:rPr>
  </w:style>
  <w:style w:type="paragraph" w:styleId="Ttulo6">
    <w:name w:val="heading 6"/>
    <w:basedOn w:val="Normal"/>
    <w:next w:val="Normal"/>
    <w:pPr>
      <w:keepNext/>
      <w:keepLines/>
      <w:spacing w:before="200" w:after="40"/>
      <w:contextualSpacing/>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contextualSpacing/>
    </w:pPr>
    <w:rPr>
      <w:b/>
      <w:sz w:val="72"/>
      <w:szCs w:val="72"/>
    </w:rPr>
  </w:style>
  <w:style w:type="paragraph" w:styleId="Subttulo">
    <w:name w:val="Subtitle"/>
    <w:basedOn w:val="Normal"/>
    <w:next w:val="Normal"/>
    <w:pPr>
      <w:keepNext/>
      <w:keepLines/>
      <w:spacing w:before="360" w:after="80"/>
      <w:contextualSpacing/>
    </w:pPr>
    <w:rPr>
      <w:rFonts w:ascii="Georgia" w:eastAsia="Georgia" w:hAnsi="Georgia" w:cs="Georgia"/>
      <w:i/>
      <w:color w:val="666666"/>
      <w:sz w:val="48"/>
      <w:szCs w:val="48"/>
    </w:rPr>
  </w:style>
  <w:style w:type="paragraph" w:styleId="Textodeglobo">
    <w:name w:val="Balloon Text"/>
    <w:basedOn w:val="Normal"/>
    <w:link w:val="TextodegloboCar"/>
    <w:uiPriority w:val="99"/>
    <w:semiHidden/>
    <w:unhideWhenUsed/>
    <w:rsid w:val="00B4154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B41548"/>
    <w:rPr>
      <w:rFonts w:ascii="Tahoma" w:hAnsi="Tahoma" w:cs="Tahoma"/>
      <w:sz w:val="16"/>
      <w:szCs w:val="16"/>
    </w:rPr>
  </w:style>
  <w:style w:type="character" w:customStyle="1" w:styleId="nlmarticle-title">
    <w:name w:val="nlm_article-title"/>
    <w:basedOn w:val="Fuentedeprrafopredeter"/>
    <w:rsid w:val="00047B36"/>
  </w:style>
  <w:style w:type="character" w:customStyle="1" w:styleId="contribdegrees">
    <w:name w:val="contribdegrees"/>
    <w:basedOn w:val="Fuentedeprrafopredeter"/>
    <w:rsid w:val="00047B36"/>
  </w:style>
  <w:style w:type="character" w:styleId="Hipervnculo">
    <w:name w:val="Hyperlink"/>
    <w:basedOn w:val="Fuentedeprrafopredeter"/>
    <w:uiPriority w:val="99"/>
    <w:semiHidden/>
    <w:unhideWhenUsed/>
    <w:rsid w:val="00047B36"/>
    <w:rPr>
      <w:color w:val="0000FF"/>
      <w:u w:val="single"/>
    </w:rPr>
  </w:style>
  <w:style w:type="character" w:customStyle="1" w:styleId="apple-converted-space">
    <w:name w:val="apple-converted-space"/>
    <w:basedOn w:val="Fuentedeprrafopredeter"/>
    <w:rsid w:val="00047B3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color w:val="000000"/>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pPr>
      <w:keepNext/>
      <w:keepLines/>
      <w:spacing w:before="480" w:after="0"/>
      <w:outlineLvl w:val="0"/>
    </w:pPr>
    <w:rPr>
      <w:rFonts w:ascii="Cambria" w:eastAsia="Cambria" w:hAnsi="Cambria" w:cs="Cambria"/>
      <w:b/>
      <w:color w:val="3B618E"/>
      <w:sz w:val="28"/>
      <w:szCs w:val="28"/>
    </w:rPr>
  </w:style>
  <w:style w:type="paragraph" w:styleId="Ttulo2">
    <w:name w:val="heading 2"/>
    <w:basedOn w:val="Normal"/>
    <w:next w:val="Normal"/>
    <w:pPr>
      <w:keepNext/>
      <w:keepLines/>
      <w:spacing w:before="360" w:after="80"/>
      <w:contextualSpacing/>
      <w:outlineLvl w:val="1"/>
    </w:pPr>
    <w:rPr>
      <w:b/>
      <w:sz w:val="36"/>
      <w:szCs w:val="36"/>
    </w:rPr>
  </w:style>
  <w:style w:type="paragraph" w:styleId="Ttulo3">
    <w:name w:val="heading 3"/>
    <w:basedOn w:val="Normal"/>
    <w:next w:val="Normal"/>
    <w:pPr>
      <w:keepNext/>
      <w:keepLines/>
      <w:spacing w:before="280" w:after="80"/>
      <w:contextualSpacing/>
      <w:outlineLvl w:val="2"/>
    </w:pPr>
    <w:rPr>
      <w:b/>
      <w:sz w:val="28"/>
      <w:szCs w:val="28"/>
    </w:rPr>
  </w:style>
  <w:style w:type="paragraph" w:styleId="Ttulo4">
    <w:name w:val="heading 4"/>
    <w:basedOn w:val="Normal"/>
    <w:next w:val="Normal"/>
    <w:pPr>
      <w:keepNext/>
      <w:keepLines/>
      <w:spacing w:before="240" w:after="40"/>
      <w:contextualSpacing/>
      <w:outlineLvl w:val="3"/>
    </w:pPr>
    <w:rPr>
      <w:b/>
      <w:sz w:val="24"/>
      <w:szCs w:val="24"/>
    </w:rPr>
  </w:style>
  <w:style w:type="paragraph" w:styleId="Ttulo5">
    <w:name w:val="heading 5"/>
    <w:basedOn w:val="Normal"/>
    <w:next w:val="Normal"/>
    <w:pPr>
      <w:keepNext/>
      <w:keepLines/>
      <w:spacing w:before="220" w:after="40"/>
      <w:contextualSpacing/>
      <w:outlineLvl w:val="4"/>
    </w:pPr>
    <w:rPr>
      <w:b/>
    </w:rPr>
  </w:style>
  <w:style w:type="paragraph" w:styleId="Ttulo6">
    <w:name w:val="heading 6"/>
    <w:basedOn w:val="Normal"/>
    <w:next w:val="Normal"/>
    <w:pPr>
      <w:keepNext/>
      <w:keepLines/>
      <w:spacing w:before="200" w:after="40"/>
      <w:contextualSpacing/>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contextualSpacing/>
    </w:pPr>
    <w:rPr>
      <w:b/>
      <w:sz w:val="72"/>
      <w:szCs w:val="72"/>
    </w:rPr>
  </w:style>
  <w:style w:type="paragraph" w:styleId="Subttulo">
    <w:name w:val="Subtitle"/>
    <w:basedOn w:val="Normal"/>
    <w:next w:val="Normal"/>
    <w:pPr>
      <w:keepNext/>
      <w:keepLines/>
      <w:spacing w:before="360" w:after="80"/>
      <w:contextualSpacing/>
    </w:pPr>
    <w:rPr>
      <w:rFonts w:ascii="Georgia" w:eastAsia="Georgia" w:hAnsi="Georgia" w:cs="Georgia"/>
      <w:i/>
      <w:color w:val="666666"/>
      <w:sz w:val="48"/>
      <w:szCs w:val="48"/>
    </w:rPr>
  </w:style>
  <w:style w:type="paragraph" w:styleId="Textodeglobo">
    <w:name w:val="Balloon Text"/>
    <w:basedOn w:val="Normal"/>
    <w:link w:val="TextodegloboCar"/>
    <w:uiPriority w:val="99"/>
    <w:semiHidden/>
    <w:unhideWhenUsed/>
    <w:rsid w:val="00B4154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B41548"/>
    <w:rPr>
      <w:rFonts w:ascii="Tahoma" w:hAnsi="Tahoma" w:cs="Tahoma"/>
      <w:sz w:val="16"/>
      <w:szCs w:val="16"/>
    </w:rPr>
  </w:style>
  <w:style w:type="character" w:customStyle="1" w:styleId="nlmarticle-title">
    <w:name w:val="nlm_article-title"/>
    <w:basedOn w:val="Fuentedeprrafopredeter"/>
    <w:rsid w:val="00047B36"/>
  </w:style>
  <w:style w:type="character" w:customStyle="1" w:styleId="contribdegrees">
    <w:name w:val="contribdegrees"/>
    <w:basedOn w:val="Fuentedeprrafopredeter"/>
    <w:rsid w:val="00047B36"/>
  </w:style>
  <w:style w:type="character" w:styleId="Hipervnculo">
    <w:name w:val="Hyperlink"/>
    <w:basedOn w:val="Fuentedeprrafopredeter"/>
    <w:uiPriority w:val="99"/>
    <w:semiHidden/>
    <w:unhideWhenUsed/>
    <w:rsid w:val="00047B36"/>
    <w:rPr>
      <w:color w:val="0000FF"/>
      <w:u w:val="single"/>
    </w:rPr>
  </w:style>
  <w:style w:type="character" w:customStyle="1" w:styleId="apple-converted-space">
    <w:name w:val="apple-converted-space"/>
    <w:basedOn w:val="Fuentedeprrafopredeter"/>
    <w:rsid w:val="00047B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4247219">
      <w:bodyDiv w:val="1"/>
      <w:marLeft w:val="0"/>
      <w:marRight w:val="0"/>
      <w:marTop w:val="0"/>
      <w:marBottom w:val="0"/>
      <w:divBdr>
        <w:top w:val="none" w:sz="0" w:space="0" w:color="auto"/>
        <w:left w:val="none" w:sz="0" w:space="0" w:color="auto"/>
        <w:bottom w:val="none" w:sz="0" w:space="0" w:color="auto"/>
        <w:right w:val="none" w:sz="0" w:space="0" w:color="auto"/>
      </w:divBdr>
      <w:divsChild>
        <w:div w:id="1364017745">
          <w:marLeft w:val="96"/>
          <w:marRight w:val="96"/>
          <w:marTop w:val="0"/>
          <w:marBottom w:val="0"/>
          <w:divBdr>
            <w:top w:val="none" w:sz="0" w:space="0" w:color="auto"/>
            <w:left w:val="none" w:sz="0" w:space="0" w:color="auto"/>
            <w:bottom w:val="none" w:sz="0" w:space="0" w:color="auto"/>
            <w:right w:val="none" w:sz="0" w:space="0" w:color="auto"/>
          </w:divBdr>
          <w:divsChild>
            <w:div w:id="1441949478">
              <w:marLeft w:val="0"/>
              <w:marRight w:val="0"/>
              <w:marTop w:val="0"/>
              <w:marBottom w:val="0"/>
              <w:divBdr>
                <w:top w:val="none" w:sz="0" w:space="0" w:color="auto"/>
                <w:left w:val="none" w:sz="0" w:space="0" w:color="auto"/>
                <w:bottom w:val="none" w:sz="0" w:space="0" w:color="auto"/>
                <w:right w:val="none" w:sz="0" w:space="0" w:color="auto"/>
              </w:divBdr>
              <w:divsChild>
                <w:div w:id="187792468">
                  <w:marLeft w:val="105"/>
                  <w:marRight w:val="105"/>
                  <w:marTop w:val="0"/>
                  <w:marBottom w:val="0"/>
                  <w:divBdr>
                    <w:top w:val="none" w:sz="0" w:space="0" w:color="auto"/>
                    <w:left w:val="none" w:sz="0" w:space="0" w:color="auto"/>
                    <w:bottom w:val="none" w:sz="0" w:space="0" w:color="auto"/>
                    <w:right w:val="none" w:sz="0" w:space="0" w:color="auto"/>
                  </w:divBdr>
                  <w:divsChild>
                    <w:div w:id="1818642577">
                      <w:marLeft w:val="0"/>
                      <w:marRight w:val="0"/>
                      <w:marTop w:val="0"/>
                      <w:marBottom w:val="0"/>
                      <w:divBdr>
                        <w:top w:val="none" w:sz="0" w:space="0" w:color="auto"/>
                        <w:left w:val="none" w:sz="0" w:space="0" w:color="auto"/>
                        <w:bottom w:val="none" w:sz="0" w:space="0" w:color="auto"/>
                        <w:right w:val="none" w:sz="0" w:space="0" w:color="auto"/>
                      </w:divBdr>
                      <w:divsChild>
                        <w:div w:id="1242641171">
                          <w:marLeft w:val="0"/>
                          <w:marRight w:val="0"/>
                          <w:marTop w:val="0"/>
                          <w:marBottom w:val="0"/>
                          <w:divBdr>
                            <w:top w:val="none" w:sz="0" w:space="0" w:color="auto"/>
                            <w:left w:val="none" w:sz="0" w:space="0" w:color="auto"/>
                            <w:bottom w:val="none" w:sz="0" w:space="0" w:color="auto"/>
                            <w:right w:val="none" w:sz="0" w:space="0" w:color="auto"/>
                          </w:divBdr>
                          <w:divsChild>
                            <w:div w:id="741289826">
                              <w:marLeft w:val="0"/>
                              <w:marRight w:val="0"/>
                              <w:marTop w:val="0"/>
                              <w:marBottom w:val="0"/>
                              <w:divBdr>
                                <w:top w:val="none" w:sz="0" w:space="0" w:color="auto"/>
                                <w:left w:val="none" w:sz="0" w:space="0" w:color="auto"/>
                                <w:bottom w:val="none" w:sz="0" w:space="0" w:color="auto"/>
                                <w:right w:val="none" w:sz="0" w:space="0" w:color="auto"/>
                              </w:divBdr>
                              <w:divsChild>
                                <w:div w:id="1184517774">
                                  <w:marLeft w:val="0"/>
                                  <w:marRight w:val="0"/>
                                  <w:marTop w:val="0"/>
                                  <w:marBottom w:val="0"/>
                                  <w:divBdr>
                                    <w:top w:val="none" w:sz="0" w:space="0" w:color="auto"/>
                                    <w:left w:val="none" w:sz="0" w:space="0" w:color="auto"/>
                                    <w:bottom w:val="none" w:sz="0" w:space="0" w:color="auto"/>
                                    <w:right w:val="none" w:sz="0" w:space="0" w:color="auto"/>
                                  </w:divBdr>
                                  <w:divsChild>
                                    <w:div w:id="2018531820">
                                      <w:marLeft w:val="0"/>
                                      <w:marRight w:val="0"/>
                                      <w:marTop w:val="0"/>
                                      <w:marBottom w:val="0"/>
                                      <w:divBdr>
                                        <w:top w:val="none" w:sz="0" w:space="0" w:color="auto"/>
                                        <w:left w:val="none" w:sz="0" w:space="0" w:color="auto"/>
                                        <w:bottom w:val="none" w:sz="0" w:space="0" w:color="auto"/>
                                        <w:right w:val="none" w:sz="0" w:space="0" w:color="auto"/>
                                      </w:divBdr>
                                    </w:div>
                                    <w:div w:id="1234319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02247565">
          <w:marLeft w:val="96"/>
          <w:marRight w:val="96"/>
          <w:marTop w:val="0"/>
          <w:marBottom w:val="0"/>
          <w:divBdr>
            <w:top w:val="none" w:sz="0" w:space="0" w:color="auto"/>
            <w:left w:val="none" w:sz="0" w:space="0" w:color="auto"/>
            <w:bottom w:val="none" w:sz="0" w:space="0" w:color="auto"/>
            <w:right w:val="none" w:sz="0" w:space="0" w:color="auto"/>
          </w:divBdr>
          <w:divsChild>
            <w:div w:id="1584601828">
              <w:marLeft w:val="0"/>
              <w:marRight w:val="0"/>
              <w:marTop w:val="0"/>
              <w:marBottom w:val="0"/>
              <w:divBdr>
                <w:top w:val="none" w:sz="0" w:space="0" w:color="auto"/>
                <w:left w:val="none" w:sz="0" w:space="0" w:color="auto"/>
                <w:bottom w:val="none" w:sz="0" w:space="0" w:color="auto"/>
                <w:right w:val="none" w:sz="0" w:space="0" w:color="auto"/>
              </w:divBdr>
              <w:divsChild>
                <w:div w:id="739600816">
                  <w:marLeft w:val="0"/>
                  <w:marRight w:val="0"/>
                  <w:marTop w:val="0"/>
                  <w:marBottom w:val="0"/>
                  <w:divBdr>
                    <w:top w:val="none" w:sz="0" w:space="0" w:color="auto"/>
                    <w:left w:val="none" w:sz="0" w:space="0" w:color="auto"/>
                    <w:bottom w:val="none" w:sz="0" w:space="0" w:color="auto"/>
                    <w:right w:val="none" w:sz="0" w:space="0" w:color="auto"/>
                  </w:divBdr>
                  <w:divsChild>
                    <w:div w:id="735708538">
                      <w:marLeft w:val="0"/>
                      <w:marRight w:val="0"/>
                      <w:marTop w:val="0"/>
                      <w:marBottom w:val="0"/>
                      <w:divBdr>
                        <w:top w:val="none" w:sz="0" w:space="0" w:color="auto"/>
                        <w:left w:val="none" w:sz="0" w:space="0" w:color="auto"/>
                        <w:bottom w:val="none" w:sz="0" w:space="0" w:color="auto"/>
                        <w:right w:val="none" w:sz="0" w:space="0" w:color="auto"/>
                      </w:divBdr>
                      <w:divsChild>
                        <w:div w:id="1064373385">
                          <w:marLeft w:val="0"/>
                          <w:marRight w:val="0"/>
                          <w:marTop w:val="0"/>
                          <w:marBottom w:val="0"/>
                          <w:divBdr>
                            <w:top w:val="none" w:sz="0" w:space="0" w:color="auto"/>
                            <w:left w:val="none" w:sz="0" w:space="0" w:color="auto"/>
                            <w:bottom w:val="none" w:sz="0" w:space="0" w:color="auto"/>
                            <w:right w:val="none" w:sz="0" w:space="0" w:color="auto"/>
                          </w:divBdr>
                        </w:div>
                        <w:div w:id="96875358">
                          <w:marLeft w:val="0"/>
                          <w:marRight w:val="0"/>
                          <w:marTop w:val="0"/>
                          <w:marBottom w:val="0"/>
                          <w:divBdr>
                            <w:top w:val="none" w:sz="0" w:space="0" w:color="auto"/>
                            <w:left w:val="none" w:sz="0" w:space="0" w:color="auto"/>
                            <w:bottom w:val="none" w:sz="0" w:space="0" w:color="auto"/>
                            <w:right w:val="none" w:sz="0" w:space="0" w:color="auto"/>
                          </w:divBdr>
                          <w:divsChild>
                            <w:div w:id="48191241">
                              <w:marLeft w:val="0"/>
                              <w:marRight w:val="0"/>
                              <w:marTop w:val="0"/>
                              <w:marBottom w:val="0"/>
                              <w:divBdr>
                                <w:top w:val="none" w:sz="0" w:space="0" w:color="auto"/>
                                <w:left w:val="none" w:sz="0" w:space="0" w:color="auto"/>
                                <w:bottom w:val="none" w:sz="0" w:space="0" w:color="auto"/>
                                <w:right w:val="none" w:sz="0" w:space="0" w:color="auto"/>
                              </w:divBdr>
                              <w:divsChild>
                                <w:div w:id="1724791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4360336">
                  <w:marLeft w:val="0"/>
                  <w:marRight w:val="0"/>
                  <w:marTop w:val="0"/>
                  <w:marBottom w:val="0"/>
                  <w:divBdr>
                    <w:top w:val="none" w:sz="0" w:space="0" w:color="auto"/>
                    <w:left w:val="none" w:sz="0" w:space="0" w:color="auto"/>
                    <w:bottom w:val="none" w:sz="0" w:space="0" w:color="auto"/>
                    <w:right w:val="none" w:sz="0" w:space="0" w:color="auto"/>
                  </w:divBdr>
                  <w:divsChild>
                    <w:div w:id="1907035783">
                      <w:marLeft w:val="0"/>
                      <w:marRight w:val="0"/>
                      <w:marTop w:val="0"/>
                      <w:marBottom w:val="0"/>
                      <w:divBdr>
                        <w:top w:val="none" w:sz="0" w:space="0" w:color="auto"/>
                        <w:left w:val="none" w:sz="0" w:space="0" w:color="auto"/>
                        <w:bottom w:val="none" w:sz="0" w:space="0" w:color="auto"/>
                        <w:right w:val="none" w:sz="0" w:space="0" w:color="auto"/>
                      </w:divBdr>
                      <w:divsChild>
                        <w:div w:id="1112944593">
                          <w:marLeft w:val="0"/>
                          <w:marRight w:val="0"/>
                          <w:marTop w:val="0"/>
                          <w:marBottom w:val="0"/>
                          <w:divBdr>
                            <w:top w:val="none" w:sz="0" w:space="0" w:color="auto"/>
                            <w:left w:val="none" w:sz="0" w:space="0" w:color="auto"/>
                            <w:bottom w:val="none" w:sz="0" w:space="0" w:color="auto"/>
                            <w:right w:val="none" w:sz="0" w:space="0" w:color="auto"/>
                          </w:divBdr>
                          <w:divsChild>
                            <w:div w:id="872689832">
                              <w:marLeft w:val="0"/>
                              <w:marRight w:val="0"/>
                              <w:marTop w:val="0"/>
                              <w:marBottom w:val="0"/>
                              <w:divBdr>
                                <w:top w:val="none" w:sz="0" w:space="0" w:color="auto"/>
                                <w:left w:val="none" w:sz="0" w:space="0" w:color="auto"/>
                                <w:bottom w:val="none" w:sz="0" w:space="0" w:color="auto"/>
                                <w:right w:val="none" w:sz="0" w:space="0" w:color="auto"/>
                              </w:divBdr>
                              <w:divsChild>
                                <w:div w:id="602539530">
                                  <w:marLeft w:val="0"/>
                                  <w:marRight w:val="0"/>
                                  <w:marTop w:val="0"/>
                                  <w:marBottom w:val="0"/>
                                  <w:divBdr>
                                    <w:top w:val="none" w:sz="0" w:space="0" w:color="auto"/>
                                    <w:left w:val="none" w:sz="0" w:space="0" w:color="auto"/>
                                    <w:bottom w:val="none" w:sz="0" w:space="0" w:color="auto"/>
                                    <w:right w:val="none" w:sz="0" w:space="0" w:color="auto"/>
                                  </w:divBdr>
                                  <w:divsChild>
                                    <w:div w:id="1507987047">
                                      <w:marLeft w:val="0"/>
                                      <w:marRight w:val="0"/>
                                      <w:marTop w:val="0"/>
                                      <w:marBottom w:val="0"/>
                                      <w:divBdr>
                                        <w:top w:val="none" w:sz="0" w:space="0" w:color="auto"/>
                                        <w:left w:val="none" w:sz="0" w:space="0" w:color="auto"/>
                                        <w:bottom w:val="none" w:sz="0" w:space="0" w:color="auto"/>
                                        <w:right w:val="none" w:sz="0" w:space="0" w:color="auto"/>
                                      </w:divBdr>
                                      <w:divsChild>
                                        <w:div w:id="769005905">
                                          <w:marLeft w:val="0"/>
                                          <w:marRight w:val="0"/>
                                          <w:marTop w:val="0"/>
                                          <w:marBottom w:val="0"/>
                                          <w:divBdr>
                                            <w:top w:val="none" w:sz="0" w:space="0" w:color="auto"/>
                                            <w:left w:val="none" w:sz="0" w:space="0" w:color="auto"/>
                                            <w:bottom w:val="none" w:sz="0" w:space="0" w:color="auto"/>
                                            <w:right w:val="none" w:sz="0" w:space="0" w:color="auto"/>
                                          </w:divBdr>
                                          <w:divsChild>
                                            <w:div w:id="1936589698">
                                              <w:marLeft w:val="0"/>
                                              <w:marRight w:val="0"/>
                                              <w:marTop w:val="0"/>
                                              <w:marBottom w:val="0"/>
                                              <w:divBdr>
                                                <w:top w:val="none" w:sz="0" w:space="0" w:color="auto"/>
                                                <w:left w:val="none" w:sz="0" w:space="0" w:color="auto"/>
                                                <w:bottom w:val="none" w:sz="0" w:space="0" w:color="auto"/>
                                                <w:right w:val="none" w:sz="0" w:space="0" w:color="auto"/>
                                              </w:divBdr>
                                              <w:divsChild>
                                                <w:div w:id="1366515655">
                                                  <w:marLeft w:val="0"/>
                                                  <w:marRight w:val="0"/>
                                                  <w:marTop w:val="0"/>
                                                  <w:marBottom w:val="0"/>
                                                  <w:divBdr>
                                                    <w:top w:val="none" w:sz="0" w:space="0" w:color="auto"/>
                                                    <w:left w:val="none" w:sz="0" w:space="0" w:color="auto"/>
                                                    <w:bottom w:val="none" w:sz="0" w:space="0" w:color="auto"/>
                                                    <w:right w:val="none" w:sz="0" w:space="0" w:color="auto"/>
                                                  </w:divBdr>
                                                  <w:divsChild>
                                                    <w:div w:id="954942772">
                                                      <w:marLeft w:val="0"/>
                                                      <w:marRight w:val="0"/>
                                                      <w:marTop w:val="0"/>
                                                      <w:marBottom w:val="0"/>
                                                      <w:divBdr>
                                                        <w:top w:val="none" w:sz="0" w:space="0" w:color="auto"/>
                                                        <w:left w:val="none" w:sz="0" w:space="0" w:color="auto"/>
                                                        <w:bottom w:val="none" w:sz="0" w:space="0" w:color="auto"/>
                                                        <w:right w:val="none" w:sz="0" w:space="0" w:color="auto"/>
                                                      </w:divBdr>
                                                    </w:div>
                                                    <w:div w:id="1018199511">
                                                      <w:marLeft w:val="0"/>
                                                      <w:marRight w:val="0"/>
                                                      <w:marTop w:val="0"/>
                                                      <w:marBottom w:val="0"/>
                                                      <w:divBdr>
                                                        <w:top w:val="none" w:sz="0" w:space="0" w:color="auto"/>
                                                        <w:left w:val="none" w:sz="0" w:space="0" w:color="auto"/>
                                                        <w:bottom w:val="none" w:sz="0" w:space="0" w:color="auto"/>
                                                        <w:right w:val="none" w:sz="0" w:space="0" w:color="auto"/>
                                                      </w:divBdr>
                                                      <w:divsChild>
                                                        <w:div w:id="731733527">
                                                          <w:marLeft w:val="0"/>
                                                          <w:marRight w:val="0"/>
                                                          <w:marTop w:val="0"/>
                                                          <w:marBottom w:val="0"/>
                                                          <w:divBdr>
                                                            <w:top w:val="none" w:sz="0" w:space="0" w:color="auto"/>
                                                            <w:left w:val="none" w:sz="0" w:space="0" w:color="auto"/>
                                                            <w:bottom w:val="none" w:sz="0" w:space="0" w:color="auto"/>
                                                            <w:right w:val="none" w:sz="0" w:space="0" w:color="auto"/>
                                                          </w:divBdr>
                                                          <w:divsChild>
                                                            <w:div w:id="1038316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tandfonline.com/author/Martinez-de-Ibarreta%2C+Carlos" TargetMode="External"/><Relationship Id="rId13" Type="http://schemas.openxmlformats.org/officeDocument/2006/relationships/hyperlink" Target="http://awsassets.panda.org/downloads/data_fish_poll_results.pdf"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telegraph.co.uk/foodanddrink/8446198/Consumers-demand-fish-from-sustainable-sources.html%20(22"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seafoodchoices.org/resources/documents/EUConsumer.pdf"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dx.doi.org/10.1080/08974438.2017.1303657" TargetMode="External"/><Relationship Id="rId4" Type="http://schemas.openxmlformats.org/officeDocument/2006/relationships/settings" Target="settings.xml"/><Relationship Id="rId9" Type="http://schemas.openxmlformats.org/officeDocument/2006/relationships/hyperlink" Target="http://www.tandfonline.com/author/Valor%2C+Carmen" TargetMode="External"/><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88</TotalTime>
  <Pages>15</Pages>
  <Words>6197</Words>
  <Characters>34088</Characters>
  <Application>Microsoft Office Word</Application>
  <DocSecurity>0</DocSecurity>
  <Lines>284</Lines>
  <Paragraphs>80</Paragraphs>
  <ScaleCrop>false</ScaleCrop>
  <HeadingPairs>
    <vt:vector size="2" baseType="variant">
      <vt:variant>
        <vt:lpstr>Título</vt:lpstr>
      </vt:variant>
      <vt:variant>
        <vt:i4>1</vt:i4>
      </vt:variant>
    </vt:vector>
  </HeadingPairs>
  <TitlesOfParts>
    <vt:vector size="1" baseType="lpstr">
      <vt:lpstr/>
    </vt:vector>
  </TitlesOfParts>
  <Company>Universidad Pontificia Comillas</Company>
  <LinksUpToDate>false</LinksUpToDate>
  <CharactersWithSpaces>40205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Carlos Martínez de Ibarreta Zorita</dc:creator>
  <cp:lastModifiedBy>mamenvalor</cp:lastModifiedBy>
  <cp:revision>11</cp:revision>
  <cp:lastPrinted>2017-02-07T11:35:00Z</cp:lastPrinted>
  <dcterms:created xsi:type="dcterms:W3CDTF">2017-02-07T11:05:00Z</dcterms:created>
  <dcterms:modified xsi:type="dcterms:W3CDTF">2017-04-10T14:05:00Z</dcterms:modified>
</cp:coreProperties>
</file>