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95E4F" w14:textId="77777777" w:rsidR="006509A7" w:rsidRPr="00EF7217" w:rsidRDefault="006509A7" w:rsidP="006509A7">
      <w:pPr>
        <w:jc w:val="center"/>
        <w:rPr>
          <w:rFonts w:ascii="Times New Roman" w:hAnsi="Times New Roman" w:cs="Times New Roman"/>
          <w:sz w:val="44"/>
          <w:szCs w:val="44"/>
        </w:rPr>
      </w:pPr>
      <w:r>
        <w:rPr>
          <w:rFonts w:ascii="Times New Roman" w:hAnsi="Times New Roman" w:cs="Times New Roman"/>
          <w:noProof/>
          <w:sz w:val="44"/>
          <w:szCs w:val="44"/>
          <w:lang w:eastAsia="es-ES"/>
        </w:rPr>
        <w:drawing>
          <wp:anchor distT="0" distB="0" distL="114300" distR="114300" simplePos="0" relativeHeight="251659264" behindDoc="0" locked="0" layoutInCell="1" allowOverlap="1" wp14:anchorId="3A75925A" wp14:editId="4B7C4842">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1263DD49" w14:textId="77777777" w:rsidR="006509A7" w:rsidRDefault="006509A7" w:rsidP="006509A7">
      <w:pPr>
        <w:jc w:val="center"/>
        <w:rPr>
          <w:rFonts w:ascii="Times New Roman" w:hAnsi="Times New Roman" w:cs="Times New Roman"/>
          <w:sz w:val="48"/>
          <w:szCs w:val="48"/>
        </w:rPr>
      </w:pPr>
    </w:p>
    <w:p w14:paraId="1C2CF23E" w14:textId="2F1A7C41" w:rsidR="006509A7" w:rsidRDefault="00FD65EF" w:rsidP="00FD65EF">
      <w:pPr>
        <w:jc w:val="center"/>
        <w:rPr>
          <w:rFonts w:ascii="Times New Roman" w:hAnsi="Times New Roman" w:cs="Times New Roman"/>
          <w:b/>
          <w:sz w:val="36"/>
          <w:szCs w:val="36"/>
        </w:rPr>
      </w:pPr>
      <w:r>
        <w:rPr>
          <w:rFonts w:ascii="Times New Roman" w:hAnsi="Times New Roman" w:cs="Times New Roman"/>
          <w:b/>
          <w:sz w:val="36"/>
          <w:szCs w:val="36"/>
        </w:rPr>
        <w:t xml:space="preserve">Instrumentalización de los hijos en la violencia vicaria: </w:t>
      </w:r>
      <w:r w:rsidR="006509A7">
        <w:rPr>
          <w:rFonts w:ascii="Times New Roman" w:hAnsi="Times New Roman" w:cs="Times New Roman"/>
          <w:b/>
          <w:sz w:val="36"/>
          <w:szCs w:val="36"/>
        </w:rPr>
        <w:t>una aproximación criminológica</w:t>
      </w:r>
    </w:p>
    <w:p w14:paraId="0355FB43" w14:textId="77777777" w:rsidR="006509A7" w:rsidRPr="007B7E4C" w:rsidRDefault="006509A7" w:rsidP="006509A7">
      <w:pPr>
        <w:jc w:val="center"/>
        <w:rPr>
          <w:rFonts w:ascii="Times New Roman" w:hAnsi="Times New Roman" w:cs="Times New Roman"/>
          <w:b/>
          <w:sz w:val="36"/>
          <w:szCs w:val="36"/>
        </w:rPr>
      </w:pPr>
    </w:p>
    <w:p w14:paraId="1494D870" w14:textId="77777777" w:rsidR="006509A7" w:rsidRDefault="006509A7" w:rsidP="006509A7">
      <w:pPr>
        <w:jc w:val="center"/>
        <w:rPr>
          <w:rFonts w:ascii="Times New Roman" w:hAnsi="Times New Roman" w:cs="Times New Roman"/>
          <w:sz w:val="36"/>
          <w:szCs w:val="36"/>
        </w:rPr>
      </w:pPr>
      <w:r>
        <w:rPr>
          <w:rFonts w:ascii="Times New Roman" w:hAnsi="Times New Roman" w:cs="Times New Roman"/>
          <w:sz w:val="36"/>
          <w:szCs w:val="36"/>
        </w:rPr>
        <w:t>Autora: Isabel Bombardó Lloret</w:t>
      </w:r>
    </w:p>
    <w:p w14:paraId="2D4002C7" w14:textId="77777777" w:rsidR="006509A7" w:rsidRPr="00AB4F5F" w:rsidRDefault="006509A7" w:rsidP="006509A7">
      <w:pPr>
        <w:jc w:val="center"/>
        <w:rPr>
          <w:rFonts w:ascii="Times New Roman" w:hAnsi="Times New Roman" w:cs="Times New Roman"/>
          <w:sz w:val="36"/>
          <w:szCs w:val="36"/>
        </w:rPr>
      </w:pPr>
      <w:r w:rsidRPr="00AB4F5F">
        <w:rPr>
          <w:rFonts w:ascii="Times New Roman" w:hAnsi="Times New Roman" w:cs="Times New Roman"/>
          <w:sz w:val="36"/>
          <w:szCs w:val="36"/>
        </w:rPr>
        <w:t>Directora: S</w:t>
      </w:r>
      <w:r>
        <w:rPr>
          <w:rFonts w:ascii="Times New Roman" w:hAnsi="Times New Roman" w:cs="Times New Roman"/>
          <w:sz w:val="36"/>
          <w:szCs w:val="36"/>
        </w:rPr>
        <w:t>andra Calvo Jiménez</w:t>
      </w:r>
    </w:p>
    <w:p w14:paraId="0BB747B7" w14:textId="77777777" w:rsidR="006509A7" w:rsidRPr="00AB4F5F" w:rsidRDefault="006509A7" w:rsidP="006509A7">
      <w:pPr>
        <w:jc w:val="center"/>
        <w:rPr>
          <w:rFonts w:ascii="Times New Roman" w:hAnsi="Times New Roman" w:cs="Times New Roman"/>
          <w:sz w:val="36"/>
          <w:szCs w:val="36"/>
        </w:rPr>
      </w:pPr>
    </w:p>
    <w:p w14:paraId="1146EC88" w14:textId="77777777" w:rsidR="006509A7" w:rsidRPr="000427C2" w:rsidRDefault="006509A7" w:rsidP="006509A7">
      <w:pPr>
        <w:jc w:val="center"/>
        <w:rPr>
          <w:rFonts w:ascii="Times New Roman" w:hAnsi="Times New Roman" w:cs="Times New Roman"/>
          <w:sz w:val="36"/>
          <w:szCs w:val="36"/>
          <w:lang w:val="en-GB"/>
        </w:rPr>
      </w:pPr>
      <w:r w:rsidRPr="000427C2">
        <w:rPr>
          <w:rFonts w:ascii="Times New Roman" w:hAnsi="Times New Roman" w:cs="Times New Roman"/>
          <w:sz w:val="36"/>
          <w:szCs w:val="36"/>
          <w:lang w:val="en-GB"/>
        </w:rPr>
        <w:t>Madrid</w:t>
      </w:r>
    </w:p>
    <w:p w14:paraId="68ECE7F5" w14:textId="7E62E312" w:rsidR="006509A7" w:rsidRPr="000427C2" w:rsidRDefault="001E27F0" w:rsidP="006509A7">
      <w:pPr>
        <w:jc w:val="center"/>
        <w:rPr>
          <w:rFonts w:ascii="Times New Roman" w:hAnsi="Times New Roman" w:cs="Times New Roman"/>
          <w:sz w:val="36"/>
          <w:szCs w:val="36"/>
          <w:lang w:val="en-GB"/>
        </w:rPr>
      </w:pPr>
      <w:r w:rsidRPr="000427C2">
        <w:rPr>
          <w:rFonts w:ascii="Times New Roman" w:hAnsi="Times New Roman" w:cs="Times New Roman"/>
          <w:sz w:val="36"/>
          <w:szCs w:val="36"/>
          <w:lang w:val="en-GB"/>
        </w:rPr>
        <w:t>Marzo 2026</w:t>
      </w:r>
    </w:p>
    <w:p w14:paraId="638B97F0" w14:textId="77777777" w:rsidR="006509A7" w:rsidRPr="000427C2" w:rsidRDefault="006509A7" w:rsidP="006509A7">
      <w:pPr>
        <w:jc w:val="center"/>
        <w:rPr>
          <w:rFonts w:ascii="Times New Roman" w:hAnsi="Times New Roman" w:cs="Times New Roman"/>
          <w:b/>
          <w:sz w:val="28"/>
          <w:szCs w:val="28"/>
          <w:lang w:val="en-GB"/>
        </w:rPr>
      </w:pPr>
    </w:p>
    <w:p w14:paraId="7D50CEA4" w14:textId="77777777" w:rsidR="006509A7" w:rsidRPr="000427C2" w:rsidRDefault="006509A7" w:rsidP="006509A7">
      <w:pPr>
        <w:rPr>
          <w:rFonts w:ascii="Times New Roman" w:hAnsi="Times New Roman" w:cs="Times New Roman"/>
          <w:b/>
          <w:sz w:val="28"/>
          <w:szCs w:val="28"/>
          <w:lang w:val="en-GB"/>
        </w:rPr>
      </w:pPr>
    </w:p>
    <w:p w14:paraId="6664F496" w14:textId="204DB808" w:rsidR="002A5916" w:rsidRDefault="00FD65EF" w:rsidP="002A5916">
      <w:pPr>
        <w:spacing w:line="276" w:lineRule="auto"/>
        <w:jc w:val="both"/>
        <w:rPr>
          <w:rFonts w:ascii="BITSTREAM IOWAN OLD STYLE BT" w:hAnsi="BITSTREAM IOWAN OLD STYLE BT"/>
          <w:sz w:val="22"/>
          <w:szCs w:val="22"/>
          <w:lang w:val="en-GB"/>
        </w:rPr>
      </w:pPr>
      <w:r w:rsidRPr="000427C2">
        <w:rPr>
          <w:rFonts w:ascii="BITSTREAM IOWAN OLD STYLE BT" w:hAnsi="BITSTREAM IOWAN OLD STYLE BT"/>
          <w:sz w:val="22"/>
          <w:szCs w:val="22"/>
          <w:lang w:val="en-GB"/>
        </w:rPr>
        <w:t xml:space="preserve">   </w:t>
      </w:r>
    </w:p>
    <w:p w14:paraId="7B56EDFE" w14:textId="77777777" w:rsidR="002A5916" w:rsidRDefault="002A5916" w:rsidP="00793FEF">
      <w:pPr>
        <w:spacing w:line="276" w:lineRule="auto"/>
        <w:jc w:val="both"/>
        <w:rPr>
          <w:rFonts w:ascii="Times New Roman" w:hAnsi="Times New Roman" w:cs="Times New Roman"/>
          <w:lang w:val="es-ES_tradnl"/>
        </w:rPr>
      </w:pPr>
    </w:p>
    <w:sdt>
      <w:sdtPr>
        <w:rPr>
          <w:rFonts w:ascii="Times New Roman" w:hAnsi="Times New Roman" w:cs="Times New Roman"/>
          <w:sz w:val="24"/>
          <w:szCs w:val="24"/>
        </w:rPr>
        <w:id w:val="-759452357"/>
        <w:docPartObj>
          <w:docPartGallery w:val="Table of Contents"/>
          <w:docPartUnique/>
        </w:docPartObj>
      </w:sdtPr>
      <w:sdtEndPr>
        <w:rPr>
          <w:rFonts w:eastAsiaTheme="minorHAnsi"/>
          <w:noProof/>
          <w:color w:val="auto"/>
          <w:kern w:val="2"/>
          <w:lang w:val="es-ES"/>
          <w14:ligatures w14:val="standardContextual"/>
        </w:rPr>
      </w:sdtEndPr>
      <w:sdtContent>
        <w:p w14:paraId="037FAD90" w14:textId="0F60CE2A" w:rsidR="003B591A" w:rsidRPr="003B591A" w:rsidRDefault="003B591A" w:rsidP="003B591A">
          <w:pPr>
            <w:pStyle w:val="TOCHeading"/>
            <w:spacing w:line="360" w:lineRule="auto"/>
            <w:jc w:val="both"/>
            <w:rPr>
              <w:rFonts w:ascii="Times New Roman" w:hAnsi="Times New Roman" w:cs="Times New Roman"/>
              <w:sz w:val="24"/>
              <w:szCs w:val="24"/>
            </w:rPr>
          </w:pPr>
          <w:r w:rsidRPr="003B591A">
            <w:rPr>
              <w:rFonts w:ascii="Times New Roman" w:hAnsi="Times New Roman" w:cs="Times New Roman"/>
              <w:sz w:val="24"/>
              <w:szCs w:val="24"/>
            </w:rPr>
            <w:t>Índice</w:t>
          </w:r>
        </w:p>
        <w:p w14:paraId="3D4CE642" w14:textId="203B2016"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r w:rsidRPr="003B591A">
            <w:rPr>
              <w:rFonts w:ascii="Times New Roman" w:hAnsi="Times New Roman" w:cs="Times New Roman"/>
              <w:b w:val="0"/>
              <w:bCs w:val="0"/>
            </w:rPr>
            <w:fldChar w:fldCharType="begin"/>
          </w:r>
          <w:r w:rsidRPr="003B591A">
            <w:rPr>
              <w:rFonts w:ascii="Times New Roman" w:hAnsi="Times New Roman" w:cs="Times New Roman"/>
            </w:rPr>
            <w:instrText xml:space="preserve"> TOC \o "1-3" \h \z \u </w:instrText>
          </w:r>
          <w:r w:rsidRPr="003B591A">
            <w:rPr>
              <w:rFonts w:ascii="Times New Roman" w:hAnsi="Times New Roman" w:cs="Times New Roman"/>
              <w:b w:val="0"/>
              <w:bCs w:val="0"/>
            </w:rPr>
            <w:fldChar w:fldCharType="separate"/>
          </w:r>
          <w:hyperlink w:anchor="_Toc221212510" w:history="1">
            <w:r w:rsidRPr="003B591A">
              <w:rPr>
                <w:rStyle w:val="Hyperlink"/>
                <w:rFonts w:ascii="Times New Roman" w:hAnsi="Times New Roman" w:cs="Times New Roman"/>
                <w:noProof/>
                <w:lang w:val="es-ES_tradnl"/>
              </w:rPr>
              <w:t>1.</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Introducción</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_Toc221212510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3</w:t>
            </w:r>
            <w:r w:rsidRPr="003B591A">
              <w:rPr>
                <w:rFonts w:ascii="Times New Roman" w:hAnsi="Times New Roman" w:cs="Times New Roman"/>
                <w:noProof/>
                <w:webHidden/>
              </w:rPr>
              <w:fldChar w:fldCharType="end"/>
            </w:r>
          </w:hyperlink>
        </w:p>
        <w:p w14:paraId="4A2A4E4A" w14:textId="27D6ED9C"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11" w:history="1">
            <w:r w:rsidRPr="003B591A">
              <w:rPr>
                <w:rStyle w:val="Hyperlink"/>
                <w:rFonts w:ascii="Times New Roman" w:hAnsi="Times New Roman" w:cs="Times New Roman"/>
                <w:noProof/>
                <w:lang w:val="es-ES_tradnl"/>
              </w:rPr>
              <w:t>2.</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Metodología</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_Toc221212511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4</w:t>
            </w:r>
            <w:r w:rsidRPr="003B591A">
              <w:rPr>
                <w:rFonts w:ascii="Times New Roman" w:hAnsi="Times New Roman" w:cs="Times New Roman"/>
                <w:noProof/>
                <w:webHidden/>
              </w:rPr>
              <w:fldChar w:fldCharType="end"/>
            </w:r>
          </w:hyperlink>
        </w:p>
        <w:p w14:paraId="540A3E54" w14:textId="1B040F4A"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12" w:history="1">
            <w:r w:rsidRPr="003B591A">
              <w:rPr>
                <w:rStyle w:val="Hyperlink"/>
                <w:rFonts w:ascii="Times New Roman" w:hAnsi="Times New Roman" w:cs="Times New Roman"/>
                <w:noProof/>
                <w:sz w:val="24"/>
                <w:szCs w:val="24"/>
                <w:lang w:val="es-ES_tradnl"/>
              </w:rPr>
              <w:t>2.1.</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Tipo de investigación</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_Toc221212512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4</w:t>
            </w:r>
            <w:r w:rsidRPr="003B591A">
              <w:rPr>
                <w:rFonts w:ascii="Times New Roman" w:hAnsi="Times New Roman" w:cs="Times New Roman"/>
                <w:noProof/>
                <w:webHidden/>
                <w:sz w:val="24"/>
                <w:szCs w:val="24"/>
              </w:rPr>
              <w:fldChar w:fldCharType="end"/>
            </w:r>
          </w:hyperlink>
        </w:p>
        <w:p w14:paraId="2806075D" w14:textId="612BC206"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13" w:history="1">
            <w:r w:rsidRPr="003B591A">
              <w:rPr>
                <w:rStyle w:val="Hyperlink"/>
                <w:rFonts w:ascii="Times New Roman" w:hAnsi="Times New Roman" w:cs="Times New Roman"/>
                <w:noProof/>
                <w:sz w:val="24"/>
                <w:szCs w:val="24"/>
                <w:lang w:val="es-ES_tradnl"/>
              </w:rPr>
              <w:t>2.2.</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Criterios de selección de la información</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_Toc221212513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4</w:t>
            </w:r>
            <w:r w:rsidRPr="003B591A">
              <w:rPr>
                <w:rFonts w:ascii="Times New Roman" w:hAnsi="Times New Roman" w:cs="Times New Roman"/>
                <w:noProof/>
                <w:webHidden/>
                <w:sz w:val="24"/>
                <w:szCs w:val="24"/>
              </w:rPr>
              <w:fldChar w:fldCharType="end"/>
            </w:r>
          </w:hyperlink>
        </w:p>
        <w:p w14:paraId="0A555561" w14:textId="52AE51A4"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14" w:history="1">
            <w:r w:rsidRPr="003B591A">
              <w:rPr>
                <w:rStyle w:val="Hyperlink"/>
                <w:rFonts w:ascii="Times New Roman" w:hAnsi="Times New Roman" w:cs="Times New Roman"/>
                <w:noProof/>
                <w:sz w:val="24"/>
                <w:szCs w:val="24"/>
                <w:lang w:val="es-ES_tradnl"/>
              </w:rPr>
              <w:t>2.3.</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Objetivos</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_Toc221212514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5</w:t>
            </w:r>
            <w:r w:rsidRPr="003B591A">
              <w:rPr>
                <w:rFonts w:ascii="Times New Roman" w:hAnsi="Times New Roman" w:cs="Times New Roman"/>
                <w:noProof/>
                <w:webHidden/>
                <w:sz w:val="24"/>
                <w:szCs w:val="24"/>
              </w:rPr>
              <w:fldChar w:fldCharType="end"/>
            </w:r>
          </w:hyperlink>
        </w:p>
        <w:p w14:paraId="06B90E82" w14:textId="127F81AF"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15" w:history="1">
            <w:r w:rsidRPr="003B591A">
              <w:rPr>
                <w:rStyle w:val="Hyperlink"/>
                <w:rFonts w:ascii="Times New Roman" w:hAnsi="Times New Roman" w:cs="Times New Roman"/>
                <w:noProof/>
                <w:lang w:val="es-ES_tradnl"/>
              </w:rPr>
              <w:t>3.</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Marco Teórico</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_Toc221212515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5</w:t>
            </w:r>
            <w:r w:rsidRPr="003B591A">
              <w:rPr>
                <w:rFonts w:ascii="Times New Roman" w:hAnsi="Times New Roman" w:cs="Times New Roman"/>
                <w:noProof/>
                <w:webHidden/>
              </w:rPr>
              <w:fldChar w:fldCharType="end"/>
            </w:r>
          </w:hyperlink>
        </w:p>
        <w:p w14:paraId="046E4169" w14:textId="268668B9"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16" w:history="1">
            <w:r w:rsidRPr="003B591A">
              <w:rPr>
                <w:rStyle w:val="Hyperlink"/>
                <w:rFonts w:ascii="Times New Roman" w:hAnsi="Times New Roman" w:cs="Times New Roman"/>
                <w:noProof/>
                <w:sz w:val="24"/>
                <w:szCs w:val="24"/>
                <w:lang w:val="es-ES_tradnl"/>
              </w:rPr>
              <w:t>3.1.</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Violencia simbólica</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_Toc221212516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5</w:t>
            </w:r>
            <w:r w:rsidRPr="003B591A">
              <w:rPr>
                <w:rFonts w:ascii="Times New Roman" w:hAnsi="Times New Roman" w:cs="Times New Roman"/>
                <w:noProof/>
                <w:webHidden/>
                <w:sz w:val="24"/>
                <w:szCs w:val="24"/>
              </w:rPr>
              <w:fldChar w:fldCharType="end"/>
            </w:r>
          </w:hyperlink>
        </w:p>
        <w:p w14:paraId="14D004C1" w14:textId="107AB235"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17" w:history="1">
            <w:r w:rsidRPr="003B591A">
              <w:rPr>
                <w:rStyle w:val="Hyperlink"/>
                <w:rFonts w:ascii="Times New Roman" w:hAnsi="Times New Roman" w:cs="Times New Roman"/>
                <w:noProof/>
                <w:sz w:val="24"/>
                <w:szCs w:val="24"/>
                <w:lang w:val="es-ES_tradnl"/>
              </w:rPr>
              <w:t>3.2.</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Violencia de género</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_Toc221212517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7</w:t>
            </w:r>
            <w:r w:rsidRPr="003B591A">
              <w:rPr>
                <w:rFonts w:ascii="Times New Roman" w:hAnsi="Times New Roman" w:cs="Times New Roman"/>
                <w:noProof/>
                <w:webHidden/>
                <w:sz w:val="24"/>
                <w:szCs w:val="24"/>
              </w:rPr>
              <w:fldChar w:fldCharType="end"/>
            </w:r>
          </w:hyperlink>
        </w:p>
        <w:p w14:paraId="0B532F04" w14:textId="5763DAB9"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18" w:history="1">
            <w:r w:rsidRPr="003B591A">
              <w:rPr>
                <w:rStyle w:val="Hyperlink"/>
                <w:rFonts w:ascii="Times New Roman" w:hAnsi="Times New Roman" w:cs="Times New Roman"/>
                <w:noProof/>
                <w:sz w:val="24"/>
                <w:szCs w:val="24"/>
                <w:lang w:val="es-ES_tradnl"/>
              </w:rPr>
              <w:t>3.3.</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Violencia vicaria</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_Toc221212518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10</w:t>
            </w:r>
            <w:r w:rsidRPr="003B591A">
              <w:rPr>
                <w:rFonts w:ascii="Times New Roman" w:hAnsi="Times New Roman" w:cs="Times New Roman"/>
                <w:noProof/>
                <w:webHidden/>
                <w:sz w:val="24"/>
                <w:szCs w:val="24"/>
              </w:rPr>
              <w:fldChar w:fldCharType="end"/>
            </w:r>
          </w:hyperlink>
        </w:p>
        <w:p w14:paraId="113F6A32" w14:textId="7BB69ADA"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19" w:history="1">
            <w:r w:rsidRPr="003B591A">
              <w:rPr>
                <w:rStyle w:val="Hyperlink"/>
                <w:rFonts w:ascii="Times New Roman" w:hAnsi="Times New Roman" w:cs="Times New Roman"/>
                <w:noProof/>
                <w:lang w:val="es-ES_tradnl"/>
              </w:rPr>
              <w:t>4.</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Teorías de la Criminalidad</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_Toc221212519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14</w:t>
            </w:r>
            <w:r w:rsidRPr="003B591A">
              <w:rPr>
                <w:rFonts w:ascii="Times New Roman" w:hAnsi="Times New Roman" w:cs="Times New Roman"/>
                <w:noProof/>
                <w:webHidden/>
              </w:rPr>
              <w:fldChar w:fldCharType="end"/>
            </w:r>
          </w:hyperlink>
        </w:p>
        <w:p w14:paraId="48D9CD6A" w14:textId="1B79548B"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0" w:history="1">
            <w:r w:rsidRPr="003B591A">
              <w:rPr>
                <w:rStyle w:val="Hyperlink"/>
                <w:rFonts w:ascii="Times New Roman" w:hAnsi="Times New Roman" w:cs="Times New Roman"/>
                <w:noProof/>
                <w:sz w:val="24"/>
                <w:szCs w:val="24"/>
                <w:lang w:val="es-ES_tradnl"/>
              </w:rPr>
              <w:t>4.1.</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Teoría de la elección racional</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_Toc221212520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14</w:t>
            </w:r>
            <w:r w:rsidRPr="003B591A">
              <w:rPr>
                <w:rFonts w:ascii="Times New Roman" w:hAnsi="Times New Roman" w:cs="Times New Roman"/>
                <w:noProof/>
                <w:webHidden/>
                <w:sz w:val="24"/>
                <w:szCs w:val="24"/>
              </w:rPr>
              <w:fldChar w:fldCharType="end"/>
            </w:r>
          </w:hyperlink>
        </w:p>
        <w:p w14:paraId="66AA3FC3" w14:textId="44886069"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1" w:history="1">
            <w:r w:rsidRPr="003B591A">
              <w:rPr>
                <w:rStyle w:val="Hyperlink"/>
                <w:rFonts w:ascii="Times New Roman" w:hAnsi="Times New Roman" w:cs="Times New Roman"/>
                <w:noProof/>
                <w:sz w:val="24"/>
                <w:szCs w:val="24"/>
                <w:lang w:val="es-ES_tradnl"/>
              </w:rPr>
              <w:t>4.2.</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Teoría de las actividades rutinarias</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_Toc221212521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16</w:t>
            </w:r>
            <w:r w:rsidRPr="003B591A">
              <w:rPr>
                <w:rFonts w:ascii="Times New Roman" w:hAnsi="Times New Roman" w:cs="Times New Roman"/>
                <w:noProof/>
                <w:webHidden/>
                <w:sz w:val="24"/>
                <w:szCs w:val="24"/>
              </w:rPr>
              <w:fldChar w:fldCharType="end"/>
            </w:r>
          </w:hyperlink>
        </w:p>
        <w:p w14:paraId="2C5CF707" w14:textId="4F8F42C3"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2" w:history="1">
            <w:r w:rsidRPr="003B591A">
              <w:rPr>
                <w:rStyle w:val="Hyperlink"/>
                <w:rFonts w:ascii="Times New Roman" w:hAnsi="Times New Roman" w:cs="Times New Roman"/>
                <w:noProof/>
                <w:sz w:val="24"/>
                <w:szCs w:val="24"/>
                <w:lang w:val="es-ES_tradnl"/>
              </w:rPr>
              <w:t>4.3.</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Teoría del control social</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_Toc221212522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17</w:t>
            </w:r>
            <w:r w:rsidRPr="003B591A">
              <w:rPr>
                <w:rFonts w:ascii="Times New Roman" w:hAnsi="Times New Roman" w:cs="Times New Roman"/>
                <w:noProof/>
                <w:webHidden/>
                <w:sz w:val="24"/>
                <w:szCs w:val="24"/>
              </w:rPr>
              <w:fldChar w:fldCharType="end"/>
            </w:r>
          </w:hyperlink>
        </w:p>
        <w:p w14:paraId="057DA38F" w14:textId="33A905DB"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3" w:history="1">
            <w:r w:rsidRPr="003B591A">
              <w:rPr>
                <w:rStyle w:val="Hyperlink"/>
                <w:rFonts w:ascii="Times New Roman" w:hAnsi="Times New Roman" w:cs="Times New Roman"/>
                <w:noProof/>
                <w:sz w:val="24"/>
                <w:szCs w:val="24"/>
                <w:lang w:val="es-ES_tradnl"/>
              </w:rPr>
              <w:t>4.4.</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Teoría del etiquetamiento</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_Toc221212523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19</w:t>
            </w:r>
            <w:r w:rsidRPr="003B591A">
              <w:rPr>
                <w:rFonts w:ascii="Times New Roman" w:hAnsi="Times New Roman" w:cs="Times New Roman"/>
                <w:noProof/>
                <w:webHidden/>
                <w:sz w:val="24"/>
                <w:szCs w:val="24"/>
              </w:rPr>
              <w:fldChar w:fldCharType="end"/>
            </w:r>
          </w:hyperlink>
        </w:p>
        <w:p w14:paraId="3FF85A86" w14:textId="52D1E560"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24" w:history="1">
            <w:r w:rsidRPr="003B591A">
              <w:rPr>
                <w:rStyle w:val="Hyperlink"/>
                <w:rFonts w:ascii="Times New Roman" w:hAnsi="Times New Roman" w:cs="Times New Roman"/>
                <w:noProof/>
                <w:lang w:val="es-ES_tradnl"/>
              </w:rPr>
              <w:t>5.</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Caso José Bretón</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_Toc221212524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21</w:t>
            </w:r>
            <w:r w:rsidRPr="003B591A">
              <w:rPr>
                <w:rFonts w:ascii="Times New Roman" w:hAnsi="Times New Roman" w:cs="Times New Roman"/>
                <w:noProof/>
                <w:webHidden/>
              </w:rPr>
              <w:fldChar w:fldCharType="end"/>
            </w:r>
          </w:hyperlink>
        </w:p>
        <w:p w14:paraId="35B59BA6" w14:textId="5967F968"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5" w:history="1">
            <w:r w:rsidRPr="003B591A">
              <w:rPr>
                <w:rStyle w:val="Hyperlink"/>
                <w:rFonts w:ascii="Times New Roman" w:hAnsi="Times New Roman" w:cs="Times New Roman"/>
                <w:noProof/>
                <w:sz w:val="24"/>
                <w:szCs w:val="24"/>
                <w:lang w:val="es-ES_tradnl"/>
              </w:rPr>
              <w:t>5.1.</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Cronología de los hechos probados</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_Toc221212525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22</w:t>
            </w:r>
            <w:r w:rsidRPr="003B591A">
              <w:rPr>
                <w:rFonts w:ascii="Times New Roman" w:hAnsi="Times New Roman" w:cs="Times New Roman"/>
                <w:noProof/>
                <w:webHidden/>
                <w:sz w:val="24"/>
                <w:szCs w:val="24"/>
              </w:rPr>
              <w:fldChar w:fldCharType="end"/>
            </w:r>
          </w:hyperlink>
        </w:p>
        <w:p w14:paraId="13210866" w14:textId="6B0866CF"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6" w:history="1">
            <w:r w:rsidRPr="003B591A">
              <w:rPr>
                <w:rStyle w:val="Hyperlink"/>
                <w:rFonts w:ascii="Times New Roman" w:hAnsi="Times New Roman" w:cs="Times New Roman"/>
                <w:noProof/>
                <w:sz w:val="24"/>
                <w:szCs w:val="24"/>
                <w:lang w:val="es-ES_tradnl"/>
              </w:rPr>
              <w:t>5.2.</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Perfil de José Bretón</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_Toc221212526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24</w:t>
            </w:r>
            <w:r w:rsidRPr="003B591A">
              <w:rPr>
                <w:rFonts w:ascii="Times New Roman" w:hAnsi="Times New Roman" w:cs="Times New Roman"/>
                <w:noProof/>
                <w:webHidden/>
                <w:sz w:val="24"/>
                <w:szCs w:val="24"/>
              </w:rPr>
              <w:fldChar w:fldCharType="end"/>
            </w:r>
          </w:hyperlink>
        </w:p>
        <w:p w14:paraId="754BE367" w14:textId="56FB07FA"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7" w:history="1">
            <w:r w:rsidRPr="003B591A">
              <w:rPr>
                <w:rStyle w:val="Hyperlink"/>
                <w:rFonts w:ascii="Times New Roman" w:hAnsi="Times New Roman" w:cs="Times New Roman"/>
                <w:noProof/>
                <w:sz w:val="24"/>
                <w:szCs w:val="24"/>
                <w:lang w:val="es-ES_tradnl"/>
              </w:rPr>
              <w:t>5.3.</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Teorías de la criminalidad aplicadas al caso</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_Toc221212527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28</w:t>
            </w:r>
            <w:r w:rsidRPr="003B591A">
              <w:rPr>
                <w:rFonts w:ascii="Times New Roman" w:hAnsi="Times New Roman" w:cs="Times New Roman"/>
                <w:noProof/>
                <w:webHidden/>
                <w:sz w:val="24"/>
                <w:szCs w:val="24"/>
              </w:rPr>
              <w:fldChar w:fldCharType="end"/>
            </w:r>
          </w:hyperlink>
        </w:p>
        <w:p w14:paraId="7B5FE904" w14:textId="4FFD6C9F" w:rsidR="003B591A" w:rsidRPr="003B591A" w:rsidRDefault="003B591A" w:rsidP="003B591A">
          <w:pPr>
            <w:pStyle w:val="TOC2"/>
            <w:tabs>
              <w:tab w:val="left" w:pos="960"/>
              <w:tab w:val="right" w:leader="dot" w:pos="8494"/>
            </w:tabs>
            <w:spacing w:line="360" w:lineRule="auto"/>
            <w:jc w:val="both"/>
            <w:rPr>
              <w:rFonts w:ascii="Times New Roman" w:eastAsiaTheme="minorEastAsia" w:hAnsi="Times New Roman" w:cs="Times New Roman"/>
              <w:b w:val="0"/>
              <w:bCs w:val="0"/>
              <w:noProof/>
              <w:sz w:val="24"/>
              <w:szCs w:val="24"/>
              <w:lang w:val="en-ES" w:eastAsia="en-GB"/>
            </w:rPr>
          </w:pPr>
          <w:hyperlink w:anchor="_Toc221212528" w:history="1">
            <w:r w:rsidRPr="003B591A">
              <w:rPr>
                <w:rStyle w:val="Hyperlink"/>
                <w:rFonts w:ascii="Times New Roman" w:hAnsi="Times New Roman" w:cs="Times New Roman"/>
                <w:noProof/>
                <w:sz w:val="24"/>
                <w:szCs w:val="24"/>
                <w:lang w:val="es-ES_tradnl"/>
              </w:rPr>
              <w:t>5.4.</w:t>
            </w:r>
            <w:r w:rsidRPr="003B591A">
              <w:rPr>
                <w:rFonts w:ascii="Times New Roman" w:eastAsiaTheme="minorEastAsia" w:hAnsi="Times New Roman" w:cs="Times New Roman"/>
                <w:b w:val="0"/>
                <w:bCs w:val="0"/>
                <w:noProof/>
                <w:sz w:val="24"/>
                <w:szCs w:val="24"/>
                <w:lang w:val="en-ES" w:eastAsia="en-GB"/>
              </w:rPr>
              <w:tab/>
            </w:r>
            <w:r w:rsidRPr="003B591A">
              <w:rPr>
                <w:rStyle w:val="Hyperlink"/>
                <w:rFonts w:ascii="Times New Roman" w:hAnsi="Times New Roman" w:cs="Times New Roman"/>
                <w:noProof/>
                <w:sz w:val="24"/>
                <w:szCs w:val="24"/>
                <w:lang w:val="es-ES_tradnl"/>
              </w:rPr>
              <w:t>Contexto Social</w:t>
            </w:r>
            <w:r w:rsidRPr="003B591A">
              <w:rPr>
                <w:rFonts w:ascii="Times New Roman" w:hAnsi="Times New Roman" w:cs="Times New Roman"/>
                <w:noProof/>
                <w:webHidden/>
                <w:sz w:val="24"/>
                <w:szCs w:val="24"/>
              </w:rPr>
              <w:tab/>
            </w:r>
            <w:r w:rsidRPr="003B591A">
              <w:rPr>
                <w:rFonts w:ascii="Times New Roman" w:hAnsi="Times New Roman" w:cs="Times New Roman"/>
                <w:noProof/>
                <w:webHidden/>
                <w:sz w:val="24"/>
                <w:szCs w:val="24"/>
              </w:rPr>
              <w:fldChar w:fldCharType="begin"/>
            </w:r>
            <w:r w:rsidRPr="003B591A">
              <w:rPr>
                <w:rFonts w:ascii="Times New Roman" w:hAnsi="Times New Roman" w:cs="Times New Roman"/>
                <w:noProof/>
                <w:webHidden/>
                <w:sz w:val="24"/>
                <w:szCs w:val="24"/>
              </w:rPr>
              <w:instrText xml:space="preserve"> PAGEREF _Toc221212528 \h </w:instrText>
            </w:r>
            <w:r w:rsidRPr="003B591A">
              <w:rPr>
                <w:rFonts w:ascii="Times New Roman" w:hAnsi="Times New Roman" w:cs="Times New Roman"/>
                <w:noProof/>
                <w:webHidden/>
                <w:sz w:val="24"/>
                <w:szCs w:val="24"/>
              </w:rPr>
            </w:r>
            <w:r w:rsidRPr="003B591A">
              <w:rPr>
                <w:rFonts w:ascii="Times New Roman" w:hAnsi="Times New Roman" w:cs="Times New Roman"/>
                <w:noProof/>
                <w:webHidden/>
                <w:sz w:val="24"/>
                <w:szCs w:val="24"/>
              </w:rPr>
              <w:fldChar w:fldCharType="separate"/>
            </w:r>
            <w:r w:rsidRPr="003B591A">
              <w:rPr>
                <w:rFonts w:ascii="Times New Roman" w:hAnsi="Times New Roman" w:cs="Times New Roman"/>
                <w:noProof/>
                <w:webHidden/>
                <w:sz w:val="24"/>
                <w:szCs w:val="24"/>
              </w:rPr>
              <w:t>29</w:t>
            </w:r>
            <w:r w:rsidRPr="003B591A">
              <w:rPr>
                <w:rFonts w:ascii="Times New Roman" w:hAnsi="Times New Roman" w:cs="Times New Roman"/>
                <w:noProof/>
                <w:webHidden/>
                <w:sz w:val="24"/>
                <w:szCs w:val="24"/>
              </w:rPr>
              <w:fldChar w:fldCharType="end"/>
            </w:r>
          </w:hyperlink>
        </w:p>
        <w:p w14:paraId="297B2F5F" w14:textId="6527FB9D"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29" w:history="1">
            <w:r w:rsidRPr="003B591A">
              <w:rPr>
                <w:rStyle w:val="Hyperlink"/>
                <w:rFonts w:ascii="Times New Roman" w:hAnsi="Times New Roman" w:cs="Times New Roman"/>
                <w:noProof/>
                <w:lang w:val="es-ES_tradnl"/>
              </w:rPr>
              <w:t>6.</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Estrategias de prevención y actuación ante la violencia vicaria</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_Toc221212529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30</w:t>
            </w:r>
            <w:r w:rsidRPr="003B591A">
              <w:rPr>
                <w:rFonts w:ascii="Times New Roman" w:hAnsi="Times New Roman" w:cs="Times New Roman"/>
                <w:noProof/>
                <w:webHidden/>
              </w:rPr>
              <w:fldChar w:fldCharType="end"/>
            </w:r>
          </w:hyperlink>
        </w:p>
        <w:p w14:paraId="75D51F28" w14:textId="16607322"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30" w:history="1">
            <w:r w:rsidRPr="003B591A">
              <w:rPr>
                <w:rStyle w:val="Hyperlink"/>
                <w:rFonts w:ascii="Times New Roman" w:hAnsi="Times New Roman" w:cs="Times New Roman"/>
                <w:noProof/>
                <w:lang w:val="es-ES_tradnl"/>
              </w:rPr>
              <w:t>7.</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Conclusión</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_Toc221212530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32</w:t>
            </w:r>
            <w:r w:rsidRPr="003B591A">
              <w:rPr>
                <w:rFonts w:ascii="Times New Roman" w:hAnsi="Times New Roman" w:cs="Times New Roman"/>
                <w:noProof/>
                <w:webHidden/>
              </w:rPr>
              <w:fldChar w:fldCharType="end"/>
            </w:r>
          </w:hyperlink>
        </w:p>
        <w:p w14:paraId="0C1944F5" w14:textId="284FA1B9" w:rsidR="003B591A" w:rsidRPr="003B591A" w:rsidRDefault="003B591A" w:rsidP="003B591A">
          <w:pPr>
            <w:pStyle w:val="TOC1"/>
            <w:tabs>
              <w:tab w:val="left" w:pos="480"/>
              <w:tab w:val="right" w:leader="dot" w:pos="8494"/>
            </w:tabs>
            <w:spacing w:line="360" w:lineRule="auto"/>
            <w:jc w:val="both"/>
            <w:rPr>
              <w:rFonts w:ascii="Times New Roman" w:eastAsiaTheme="minorEastAsia" w:hAnsi="Times New Roman" w:cs="Times New Roman"/>
              <w:b w:val="0"/>
              <w:bCs w:val="0"/>
              <w:i w:val="0"/>
              <w:iCs w:val="0"/>
              <w:noProof/>
              <w:lang w:val="en-ES" w:eastAsia="en-GB"/>
            </w:rPr>
          </w:pPr>
          <w:hyperlink w:anchor="_Toc221212531" w:history="1">
            <w:r w:rsidRPr="003B591A">
              <w:rPr>
                <w:rStyle w:val="Hyperlink"/>
                <w:rFonts w:ascii="Times New Roman" w:hAnsi="Times New Roman" w:cs="Times New Roman"/>
                <w:noProof/>
                <w:lang w:val="es-ES_tradnl"/>
              </w:rPr>
              <w:t>8.</w:t>
            </w:r>
            <w:r w:rsidRPr="003B591A">
              <w:rPr>
                <w:rFonts w:ascii="Times New Roman" w:eastAsiaTheme="minorEastAsia" w:hAnsi="Times New Roman" w:cs="Times New Roman"/>
                <w:b w:val="0"/>
                <w:bCs w:val="0"/>
                <w:i w:val="0"/>
                <w:iCs w:val="0"/>
                <w:noProof/>
                <w:lang w:val="en-ES" w:eastAsia="en-GB"/>
              </w:rPr>
              <w:tab/>
            </w:r>
            <w:r w:rsidRPr="003B591A">
              <w:rPr>
                <w:rStyle w:val="Hyperlink"/>
                <w:rFonts w:ascii="Times New Roman" w:hAnsi="Times New Roman" w:cs="Times New Roman"/>
                <w:noProof/>
                <w:lang w:val="es-ES_tradnl"/>
              </w:rPr>
              <w:t>Bibliografía</w:t>
            </w:r>
            <w:r w:rsidRPr="003B591A">
              <w:rPr>
                <w:rFonts w:ascii="Times New Roman" w:hAnsi="Times New Roman" w:cs="Times New Roman"/>
                <w:noProof/>
                <w:webHidden/>
              </w:rPr>
              <w:tab/>
            </w:r>
            <w:r w:rsidRPr="003B591A">
              <w:rPr>
                <w:rFonts w:ascii="Times New Roman" w:hAnsi="Times New Roman" w:cs="Times New Roman"/>
                <w:noProof/>
                <w:webHidden/>
              </w:rPr>
              <w:fldChar w:fldCharType="begin"/>
            </w:r>
            <w:r w:rsidRPr="003B591A">
              <w:rPr>
                <w:rFonts w:ascii="Times New Roman" w:hAnsi="Times New Roman" w:cs="Times New Roman"/>
                <w:noProof/>
                <w:webHidden/>
              </w:rPr>
              <w:instrText xml:space="preserve"> PAGEREF _Toc221212531 \h </w:instrText>
            </w:r>
            <w:r w:rsidRPr="003B591A">
              <w:rPr>
                <w:rFonts w:ascii="Times New Roman" w:hAnsi="Times New Roman" w:cs="Times New Roman"/>
                <w:noProof/>
                <w:webHidden/>
              </w:rPr>
            </w:r>
            <w:r w:rsidRPr="003B591A">
              <w:rPr>
                <w:rFonts w:ascii="Times New Roman" w:hAnsi="Times New Roman" w:cs="Times New Roman"/>
                <w:noProof/>
                <w:webHidden/>
              </w:rPr>
              <w:fldChar w:fldCharType="separate"/>
            </w:r>
            <w:r w:rsidRPr="003B591A">
              <w:rPr>
                <w:rFonts w:ascii="Times New Roman" w:hAnsi="Times New Roman" w:cs="Times New Roman"/>
                <w:noProof/>
                <w:webHidden/>
              </w:rPr>
              <w:t>33</w:t>
            </w:r>
            <w:r w:rsidRPr="003B591A">
              <w:rPr>
                <w:rFonts w:ascii="Times New Roman" w:hAnsi="Times New Roman" w:cs="Times New Roman"/>
                <w:noProof/>
                <w:webHidden/>
              </w:rPr>
              <w:fldChar w:fldCharType="end"/>
            </w:r>
          </w:hyperlink>
        </w:p>
        <w:p w14:paraId="54322C1A" w14:textId="11FC0A34" w:rsidR="003B591A" w:rsidRDefault="003B591A" w:rsidP="003B591A">
          <w:pPr>
            <w:spacing w:line="360" w:lineRule="auto"/>
            <w:jc w:val="both"/>
          </w:pPr>
          <w:r w:rsidRPr="003B591A">
            <w:rPr>
              <w:rFonts w:ascii="Times New Roman" w:hAnsi="Times New Roman" w:cs="Times New Roman"/>
              <w:b/>
              <w:bCs/>
              <w:noProof/>
            </w:rPr>
            <w:fldChar w:fldCharType="end"/>
          </w:r>
        </w:p>
      </w:sdtContent>
    </w:sdt>
    <w:p w14:paraId="29993E36" w14:textId="77777777" w:rsidR="000744C4" w:rsidRDefault="000744C4" w:rsidP="00793FEF">
      <w:pPr>
        <w:spacing w:line="276" w:lineRule="auto"/>
        <w:jc w:val="both"/>
      </w:pPr>
    </w:p>
    <w:p w14:paraId="3086875A" w14:textId="77777777" w:rsidR="00F62B65" w:rsidRDefault="00F62B65" w:rsidP="00793FEF">
      <w:pPr>
        <w:spacing w:line="276" w:lineRule="auto"/>
        <w:jc w:val="both"/>
        <w:rPr>
          <w:rFonts w:ascii="Times New Roman" w:hAnsi="Times New Roman" w:cs="Times New Roman"/>
          <w:lang w:val="es-ES_tradnl"/>
        </w:rPr>
      </w:pPr>
    </w:p>
    <w:p w14:paraId="071F6CBA" w14:textId="037C7AA1" w:rsidR="000744C4" w:rsidRPr="0037781A" w:rsidRDefault="000744C4" w:rsidP="0037781A">
      <w:pPr>
        <w:spacing w:line="360" w:lineRule="auto"/>
        <w:jc w:val="center"/>
        <w:rPr>
          <w:rFonts w:ascii="Times New Roman" w:hAnsi="Times New Roman" w:cs="Times New Roman"/>
          <w:b/>
          <w:bCs/>
          <w:lang w:val="es-ES_tradnl"/>
        </w:rPr>
      </w:pPr>
      <w:r w:rsidRPr="000744C4">
        <w:rPr>
          <w:rFonts w:ascii="Times New Roman" w:hAnsi="Times New Roman" w:cs="Times New Roman"/>
          <w:b/>
          <w:bCs/>
          <w:lang w:val="es-ES_tradnl"/>
        </w:rPr>
        <w:lastRenderedPageBreak/>
        <w:t>Resumen</w:t>
      </w:r>
    </w:p>
    <w:p w14:paraId="7BF7F55A" w14:textId="77777777" w:rsidR="003B591A" w:rsidRDefault="000744C4" w:rsidP="003B591A">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El presente</w:t>
      </w:r>
      <w:r w:rsidR="0037781A">
        <w:rPr>
          <w:rFonts w:ascii="Times New Roman" w:hAnsi="Times New Roman" w:cs="Times New Roman"/>
          <w:lang w:val="es-ES_tradnl"/>
        </w:rPr>
        <w:t xml:space="preserve"> Trabajo Final de Grado </w:t>
      </w:r>
      <w:r w:rsidR="00873AE1">
        <w:rPr>
          <w:rFonts w:ascii="Times New Roman" w:hAnsi="Times New Roman" w:cs="Times New Roman"/>
          <w:lang w:val="es-ES_tradnl"/>
        </w:rPr>
        <w:t>analiza</w:t>
      </w:r>
      <w:r w:rsidR="0037781A">
        <w:rPr>
          <w:rFonts w:ascii="Times New Roman" w:hAnsi="Times New Roman" w:cs="Times New Roman"/>
          <w:lang w:val="es-ES_tradnl"/>
        </w:rPr>
        <w:t xml:space="preserve"> la violencia vicaria como la manifestación extrema de la violencia de género, siendo la instrumentalización de los hijos el método elegido para dañar psicológicamente a la mujer. </w:t>
      </w:r>
      <w:r w:rsidR="00FB526B">
        <w:rPr>
          <w:rFonts w:ascii="Times New Roman" w:hAnsi="Times New Roman" w:cs="Times New Roman"/>
          <w:lang w:val="es-ES_tradnl"/>
        </w:rPr>
        <w:t xml:space="preserve">Desde una aproximación criminológica, </w:t>
      </w:r>
      <w:r w:rsidR="0037781A">
        <w:rPr>
          <w:rFonts w:ascii="Times New Roman" w:hAnsi="Times New Roman" w:cs="Times New Roman"/>
          <w:lang w:val="es-ES_tradnl"/>
        </w:rPr>
        <w:t>se</w:t>
      </w:r>
      <w:r w:rsidR="00FB526B">
        <w:rPr>
          <w:rFonts w:ascii="Times New Roman" w:hAnsi="Times New Roman" w:cs="Times New Roman"/>
          <w:lang w:val="es-ES_tradnl"/>
        </w:rPr>
        <w:t xml:space="preserve"> parte de una revisión teórica de conceptos clave como la violencia simbólica, de género y vicaria</w:t>
      </w:r>
      <w:r w:rsidR="0037781A">
        <w:rPr>
          <w:rFonts w:ascii="Times New Roman" w:hAnsi="Times New Roman" w:cs="Times New Roman"/>
          <w:lang w:val="es-ES_tradnl"/>
        </w:rPr>
        <w:t xml:space="preserve"> para comprender la dinámica de control del sistema patriarca</w:t>
      </w:r>
      <w:r w:rsidR="00873AE1">
        <w:rPr>
          <w:rFonts w:ascii="Times New Roman" w:hAnsi="Times New Roman" w:cs="Times New Roman"/>
          <w:lang w:val="es-ES_tradnl"/>
        </w:rPr>
        <w:t>l</w:t>
      </w:r>
      <w:r w:rsidR="0037781A">
        <w:rPr>
          <w:rFonts w:ascii="Times New Roman" w:hAnsi="Times New Roman" w:cs="Times New Roman"/>
          <w:lang w:val="es-ES_tradnl"/>
        </w:rPr>
        <w:t>.</w:t>
      </w:r>
    </w:p>
    <w:p w14:paraId="59626D99" w14:textId="30136D29" w:rsidR="003B591A" w:rsidRPr="003B591A" w:rsidRDefault="0037781A" w:rsidP="003B591A">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A </w:t>
      </w:r>
      <w:r w:rsidR="00873AE1">
        <w:rPr>
          <w:rFonts w:ascii="Times New Roman" w:hAnsi="Times New Roman" w:cs="Times New Roman"/>
          <w:lang w:val="es-ES_tradnl"/>
        </w:rPr>
        <w:t>raíz</w:t>
      </w:r>
      <w:r>
        <w:rPr>
          <w:rFonts w:ascii="Times New Roman" w:hAnsi="Times New Roman" w:cs="Times New Roman"/>
          <w:lang w:val="es-ES_tradnl"/>
        </w:rPr>
        <w:t xml:space="preserve"> del estudio del caso de José Bretón, uno de los episodios más significativos relacionados con la violencia vicaria en España, </w:t>
      </w:r>
      <w:r w:rsidR="00873AE1">
        <w:rPr>
          <w:rFonts w:ascii="Times New Roman" w:hAnsi="Times New Roman" w:cs="Times New Roman"/>
          <w:lang w:val="es-ES_tradnl"/>
        </w:rPr>
        <w:t>se realiza</w:t>
      </w:r>
      <w:r>
        <w:rPr>
          <w:rFonts w:ascii="Times New Roman" w:hAnsi="Times New Roman" w:cs="Times New Roman"/>
          <w:lang w:val="es-ES_tradnl"/>
        </w:rPr>
        <w:t xml:space="preserve"> una perfilación psico-criminológica del agresor</w:t>
      </w:r>
      <w:r w:rsidR="00873AE1">
        <w:rPr>
          <w:rFonts w:ascii="Times New Roman" w:hAnsi="Times New Roman" w:cs="Times New Roman"/>
          <w:lang w:val="es-ES_tradnl"/>
        </w:rPr>
        <w:t>. Con el objetivo de identificar los factores motivacionales, sociales y situacionales, se aplican cuatro teorías de la criminalidad</w:t>
      </w:r>
      <w:r w:rsidR="003B591A">
        <w:rPr>
          <w:rFonts w:ascii="Times New Roman" w:hAnsi="Times New Roman" w:cs="Times New Roman"/>
          <w:lang w:val="es-ES_tradnl"/>
        </w:rPr>
        <w:t xml:space="preserve">, </w:t>
      </w:r>
      <w:r w:rsidR="00873AE1">
        <w:rPr>
          <w:rFonts w:ascii="Times New Roman" w:hAnsi="Times New Roman" w:cs="Times New Roman"/>
          <w:lang w:val="es-ES_tradnl"/>
        </w:rPr>
        <w:t xml:space="preserve">lo que permite la comprensión de la violencia vicaria como el resultado de decisiones estratégicas. </w:t>
      </w:r>
      <w:r w:rsidR="003B591A">
        <w:rPr>
          <w:rFonts w:ascii="Times New Roman" w:hAnsi="Times New Roman" w:cs="Times New Roman"/>
          <w:lang w:val="es-ES_tradnl"/>
        </w:rPr>
        <w:t xml:space="preserve"> </w:t>
      </w:r>
      <w:r w:rsidR="00873AE1">
        <w:rPr>
          <w:rFonts w:ascii="Times New Roman" w:hAnsi="Times New Roman" w:cs="Times New Roman"/>
          <w:lang w:val="es-ES_tradnl"/>
        </w:rPr>
        <w:t>Posteriormente, se lleva a cabo un abordaje de la respuesta penal e institucional ante la violencia vicaria, dirigiendo su atención hacia la identificación de los menores como víctimas directas de ella. Finalmente, el trabajo plantea estrategias de prevención orientadas a la detección precoz del riesgo y protección de las víctimas.</w:t>
      </w:r>
    </w:p>
    <w:p w14:paraId="1CAC3EB6" w14:textId="12C4428C" w:rsidR="00873AE1" w:rsidRPr="00873AE1" w:rsidRDefault="000744C4" w:rsidP="00873AE1">
      <w:pPr>
        <w:spacing w:line="360" w:lineRule="auto"/>
        <w:jc w:val="center"/>
        <w:rPr>
          <w:rFonts w:ascii="Times New Roman" w:hAnsi="Times New Roman" w:cs="Times New Roman"/>
          <w:b/>
          <w:bCs/>
          <w:lang w:val="en-GB"/>
        </w:rPr>
      </w:pPr>
      <w:r w:rsidRPr="00873AE1">
        <w:rPr>
          <w:rFonts w:ascii="Times New Roman" w:hAnsi="Times New Roman" w:cs="Times New Roman"/>
          <w:b/>
          <w:bCs/>
          <w:lang w:val="en-GB"/>
        </w:rPr>
        <w:t>Abstract</w:t>
      </w:r>
    </w:p>
    <w:p w14:paraId="1709C4FB" w14:textId="77777777" w:rsidR="003B591A" w:rsidRDefault="000744C4" w:rsidP="003B591A">
      <w:pPr>
        <w:spacing w:line="360" w:lineRule="auto"/>
        <w:ind w:firstLine="720"/>
        <w:jc w:val="both"/>
        <w:rPr>
          <w:rFonts w:ascii="Times New Roman" w:hAnsi="Times New Roman" w:cs="Times New Roman"/>
          <w:lang w:val="en-GB"/>
        </w:rPr>
      </w:pPr>
      <w:r w:rsidRPr="00873AE1">
        <w:rPr>
          <w:rFonts w:ascii="Times New Roman" w:hAnsi="Times New Roman" w:cs="Times New Roman"/>
          <w:lang w:val="en-GB"/>
        </w:rPr>
        <w:t>Th</w:t>
      </w:r>
      <w:r w:rsidR="00873AE1" w:rsidRPr="00873AE1">
        <w:rPr>
          <w:rFonts w:ascii="Times New Roman" w:hAnsi="Times New Roman" w:cs="Times New Roman"/>
          <w:lang w:val="en-GB"/>
        </w:rPr>
        <w:t>is Project analyses vicarious violence</w:t>
      </w:r>
      <w:r w:rsidR="00873AE1">
        <w:rPr>
          <w:rFonts w:ascii="Times New Roman" w:hAnsi="Times New Roman" w:cs="Times New Roman"/>
          <w:lang w:val="en-GB"/>
        </w:rPr>
        <w:t xml:space="preserve"> as the most extreme manifestation of gender-based violence, characterised by the instrumentalization of children inflict psychological harm on women. From a criminological approach, the study is based on a theoretical review key concepts such as symbolic violence, gender-based violence and vicarious violence, with the aim of understanding the dynamics of control inherent to the contemporary patriarchal system.</w:t>
      </w:r>
      <w:r w:rsidR="003B591A">
        <w:rPr>
          <w:rFonts w:ascii="Times New Roman" w:hAnsi="Times New Roman" w:cs="Times New Roman"/>
          <w:lang w:val="en-GB"/>
        </w:rPr>
        <w:t xml:space="preserve"> </w:t>
      </w:r>
    </w:p>
    <w:p w14:paraId="668FDC9C" w14:textId="744F8AEB" w:rsidR="000744C4" w:rsidRPr="00873AE1" w:rsidRDefault="00873AE1" w:rsidP="003B591A">
      <w:pPr>
        <w:spacing w:line="360" w:lineRule="auto"/>
        <w:ind w:firstLine="720"/>
        <w:jc w:val="both"/>
        <w:rPr>
          <w:rFonts w:ascii="Times New Roman" w:hAnsi="Times New Roman" w:cs="Times New Roman"/>
          <w:lang w:val="en-GB"/>
        </w:rPr>
      </w:pPr>
      <w:r>
        <w:rPr>
          <w:rFonts w:ascii="Times New Roman" w:hAnsi="Times New Roman" w:cs="Times New Roman"/>
          <w:lang w:val="en-GB"/>
        </w:rPr>
        <w:t>Based on the study of the José Bretón case, one of the most significant episodes of vicarious violence in Spain, a psycho-cr</w:t>
      </w:r>
      <w:r w:rsidR="003B591A">
        <w:rPr>
          <w:rFonts w:ascii="Times New Roman" w:hAnsi="Times New Roman" w:cs="Times New Roman"/>
          <w:lang w:val="en-GB"/>
        </w:rPr>
        <w:t>iminological profiling of the offender is carried out. With the objective of identifying the motivational, social and situational factors involved, four criminological theories are applied, allowing vicarious violence to be understood thanks to strategic and contextual decision-making. Subsequently, the project addressed the institutional response to vicarious violence, focusing on the recognition of minors as direct victims. Finally, the study proposes prevention strategies aimed at early risk detection and the comprehensive protection of victims.</w:t>
      </w:r>
    </w:p>
    <w:p w14:paraId="17C4E8BD" w14:textId="4964F3CC" w:rsidR="006509A7" w:rsidRPr="002A7E10" w:rsidRDefault="002A7E10" w:rsidP="002A7E10">
      <w:pPr>
        <w:pStyle w:val="Heading1"/>
        <w:numPr>
          <w:ilvl w:val="0"/>
          <w:numId w:val="17"/>
        </w:numPr>
        <w:jc w:val="both"/>
        <w:rPr>
          <w:rFonts w:ascii="Times New Roman" w:hAnsi="Times New Roman" w:cs="Times New Roman"/>
          <w:b/>
          <w:bCs/>
          <w:color w:val="000000" w:themeColor="text1"/>
          <w:sz w:val="24"/>
          <w:szCs w:val="24"/>
          <w:lang w:val="es-ES_tradnl"/>
        </w:rPr>
      </w:pPr>
      <w:bookmarkStart w:id="0" w:name="_Toc215252695"/>
      <w:bookmarkStart w:id="1" w:name="_Toc215253001"/>
      <w:bookmarkStart w:id="2" w:name="_Toc215253331"/>
      <w:bookmarkStart w:id="3" w:name="_Toc215253385"/>
      <w:bookmarkStart w:id="4" w:name="_Toc215255575"/>
      <w:bookmarkStart w:id="5" w:name="_Toc215256190"/>
      <w:bookmarkStart w:id="6" w:name="_Toc217837999"/>
      <w:bookmarkStart w:id="7" w:name="_Toc218416690"/>
      <w:bookmarkStart w:id="8" w:name="_Toc218422505"/>
      <w:bookmarkStart w:id="9" w:name="_Toc219919440"/>
      <w:bookmarkStart w:id="10" w:name="_Toc219919506"/>
      <w:bookmarkStart w:id="11" w:name="_Toc220260619"/>
      <w:bookmarkStart w:id="12" w:name="_Toc221125830"/>
      <w:bookmarkStart w:id="13" w:name="_Toc221212510"/>
      <w:r w:rsidRPr="002A7E10">
        <w:rPr>
          <w:rFonts w:ascii="Times New Roman" w:hAnsi="Times New Roman" w:cs="Times New Roman"/>
          <w:b/>
          <w:bCs/>
          <w:color w:val="000000" w:themeColor="text1"/>
          <w:sz w:val="24"/>
          <w:szCs w:val="24"/>
          <w:lang w:val="es-ES_tradnl"/>
        </w:rPr>
        <w:lastRenderedPageBreak/>
        <w:t>Introducción</w:t>
      </w:r>
      <w:bookmarkEnd w:id="0"/>
      <w:bookmarkEnd w:id="1"/>
      <w:bookmarkEnd w:id="2"/>
      <w:bookmarkEnd w:id="3"/>
      <w:bookmarkEnd w:id="4"/>
      <w:bookmarkEnd w:id="5"/>
      <w:bookmarkEnd w:id="6"/>
      <w:bookmarkEnd w:id="7"/>
      <w:bookmarkEnd w:id="8"/>
      <w:bookmarkEnd w:id="9"/>
      <w:bookmarkEnd w:id="10"/>
      <w:bookmarkEnd w:id="11"/>
      <w:bookmarkEnd w:id="12"/>
      <w:bookmarkEnd w:id="13"/>
    </w:p>
    <w:p w14:paraId="78215913" w14:textId="77777777" w:rsidR="006509A7" w:rsidRPr="00682DB5" w:rsidRDefault="006509A7" w:rsidP="006509A7">
      <w:pPr>
        <w:spacing w:line="360" w:lineRule="auto"/>
        <w:ind w:firstLine="720"/>
        <w:jc w:val="both"/>
        <w:rPr>
          <w:rFonts w:ascii="Times New Roman" w:hAnsi="Times New Roman" w:cs="Times New Roman"/>
          <w:lang w:val="es-ES_tradnl"/>
        </w:rPr>
      </w:pPr>
      <w:r w:rsidRPr="00682DB5">
        <w:rPr>
          <w:rFonts w:ascii="Times New Roman" w:hAnsi="Times New Roman" w:cs="Times New Roman"/>
          <w:lang w:val="es-ES_tradnl"/>
        </w:rPr>
        <w:t xml:space="preserve">Históricamente, la violencia en el ámbito familiar ha sido un tema tabú, incluyendo la violencia de los hijos hacia los padres, y la violencia entre cónyuges. Sin embargo, ésta última es de los tipos más comunes en la sociedad contemporánea: </w:t>
      </w:r>
      <w:r w:rsidRPr="0048673F">
        <w:rPr>
          <w:rFonts w:ascii="Times New Roman" w:hAnsi="Times New Roman" w:cs="Times New Roman"/>
          <w:i/>
          <w:iCs/>
          <w:lang w:val="es-ES_tradnl"/>
        </w:rPr>
        <w:t>“La violencia de género, incluyendo física y sexual, hacia las mujeres por parte de sus maridos, novios o parejas, es altamente prevalente en todo el mundo”</w:t>
      </w:r>
      <w:r w:rsidRPr="00682DB5">
        <w:rPr>
          <w:rFonts w:ascii="Times New Roman" w:hAnsi="Times New Roman" w:cs="Times New Roman"/>
          <w:lang w:val="es-ES_tradnl"/>
        </w:rPr>
        <w:t xml:space="preserve"> (Maheu-Giroux, 2022).</w:t>
      </w:r>
    </w:p>
    <w:p w14:paraId="39559768" w14:textId="57F39472" w:rsidR="00590427" w:rsidRPr="00734ED9" w:rsidRDefault="006509A7" w:rsidP="00734ED9">
      <w:pPr>
        <w:spacing w:line="360" w:lineRule="auto"/>
        <w:ind w:firstLine="720"/>
        <w:jc w:val="both"/>
        <w:rPr>
          <w:rFonts w:ascii="Times New Roman" w:hAnsi="Times New Roman" w:cs="Times New Roman"/>
          <w:lang w:val="es-ES_tradnl"/>
        </w:rPr>
      </w:pPr>
      <w:r w:rsidRPr="00682DB5">
        <w:rPr>
          <w:rFonts w:ascii="Times New Roman" w:hAnsi="Times New Roman" w:cs="Times New Roman"/>
          <w:lang w:val="es-ES_tradnl"/>
        </w:rPr>
        <w:t xml:space="preserve">Según un estudio realizado por </w:t>
      </w:r>
      <w:r w:rsidRPr="00734ED9">
        <w:rPr>
          <w:rFonts w:ascii="Times New Roman" w:hAnsi="Times New Roman" w:cs="Times New Roman"/>
          <w:lang w:val="es-ES_tradnl"/>
        </w:rPr>
        <w:t>la Universidad McGill</w:t>
      </w:r>
      <w:r w:rsidR="00734ED9" w:rsidRPr="00734ED9">
        <w:rPr>
          <w:rFonts w:ascii="Times New Roman" w:hAnsi="Times New Roman" w:cs="Times New Roman"/>
          <w:lang w:val="es-ES_tradnl"/>
        </w:rPr>
        <w:t xml:space="preserve"> (2022)</w:t>
      </w:r>
      <w:r w:rsidRPr="00734ED9">
        <w:rPr>
          <w:rFonts w:ascii="Times New Roman" w:hAnsi="Times New Roman" w:cs="Times New Roman"/>
          <w:lang w:val="es-ES_tradnl"/>
        </w:rPr>
        <w:t>, el cual engloba más de dos millones de mujeres con edades comprendidas entre 15 y 49 años en 161 países diferentes, aproximadamente un 27% de mujeres serán o han sido víctimas de violencia doméstica antes de cumplir los 50; y un 24% de las mujeres entrevistadas entre las edades de 15 a 19 ya la habían sufrido (</w:t>
      </w:r>
      <w:r w:rsidR="00734ED9" w:rsidRPr="00734ED9">
        <w:rPr>
          <w:rFonts w:ascii="Times New Roman" w:hAnsi="Times New Roman" w:cs="Times New Roman"/>
        </w:rPr>
        <w:t>Universidad McGill</w:t>
      </w:r>
      <w:r w:rsidRPr="00734ED9">
        <w:rPr>
          <w:rFonts w:ascii="Times New Roman" w:hAnsi="Times New Roman" w:cs="Times New Roman"/>
          <w:lang w:val="es-ES_tradnl"/>
        </w:rPr>
        <w:t>, 2022).</w:t>
      </w:r>
    </w:p>
    <w:p w14:paraId="17C1DE74" w14:textId="383AF830" w:rsidR="00297E30" w:rsidRPr="00734ED9" w:rsidRDefault="006509A7" w:rsidP="00734ED9">
      <w:pPr>
        <w:spacing w:line="360" w:lineRule="auto"/>
        <w:ind w:firstLine="720"/>
        <w:jc w:val="both"/>
        <w:rPr>
          <w:rFonts w:ascii="Times New Roman" w:hAnsi="Times New Roman" w:cs="Times New Roman"/>
          <w:lang w:val="es-ES_tradnl"/>
        </w:rPr>
      </w:pPr>
      <w:r w:rsidRPr="00682DB5">
        <w:rPr>
          <w:rFonts w:ascii="Times New Roman" w:hAnsi="Times New Roman" w:cs="Times New Roman"/>
          <w:lang w:val="es-ES_tradnl"/>
        </w:rPr>
        <w:t xml:space="preserve">Más recientemente, España ha logrado visibilizar el concepto a través de reformas legislativas, como lo fue la introducción de la Ley Orgánica 1/2004, ayudando a luchar contra esta </w:t>
      </w:r>
      <w:r w:rsidR="00734ED9">
        <w:rPr>
          <w:rFonts w:ascii="Times New Roman" w:hAnsi="Times New Roman" w:cs="Times New Roman"/>
          <w:lang w:val="es-ES_tradnl"/>
        </w:rPr>
        <w:t>manifestación de desigualdad</w:t>
      </w:r>
      <w:r w:rsidRPr="00682DB5">
        <w:rPr>
          <w:rFonts w:ascii="Times New Roman" w:hAnsi="Times New Roman" w:cs="Times New Roman"/>
          <w:lang w:val="es-ES_tradnl"/>
        </w:rPr>
        <w:t xml:space="preserve">. No obstante, a medida que la sociedad ha avanzado en la protección de las mujeres, los agresores también han desarrollado nuevas </w:t>
      </w:r>
      <w:r w:rsidRPr="00734ED9">
        <w:rPr>
          <w:rFonts w:ascii="Times New Roman" w:hAnsi="Times New Roman" w:cs="Times New Roman"/>
          <w:lang w:val="es-ES_tradnl"/>
        </w:rPr>
        <w:t xml:space="preserve">formas de delinquir de forma que no quede explícita la agresión así como puede ser evidente en la violencia física. Un ejemplo de esto es la violencia vicaria, en la cual un hombre </w:t>
      </w:r>
      <w:r w:rsidR="00734ED9" w:rsidRPr="00734ED9">
        <w:rPr>
          <w:rFonts w:ascii="Times New Roman" w:hAnsi="Times New Roman" w:cs="Times New Roman"/>
          <w:lang w:val="es-ES_tradnl"/>
        </w:rPr>
        <w:t xml:space="preserve">inflige daño por interpósita persona, siento en este caso los hijos tanto de la pareja o de la mujer </w:t>
      </w:r>
      <w:r w:rsidRPr="00734ED9">
        <w:rPr>
          <w:rFonts w:ascii="Times New Roman" w:hAnsi="Times New Roman" w:cs="Times New Roman"/>
          <w:lang w:val="es-ES_tradnl"/>
        </w:rPr>
        <w:t>(Ta</w:t>
      </w:r>
      <w:r w:rsidR="00734ED9" w:rsidRPr="00734ED9">
        <w:rPr>
          <w:rFonts w:ascii="Times New Roman" w:hAnsi="Times New Roman" w:cs="Times New Roman"/>
          <w:lang w:val="es-ES_tradnl"/>
        </w:rPr>
        <w:t>ja</w:t>
      </w:r>
      <w:r w:rsidRPr="00734ED9">
        <w:rPr>
          <w:rFonts w:ascii="Times New Roman" w:hAnsi="Times New Roman" w:cs="Times New Roman"/>
          <w:lang w:val="es-ES_tradnl"/>
        </w:rPr>
        <w:t>huerce y Suárez, s.f.).</w:t>
      </w:r>
    </w:p>
    <w:p w14:paraId="203DD7E4" w14:textId="491A60B8" w:rsidR="006509A7" w:rsidRDefault="006509A7" w:rsidP="006509A7">
      <w:pPr>
        <w:spacing w:line="360" w:lineRule="auto"/>
        <w:ind w:firstLine="720"/>
        <w:jc w:val="both"/>
        <w:rPr>
          <w:rFonts w:ascii="Times New Roman" w:hAnsi="Times New Roman" w:cs="Times New Roman"/>
          <w:lang w:val="es-ES_tradnl"/>
        </w:rPr>
      </w:pPr>
      <w:r w:rsidRPr="00682DB5">
        <w:rPr>
          <w:rFonts w:ascii="Times New Roman" w:hAnsi="Times New Roman" w:cs="Times New Roman"/>
          <w:lang w:val="es-ES_tradnl"/>
        </w:rPr>
        <w:t xml:space="preserve">La violencia vicaria es la manifestación más extrema de la violencia de género, incluyendo no sólo como víctima final a la madre de los hijos; sino también causando daños emocionales </w:t>
      </w:r>
      <w:r w:rsidRPr="00734ED9">
        <w:rPr>
          <w:rFonts w:ascii="Times New Roman" w:hAnsi="Times New Roman" w:cs="Times New Roman"/>
          <w:lang w:val="es-ES_tradnl"/>
        </w:rPr>
        <w:t xml:space="preserve">y físicos a éstos, siendo las víctimas </w:t>
      </w:r>
      <w:r w:rsidR="00734ED9" w:rsidRPr="00734ED9">
        <w:rPr>
          <w:rFonts w:ascii="Times New Roman" w:hAnsi="Times New Roman" w:cs="Times New Roman"/>
          <w:lang w:val="es-ES_tradnl"/>
        </w:rPr>
        <w:t>directas instrumentalizadas</w:t>
      </w:r>
      <w:r w:rsidRPr="00682DB5">
        <w:rPr>
          <w:rFonts w:ascii="Times New Roman" w:hAnsi="Times New Roman" w:cs="Times New Roman"/>
          <w:lang w:val="es-ES_tradnl"/>
        </w:rPr>
        <w:t xml:space="preserve"> En ocasiones, también instrumentaliza a las mascotas, padres o personas que son dependientes de ella, para infringir mayor daño (de Grado, 2025). </w:t>
      </w:r>
      <w:r>
        <w:rPr>
          <w:rFonts w:ascii="Times New Roman" w:hAnsi="Times New Roman" w:cs="Times New Roman"/>
          <w:lang w:val="es-ES_tradnl"/>
        </w:rPr>
        <w:t xml:space="preserve"> En España, la legislación no supuso un factor de protección hasta 2021, añadiendo el BOE la Ley 8/2021, en la que se especifican las medidas de protección de los menores y los casos en los que los menores son víctimas de delitos de violencia de género (BOE, 2021).</w:t>
      </w:r>
    </w:p>
    <w:p w14:paraId="7F900224" w14:textId="77777777" w:rsidR="006509A7" w:rsidRDefault="006509A7" w:rsidP="006509A7">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Este tipo de violencia requiere un análisis criminológico más riguroso de los siguientes factores: motivación del agresor, riesgo de las víctimas, teorías criminológicas que pueden explicar el comportamiento y el marco judicial. Para ello se debe tener en cuenta que la violencia vicaria no es fruto de una decisión tomada impulsivamente, sino </w:t>
      </w:r>
      <w:r>
        <w:rPr>
          <w:rFonts w:ascii="Times New Roman" w:hAnsi="Times New Roman" w:cs="Times New Roman"/>
          <w:lang w:val="es-ES_tradnl"/>
        </w:rPr>
        <w:lastRenderedPageBreak/>
        <w:t>que engloba ideación de superioridad por parte del agresor y forma parte de dinámicas de control descompensadas en parejas marcadas por la desigualdad de género.</w:t>
      </w:r>
    </w:p>
    <w:p w14:paraId="1A387A5C" w14:textId="2001BB3C" w:rsidR="009D0B7B" w:rsidRDefault="006509A7" w:rsidP="00263D1A">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Para </w:t>
      </w:r>
      <w:r w:rsidRPr="00734ED9">
        <w:rPr>
          <w:rFonts w:ascii="Times New Roman" w:hAnsi="Times New Roman" w:cs="Times New Roman"/>
          <w:lang w:val="es-ES_tradnl"/>
        </w:rPr>
        <w:t xml:space="preserve">poder explicar las consecuencias y los factores de riesgo del ejercicio de la violencia vicaria, se </w:t>
      </w:r>
      <w:r w:rsidR="00734ED9" w:rsidRPr="00734ED9">
        <w:rPr>
          <w:rFonts w:ascii="Times New Roman" w:hAnsi="Times New Roman" w:cs="Times New Roman"/>
          <w:lang w:val="es-ES_tradnl"/>
        </w:rPr>
        <w:t>procederá al análisis del caso</w:t>
      </w:r>
      <w:r w:rsidR="0032608E" w:rsidRPr="00734ED9">
        <w:rPr>
          <w:rFonts w:ascii="Times New Roman" w:hAnsi="Times New Roman" w:cs="Times New Roman"/>
          <w:lang w:val="es-ES_tradnl"/>
        </w:rPr>
        <w:t xml:space="preserve"> </w:t>
      </w:r>
      <w:r w:rsidRPr="00734ED9">
        <w:rPr>
          <w:rFonts w:ascii="Times New Roman" w:hAnsi="Times New Roman" w:cs="Times New Roman"/>
          <w:lang w:val="es-ES_tradnl"/>
        </w:rPr>
        <w:t>de José Bretón como uno de los más mediáticos en la sociedad española. Sin embargo, para comprender la terminología, primero se definirán los conceptos</w:t>
      </w:r>
      <w:r>
        <w:rPr>
          <w:rFonts w:ascii="Times New Roman" w:hAnsi="Times New Roman" w:cs="Times New Roman"/>
          <w:lang w:val="es-ES_tradnl"/>
        </w:rPr>
        <w:t xml:space="preserve"> más prominentes y las teorías criminológicas implicadas en el razonamiento de los agresores.</w:t>
      </w:r>
    </w:p>
    <w:p w14:paraId="2B2CC965" w14:textId="3F9BB100" w:rsidR="00793FEF" w:rsidRPr="002115D4" w:rsidRDefault="001E1C55" w:rsidP="002115D4">
      <w:pPr>
        <w:pStyle w:val="Heading1"/>
        <w:numPr>
          <w:ilvl w:val="0"/>
          <w:numId w:val="17"/>
        </w:numPr>
        <w:jc w:val="both"/>
        <w:rPr>
          <w:rFonts w:ascii="Times New Roman" w:hAnsi="Times New Roman" w:cs="Times New Roman"/>
          <w:b/>
          <w:bCs/>
          <w:color w:val="000000" w:themeColor="text1"/>
          <w:sz w:val="24"/>
          <w:szCs w:val="24"/>
          <w:lang w:val="es-ES_tradnl"/>
        </w:rPr>
      </w:pPr>
      <w:bookmarkStart w:id="14" w:name="_Toc215252696"/>
      <w:bookmarkStart w:id="15" w:name="_Toc215253002"/>
      <w:bookmarkStart w:id="16" w:name="_Toc215253332"/>
      <w:bookmarkStart w:id="17" w:name="_Toc215253386"/>
      <w:bookmarkStart w:id="18" w:name="_Toc215255576"/>
      <w:bookmarkStart w:id="19" w:name="_Toc215256191"/>
      <w:bookmarkStart w:id="20" w:name="_Toc217838000"/>
      <w:bookmarkStart w:id="21" w:name="_Toc218416691"/>
      <w:bookmarkStart w:id="22" w:name="_Toc218422506"/>
      <w:bookmarkStart w:id="23" w:name="_Toc219919441"/>
      <w:bookmarkStart w:id="24" w:name="_Toc219919507"/>
      <w:bookmarkStart w:id="25" w:name="_Toc220260620"/>
      <w:bookmarkStart w:id="26" w:name="_Toc221125831"/>
      <w:bookmarkStart w:id="27" w:name="_Toc221212511"/>
      <w:r w:rsidRPr="002A7E10">
        <w:rPr>
          <w:rFonts w:ascii="Times New Roman" w:hAnsi="Times New Roman" w:cs="Times New Roman"/>
          <w:b/>
          <w:bCs/>
          <w:color w:val="000000" w:themeColor="text1"/>
          <w:sz w:val="24"/>
          <w:szCs w:val="24"/>
          <w:lang w:val="es-ES_tradnl"/>
        </w:rPr>
        <w:t>Metodología</w:t>
      </w:r>
      <w:bookmarkEnd w:id="14"/>
      <w:bookmarkEnd w:id="15"/>
      <w:bookmarkEnd w:id="16"/>
      <w:bookmarkEnd w:id="17"/>
      <w:bookmarkEnd w:id="18"/>
      <w:bookmarkEnd w:id="19"/>
      <w:bookmarkEnd w:id="20"/>
      <w:bookmarkEnd w:id="21"/>
      <w:bookmarkEnd w:id="22"/>
      <w:bookmarkEnd w:id="23"/>
      <w:bookmarkEnd w:id="24"/>
      <w:bookmarkEnd w:id="25"/>
      <w:bookmarkEnd w:id="26"/>
      <w:bookmarkEnd w:id="27"/>
    </w:p>
    <w:p w14:paraId="1C3169E2" w14:textId="56E6F24F" w:rsidR="001E1C55" w:rsidRDefault="0076019C" w:rsidP="0076019C">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28" w:name="_Toc215255577"/>
      <w:bookmarkStart w:id="29" w:name="_Toc215256192"/>
      <w:bookmarkStart w:id="30" w:name="_Toc217838001"/>
      <w:bookmarkStart w:id="31" w:name="_Toc218416692"/>
      <w:bookmarkStart w:id="32" w:name="_Toc218422507"/>
      <w:bookmarkStart w:id="33" w:name="_Toc219919442"/>
      <w:bookmarkStart w:id="34" w:name="_Toc219919508"/>
      <w:bookmarkStart w:id="35" w:name="_Toc220260621"/>
      <w:bookmarkStart w:id="36" w:name="_Toc221125832"/>
      <w:bookmarkStart w:id="37" w:name="_Toc221212512"/>
      <w:r>
        <w:rPr>
          <w:rFonts w:ascii="Times New Roman" w:hAnsi="Times New Roman" w:cs="Times New Roman"/>
          <w:b/>
          <w:bCs/>
          <w:color w:val="000000" w:themeColor="text1"/>
          <w:sz w:val="24"/>
          <w:szCs w:val="24"/>
          <w:lang w:val="es-ES_tradnl"/>
        </w:rPr>
        <w:t>Tipo de investigación</w:t>
      </w:r>
      <w:bookmarkEnd w:id="28"/>
      <w:bookmarkEnd w:id="29"/>
      <w:bookmarkEnd w:id="30"/>
      <w:bookmarkEnd w:id="31"/>
      <w:bookmarkEnd w:id="32"/>
      <w:bookmarkEnd w:id="33"/>
      <w:bookmarkEnd w:id="34"/>
      <w:bookmarkEnd w:id="35"/>
      <w:bookmarkEnd w:id="36"/>
      <w:bookmarkEnd w:id="37"/>
    </w:p>
    <w:p w14:paraId="26F898DE" w14:textId="06DF4B8A" w:rsidR="0076019C" w:rsidRDefault="0076019C"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El presente trabajo lleva a cabo un</w:t>
      </w:r>
      <w:r w:rsidR="00734ED9">
        <w:rPr>
          <w:rFonts w:ascii="Times New Roman" w:hAnsi="Times New Roman" w:cs="Times New Roman"/>
          <w:lang w:val="es-ES_tradnl"/>
        </w:rPr>
        <w:t xml:space="preserve"> estudio descriptivo y analítico basado en una revisión documental y el método del caso </w:t>
      </w:r>
      <w:r>
        <w:rPr>
          <w:rFonts w:ascii="Times New Roman" w:hAnsi="Times New Roman" w:cs="Times New Roman"/>
          <w:lang w:val="es-ES_tradnl"/>
        </w:rPr>
        <w:t>dividida en 4 subapartados principales:</w:t>
      </w:r>
    </w:p>
    <w:p w14:paraId="2DBB03BC" w14:textId="5CA68A0F" w:rsidR="0076019C" w:rsidRDefault="0076019C" w:rsidP="0076019C">
      <w:pPr>
        <w:pStyle w:val="ListParagraph"/>
        <w:numPr>
          <w:ilvl w:val="0"/>
          <w:numId w:val="19"/>
        </w:numPr>
        <w:spacing w:line="360" w:lineRule="auto"/>
        <w:jc w:val="both"/>
        <w:rPr>
          <w:rFonts w:ascii="Times New Roman" w:hAnsi="Times New Roman" w:cs="Times New Roman"/>
          <w:lang w:val="es-ES_tradnl"/>
        </w:rPr>
      </w:pPr>
      <w:r w:rsidRPr="00734ED9">
        <w:rPr>
          <w:rFonts w:ascii="Times New Roman" w:hAnsi="Times New Roman" w:cs="Times New Roman"/>
          <w:lang w:val="es-ES_tradnl"/>
        </w:rPr>
        <w:t>Una revisión bibliográfica</w:t>
      </w:r>
      <w:r w:rsidR="00793FEF" w:rsidRPr="00734ED9">
        <w:rPr>
          <w:rFonts w:ascii="Times New Roman" w:hAnsi="Times New Roman" w:cs="Times New Roman"/>
          <w:lang w:val="es-ES_tradnl"/>
        </w:rPr>
        <w:t xml:space="preserve"> inicial con el objetivo de examinar la e</w:t>
      </w:r>
      <w:r w:rsidR="00734ED9" w:rsidRPr="00734ED9">
        <w:rPr>
          <w:rFonts w:ascii="Times New Roman" w:hAnsi="Times New Roman" w:cs="Times New Roman"/>
          <w:lang w:val="es-ES_tradnl"/>
        </w:rPr>
        <w:t>volu</w:t>
      </w:r>
      <w:r w:rsidR="00793FEF" w:rsidRPr="00734ED9">
        <w:rPr>
          <w:rFonts w:ascii="Times New Roman" w:hAnsi="Times New Roman" w:cs="Times New Roman"/>
          <w:lang w:val="es-ES_tradnl"/>
        </w:rPr>
        <w:t>ción de las definiciones de los términos relativos a la violencia de género y vicaria, priorizando las fuentes publicadas desde el año 2000 hasta el presente, con menciones a alguna publicación</w:t>
      </w:r>
      <w:r w:rsidR="00793FEF">
        <w:rPr>
          <w:rFonts w:ascii="Times New Roman" w:hAnsi="Times New Roman" w:cs="Times New Roman"/>
          <w:lang w:val="es-ES_tradnl"/>
        </w:rPr>
        <w:t xml:space="preserve"> anterior.</w:t>
      </w:r>
    </w:p>
    <w:p w14:paraId="56D11B24" w14:textId="4417117B" w:rsidR="0076019C" w:rsidRDefault="0076019C" w:rsidP="0076019C">
      <w:pPr>
        <w:pStyle w:val="ListParagraph"/>
        <w:numPr>
          <w:ilvl w:val="0"/>
          <w:numId w:val="19"/>
        </w:num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Una recopilación de las teorías de la criminología </w:t>
      </w:r>
      <w:r w:rsidR="00793FEF">
        <w:rPr>
          <w:rFonts w:ascii="Times New Roman" w:hAnsi="Times New Roman" w:cs="Times New Roman"/>
          <w:lang w:val="es-ES_tradnl"/>
        </w:rPr>
        <w:t>más prevalentes e importantes en la sociedad hoy en día.</w:t>
      </w:r>
    </w:p>
    <w:p w14:paraId="3CC492EE" w14:textId="2D054AC8" w:rsidR="0076019C" w:rsidRDefault="0076019C" w:rsidP="0076019C">
      <w:pPr>
        <w:pStyle w:val="ListParagraph"/>
        <w:numPr>
          <w:ilvl w:val="0"/>
          <w:numId w:val="19"/>
        </w:numPr>
        <w:spacing w:line="360" w:lineRule="auto"/>
        <w:jc w:val="both"/>
        <w:rPr>
          <w:rFonts w:ascii="Times New Roman" w:hAnsi="Times New Roman" w:cs="Times New Roman"/>
          <w:lang w:val="es-ES_tradnl"/>
        </w:rPr>
      </w:pPr>
      <w:r>
        <w:rPr>
          <w:rFonts w:ascii="Times New Roman" w:hAnsi="Times New Roman" w:cs="Times New Roman"/>
          <w:lang w:val="es-ES_tradnl"/>
        </w:rPr>
        <w:t>Un caso real de violencia vicaria en España de 2011 junto con sus repercusiones mediáticas.</w:t>
      </w:r>
    </w:p>
    <w:p w14:paraId="7E8F1ACA" w14:textId="1B3B4CC0" w:rsidR="0076019C" w:rsidRDefault="00793FEF" w:rsidP="0076019C">
      <w:pPr>
        <w:pStyle w:val="ListParagraph"/>
        <w:numPr>
          <w:ilvl w:val="0"/>
          <w:numId w:val="19"/>
        </w:numPr>
        <w:spacing w:line="360" w:lineRule="auto"/>
        <w:jc w:val="both"/>
        <w:rPr>
          <w:rFonts w:ascii="Times New Roman" w:hAnsi="Times New Roman" w:cs="Times New Roman"/>
          <w:lang w:val="es-ES_tradnl"/>
        </w:rPr>
      </w:pPr>
      <w:r>
        <w:rPr>
          <w:rFonts w:ascii="Times New Roman" w:hAnsi="Times New Roman" w:cs="Times New Roman"/>
          <w:lang w:val="es-ES_tradnl"/>
        </w:rPr>
        <w:t>Un análisis de posibles cursos de acción para la prevención y actuación frente a posibles situaciones similares al caso expuesto, empleando una aproximación criminológica y psicológica considerando antecedentes en España.</w:t>
      </w:r>
    </w:p>
    <w:p w14:paraId="2D00CF8D" w14:textId="4EBD8699" w:rsidR="00263D1A" w:rsidRDefault="00793FEF" w:rsidP="00D6503C">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En las conclusiones se procederá al análisis de</w:t>
      </w:r>
      <w:r w:rsidR="00734ED9">
        <w:rPr>
          <w:rFonts w:ascii="Times New Roman" w:hAnsi="Times New Roman" w:cs="Times New Roman"/>
          <w:lang w:val="es-ES_tradnl"/>
        </w:rPr>
        <w:t xml:space="preserve"> la consecución </w:t>
      </w:r>
      <w:r w:rsidR="00884139">
        <w:rPr>
          <w:rFonts w:ascii="Times New Roman" w:hAnsi="Times New Roman" w:cs="Times New Roman"/>
          <w:lang w:val="es-ES_tradnl"/>
        </w:rPr>
        <w:t>de los objetivos propuestos inicialmente.</w:t>
      </w:r>
    </w:p>
    <w:p w14:paraId="7E209063" w14:textId="77777777" w:rsidR="00D6503C" w:rsidRPr="0076019C" w:rsidRDefault="00D6503C" w:rsidP="00D6503C">
      <w:pPr>
        <w:spacing w:line="360" w:lineRule="auto"/>
        <w:ind w:firstLine="709"/>
        <w:jc w:val="both"/>
        <w:rPr>
          <w:rFonts w:ascii="Times New Roman" w:hAnsi="Times New Roman" w:cs="Times New Roman"/>
          <w:lang w:val="es-ES_tradnl"/>
        </w:rPr>
      </w:pPr>
    </w:p>
    <w:p w14:paraId="662EFDB3" w14:textId="20E11B38" w:rsidR="0076019C" w:rsidRDefault="0076019C" w:rsidP="0076019C">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38" w:name="_Toc215255578"/>
      <w:bookmarkStart w:id="39" w:name="_Toc215256193"/>
      <w:bookmarkStart w:id="40" w:name="_Toc217838002"/>
      <w:bookmarkStart w:id="41" w:name="_Toc218416693"/>
      <w:bookmarkStart w:id="42" w:name="_Toc218422508"/>
      <w:bookmarkStart w:id="43" w:name="_Toc219919443"/>
      <w:bookmarkStart w:id="44" w:name="_Toc219919509"/>
      <w:bookmarkStart w:id="45" w:name="_Toc220260622"/>
      <w:bookmarkStart w:id="46" w:name="_Toc221125833"/>
      <w:bookmarkStart w:id="47" w:name="_Toc221212513"/>
      <w:r>
        <w:rPr>
          <w:rFonts w:ascii="Times New Roman" w:hAnsi="Times New Roman" w:cs="Times New Roman"/>
          <w:b/>
          <w:bCs/>
          <w:color w:val="000000" w:themeColor="text1"/>
          <w:sz w:val="24"/>
          <w:szCs w:val="24"/>
          <w:lang w:val="es-ES_tradnl"/>
        </w:rPr>
        <w:t>Criterios de selección de la información</w:t>
      </w:r>
      <w:bookmarkEnd w:id="38"/>
      <w:bookmarkEnd w:id="39"/>
      <w:bookmarkEnd w:id="40"/>
      <w:bookmarkEnd w:id="41"/>
      <w:bookmarkEnd w:id="42"/>
      <w:bookmarkEnd w:id="43"/>
      <w:bookmarkEnd w:id="44"/>
      <w:bookmarkEnd w:id="45"/>
      <w:bookmarkEnd w:id="46"/>
      <w:bookmarkEnd w:id="47"/>
    </w:p>
    <w:p w14:paraId="7691DA30" w14:textId="246C1854" w:rsidR="00770A3B" w:rsidRDefault="00884139" w:rsidP="008E6D91">
      <w:pPr>
        <w:spacing w:line="360" w:lineRule="auto"/>
        <w:ind w:firstLine="709"/>
        <w:jc w:val="both"/>
        <w:rPr>
          <w:rFonts w:ascii="Times New Roman" w:hAnsi="Times New Roman" w:cs="Times New Roman"/>
          <w:lang w:val="es-ES_tradnl"/>
        </w:rPr>
      </w:pPr>
      <w:r w:rsidRPr="00734ED9">
        <w:rPr>
          <w:rFonts w:ascii="Times New Roman" w:hAnsi="Times New Roman" w:cs="Times New Roman"/>
          <w:lang w:val="es-ES_tradnl"/>
        </w:rPr>
        <w:t xml:space="preserve">El recabado de la información se realizó haciendo uso de bases de datos académicas como ResearchGate, SciELO, APA PsycNet; y algunas revistas </w:t>
      </w:r>
      <w:r w:rsidR="00734ED9" w:rsidRPr="00734ED9">
        <w:rPr>
          <w:rFonts w:ascii="Times New Roman" w:hAnsi="Times New Roman" w:cs="Times New Roman"/>
          <w:lang w:val="es-ES_tradnl"/>
        </w:rPr>
        <w:t>científicas de ámbito internacional</w:t>
      </w:r>
      <w:r w:rsidR="0032608E" w:rsidRPr="00734ED9">
        <w:rPr>
          <w:rFonts w:ascii="Times New Roman" w:hAnsi="Times New Roman" w:cs="Times New Roman"/>
          <w:lang w:val="es-ES_tradnl"/>
        </w:rPr>
        <w:t xml:space="preserve"> </w:t>
      </w:r>
      <w:r w:rsidRPr="00734ED9">
        <w:rPr>
          <w:rFonts w:ascii="Times New Roman" w:hAnsi="Times New Roman" w:cs="Times New Roman"/>
          <w:lang w:val="es-ES_tradnl"/>
        </w:rPr>
        <w:t>publicadas por universidades de procedencia internacional; empleando palabras clave como “género”, “violencia”, “mujer”, “víctima”, “agresor”, “teoría”, “criminal” y “medios”.</w:t>
      </w:r>
      <w:r>
        <w:rPr>
          <w:rFonts w:ascii="Times New Roman" w:hAnsi="Times New Roman" w:cs="Times New Roman"/>
          <w:lang w:val="es-ES_tradnl"/>
        </w:rPr>
        <w:t xml:space="preserve"> Asimismo, también se empleó el Boletín Oficial del </w:t>
      </w:r>
      <w:r>
        <w:rPr>
          <w:rFonts w:ascii="Times New Roman" w:hAnsi="Times New Roman" w:cs="Times New Roman"/>
          <w:lang w:val="es-ES_tradnl"/>
        </w:rPr>
        <w:lastRenderedPageBreak/>
        <w:t xml:space="preserve">Estado para definir penalmente ciertos términos, al igual que </w:t>
      </w:r>
      <w:r w:rsidR="00734ED9">
        <w:rPr>
          <w:rFonts w:ascii="Times New Roman" w:hAnsi="Times New Roman" w:cs="Times New Roman"/>
          <w:lang w:val="es-ES_tradnl"/>
        </w:rPr>
        <w:t>repositorios hemerográficos</w:t>
      </w:r>
      <w:r>
        <w:rPr>
          <w:rFonts w:ascii="Times New Roman" w:hAnsi="Times New Roman" w:cs="Times New Roman"/>
          <w:lang w:val="es-ES_tradnl"/>
        </w:rPr>
        <w:t xml:space="preserve"> para determinar apartados como la mediatización de los casos de violencia de género en España.</w:t>
      </w:r>
    </w:p>
    <w:p w14:paraId="687C1551" w14:textId="77777777" w:rsidR="00D6503C" w:rsidRPr="0076019C" w:rsidRDefault="00D6503C" w:rsidP="008E6D91">
      <w:pPr>
        <w:spacing w:line="360" w:lineRule="auto"/>
        <w:ind w:firstLine="709"/>
        <w:jc w:val="both"/>
        <w:rPr>
          <w:rFonts w:ascii="Times New Roman" w:hAnsi="Times New Roman" w:cs="Times New Roman"/>
          <w:lang w:val="es-ES_tradnl"/>
        </w:rPr>
      </w:pPr>
    </w:p>
    <w:p w14:paraId="5B793FB1" w14:textId="671DA0CC" w:rsidR="001E1C55" w:rsidRPr="00E44D59" w:rsidRDefault="001E1C55" w:rsidP="00512076">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48" w:name="_Toc215253333"/>
      <w:bookmarkStart w:id="49" w:name="_Toc215253387"/>
      <w:bookmarkStart w:id="50" w:name="_Toc215255579"/>
      <w:bookmarkStart w:id="51" w:name="_Toc215256194"/>
      <w:bookmarkStart w:id="52" w:name="_Toc217838003"/>
      <w:bookmarkStart w:id="53" w:name="_Toc218416694"/>
      <w:bookmarkStart w:id="54" w:name="_Toc218422509"/>
      <w:bookmarkStart w:id="55" w:name="_Toc219919444"/>
      <w:bookmarkStart w:id="56" w:name="_Toc219919510"/>
      <w:bookmarkStart w:id="57" w:name="_Toc220260623"/>
      <w:bookmarkStart w:id="58" w:name="_Toc221125834"/>
      <w:bookmarkStart w:id="59" w:name="_Toc221212514"/>
      <w:r w:rsidRPr="00E44D59">
        <w:rPr>
          <w:rFonts w:ascii="Times New Roman" w:hAnsi="Times New Roman" w:cs="Times New Roman"/>
          <w:b/>
          <w:bCs/>
          <w:color w:val="000000" w:themeColor="text1"/>
          <w:sz w:val="24"/>
          <w:szCs w:val="24"/>
          <w:lang w:val="es-ES_tradnl"/>
        </w:rPr>
        <w:t>Objetivos</w:t>
      </w:r>
      <w:bookmarkEnd w:id="48"/>
      <w:bookmarkEnd w:id="49"/>
      <w:bookmarkEnd w:id="50"/>
      <w:bookmarkEnd w:id="51"/>
      <w:bookmarkEnd w:id="52"/>
      <w:bookmarkEnd w:id="53"/>
      <w:bookmarkEnd w:id="54"/>
      <w:bookmarkEnd w:id="55"/>
      <w:bookmarkEnd w:id="56"/>
      <w:bookmarkEnd w:id="57"/>
      <w:bookmarkEnd w:id="58"/>
      <w:bookmarkEnd w:id="59"/>
    </w:p>
    <w:p w14:paraId="4A1F2B65" w14:textId="77777777" w:rsidR="00D6503C" w:rsidRDefault="00072224" w:rsidP="00D6503C">
      <w:pPr>
        <w:spacing w:line="360" w:lineRule="auto"/>
        <w:ind w:firstLine="709"/>
        <w:jc w:val="both"/>
        <w:rPr>
          <w:rFonts w:ascii="Times New Roman" w:hAnsi="Times New Roman" w:cs="Times New Roman"/>
          <w:lang w:val="es-ES_tradnl"/>
        </w:rPr>
      </w:pPr>
      <w:r w:rsidRPr="00E44D59">
        <w:rPr>
          <w:rFonts w:ascii="Times New Roman" w:hAnsi="Times New Roman" w:cs="Times New Roman"/>
          <w:lang w:val="es-ES_tradnl"/>
        </w:rPr>
        <w:t xml:space="preserve">El propósito del presente trabajo radica en el análisis de la violencia vicaria desde una aproximación criminológica mediante diferentes teorías, puesto que la violencia de género es una condición en auge en la sociedad actual. Mediante este análisis, se consigue explorar cómo </w:t>
      </w:r>
      <w:r w:rsidR="008E6D91">
        <w:rPr>
          <w:rFonts w:ascii="Times New Roman" w:hAnsi="Times New Roman" w:cs="Times New Roman"/>
          <w:lang w:val="es-ES_tradnl"/>
        </w:rPr>
        <w:t>se</w:t>
      </w:r>
      <w:r w:rsidRPr="00E44D59">
        <w:rPr>
          <w:rFonts w:ascii="Times New Roman" w:hAnsi="Times New Roman" w:cs="Times New Roman"/>
          <w:lang w:val="es-ES_tradnl"/>
        </w:rPr>
        <w:t xml:space="preserve"> aborda esta realidad, al igual que posibilita el estudio de los factores de riesgo que favorecen la aparición de la violencia de género, concretamente la violencia vicaria</w:t>
      </w:r>
      <w:r w:rsidR="00D6503C">
        <w:rPr>
          <w:rFonts w:ascii="Times New Roman" w:hAnsi="Times New Roman" w:cs="Times New Roman"/>
          <w:lang w:val="es-ES_tradnl"/>
        </w:rPr>
        <w:t>.</w:t>
      </w:r>
    </w:p>
    <w:p w14:paraId="65F97EDB" w14:textId="77777777" w:rsidR="00D6503C" w:rsidRPr="00D6503C" w:rsidRDefault="00D6503C" w:rsidP="00D6503C">
      <w:pPr>
        <w:spacing w:line="360" w:lineRule="auto"/>
        <w:jc w:val="both"/>
        <w:rPr>
          <w:rFonts w:ascii="Times New Roman" w:hAnsi="Times New Roman" w:cs="Times New Roman"/>
          <w:u w:val="single"/>
          <w:lang w:val="es-ES_tradnl"/>
        </w:rPr>
      </w:pPr>
      <w:r w:rsidRPr="00D6503C">
        <w:rPr>
          <w:rFonts w:ascii="Times New Roman" w:hAnsi="Times New Roman" w:cs="Times New Roman"/>
          <w:u w:val="single"/>
          <w:lang w:val="es-ES_tradnl"/>
        </w:rPr>
        <w:t>O</w:t>
      </w:r>
      <w:r w:rsidR="008E6D91" w:rsidRPr="00D6503C">
        <w:rPr>
          <w:rFonts w:ascii="Times New Roman" w:hAnsi="Times New Roman" w:cs="Times New Roman"/>
          <w:u w:val="single"/>
          <w:lang w:val="es-ES_tradnl"/>
        </w:rPr>
        <w:t xml:space="preserve">bjetivo general </w:t>
      </w:r>
    </w:p>
    <w:p w14:paraId="4AEB84AD" w14:textId="6928AD8E" w:rsidR="008E6D91" w:rsidRPr="00D6503C" w:rsidRDefault="00D6503C" w:rsidP="00D6503C">
      <w:pPr>
        <w:pStyle w:val="ListParagraph"/>
        <w:numPr>
          <w:ilvl w:val="0"/>
          <w:numId w:val="40"/>
        </w:numPr>
        <w:spacing w:line="360" w:lineRule="auto"/>
        <w:jc w:val="both"/>
        <w:rPr>
          <w:rFonts w:ascii="Times New Roman" w:hAnsi="Times New Roman" w:cs="Times New Roman"/>
          <w:lang w:val="es-ES_tradnl"/>
        </w:rPr>
      </w:pPr>
      <w:r w:rsidRPr="00D6503C">
        <w:rPr>
          <w:rFonts w:ascii="Times New Roman" w:hAnsi="Times New Roman" w:cs="Times New Roman"/>
          <w:lang w:val="es-ES_tradnl"/>
        </w:rPr>
        <w:t xml:space="preserve">Analizar </w:t>
      </w:r>
      <w:r w:rsidR="008E6D91" w:rsidRPr="00D6503C">
        <w:rPr>
          <w:rFonts w:ascii="Times New Roman" w:hAnsi="Times New Roman" w:cs="Times New Roman"/>
          <w:lang w:val="es-ES_tradnl"/>
        </w:rPr>
        <w:t>la violencia vicaria como una manifestación de la violencia de género desde un punto de vista criminológico. Para poder conseguir esto, se toma como ejemplo el caso de José Bretón</w:t>
      </w:r>
      <w:r w:rsidR="00D96962" w:rsidRPr="00D6503C">
        <w:rPr>
          <w:rFonts w:ascii="Times New Roman" w:hAnsi="Times New Roman" w:cs="Times New Roman"/>
          <w:lang w:val="es-ES_tradnl"/>
        </w:rPr>
        <w:t>.</w:t>
      </w:r>
    </w:p>
    <w:p w14:paraId="7E85ECAD" w14:textId="77777777" w:rsidR="00D6503C" w:rsidRPr="00D6503C" w:rsidRDefault="00D6503C" w:rsidP="00D6503C">
      <w:pPr>
        <w:spacing w:line="360" w:lineRule="auto"/>
        <w:jc w:val="both"/>
        <w:rPr>
          <w:rFonts w:ascii="Times New Roman" w:hAnsi="Times New Roman" w:cs="Times New Roman"/>
          <w:u w:val="single"/>
          <w:lang w:val="es-ES_tradnl"/>
        </w:rPr>
      </w:pPr>
      <w:r w:rsidRPr="00D6503C">
        <w:rPr>
          <w:rFonts w:ascii="Times New Roman" w:hAnsi="Times New Roman" w:cs="Times New Roman"/>
          <w:u w:val="single"/>
          <w:lang w:val="es-ES_tradnl"/>
        </w:rPr>
        <w:t>O</w:t>
      </w:r>
      <w:r w:rsidR="00072224" w:rsidRPr="00D6503C">
        <w:rPr>
          <w:rFonts w:ascii="Times New Roman" w:hAnsi="Times New Roman" w:cs="Times New Roman"/>
          <w:u w:val="single"/>
          <w:lang w:val="es-ES_tradnl"/>
        </w:rPr>
        <w:t>bjetivos específicos</w:t>
      </w:r>
    </w:p>
    <w:p w14:paraId="305CF814" w14:textId="77777777" w:rsidR="00D6503C" w:rsidRDefault="00D6503C" w:rsidP="00D6503C">
      <w:pPr>
        <w:pStyle w:val="ListParagraph"/>
        <w:numPr>
          <w:ilvl w:val="0"/>
          <w:numId w:val="40"/>
        </w:numPr>
        <w:spacing w:line="360" w:lineRule="auto"/>
        <w:jc w:val="both"/>
        <w:rPr>
          <w:rFonts w:ascii="Times New Roman" w:hAnsi="Times New Roman" w:cs="Times New Roman"/>
          <w:lang w:val="es-ES_tradnl"/>
        </w:rPr>
      </w:pPr>
      <w:r>
        <w:rPr>
          <w:rFonts w:ascii="Times New Roman" w:hAnsi="Times New Roman" w:cs="Times New Roman"/>
          <w:lang w:val="es-ES_tradnl"/>
        </w:rPr>
        <w:t>I</w:t>
      </w:r>
      <w:r w:rsidR="00077AA7" w:rsidRPr="00D6503C">
        <w:rPr>
          <w:rFonts w:ascii="Times New Roman" w:hAnsi="Times New Roman" w:cs="Times New Roman"/>
          <w:lang w:val="es-ES_tradnl"/>
        </w:rPr>
        <w:t>dentificar factores de riesgo de la violencia vicar</w:t>
      </w:r>
      <w:r w:rsidR="00D96962" w:rsidRPr="00D6503C">
        <w:rPr>
          <w:rFonts w:ascii="Times New Roman" w:hAnsi="Times New Roman" w:cs="Times New Roman"/>
          <w:lang w:val="es-ES_tradnl"/>
        </w:rPr>
        <w:t>ia</w:t>
      </w:r>
    </w:p>
    <w:p w14:paraId="0108CC53" w14:textId="77777777" w:rsidR="00D6503C" w:rsidRDefault="00D6503C" w:rsidP="00D6503C">
      <w:pPr>
        <w:pStyle w:val="ListParagraph"/>
        <w:numPr>
          <w:ilvl w:val="0"/>
          <w:numId w:val="40"/>
        </w:numPr>
        <w:spacing w:line="360" w:lineRule="auto"/>
        <w:jc w:val="both"/>
        <w:rPr>
          <w:rFonts w:ascii="Times New Roman" w:hAnsi="Times New Roman" w:cs="Times New Roman"/>
          <w:lang w:val="es-ES_tradnl"/>
        </w:rPr>
      </w:pPr>
      <w:r>
        <w:rPr>
          <w:rFonts w:ascii="Times New Roman" w:hAnsi="Times New Roman" w:cs="Times New Roman"/>
          <w:lang w:val="es-ES_tradnl"/>
        </w:rPr>
        <w:t>A</w:t>
      </w:r>
      <w:r w:rsidR="00077AA7" w:rsidRPr="00D6503C">
        <w:rPr>
          <w:rFonts w:ascii="Times New Roman" w:hAnsi="Times New Roman" w:cs="Times New Roman"/>
          <w:lang w:val="es-ES_tradnl"/>
        </w:rPr>
        <w:t>nalizar el caso Bretón desde un punto de vista criminológico, aportando teorías criminológicas</w:t>
      </w:r>
    </w:p>
    <w:p w14:paraId="77ABDD48" w14:textId="77777777" w:rsidR="00D6503C" w:rsidRDefault="00D6503C" w:rsidP="00D6503C">
      <w:pPr>
        <w:pStyle w:val="ListParagraph"/>
        <w:numPr>
          <w:ilvl w:val="0"/>
          <w:numId w:val="40"/>
        </w:numPr>
        <w:spacing w:line="360" w:lineRule="auto"/>
        <w:jc w:val="both"/>
        <w:rPr>
          <w:rFonts w:ascii="Times New Roman" w:hAnsi="Times New Roman" w:cs="Times New Roman"/>
          <w:lang w:val="es-ES_tradnl"/>
        </w:rPr>
      </w:pPr>
      <w:r>
        <w:rPr>
          <w:rFonts w:ascii="Times New Roman" w:hAnsi="Times New Roman" w:cs="Times New Roman"/>
          <w:lang w:val="es-ES_tradnl"/>
        </w:rPr>
        <w:t>E</w:t>
      </w:r>
      <w:r w:rsidR="00077AA7" w:rsidRPr="00D6503C">
        <w:rPr>
          <w:rFonts w:ascii="Times New Roman" w:hAnsi="Times New Roman" w:cs="Times New Roman"/>
          <w:lang w:val="es-ES_tradnl"/>
        </w:rPr>
        <w:t>xplorar el perfil psico-criminológico del agresor</w:t>
      </w:r>
    </w:p>
    <w:p w14:paraId="73DA04DC" w14:textId="5C7631B5" w:rsidR="0032608E" w:rsidRPr="00D6503C" w:rsidRDefault="00D6503C" w:rsidP="00D6503C">
      <w:pPr>
        <w:pStyle w:val="ListParagraph"/>
        <w:numPr>
          <w:ilvl w:val="0"/>
          <w:numId w:val="40"/>
        </w:numPr>
        <w:spacing w:line="360" w:lineRule="auto"/>
        <w:jc w:val="both"/>
        <w:rPr>
          <w:rFonts w:ascii="Times New Roman" w:hAnsi="Times New Roman" w:cs="Times New Roman"/>
          <w:lang w:val="es-ES_tradnl"/>
        </w:rPr>
      </w:pPr>
      <w:r>
        <w:rPr>
          <w:rFonts w:ascii="Times New Roman" w:hAnsi="Times New Roman" w:cs="Times New Roman"/>
          <w:lang w:val="es-ES_tradnl"/>
        </w:rPr>
        <w:t>D</w:t>
      </w:r>
      <w:r w:rsidR="00D96962" w:rsidRPr="00D6503C">
        <w:rPr>
          <w:rFonts w:ascii="Times New Roman" w:hAnsi="Times New Roman" w:cs="Times New Roman"/>
          <w:lang w:val="es-ES_tradnl"/>
        </w:rPr>
        <w:t>eterminar la respuesta institucional, penal y mediática ante la violencia vicaria.</w:t>
      </w:r>
    </w:p>
    <w:p w14:paraId="68B0B268" w14:textId="77777777" w:rsidR="003E0D86" w:rsidRPr="002A7E10" w:rsidRDefault="001E27F0" w:rsidP="00A55BC5">
      <w:pPr>
        <w:pStyle w:val="Heading1"/>
        <w:numPr>
          <w:ilvl w:val="0"/>
          <w:numId w:val="17"/>
        </w:numPr>
        <w:jc w:val="both"/>
        <w:rPr>
          <w:rFonts w:ascii="Times New Roman" w:hAnsi="Times New Roman" w:cs="Times New Roman"/>
          <w:b/>
          <w:bCs/>
          <w:color w:val="000000" w:themeColor="text1"/>
          <w:sz w:val="24"/>
          <w:szCs w:val="24"/>
          <w:lang w:val="es-ES_tradnl"/>
        </w:rPr>
      </w:pPr>
      <w:bookmarkStart w:id="60" w:name="_Toc215252697"/>
      <w:bookmarkStart w:id="61" w:name="_Toc215253003"/>
      <w:bookmarkStart w:id="62" w:name="_Toc215253334"/>
      <w:bookmarkStart w:id="63" w:name="_Toc215253388"/>
      <w:bookmarkStart w:id="64" w:name="_Toc215255580"/>
      <w:bookmarkStart w:id="65" w:name="_Toc215256195"/>
      <w:bookmarkStart w:id="66" w:name="_Toc217838004"/>
      <w:bookmarkStart w:id="67" w:name="_Toc218416695"/>
      <w:bookmarkStart w:id="68" w:name="_Toc218422510"/>
      <w:bookmarkStart w:id="69" w:name="_Toc219919445"/>
      <w:bookmarkStart w:id="70" w:name="_Toc219919511"/>
      <w:bookmarkStart w:id="71" w:name="_Toc220260624"/>
      <w:bookmarkStart w:id="72" w:name="_Toc221125835"/>
      <w:bookmarkStart w:id="73" w:name="_Toc221212515"/>
      <w:r w:rsidRPr="002A7E10">
        <w:rPr>
          <w:rFonts w:ascii="Times New Roman" w:hAnsi="Times New Roman" w:cs="Times New Roman"/>
          <w:b/>
          <w:bCs/>
          <w:color w:val="000000" w:themeColor="text1"/>
          <w:sz w:val="24"/>
          <w:szCs w:val="24"/>
          <w:lang w:val="es-ES_tradnl"/>
        </w:rPr>
        <w:t>Marco Teórico</w:t>
      </w:r>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61107EEB" w14:textId="2BC016F9" w:rsidR="006509A7" w:rsidRPr="00512076" w:rsidRDefault="00512076" w:rsidP="00512076">
      <w:pPr>
        <w:pStyle w:val="Heading2"/>
        <w:numPr>
          <w:ilvl w:val="1"/>
          <w:numId w:val="17"/>
        </w:numPr>
        <w:ind w:left="567" w:hanging="425"/>
        <w:rPr>
          <w:rFonts w:ascii="Times New Roman" w:hAnsi="Times New Roman" w:cs="Times New Roman"/>
          <w:b/>
          <w:bCs/>
          <w:color w:val="000000" w:themeColor="text1"/>
          <w:sz w:val="24"/>
          <w:szCs w:val="24"/>
          <w:lang w:val="es-ES_tradnl"/>
        </w:rPr>
      </w:pPr>
      <w:r>
        <w:rPr>
          <w:rFonts w:ascii="Times New Roman" w:hAnsi="Times New Roman" w:cs="Times New Roman"/>
          <w:b/>
          <w:bCs/>
          <w:color w:val="000000" w:themeColor="text1"/>
          <w:sz w:val="24"/>
          <w:szCs w:val="24"/>
          <w:lang w:val="es-ES_tradnl"/>
        </w:rPr>
        <w:t xml:space="preserve"> </w:t>
      </w:r>
      <w:bookmarkStart w:id="74" w:name="_Toc215253335"/>
      <w:bookmarkStart w:id="75" w:name="_Toc215253389"/>
      <w:bookmarkStart w:id="76" w:name="_Toc215255581"/>
      <w:bookmarkStart w:id="77" w:name="_Toc215256196"/>
      <w:bookmarkStart w:id="78" w:name="_Toc217838005"/>
      <w:bookmarkStart w:id="79" w:name="_Toc218416696"/>
      <w:bookmarkStart w:id="80" w:name="_Toc218422511"/>
      <w:bookmarkStart w:id="81" w:name="_Toc219919446"/>
      <w:bookmarkStart w:id="82" w:name="_Toc219919512"/>
      <w:bookmarkStart w:id="83" w:name="_Toc220260625"/>
      <w:bookmarkStart w:id="84" w:name="_Toc221125836"/>
      <w:bookmarkStart w:id="85" w:name="_Toc221212516"/>
      <w:r w:rsidR="006509A7" w:rsidRPr="00512076">
        <w:rPr>
          <w:rFonts w:ascii="Times New Roman" w:hAnsi="Times New Roman" w:cs="Times New Roman"/>
          <w:b/>
          <w:bCs/>
          <w:color w:val="000000" w:themeColor="text1"/>
          <w:sz w:val="24"/>
          <w:szCs w:val="24"/>
          <w:lang w:val="es-ES_tradnl"/>
        </w:rPr>
        <w:t>Violencia simbólica</w:t>
      </w:r>
      <w:bookmarkEnd w:id="74"/>
      <w:bookmarkEnd w:id="75"/>
      <w:bookmarkEnd w:id="76"/>
      <w:bookmarkEnd w:id="77"/>
      <w:bookmarkEnd w:id="78"/>
      <w:bookmarkEnd w:id="79"/>
      <w:bookmarkEnd w:id="80"/>
      <w:bookmarkEnd w:id="81"/>
      <w:bookmarkEnd w:id="82"/>
      <w:bookmarkEnd w:id="83"/>
      <w:bookmarkEnd w:id="84"/>
      <w:bookmarkEnd w:id="85"/>
    </w:p>
    <w:p w14:paraId="50E1E140" w14:textId="47450AB4" w:rsidR="006509A7" w:rsidRPr="0048673F" w:rsidRDefault="006509A7" w:rsidP="00FF2583">
      <w:pPr>
        <w:spacing w:line="360" w:lineRule="auto"/>
        <w:ind w:firstLine="709"/>
        <w:jc w:val="both"/>
        <w:rPr>
          <w:rFonts w:ascii="Times New Roman" w:hAnsi="Times New Roman" w:cs="Times New Roman"/>
          <w:lang w:val="es-ES_tradnl"/>
        </w:rPr>
      </w:pPr>
      <w:r w:rsidRPr="0048673F">
        <w:rPr>
          <w:rFonts w:ascii="Times New Roman" w:hAnsi="Times New Roman" w:cs="Times New Roman"/>
          <w:lang w:val="es-ES_tradnl"/>
        </w:rPr>
        <w:t xml:space="preserve">En 2000, el sociólogo Pierre Bourdieu propone un nuevo concepto denominado violencia </w:t>
      </w:r>
      <w:r w:rsidRPr="009F3F4E">
        <w:rPr>
          <w:rFonts w:ascii="Times New Roman" w:hAnsi="Times New Roman" w:cs="Times New Roman"/>
          <w:lang w:val="es-ES_tradnl"/>
        </w:rPr>
        <w:t>simbólica</w:t>
      </w:r>
      <w:r w:rsidRPr="0048673F">
        <w:rPr>
          <w:rFonts w:ascii="Times New Roman" w:hAnsi="Times New Roman" w:cs="Times New Roman"/>
          <w:lang w:val="es-ES_tradnl"/>
        </w:rPr>
        <w:t xml:space="preserve">. Aquí encontramos a dos actores: los dominados y los dominadores. Los dominadores defienden e instauran unos valores que consideran </w:t>
      </w:r>
      <w:r>
        <w:rPr>
          <w:rFonts w:ascii="Times New Roman" w:hAnsi="Times New Roman" w:cs="Times New Roman"/>
          <w:lang w:val="es-ES_tradnl"/>
        </w:rPr>
        <w:t>naturales</w:t>
      </w:r>
      <w:r w:rsidRPr="0048673F">
        <w:rPr>
          <w:rFonts w:ascii="Times New Roman" w:hAnsi="Times New Roman" w:cs="Times New Roman"/>
          <w:lang w:val="es-ES_tradnl"/>
        </w:rPr>
        <w:t xml:space="preserve"> y fuerzan sutilmente</w:t>
      </w:r>
      <w:r>
        <w:rPr>
          <w:rFonts w:ascii="Times New Roman" w:hAnsi="Times New Roman" w:cs="Times New Roman"/>
          <w:lang w:val="es-ES_tradnl"/>
        </w:rPr>
        <w:t xml:space="preserve">, sin coerción física, </w:t>
      </w:r>
      <w:r w:rsidRPr="0048673F">
        <w:rPr>
          <w:rFonts w:ascii="Times New Roman" w:hAnsi="Times New Roman" w:cs="Times New Roman"/>
          <w:lang w:val="es-ES_tradnl"/>
        </w:rPr>
        <w:t xml:space="preserve">a los dominados a que los ejerzan para poder sostener y reafirmar la jerarquía social a través de la cual los dominadores se ven superiores a éstos. Sin embargo, los dominados se ven en una posición inferior que asumen como verídica, y acaban actuando como tal en la sociedad, perpetuando la visión de los dominadores </w:t>
      </w:r>
      <w:r w:rsidRPr="0048673F">
        <w:rPr>
          <w:rFonts w:ascii="Times New Roman" w:hAnsi="Times New Roman" w:cs="Times New Roman"/>
          <w:lang w:val="es-ES_tradnl"/>
        </w:rPr>
        <w:lastRenderedPageBreak/>
        <w:t>como opresores justificados. Esta dinámica no se podría llevar a cabo sin la aceptación de los dominados</w:t>
      </w:r>
      <w:r>
        <w:rPr>
          <w:rFonts w:ascii="Times New Roman" w:hAnsi="Times New Roman" w:cs="Times New Roman"/>
          <w:lang w:val="es-ES_tradnl"/>
        </w:rPr>
        <w:t>, en esencia, funciona porque no es reconocida como violencia</w:t>
      </w:r>
      <w:r w:rsidRPr="0048673F">
        <w:rPr>
          <w:rFonts w:ascii="Times New Roman" w:hAnsi="Times New Roman" w:cs="Times New Roman"/>
          <w:lang w:val="es-ES_tradnl"/>
        </w:rPr>
        <w:t xml:space="preserve">: </w:t>
      </w:r>
      <w:r w:rsidRPr="0048673F">
        <w:rPr>
          <w:rFonts w:ascii="Times New Roman" w:hAnsi="Times New Roman" w:cs="Times New Roman"/>
          <w:i/>
          <w:iCs/>
          <w:lang w:val="es-ES_tradnl"/>
        </w:rPr>
        <w:t>“así pues, la lógica paradójica de la dominación masculina y de la sumisión femenina […] es espontánea e impetuosa, y sólo se entiende si se verifican unos efectos durad</w:t>
      </w:r>
      <w:r w:rsidR="005462D2">
        <w:rPr>
          <w:rFonts w:ascii="Times New Roman" w:hAnsi="Times New Roman" w:cs="Times New Roman"/>
          <w:i/>
          <w:iCs/>
          <w:lang w:val="es-ES_tradnl"/>
        </w:rPr>
        <w:t>ero</w:t>
      </w:r>
      <w:r w:rsidRPr="0048673F">
        <w:rPr>
          <w:rFonts w:ascii="Times New Roman" w:hAnsi="Times New Roman" w:cs="Times New Roman"/>
          <w:i/>
          <w:iCs/>
          <w:lang w:val="es-ES_tradnl"/>
        </w:rPr>
        <w:t>s que el orden social ejerce sobre las mujeres (y los hombres), es decir, unas inclinaciones espontáneamente adaptadas al orden que ella les impon</w:t>
      </w:r>
      <w:r>
        <w:rPr>
          <w:rFonts w:ascii="Times New Roman" w:hAnsi="Times New Roman" w:cs="Times New Roman"/>
          <w:i/>
          <w:iCs/>
          <w:lang w:val="es-ES_tradnl"/>
        </w:rPr>
        <w:t>e</w:t>
      </w:r>
      <w:r w:rsidRPr="0048673F">
        <w:rPr>
          <w:rFonts w:ascii="Times New Roman" w:hAnsi="Times New Roman" w:cs="Times New Roman"/>
          <w:i/>
          <w:iCs/>
          <w:lang w:val="es-ES_tradnl"/>
        </w:rPr>
        <w:t>”</w:t>
      </w:r>
      <w:r w:rsidRPr="0048673F">
        <w:rPr>
          <w:rFonts w:ascii="Times New Roman" w:hAnsi="Times New Roman" w:cs="Times New Roman"/>
          <w:lang w:val="es-ES_tradnl"/>
        </w:rPr>
        <w:t xml:space="preserve"> (Bourdieu, 2000).</w:t>
      </w:r>
    </w:p>
    <w:p w14:paraId="048B32F7" w14:textId="77777777" w:rsidR="006509A7" w:rsidRDefault="006509A7" w:rsidP="00FF2583">
      <w:pPr>
        <w:spacing w:line="360" w:lineRule="auto"/>
        <w:ind w:firstLine="709"/>
        <w:jc w:val="both"/>
        <w:rPr>
          <w:rFonts w:ascii="Times New Roman" w:hAnsi="Times New Roman" w:cs="Times New Roman"/>
          <w:lang w:val="es-ES_tradnl"/>
        </w:rPr>
      </w:pPr>
      <w:r w:rsidRPr="00425807">
        <w:rPr>
          <w:rFonts w:ascii="Times New Roman" w:hAnsi="Times New Roman" w:cs="Times New Roman"/>
          <w:lang w:val="es-ES_tradnl"/>
        </w:rPr>
        <w:t>Según Bourdieu (1998), esta simbología está presente desde la primera infancia, cuando se trata de separar a los niños en diferentes grupos acorde al sexo asignado y a las normas que deben seguir acorde a éste. Desde pequeños existe esa dicotomía entre jugar de forma agresiva, algo que se atribuiría a los juegos típicamente asociados con niños varones, o jugar tranquilamente, más relacionado con juegos de niñas. Otro ejemplo podría ser cuando las fábulas que se cuentan a los niños para distraerlos, que realmente tienen un papel más educativo, contienen habitualmente a un héroe (casi siempre de género masculino) que necesita ir a rescatar a una dama en apuros (casi siempre de género femenino), la cual se asume que no tiene la capacidad necesaria para poder hacerlo por sí misma; rol que ella misma asume, generando un círculo vicioso.</w:t>
      </w:r>
      <w:r>
        <w:rPr>
          <w:rFonts w:ascii="Times New Roman" w:hAnsi="Times New Roman" w:cs="Times New Roman"/>
          <w:lang w:val="es-ES_tradnl"/>
        </w:rPr>
        <w:t xml:space="preserve"> </w:t>
      </w:r>
      <w:r w:rsidRPr="004C000A">
        <w:rPr>
          <w:rFonts w:ascii="Times New Roman" w:hAnsi="Times New Roman" w:cs="Times New Roman"/>
          <w:lang w:val="es-ES_tradnl"/>
        </w:rPr>
        <w:t>Realmente, las mujeres, pese a oponerse frecuentemente a esta ideología, reproducen esta teoría porque se socializaron dentro de ella y consideran que son los roles que deben seguir para integrarse en la sociedad</w:t>
      </w:r>
      <w:r>
        <w:rPr>
          <w:rFonts w:ascii="Times New Roman" w:hAnsi="Times New Roman" w:cs="Times New Roman"/>
          <w:lang w:val="es-ES_tradnl"/>
        </w:rPr>
        <w:t>, habituándose al papel que se les ha asignado. Define el concepto “</w:t>
      </w:r>
      <w:r w:rsidRPr="006574C5">
        <w:rPr>
          <w:rFonts w:ascii="Times New Roman" w:hAnsi="Times New Roman" w:cs="Times New Roman"/>
          <w:i/>
          <w:iCs/>
          <w:lang w:val="es-ES_tradnl"/>
        </w:rPr>
        <w:t>habitus</w:t>
      </w:r>
      <w:r>
        <w:rPr>
          <w:rFonts w:ascii="Times New Roman" w:hAnsi="Times New Roman" w:cs="Times New Roman"/>
          <w:lang w:val="es-ES_tradnl"/>
        </w:rPr>
        <w:t>” como una disposición predeterminada asociada al puesto social que una persona ocupa, de forma que la desigualdad se camufla como una dinámica normal y no una imposición. (Bourdieu, 1998 y Bourdieu, 2000).</w:t>
      </w:r>
    </w:p>
    <w:p w14:paraId="6B2ED19E" w14:textId="4EC4D28F" w:rsidR="006509A7" w:rsidRPr="004C000A" w:rsidRDefault="006509A7"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Conceptualm</w:t>
      </w:r>
      <w:r w:rsidR="0097023A">
        <w:rPr>
          <w:rFonts w:ascii="Times New Roman" w:hAnsi="Times New Roman" w:cs="Times New Roman"/>
          <w:lang w:val="es-ES_tradnl"/>
        </w:rPr>
        <w:t xml:space="preserve">ente, </w:t>
      </w:r>
      <w:r>
        <w:rPr>
          <w:rFonts w:ascii="Times New Roman" w:hAnsi="Times New Roman" w:cs="Times New Roman"/>
          <w:lang w:val="es-ES_tradnl"/>
        </w:rPr>
        <w:t>se puede relacionar con la idea que expone la activista Kate Millett en su disertación “Política Sexual” en 1970. En ella afirma que las personas, biológicamente, no tienen ninguna predisposición a actuar de cierta manera, sino que aquello que les lleva a comportarse de una forma u otra está basada en constructos socialmente aceptados. Por ello, la estructura política común – entendiendo el término “político” como una situación en la que dos partes tienen una relación desigual de poder – legitima las conductas agresivas hacia las mujeres mediante el mantenimiento de la autoridad y dominancia masculina a través de normas sociales (Millett, 2000),</w:t>
      </w:r>
    </w:p>
    <w:p w14:paraId="3DAC591E" w14:textId="30199EB2" w:rsidR="006509A7" w:rsidRPr="00D61B2C" w:rsidRDefault="006509A7" w:rsidP="009B7B83">
      <w:pPr>
        <w:spacing w:line="360" w:lineRule="auto"/>
        <w:ind w:firstLine="709"/>
        <w:jc w:val="both"/>
        <w:rPr>
          <w:rFonts w:ascii="Times New Roman" w:hAnsi="Times New Roman" w:cs="Times New Roman"/>
          <w:lang w:val="es-ES_tradnl"/>
        </w:rPr>
      </w:pPr>
      <w:r w:rsidRPr="00BE49F9">
        <w:rPr>
          <w:rFonts w:ascii="Times New Roman" w:hAnsi="Times New Roman" w:cs="Times New Roman"/>
          <w:lang w:val="es-ES_tradnl"/>
        </w:rPr>
        <w:t xml:space="preserve">Ésta define el patriarcado como un sistema social mediante el cual a los hombres se les atribuye un derecho de nacimiento a gobernar sobre las mujeres, operando como </w:t>
      </w:r>
      <w:r w:rsidRPr="00BE49F9">
        <w:rPr>
          <w:rFonts w:ascii="Times New Roman" w:hAnsi="Times New Roman" w:cs="Times New Roman"/>
          <w:lang w:val="es-ES_tradnl"/>
        </w:rPr>
        <w:lastRenderedPageBreak/>
        <w:t>una dinámica de poder atravesando las instituciones sociales (la familia, la iglesia, el colegio, etcétera…) para instaurar la subordinación de la mujer. Así pues, la opresión a la que las mujeres se someten viene predeterminada por la estructura cultural, que enseña y refuerza los roles hasta el punto de conseguir la conformidad por parte de las víctimas.</w:t>
      </w:r>
      <w:r>
        <w:rPr>
          <w:rFonts w:ascii="Times New Roman" w:hAnsi="Times New Roman" w:cs="Times New Roman"/>
          <w:lang w:val="es-ES_tradnl"/>
        </w:rPr>
        <w:t xml:space="preserve"> La ridiculización de la mujer al expresar su voluntad sexual es un claro ejemplo de la violencia simbólica (Bourdieu, 1998</w:t>
      </w:r>
      <w:r w:rsidR="001F0AC1">
        <w:rPr>
          <w:rFonts w:ascii="Times New Roman" w:hAnsi="Times New Roman" w:cs="Times New Roman"/>
          <w:lang w:val="es-ES_tradnl"/>
        </w:rPr>
        <w:t xml:space="preserve">; </w:t>
      </w:r>
      <w:r>
        <w:rPr>
          <w:rFonts w:ascii="Times New Roman" w:hAnsi="Times New Roman" w:cs="Times New Roman"/>
          <w:lang w:val="es-ES_tradnl"/>
        </w:rPr>
        <w:t xml:space="preserve">Bartky, 1990). </w:t>
      </w:r>
      <w:r w:rsidR="00D61B2C">
        <w:rPr>
          <w:rFonts w:ascii="Times New Roman" w:hAnsi="Times New Roman" w:cs="Times New Roman"/>
          <w:lang w:val="es-ES_tradnl"/>
        </w:rPr>
        <w:t>Cuando</w:t>
      </w:r>
      <w:r>
        <w:rPr>
          <w:rFonts w:ascii="Times New Roman" w:hAnsi="Times New Roman" w:cs="Times New Roman"/>
          <w:lang w:val="es-ES_tradnl"/>
        </w:rPr>
        <w:t xml:space="preserve"> una mujer </w:t>
      </w:r>
      <w:r w:rsidR="00D61B2C">
        <w:rPr>
          <w:rFonts w:ascii="Times New Roman" w:hAnsi="Times New Roman" w:cs="Times New Roman"/>
          <w:lang w:val="es-ES_tradnl"/>
        </w:rPr>
        <w:t>pone a prueba</w:t>
      </w:r>
      <w:r>
        <w:rPr>
          <w:rFonts w:ascii="Times New Roman" w:hAnsi="Times New Roman" w:cs="Times New Roman"/>
          <w:lang w:val="es-ES_tradnl"/>
        </w:rPr>
        <w:t xml:space="preserve"> la dinámica establecida, ya sea sexual o social, se rompe la repetición que parece perpetuar la norma, por lo que comienza a quebrantarse la dicotomía de rol de género que se pretende establecer a través del patriarcado</w:t>
      </w:r>
      <w:r w:rsidR="00D61B2C">
        <w:rPr>
          <w:rFonts w:ascii="Times New Roman" w:hAnsi="Times New Roman" w:cs="Times New Roman"/>
          <w:lang w:val="es-ES_tradnl"/>
        </w:rPr>
        <w:t>,</w:t>
      </w:r>
      <w:r>
        <w:rPr>
          <w:rFonts w:ascii="Times New Roman" w:hAnsi="Times New Roman" w:cs="Times New Roman"/>
          <w:lang w:val="es-ES_tradnl"/>
        </w:rPr>
        <w:t xml:space="preserve"> que determina que una mujer no puede ser transgresora</w:t>
      </w:r>
      <w:r w:rsidR="00D61B2C">
        <w:rPr>
          <w:rFonts w:ascii="Times New Roman" w:hAnsi="Times New Roman" w:cs="Times New Roman"/>
          <w:lang w:val="es-ES_tradnl"/>
        </w:rPr>
        <w:t xml:space="preserve"> de los límites</w:t>
      </w:r>
      <w:r>
        <w:rPr>
          <w:rFonts w:ascii="Times New Roman" w:hAnsi="Times New Roman" w:cs="Times New Roman"/>
          <w:lang w:val="es-ES_tradnl"/>
        </w:rPr>
        <w:t>, pero premia al hombre por defender sus propios intereses (Butler, 1990 y Roka, 2025).</w:t>
      </w:r>
    </w:p>
    <w:p w14:paraId="5C605F88" w14:textId="04DD381E" w:rsidR="003E029C" w:rsidRDefault="0097023A" w:rsidP="00FF2583">
      <w:pPr>
        <w:spacing w:line="360" w:lineRule="auto"/>
        <w:ind w:firstLine="709"/>
        <w:jc w:val="both"/>
        <w:rPr>
          <w:rFonts w:ascii="Times New Roman" w:hAnsi="Times New Roman" w:cs="Times New Roman"/>
          <w:lang w:val="es-ES_tradnl"/>
        </w:rPr>
      </w:pPr>
      <w:r w:rsidRPr="0097023A">
        <w:rPr>
          <w:rFonts w:ascii="Times New Roman" w:hAnsi="Times New Roman" w:cs="Times New Roman"/>
          <w:lang w:val="es-ES_tradnl"/>
        </w:rPr>
        <w:t>La violencia simbólica</w:t>
      </w:r>
      <w:r>
        <w:rPr>
          <w:rFonts w:ascii="Times New Roman" w:hAnsi="Times New Roman" w:cs="Times New Roman"/>
          <w:lang w:val="es-ES_tradnl"/>
        </w:rPr>
        <w:t xml:space="preserve"> es un mecanismo actual, prevalente y activo cuya consecuencia es la legitimación de la desigualdad entre los géneros al normalizar jerarquías y roles tradicionales (Ojeda, 2022). Su prevalencia se debe a la emisión temprana por parte de la sociedad de las expectativas de </w:t>
      </w:r>
      <w:r w:rsidR="003E029C">
        <w:rPr>
          <w:rFonts w:ascii="Times New Roman" w:hAnsi="Times New Roman" w:cs="Times New Roman"/>
          <w:lang w:val="es-ES_tradnl"/>
        </w:rPr>
        <w:t>las personas que ocupen cada</w:t>
      </w:r>
      <w:r>
        <w:rPr>
          <w:rFonts w:ascii="Times New Roman" w:hAnsi="Times New Roman" w:cs="Times New Roman"/>
          <w:lang w:val="es-ES_tradnl"/>
        </w:rPr>
        <w:t xml:space="preserve"> rol, convirtiendo a las instituciones tales como lo son la </w:t>
      </w:r>
      <w:r w:rsidR="003E029C">
        <w:rPr>
          <w:rFonts w:ascii="Times New Roman" w:hAnsi="Times New Roman" w:cs="Times New Roman"/>
          <w:lang w:val="es-ES_tradnl"/>
        </w:rPr>
        <w:t xml:space="preserve">escuela y la familia en transmisoras de estereotipos que promueven la sumisión de la mujer y la superioridad del hombre. </w:t>
      </w:r>
      <w:r w:rsidR="00070C4D">
        <w:rPr>
          <w:rFonts w:ascii="Times New Roman" w:hAnsi="Times New Roman" w:cs="Times New Roman"/>
          <w:lang w:val="es-ES_tradnl"/>
        </w:rPr>
        <w:t>De la misma forma, los medios de comunicación fomentan la objetivación del cuerpo femenino, propagando la idea de que la mujer, en la medida en que sigue los cánones establecidos de género, sólo puede ser vista en el contexto de cumplimiento de los mismos (López</w:t>
      </w:r>
      <w:r w:rsidR="00BC7448">
        <w:rPr>
          <w:rFonts w:ascii="Times New Roman" w:hAnsi="Times New Roman" w:cs="Times New Roman"/>
          <w:lang w:val="es-ES_tradnl"/>
        </w:rPr>
        <w:t xml:space="preserve"> Safi</w:t>
      </w:r>
      <w:r w:rsidR="00070C4D">
        <w:rPr>
          <w:rFonts w:ascii="Times New Roman" w:hAnsi="Times New Roman" w:cs="Times New Roman"/>
          <w:lang w:val="es-ES_tradnl"/>
        </w:rPr>
        <w:t>, 2015).</w:t>
      </w:r>
    </w:p>
    <w:p w14:paraId="55BACDF8" w14:textId="559DEED2" w:rsidR="006C7A37" w:rsidRDefault="003E029C" w:rsidP="00BC6002">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La violencia simbólica actúa como predecesor</w:t>
      </w:r>
      <w:r w:rsidR="001E27F0">
        <w:rPr>
          <w:rFonts w:ascii="Times New Roman" w:hAnsi="Times New Roman" w:cs="Times New Roman"/>
          <w:lang w:val="es-ES_tradnl"/>
        </w:rPr>
        <w:t>a</w:t>
      </w:r>
      <w:r>
        <w:rPr>
          <w:rFonts w:ascii="Times New Roman" w:hAnsi="Times New Roman" w:cs="Times New Roman"/>
          <w:lang w:val="es-ES_tradnl"/>
        </w:rPr>
        <w:t xml:space="preserve"> de la violencia de género, siendo explicada por ésta y aumentando la brecha existente entre los géneros y las concepciones de los mismos.</w:t>
      </w:r>
    </w:p>
    <w:p w14:paraId="718C117A" w14:textId="77777777" w:rsidR="00BC6002" w:rsidRPr="002115D4" w:rsidRDefault="00BC6002" w:rsidP="00BC6002">
      <w:pPr>
        <w:spacing w:line="360" w:lineRule="auto"/>
        <w:ind w:firstLine="709"/>
        <w:jc w:val="both"/>
        <w:rPr>
          <w:rFonts w:ascii="Times New Roman" w:hAnsi="Times New Roman" w:cs="Times New Roman"/>
          <w:lang w:val="es-ES_tradnl"/>
        </w:rPr>
      </w:pPr>
    </w:p>
    <w:p w14:paraId="144240B3" w14:textId="2EC365AE" w:rsidR="006509A7" w:rsidRPr="00512076" w:rsidRDefault="006509A7" w:rsidP="00512076">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86" w:name="_Toc215253336"/>
      <w:bookmarkStart w:id="87" w:name="_Toc215253390"/>
      <w:bookmarkStart w:id="88" w:name="_Toc215255582"/>
      <w:bookmarkStart w:id="89" w:name="_Toc215256197"/>
      <w:bookmarkStart w:id="90" w:name="_Toc217838006"/>
      <w:bookmarkStart w:id="91" w:name="_Toc218416697"/>
      <w:bookmarkStart w:id="92" w:name="_Toc218422512"/>
      <w:bookmarkStart w:id="93" w:name="_Toc219919447"/>
      <w:bookmarkStart w:id="94" w:name="_Toc219919513"/>
      <w:bookmarkStart w:id="95" w:name="_Toc220260626"/>
      <w:bookmarkStart w:id="96" w:name="_Toc221125837"/>
      <w:bookmarkStart w:id="97" w:name="_Toc221212517"/>
      <w:r w:rsidRPr="00512076">
        <w:rPr>
          <w:rFonts w:ascii="Times New Roman" w:hAnsi="Times New Roman" w:cs="Times New Roman"/>
          <w:b/>
          <w:bCs/>
          <w:color w:val="000000" w:themeColor="text1"/>
          <w:sz w:val="24"/>
          <w:szCs w:val="24"/>
          <w:lang w:val="es-ES_tradnl"/>
        </w:rPr>
        <w:t>Violencia de género</w:t>
      </w:r>
      <w:bookmarkEnd w:id="86"/>
      <w:bookmarkEnd w:id="87"/>
      <w:bookmarkEnd w:id="88"/>
      <w:bookmarkEnd w:id="89"/>
      <w:bookmarkEnd w:id="90"/>
      <w:bookmarkEnd w:id="91"/>
      <w:bookmarkEnd w:id="92"/>
      <w:bookmarkEnd w:id="93"/>
      <w:bookmarkEnd w:id="94"/>
      <w:bookmarkEnd w:id="95"/>
      <w:bookmarkEnd w:id="96"/>
      <w:bookmarkEnd w:id="97"/>
    </w:p>
    <w:p w14:paraId="39C84848" w14:textId="2EBC5606" w:rsidR="00070C4D" w:rsidRDefault="004D59DF" w:rsidP="000F5D36">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La violencia de género es una de las expresiones de violencia más prevalente y estructural de la desigualdad contemporánea con múltiples repercusiones físicas, emocionales y sociales. </w:t>
      </w:r>
      <w:r w:rsidR="006509A7" w:rsidRPr="0048673F">
        <w:rPr>
          <w:rFonts w:ascii="Times New Roman" w:hAnsi="Times New Roman" w:cs="Times New Roman"/>
          <w:lang w:val="es-ES_tradnl"/>
        </w:rPr>
        <w:t xml:space="preserve">Se entiende la violencia de género como aquella ejercida sobre las mujeres sin más motivación que la discriminación hacia el género femenino por parte de personas relacionadas por un vínculo afectivo presente o pasado, independientemente de que exista una convivencia. No sólo incluye la violencia física, sino que también </w:t>
      </w:r>
      <w:r w:rsidR="006509A7" w:rsidRPr="0048673F">
        <w:rPr>
          <w:rFonts w:ascii="Times New Roman" w:hAnsi="Times New Roman" w:cs="Times New Roman"/>
          <w:lang w:val="es-ES_tradnl"/>
        </w:rPr>
        <w:lastRenderedPageBreak/>
        <w:t>engloba cualquier agresión relacionada con el ámbito sexual, psicológico y económico</w:t>
      </w:r>
      <w:r w:rsidR="000F5D36">
        <w:rPr>
          <w:rFonts w:ascii="Times New Roman" w:hAnsi="Times New Roman" w:cs="Times New Roman"/>
          <w:lang w:val="es-ES_tradnl"/>
        </w:rPr>
        <w:t>; quedando así establecido en la</w:t>
      </w:r>
      <w:r w:rsidR="000F5D36" w:rsidRPr="000F5D36">
        <w:rPr>
          <w:rFonts w:ascii="Times New Roman" w:hAnsi="Times New Roman" w:cs="Times New Roman"/>
          <w:lang w:val="es-ES_tradnl"/>
        </w:rPr>
        <w:t xml:space="preserve"> </w:t>
      </w:r>
      <w:r w:rsidR="000F5D36">
        <w:rPr>
          <w:rFonts w:ascii="Times New Roman" w:hAnsi="Times New Roman" w:cs="Times New Roman"/>
          <w:lang w:val="es-ES_tradnl"/>
        </w:rPr>
        <w:t xml:space="preserve">Ley Orgánica 1/2004, de Medidas de Protección Integral contra la Violencia de Género </w:t>
      </w:r>
      <w:r>
        <w:rPr>
          <w:rFonts w:ascii="Times New Roman" w:hAnsi="Times New Roman" w:cs="Times New Roman"/>
          <w:lang w:val="es-ES_tradnl"/>
        </w:rPr>
        <w:t>(</w:t>
      </w:r>
      <w:r w:rsidR="006509A7" w:rsidRPr="0048673F">
        <w:rPr>
          <w:rFonts w:ascii="Times New Roman" w:hAnsi="Times New Roman" w:cs="Times New Roman"/>
          <w:lang w:val="es-ES_tradnl"/>
        </w:rPr>
        <w:t>BOE, 2004).</w:t>
      </w:r>
      <w:r w:rsidR="000F5D36">
        <w:rPr>
          <w:rFonts w:ascii="Times New Roman" w:hAnsi="Times New Roman" w:cs="Times New Roman"/>
          <w:lang w:val="es-ES_tradnl"/>
        </w:rPr>
        <w:t xml:space="preserve"> Es decir, no sólo aborda circunstancias personales, sino que también reconoce la desigualdad de poder que se puede generar al establecer una relación.</w:t>
      </w:r>
    </w:p>
    <w:p w14:paraId="38E90827" w14:textId="3E2018E7" w:rsidR="00FF2583" w:rsidRDefault="00622B7D" w:rsidP="00256158">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N</w:t>
      </w:r>
      <w:r w:rsidR="004D59DF">
        <w:rPr>
          <w:rFonts w:ascii="Times New Roman" w:hAnsi="Times New Roman" w:cs="Times New Roman"/>
          <w:lang w:val="es-ES_tradnl"/>
        </w:rPr>
        <w:t xml:space="preserve">o se puede contemplar como una combinación de </w:t>
      </w:r>
      <w:r>
        <w:rPr>
          <w:rFonts w:ascii="Times New Roman" w:hAnsi="Times New Roman" w:cs="Times New Roman"/>
          <w:lang w:val="es-ES_tradnl"/>
        </w:rPr>
        <w:t>hechos aislados</w:t>
      </w:r>
      <w:r w:rsidR="004D59DF">
        <w:rPr>
          <w:rFonts w:ascii="Times New Roman" w:hAnsi="Times New Roman" w:cs="Times New Roman"/>
          <w:lang w:val="es-ES_tradnl"/>
        </w:rPr>
        <w:t>, sino como un fenómeno complejo arraigado en dinámicas de poder y dominación. Es la expresión de discriminación y desigualdad estructural</w:t>
      </w:r>
      <w:r w:rsidR="00AF7A11">
        <w:rPr>
          <w:rFonts w:ascii="Times New Roman" w:hAnsi="Times New Roman" w:cs="Times New Roman"/>
          <w:lang w:val="es-ES_tradnl"/>
        </w:rPr>
        <w:t xml:space="preserve"> que se extiende a l</w:t>
      </w:r>
      <w:r>
        <w:rPr>
          <w:rFonts w:ascii="Times New Roman" w:hAnsi="Times New Roman" w:cs="Times New Roman"/>
          <w:lang w:val="es-ES_tradnl"/>
        </w:rPr>
        <w:t>a vulneración de los derechos humanos</w:t>
      </w:r>
      <w:r w:rsidR="00AF7A11">
        <w:rPr>
          <w:rFonts w:ascii="Times New Roman" w:hAnsi="Times New Roman" w:cs="Times New Roman"/>
          <w:lang w:val="es-ES_tradnl"/>
        </w:rPr>
        <w:t>, cohesión social y salud pública</w:t>
      </w:r>
      <w:r>
        <w:rPr>
          <w:rFonts w:ascii="Times New Roman" w:hAnsi="Times New Roman" w:cs="Times New Roman"/>
          <w:lang w:val="es-ES_tradnl"/>
        </w:rPr>
        <w:t xml:space="preserve"> basadas en el género</w:t>
      </w:r>
      <w:r w:rsidR="00085E59">
        <w:rPr>
          <w:rFonts w:ascii="Times New Roman" w:hAnsi="Times New Roman" w:cs="Times New Roman"/>
          <w:lang w:val="es-ES_tradnl"/>
        </w:rPr>
        <w:t>. Las agresiones por violencia de género por conocidos y compañeros son fenómenos masivos, no aislados</w:t>
      </w:r>
      <w:r>
        <w:rPr>
          <w:rFonts w:ascii="Times New Roman" w:hAnsi="Times New Roman" w:cs="Times New Roman"/>
          <w:lang w:val="es-ES_tradnl"/>
        </w:rPr>
        <w:t xml:space="preserve"> (Walby et ál., 2014).</w:t>
      </w:r>
      <w:r w:rsidR="000F5D36">
        <w:rPr>
          <w:rFonts w:ascii="Times New Roman" w:hAnsi="Times New Roman" w:cs="Times New Roman"/>
          <w:lang w:val="es-ES_tradnl"/>
        </w:rPr>
        <w:t xml:space="preserve"> El Convenio de Estambul del Consejo de Europa (2011) incide en la necesidad de reconocimiento por parte de los estados miembros de este tipo de violencia al igual que en la necesidad de prevención y reparación </w:t>
      </w:r>
      <w:r w:rsidR="00CF3A55">
        <w:rPr>
          <w:rFonts w:ascii="Times New Roman" w:hAnsi="Times New Roman" w:cs="Times New Roman"/>
          <w:lang w:val="es-ES_tradnl"/>
        </w:rPr>
        <w:t>de los daños tras décadas de normalización. De la misma forma,</w:t>
      </w:r>
      <w:r w:rsidR="00230164">
        <w:rPr>
          <w:rFonts w:ascii="Times New Roman" w:hAnsi="Times New Roman" w:cs="Times New Roman"/>
          <w:lang w:val="es-ES_tradnl"/>
        </w:rPr>
        <w:t xml:space="preserve"> las Naciones Unidas (1993) hace hincapié</w:t>
      </w:r>
      <w:r w:rsidR="00CF3A55">
        <w:rPr>
          <w:rFonts w:ascii="Times New Roman" w:hAnsi="Times New Roman" w:cs="Times New Roman"/>
          <w:lang w:val="es-ES_tradnl"/>
        </w:rPr>
        <w:t xml:space="preserve"> </w:t>
      </w:r>
      <w:r w:rsidR="00230164">
        <w:rPr>
          <w:rFonts w:ascii="Times New Roman" w:hAnsi="Times New Roman" w:cs="Times New Roman"/>
          <w:lang w:val="es-ES_tradnl"/>
        </w:rPr>
        <w:t xml:space="preserve">en que la violencia de género no es más que la manifestación de relaciones desiguales a lo largo de la historia entre mujeres y hombres, limitando los derechos y libertades fundamentales de las mujeres. </w:t>
      </w:r>
      <w:r w:rsidR="00153E7E">
        <w:rPr>
          <w:rFonts w:ascii="Times New Roman" w:hAnsi="Times New Roman" w:cs="Times New Roman"/>
          <w:lang w:val="es-ES_tradnl"/>
        </w:rPr>
        <w:t>Como se mencionaba anteriormente, la violencia de género tiene diferentes expresiones: física, psicológica, sexual y económica.</w:t>
      </w:r>
    </w:p>
    <w:p w14:paraId="47958D07" w14:textId="2BD1FAAD" w:rsidR="0026590C" w:rsidRDefault="00153E7E"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La </w:t>
      </w:r>
      <w:r w:rsidRPr="00576031">
        <w:rPr>
          <w:rFonts w:ascii="Times New Roman" w:hAnsi="Times New Roman" w:cs="Times New Roman"/>
          <w:u w:val="single"/>
          <w:lang w:val="es-ES_tradnl"/>
        </w:rPr>
        <w:t>violencia física</w:t>
      </w:r>
      <w:r>
        <w:rPr>
          <w:rFonts w:ascii="Times New Roman" w:hAnsi="Times New Roman" w:cs="Times New Roman"/>
          <w:lang w:val="es-ES_tradnl"/>
        </w:rPr>
        <w:t xml:space="preserve"> supone agresiones de tipo corporal, pudiendo ir desde un golpe sin herida hasta un homicidio o feminicidio, el término aplicado a asesinatos en los que la mujer es la víctima. Es la expresión más extrema de la violencia de género, culminando en la destrucción (</w:t>
      </w:r>
      <w:r w:rsidR="003E3F52">
        <w:rPr>
          <w:rFonts w:ascii="Times New Roman" w:hAnsi="Times New Roman" w:cs="Times New Roman"/>
          <w:lang w:val="es-ES_tradnl"/>
        </w:rPr>
        <w:t xml:space="preserve">Organización Mundial de la Salud, 2022). La </w:t>
      </w:r>
      <w:r w:rsidR="003E3F52" w:rsidRPr="00576031">
        <w:rPr>
          <w:rFonts w:ascii="Times New Roman" w:hAnsi="Times New Roman" w:cs="Times New Roman"/>
          <w:u w:val="single"/>
          <w:lang w:val="es-ES_tradnl"/>
        </w:rPr>
        <w:t>violencia sexual</w:t>
      </w:r>
      <w:r w:rsidR="003E3F52">
        <w:rPr>
          <w:rFonts w:ascii="Times New Roman" w:hAnsi="Times New Roman" w:cs="Times New Roman"/>
          <w:lang w:val="es-ES_tradnl"/>
        </w:rPr>
        <w:t xml:space="preserve"> hace referencia a cualquier acto sexual llevado a cabo sin el consentimiento del receptor, siendo en este caso la mujer. Esta incluye agresiones sexuales, coacciones, contactos no deseados y </w:t>
      </w:r>
      <w:r w:rsidR="0026590C">
        <w:rPr>
          <w:rFonts w:ascii="Times New Roman" w:hAnsi="Times New Roman" w:cs="Times New Roman"/>
          <w:lang w:val="es-ES_tradnl"/>
        </w:rPr>
        <w:t>amenazas arraigadas en el abuso de poder. Un estudio norteamericano (Fedina et ál., 2024) resume que aproximadamente una de cada tres mujeres, o un 33,33% de mujeres, ha sido víctima de violencia sexual en su vida; teniendo en cuenta que en diferentes culturas no globalizadas y con menos recursos socioeconómicos</w:t>
      </w:r>
      <w:r w:rsidR="00576031">
        <w:rPr>
          <w:rFonts w:ascii="Times New Roman" w:hAnsi="Times New Roman" w:cs="Times New Roman"/>
          <w:lang w:val="es-ES_tradnl"/>
        </w:rPr>
        <w:t xml:space="preserve"> el número podría ser mayor al no tener el mismo acceso al sistema judicial. La violencia sexual también se puede dar en grupo – la violencia en grupo entre jóvenes deriva de la necesidad de degradación y humillación de las mujeres por parte de los hombres, cuya edad se reduce estadísticamente cuando ocurre la agresión grupal (Santos-Hermoso y López-Ossorio, 2025). </w:t>
      </w:r>
    </w:p>
    <w:p w14:paraId="517D1101" w14:textId="49B1E7D3" w:rsidR="0026590C" w:rsidRDefault="00576031"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lastRenderedPageBreak/>
        <w:t xml:space="preserve">Por otra parte, la </w:t>
      </w:r>
      <w:r w:rsidRPr="00256158">
        <w:rPr>
          <w:rFonts w:ascii="Times New Roman" w:hAnsi="Times New Roman" w:cs="Times New Roman"/>
          <w:u w:val="single"/>
          <w:lang w:val="es-ES_tradnl"/>
        </w:rPr>
        <w:t xml:space="preserve">violencia psicológica </w:t>
      </w:r>
      <w:r>
        <w:rPr>
          <w:rFonts w:ascii="Times New Roman" w:hAnsi="Times New Roman" w:cs="Times New Roman"/>
          <w:lang w:val="es-ES_tradnl"/>
        </w:rPr>
        <w:t xml:space="preserve">es una de las formas menos visibilizadas de la violencia de género al no haber heridas rápidamente </w:t>
      </w:r>
      <w:r w:rsidR="007A1051">
        <w:rPr>
          <w:rFonts w:ascii="Times New Roman" w:hAnsi="Times New Roman" w:cs="Times New Roman"/>
          <w:lang w:val="es-ES_tradnl"/>
        </w:rPr>
        <w:t>detectables</w:t>
      </w:r>
      <w:r>
        <w:rPr>
          <w:rFonts w:ascii="Times New Roman" w:hAnsi="Times New Roman" w:cs="Times New Roman"/>
          <w:lang w:val="es-ES_tradnl"/>
        </w:rPr>
        <w:t>. Abarca humillaciones verbales, amenazas, control, aislamiento social y manipulación emocional; todas siendo mecanismos de dominación masculina ejercidas con el objetivo de deteriorar la salud mental de la mujer</w:t>
      </w:r>
      <w:r w:rsidR="007A1051">
        <w:rPr>
          <w:rFonts w:ascii="Times New Roman" w:hAnsi="Times New Roman" w:cs="Times New Roman"/>
          <w:lang w:val="es-ES_tradnl"/>
        </w:rPr>
        <w:t xml:space="preserve"> (European Institute for Gender Equality, 2022).</w:t>
      </w:r>
      <w:r w:rsidR="00085E59">
        <w:rPr>
          <w:rFonts w:ascii="Times New Roman" w:hAnsi="Times New Roman" w:cs="Times New Roman"/>
          <w:lang w:val="es-ES_tradnl"/>
        </w:rPr>
        <w:t xml:space="preserve"> Asimismo, se contempla la restricción financiera como una forma de </w:t>
      </w:r>
      <w:r w:rsidR="00085E59" w:rsidRPr="00256158">
        <w:rPr>
          <w:rFonts w:ascii="Times New Roman" w:hAnsi="Times New Roman" w:cs="Times New Roman"/>
          <w:u w:val="single"/>
          <w:lang w:val="es-ES_tradnl"/>
        </w:rPr>
        <w:t>violencia económica</w:t>
      </w:r>
      <w:r w:rsidR="00085E59">
        <w:rPr>
          <w:rFonts w:ascii="Times New Roman" w:hAnsi="Times New Roman" w:cs="Times New Roman"/>
          <w:lang w:val="es-ES_tradnl"/>
        </w:rPr>
        <w:t>, pues genera una dependencia material hacia el agresor, de forma que dificulta la ruptura de la relación violenta al estar aislada de un grupo de apoyo (Johnson et ál., 2022).</w:t>
      </w:r>
    </w:p>
    <w:p w14:paraId="1410DC60" w14:textId="429E3647" w:rsidR="007A1051" w:rsidRDefault="007A1051"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De forma complementaria, existe la </w:t>
      </w:r>
      <w:r w:rsidRPr="000B7958">
        <w:rPr>
          <w:rFonts w:ascii="Times New Roman" w:hAnsi="Times New Roman" w:cs="Times New Roman"/>
          <w:u w:val="single"/>
          <w:lang w:val="es-ES_tradnl"/>
        </w:rPr>
        <w:t>violencia digital</w:t>
      </w:r>
      <w:r>
        <w:rPr>
          <w:rFonts w:ascii="Times New Roman" w:hAnsi="Times New Roman" w:cs="Times New Roman"/>
          <w:lang w:val="es-ES_tradnl"/>
        </w:rPr>
        <w:t xml:space="preserve">, siendo ésta una combinación de las anteriores mediante la cual </w:t>
      </w:r>
      <w:r w:rsidR="00085E59">
        <w:rPr>
          <w:rFonts w:ascii="Times New Roman" w:hAnsi="Times New Roman" w:cs="Times New Roman"/>
          <w:lang w:val="es-ES_tradnl"/>
        </w:rPr>
        <w:t>la víctima recibe ciberacoso y vigilancia tecnológica. Estas prácticas reproducen las dinámicas de control y poder en el ámbito digital, propagando el impacto y alcance (European Institute for Gender Equality, 2022).</w:t>
      </w:r>
      <w:r>
        <w:rPr>
          <w:rFonts w:ascii="Times New Roman" w:hAnsi="Times New Roman" w:cs="Times New Roman"/>
          <w:lang w:val="es-ES_tradnl"/>
        </w:rPr>
        <w:t xml:space="preserve"> </w:t>
      </w:r>
    </w:p>
    <w:p w14:paraId="323004FF" w14:textId="77777777" w:rsidR="006653CF" w:rsidRDefault="00085E59"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Walby et ál. (2014) sostienen que la exclusión de la violencia de género del análisis contemporáneo de la criminología ha contribuido a su invisibilización, pues deriva en que las víctimas no reciben el apoyo que deberían obtener y los agresores se ven reforzados en su comportamiento al no sufrir las consecuencias penales. Del mismo modo, Heise et ál. (2019) contemplan la interacción entre las normas sociales, las desigualdades de género</w:t>
      </w:r>
      <w:r w:rsidR="006653CF">
        <w:rPr>
          <w:rFonts w:ascii="Times New Roman" w:hAnsi="Times New Roman" w:cs="Times New Roman"/>
          <w:lang w:val="es-ES_tradnl"/>
        </w:rPr>
        <w:t xml:space="preserve"> y </w:t>
      </w:r>
      <w:r>
        <w:rPr>
          <w:rFonts w:ascii="Times New Roman" w:hAnsi="Times New Roman" w:cs="Times New Roman"/>
          <w:lang w:val="es-ES_tradnl"/>
        </w:rPr>
        <w:t>la economía</w:t>
      </w:r>
      <w:r w:rsidR="006653CF">
        <w:rPr>
          <w:rFonts w:ascii="Times New Roman" w:hAnsi="Times New Roman" w:cs="Times New Roman"/>
          <w:lang w:val="es-ES_tradnl"/>
        </w:rPr>
        <w:t xml:space="preserve"> como factores facilitadores del control masculino.</w:t>
      </w:r>
    </w:p>
    <w:p w14:paraId="0E38CA26" w14:textId="77102261" w:rsidR="00085E59" w:rsidRDefault="006653CF"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La criminología feminista ha supuesto un eje central en el cuestionamiento de las explicaciones puramente centradas en las características del agresor, pues determinadas normas de género que legitiman la dominación masculina y la violencia simbólica como métodos para solucionar conflictos facilitan la continuación de la violencia contra las mujeres (Flood, 2015). Asimismo, la conformidad y adhesión a modelos tradicionales conservadores de la masculinidad se pueden asociar a altas tasas de violencia de género (Gibbs et ál., 2020).</w:t>
      </w:r>
    </w:p>
    <w:p w14:paraId="17A395E8" w14:textId="3F2BFFFD" w:rsidR="005B5FD4" w:rsidRDefault="00256158" w:rsidP="005B5FD4">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Uno de los problemas principales a la hora de determinar la tasa real de violencia de género es la cifra negra, que es el número de delitos que no han sido denunciados ni registrados. </w:t>
      </w:r>
      <w:r w:rsidR="00B81383">
        <w:rPr>
          <w:rFonts w:ascii="Times New Roman" w:hAnsi="Times New Roman" w:cs="Times New Roman"/>
          <w:lang w:val="es-ES_tradnl"/>
        </w:rPr>
        <w:t xml:space="preserve">El 30,3% de las mujeres de 16 o más residentes en España ha sufrido violencia de género por parte de su pareja o expareja en algún momento de su vida (Ministerio de Igualdad, 2024), pero esta misma macroencuesta </w:t>
      </w:r>
      <w:r>
        <w:rPr>
          <w:rFonts w:ascii="Times New Roman" w:hAnsi="Times New Roman" w:cs="Times New Roman"/>
          <w:lang w:val="es-ES_tradnl"/>
        </w:rPr>
        <w:t xml:space="preserve">reveló que una gran parte de las mujeres que son víctimas de violencia de género no llegan a denunciar los hechos por diferentes motivos, entre los que se pueden encontrar la dependencia económica y </w:t>
      </w:r>
      <w:r>
        <w:rPr>
          <w:rFonts w:ascii="Times New Roman" w:hAnsi="Times New Roman" w:cs="Times New Roman"/>
          <w:lang w:val="es-ES_tradnl"/>
        </w:rPr>
        <w:lastRenderedPageBreak/>
        <w:t>emocional en el agresor, miedo a no ser creída, miedo a perder su red de apoyo y la desconfianza en las instituciones. Esto deriva en que no se pueda medir el daño a escala real del fenómeno y en que la respuesta penal sea muy limitada</w:t>
      </w:r>
      <w:r w:rsidR="00D92BCF">
        <w:rPr>
          <w:rFonts w:ascii="Times New Roman" w:hAnsi="Times New Roman" w:cs="Times New Roman"/>
          <w:lang w:val="es-ES_tradnl"/>
        </w:rPr>
        <w:t>, pese a que las instituciones propongan métodos como el Sistema de Seguimiento Integral en los casos de Violencia de Género (VioGén) en España para proteger a las víctimas y evaluar el riesgo. No obstante, recientes artículos sugieren que estas herramientas de detección tienen sus límites al ser aplicadas sin formación y supervisión apropiada, por lo que requieren perspectivas críticas (Valdivia et ál., 2022).</w:t>
      </w:r>
    </w:p>
    <w:p w14:paraId="6F30CA8B" w14:textId="7CAFF47B" w:rsidR="00B81383" w:rsidRDefault="00B81383" w:rsidP="00B813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Michael Flood (2015) propuso educar principalmente a la población masculina para la erradicación y/o prevención de la violencia de género, enseñándoles la importancia del respeto e igualdad entre los miembros de una pareja. De esta forma, se inhibe la propagación de la masculinidad violenta y dominante</w:t>
      </w:r>
      <w:r w:rsidR="00EB6D04">
        <w:rPr>
          <w:rFonts w:ascii="Times New Roman" w:hAnsi="Times New Roman" w:cs="Times New Roman"/>
          <w:lang w:val="es-ES_tradnl"/>
        </w:rPr>
        <w:t xml:space="preserve"> (Flood, 2019). </w:t>
      </w:r>
      <w:r>
        <w:rPr>
          <w:rFonts w:ascii="Times New Roman" w:hAnsi="Times New Roman" w:cs="Times New Roman"/>
          <w:lang w:val="es-ES_tradnl"/>
        </w:rPr>
        <w:t xml:space="preserve">La literatura sobre la prevención de la violencia de género sugiere que los hombres son más receptivos a discursos sobre consentimiento y respeto en contextos relacionales cuando éstos son dados por otros hombres, debido a dinámica de homosocialidad – siendo ésta la preferencia por formar vínculos con personas del mismo sexo (Gómez-Osorio, J.D., 2022). </w:t>
      </w:r>
    </w:p>
    <w:p w14:paraId="7672710C" w14:textId="78DBF2F5" w:rsidR="00A30B47" w:rsidRDefault="000B7958" w:rsidP="009F3F4E">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Resulta</w:t>
      </w:r>
      <w:r w:rsidR="00B81383">
        <w:rPr>
          <w:rFonts w:ascii="Times New Roman" w:hAnsi="Times New Roman" w:cs="Times New Roman"/>
          <w:lang w:val="es-ES_tradnl"/>
        </w:rPr>
        <w:t xml:space="preserve"> importante destacar </w:t>
      </w:r>
      <w:r>
        <w:rPr>
          <w:rFonts w:ascii="Times New Roman" w:hAnsi="Times New Roman" w:cs="Times New Roman"/>
          <w:lang w:val="es-ES_tradnl"/>
        </w:rPr>
        <w:t xml:space="preserve">también </w:t>
      </w:r>
      <w:r w:rsidR="00B81383">
        <w:rPr>
          <w:rFonts w:ascii="Times New Roman" w:hAnsi="Times New Roman" w:cs="Times New Roman"/>
          <w:lang w:val="es-ES_tradnl"/>
        </w:rPr>
        <w:t xml:space="preserve">la masculinidad hegemónica. </w:t>
      </w:r>
      <w:r>
        <w:rPr>
          <w:rFonts w:ascii="Times New Roman" w:hAnsi="Times New Roman" w:cs="Times New Roman"/>
          <w:lang w:val="es-ES_tradnl"/>
        </w:rPr>
        <w:t>É</w:t>
      </w:r>
      <w:r w:rsidR="00B81383">
        <w:rPr>
          <w:rFonts w:ascii="Times New Roman" w:hAnsi="Times New Roman" w:cs="Times New Roman"/>
          <w:lang w:val="es-ES_tradnl"/>
        </w:rPr>
        <w:t xml:space="preserve">sta es un modelo cultural que legitima y </w:t>
      </w:r>
      <w:r>
        <w:rPr>
          <w:rFonts w:ascii="Times New Roman" w:hAnsi="Times New Roman" w:cs="Times New Roman"/>
          <w:lang w:val="es-ES_tradnl"/>
        </w:rPr>
        <w:t>fomenta la superioridad social de los hombres mediante el sostén de relaciones de poder desiguales donde las mujeres u hombres más débiles son los subordinados, pues las cualidades de un hombre ideal se asocian con autoridad, control y heterosexualidad normativa. Pese a no ser la norma entre los hombres, es un referente que organiza las expectativas y actúa como jerarquía social (Connell y Messerschmidt, 2005). Cuestionar la masculinidad hegemónica es esencial para comprender la persistencia de la violencia hacia la mujer y para proponer modelos alternativos de masculinidad cuya base sea el cuidado y no la agresividad hacia la mujer.</w:t>
      </w:r>
    </w:p>
    <w:p w14:paraId="2E5C2606" w14:textId="77777777" w:rsidR="009F3F4E" w:rsidRPr="00A30B47" w:rsidRDefault="009F3F4E" w:rsidP="009F3F4E">
      <w:pPr>
        <w:spacing w:line="360" w:lineRule="auto"/>
        <w:ind w:firstLine="709"/>
        <w:jc w:val="both"/>
        <w:rPr>
          <w:rFonts w:ascii="Times New Roman" w:hAnsi="Times New Roman" w:cs="Times New Roman"/>
          <w:lang w:val="es-ES_tradnl"/>
        </w:rPr>
      </w:pPr>
    </w:p>
    <w:p w14:paraId="3CFE9D9A" w14:textId="77777777" w:rsidR="006509A7" w:rsidRPr="00512076" w:rsidRDefault="006509A7" w:rsidP="00512076">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98" w:name="_Toc215253337"/>
      <w:bookmarkStart w:id="99" w:name="_Toc215253391"/>
      <w:bookmarkStart w:id="100" w:name="_Toc215255583"/>
      <w:bookmarkStart w:id="101" w:name="_Toc215256198"/>
      <w:bookmarkStart w:id="102" w:name="_Toc217838007"/>
      <w:bookmarkStart w:id="103" w:name="_Toc218416698"/>
      <w:bookmarkStart w:id="104" w:name="_Toc218422513"/>
      <w:bookmarkStart w:id="105" w:name="_Toc219919448"/>
      <w:bookmarkStart w:id="106" w:name="_Toc219919514"/>
      <w:bookmarkStart w:id="107" w:name="_Toc220260627"/>
      <w:bookmarkStart w:id="108" w:name="_Toc221125838"/>
      <w:bookmarkStart w:id="109" w:name="_Toc221212518"/>
      <w:r w:rsidRPr="00512076">
        <w:rPr>
          <w:rFonts w:ascii="Times New Roman" w:hAnsi="Times New Roman" w:cs="Times New Roman"/>
          <w:b/>
          <w:bCs/>
          <w:color w:val="000000" w:themeColor="text1"/>
          <w:sz w:val="24"/>
          <w:szCs w:val="24"/>
          <w:lang w:val="es-ES_tradnl"/>
        </w:rPr>
        <w:t>Violencia vicaria</w:t>
      </w:r>
      <w:bookmarkEnd w:id="98"/>
      <w:bookmarkEnd w:id="99"/>
      <w:bookmarkEnd w:id="100"/>
      <w:bookmarkEnd w:id="101"/>
      <w:bookmarkEnd w:id="102"/>
      <w:bookmarkEnd w:id="103"/>
      <w:bookmarkEnd w:id="104"/>
      <w:bookmarkEnd w:id="105"/>
      <w:bookmarkEnd w:id="106"/>
      <w:bookmarkEnd w:id="107"/>
      <w:bookmarkEnd w:id="108"/>
      <w:bookmarkEnd w:id="109"/>
    </w:p>
    <w:p w14:paraId="1530C296" w14:textId="1163663D" w:rsidR="006C7A37" w:rsidRDefault="00F502F1" w:rsidP="00263D1A">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El término violencia vicaria surge como una ramificación de la violencia de género. Supone una forma extrema de violencia en la que el agresor instrumentaliza el daño a terceras personas importantes para su mujer con el objetivo de menoscabar significativamente su bienestar psicológico, siendo en gran mayoría estas terceras </w:t>
      </w:r>
      <w:r>
        <w:rPr>
          <w:rFonts w:ascii="Times New Roman" w:hAnsi="Times New Roman" w:cs="Times New Roman"/>
          <w:lang w:val="es-ES_tradnl"/>
        </w:rPr>
        <w:lastRenderedPageBreak/>
        <w:t xml:space="preserve">personas, los hijos de ésta. Además de buscar la sumisión de la víctima a través de la agresión, la violencia vicaria también pretende disolver sus vínculos afectivos con el fin de controlar </w:t>
      </w:r>
      <w:r w:rsidR="00F26FA2">
        <w:rPr>
          <w:rFonts w:ascii="Times New Roman" w:hAnsi="Times New Roman" w:cs="Times New Roman"/>
          <w:lang w:val="es-ES_tradnl"/>
        </w:rPr>
        <w:t xml:space="preserve">y </w:t>
      </w:r>
      <w:r w:rsidR="006C7A37">
        <w:rPr>
          <w:rFonts w:ascii="Times New Roman" w:hAnsi="Times New Roman" w:cs="Times New Roman"/>
          <w:lang w:val="es-ES_tradnl"/>
        </w:rPr>
        <w:t xml:space="preserve">prolongar el sufrimiento </w:t>
      </w:r>
      <w:r w:rsidR="00F26FA2">
        <w:rPr>
          <w:rFonts w:ascii="Times New Roman" w:hAnsi="Times New Roman" w:cs="Times New Roman"/>
          <w:lang w:val="es-ES_tradnl"/>
        </w:rPr>
        <w:t>en caso de que la víctima pretenda separarse del agresor (Vaccaro, 20</w:t>
      </w:r>
      <w:r w:rsidR="00BE096D">
        <w:rPr>
          <w:rFonts w:ascii="Times New Roman" w:hAnsi="Times New Roman" w:cs="Times New Roman"/>
          <w:lang w:val="es-ES_tradnl"/>
        </w:rPr>
        <w:t>21)</w:t>
      </w:r>
      <w:r w:rsidR="00F26FA2">
        <w:rPr>
          <w:rFonts w:ascii="Times New Roman" w:hAnsi="Times New Roman" w:cs="Times New Roman"/>
          <w:lang w:val="es-ES_tradnl"/>
        </w:rPr>
        <w:t xml:space="preserve">. </w:t>
      </w:r>
    </w:p>
    <w:p w14:paraId="52717A3B" w14:textId="18C67F66" w:rsidR="006C7A37" w:rsidRDefault="00BE096D" w:rsidP="00263D1A">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Fue acuñado por primera vez en 2012 por la psicóloga clínica y forense Sonia Vaccaro</w:t>
      </w:r>
      <w:r w:rsidR="006C7A37">
        <w:rPr>
          <w:rFonts w:ascii="Times New Roman" w:hAnsi="Times New Roman" w:cs="Times New Roman"/>
          <w:lang w:val="es-ES_tradnl"/>
        </w:rPr>
        <w:t xml:space="preserve"> </w:t>
      </w:r>
      <w:r w:rsidR="001A14A5">
        <w:rPr>
          <w:rFonts w:ascii="Times New Roman" w:hAnsi="Times New Roman" w:cs="Times New Roman"/>
          <w:lang w:val="es-ES_tradnl"/>
        </w:rPr>
        <w:t>al fijarse en cómo se comportaban los padres con los menores en el momento en que sus mujeres decidían poner distancia entre ellos, llegando incluso al asesinato. Su definición se redujo a lo siguiente: “</w:t>
      </w:r>
      <w:r w:rsidR="001A14A5" w:rsidRPr="001A14A5">
        <w:rPr>
          <w:rFonts w:ascii="Times New Roman" w:hAnsi="Times New Roman" w:cs="Times New Roman"/>
          <w:i/>
          <w:iCs/>
          <w:lang w:val="es-ES_tradnl"/>
        </w:rPr>
        <w:t>aquella forma de violencia contra la mujer que se apropiaba de los hijos e hijas como objetos para continuar dañándola, sacando ventaja del derecho que le otorgaban las leyes y que respetaban a rajatabla la justicia y las instituciones, aprovechando la supremacía de mantener siempre el contacto con ellos</w:t>
      </w:r>
      <w:r w:rsidR="001A14A5">
        <w:rPr>
          <w:rFonts w:ascii="Times New Roman" w:hAnsi="Times New Roman" w:cs="Times New Roman"/>
          <w:lang w:val="es-ES_tradnl"/>
        </w:rPr>
        <w:t>” (Vaccaro, 2023).</w:t>
      </w:r>
    </w:p>
    <w:p w14:paraId="332A7381" w14:textId="6F12626A" w:rsidR="00077AA7" w:rsidRDefault="00077AA7" w:rsidP="00263D1A">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Desde un punto de vista feminista, psicológico y criminológico, la violencia vicaria es una dinámica de poder derivada del sistema patriarcal al que se adscribe la sociedad contemporánea</w:t>
      </w:r>
      <w:r w:rsidR="00852A37">
        <w:rPr>
          <w:rFonts w:ascii="Times New Roman" w:hAnsi="Times New Roman" w:cs="Times New Roman"/>
          <w:lang w:val="es-ES_tradnl"/>
        </w:rPr>
        <w:t xml:space="preserve"> en la que los hijos son concebidos desde un punto de vista posesivo. Es decir, los hijos pasan a ser objetos de propiedad por extensión de la mujer, dejando de verse como sujetos plenos de derechos autónomos, motivo por el cual se convierten en herramientas o instrumentos con los que coercer a su madre (Millett, 2000).</w:t>
      </w:r>
    </w:p>
    <w:p w14:paraId="35AEDDD6" w14:textId="77777777" w:rsidR="003F3B72" w:rsidRDefault="00852A37" w:rsidP="003F3B72">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 xml:space="preserve">Pese a ser </w:t>
      </w:r>
      <w:r w:rsidR="006E435B">
        <w:rPr>
          <w:rFonts w:ascii="Times New Roman" w:hAnsi="Times New Roman" w:cs="Times New Roman"/>
          <w:lang w:val="es-ES_tradnl"/>
        </w:rPr>
        <w:t>el</w:t>
      </w:r>
      <w:r>
        <w:rPr>
          <w:rFonts w:ascii="Times New Roman" w:hAnsi="Times New Roman" w:cs="Times New Roman"/>
          <w:lang w:val="es-ES_tradnl"/>
        </w:rPr>
        <w:t xml:space="preserve"> más conocid</w:t>
      </w:r>
      <w:r w:rsidR="006E435B">
        <w:rPr>
          <w:rFonts w:ascii="Times New Roman" w:hAnsi="Times New Roman" w:cs="Times New Roman"/>
          <w:lang w:val="es-ES_tradnl"/>
        </w:rPr>
        <w:t>o</w:t>
      </w:r>
      <w:r>
        <w:rPr>
          <w:rFonts w:ascii="Times New Roman" w:hAnsi="Times New Roman" w:cs="Times New Roman"/>
          <w:lang w:val="es-ES_tradnl"/>
        </w:rPr>
        <w:t xml:space="preserve">, el filicidio no siempre es el resultado final de la violencia vicaria. Algunas de las formas que toma son: manipulación emocional de los menores, privación del contacto con la madre o instrumentalización en procesos judiciales para favorecer al padres desde la perspectiva del juez. </w:t>
      </w:r>
      <w:r w:rsidR="000E604B">
        <w:rPr>
          <w:rFonts w:ascii="Times New Roman" w:hAnsi="Times New Roman" w:cs="Times New Roman"/>
          <w:lang w:val="es-ES_tradnl"/>
        </w:rPr>
        <w:t>Todo ello está llevado a cabo con el fin de eliminar la amenaza contra la posición de poder que ostenta al agresor con respecto a su familia, restableciendo la jerarquía simbólica.</w:t>
      </w:r>
      <w:r w:rsidR="003F3B72">
        <w:rPr>
          <w:rFonts w:ascii="Times New Roman" w:hAnsi="Times New Roman" w:cs="Times New Roman"/>
          <w:lang w:val="es-ES_tradnl"/>
        </w:rPr>
        <w:t xml:space="preserve"> </w:t>
      </w:r>
      <w:r w:rsidR="000E604B">
        <w:rPr>
          <w:rFonts w:ascii="Times New Roman" w:hAnsi="Times New Roman" w:cs="Times New Roman"/>
          <w:lang w:val="es-ES_tradnl"/>
        </w:rPr>
        <w:t xml:space="preserve">Ha quedado empíricamente demostrado que la exposición </w:t>
      </w:r>
      <w:r w:rsidR="006E435B">
        <w:rPr>
          <w:rFonts w:ascii="Times New Roman" w:hAnsi="Times New Roman" w:cs="Times New Roman"/>
          <w:lang w:val="es-ES_tradnl"/>
        </w:rPr>
        <w:t xml:space="preserve">de menores a violencia de género supone también una variante de maltrato infantil, con consecuencias a corto y largo plazo en lo que respecta </w:t>
      </w:r>
      <w:r w:rsidR="00D371DE">
        <w:rPr>
          <w:rFonts w:ascii="Times New Roman" w:hAnsi="Times New Roman" w:cs="Times New Roman"/>
          <w:lang w:val="es-ES_tradnl"/>
        </w:rPr>
        <w:t>a su desarrollo social, cognitivo y emocional. En familias en las que la dinámica consiste en una agresión continuada pese a estar los padres separados, el sistema penal ha priorizado históricamente los derechos parentales del progenitor ante el bienestar familiar bajo el supuesto de que el vínculo con su hijo no guardaba relación con aquel compartido con su madre (Holt et ál., 2008).</w:t>
      </w:r>
      <w:r w:rsidR="004D1DBB">
        <w:rPr>
          <w:rFonts w:ascii="Times New Roman" w:hAnsi="Times New Roman" w:cs="Times New Roman"/>
          <w:lang w:val="es-ES_tradnl"/>
        </w:rPr>
        <w:t xml:space="preserve"> </w:t>
      </w:r>
    </w:p>
    <w:p w14:paraId="5956AC0D" w14:textId="4E5533BE" w:rsidR="000E604B" w:rsidRDefault="00D371DE" w:rsidP="003F3B72">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lastRenderedPageBreak/>
        <w:t>Esto supone un obstáculo más en la protección del menor, pue</w:t>
      </w:r>
      <w:r w:rsidR="004D1DBB">
        <w:rPr>
          <w:rFonts w:ascii="Times New Roman" w:hAnsi="Times New Roman" w:cs="Times New Roman"/>
          <w:lang w:val="es-ES_tradnl"/>
        </w:rPr>
        <w:t>s no siempre una relación con su progenitor agresor es positiva. Diversos estudios evidencian que los niños expuestos a este tipo de violencia presentan altos niveles de ansiedad, depresión, dificultades en la regulación emocional y una consecuente reproducción de los patrones de violencia en sus relaciones futuras</w:t>
      </w:r>
      <w:r w:rsidR="00840A94">
        <w:rPr>
          <w:rFonts w:ascii="Times New Roman" w:hAnsi="Times New Roman" w:cs="Times New Roman"/>
          <w:lang w:val="es-ES_tradnl"/>
        </w:rPr>
        <w:t>. En este contexto, los daños se intensifican al ser los menores víctimas directas del conflicto, donde se les somete a manipulación psicológica y se ven entre lealtades forzosas. El agresor instrumentaliza el vínculo afectivo entre madre-hijo, sabiendo que la madre sufrirá más en cuanto su hijo sufra (Kitzmann</w:t>
      </w:r>
      <w:r w:rsidR="000069BA">
        <w:rPr>
          <w:rFonts w:ascii="Times New Roman" w:hAnsi="Times New Roman" w:cs="Times New Roman"/>
          <w:lang w:val="es-ES_tradnl"/>
        </w:rPr>
        <w:t xml:space="preserve"> et ál.,</w:t>
      </w:r>
      <w:r w:rsidR="00840A94">
        <w:rPr>
          <w:rFonts w:ascii="Times New Roman" w:hAnsi="Times New Roman" w:cs="Times New Roman"/>
          <w:lang w:val="es-ES_tradnl"/>
        </w:rPr>
        <w:t xml:space="preserve"> 2003).</w:t>
      </w:r>
    </w:p>
    <w:p w14:paraId="1F5F35CB" w14:textId="62ECC785" w:rsidR="000069BA" w:rsidRDefault="000069BA" w:rsidP="004D1DBB">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En España, tras el aumento de asesinatos de menores como consecuencia de violencia de género, el reconocimiento institucional de esta ha sido fundamental. Queda recogida en la Ley Orgánica 8/2021, de Protección Integral a la Infancia y Adolescencia Frente a la Violencia, donde los menores se consideran víctimas directas de violencia de género, y no daños colaterales (BOE, 2021). Gracias a ello</w:t>
      </w:r>
      <w:r w:rsidR="00AB153E">
        <w:rPr>
          <w:rFonts w:ascii="Times New Roman" w:hAnsi="Times New Roman" w:cs="Times New Roman"/>
          <w:lang w:val="es-ES_tradnl"/>
        </w:rPr>
        <w:t>, organismos internacionales han reconocido que no se puede ejercer una paternidad segura en contexto de violencia de género, y la imposición de regímenes de visitas sin una previa evaluación del contexto y del menor puede derivar en graves consecuencias, como lo sería la revictimización (Save the Children, 2022), pero en el sistema penal continúa primando el derecho del agresor ante el del menor, evidenciado por la forzada coparentalidad bajo el pretexto del interés superior del meno</w:t>
      </w:r>
      <w:r w:rsidR="009B7B83">
        <w:rPr>
          <w:rFonts w:ascii="Times New Roman" w:hAnsi="Times New Roman" w:cs="Times New Roman"/>
          <w:lang w:val="es-ES_tradnl"/>
        </w:rPr>
        <w:t>r (Lapierre, 2009).</w:t>
      </w:r>
    </w:p>
    <w:p w14:paraId="6B09E530" w14:textId="47D2B0F8" w:rsidR="009B7B83" w:rsidRDefault="009B7B83" w:rsidP="004D1DBB">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Al hablar de “revictimización”, conceptualmente hace referencia a los tres tipos de victimización que existen acorde al tipo de agresor. En el análisis de la violencia vicaria se pueden observar conductas que se refuerzan mutuamente. La victimización primaria del menor en la violencia vicaria hace referencia al contexto en el que sufre un daño directo por parte del agresor, pudiendo amenazas, abandono, negligencia, asesinato o el hecho de ser testigo de violencia hacia su madre (Holt et ál., 2008). Por otro lado, la victimización secundaria se atribuye a la situación en la que el menor recibe una respuesta institucional inadecuada</w:t>
      </w:r>
      <w:r w:rsidR="009F3F4E">
        <w:rPr>
          <w:rFonts w:ascii="Times New Roman" w:hAnsi="Times New Roman" w:cs="Times New Roman"/>
          <w:lang w:val="es-ES_tradnl"/>
        </w:rPr>
        <w:t xml:space="preserve">, de forma que su sufrimiento se prolonga indebidamente. Se podría considerar el régimen de visita forzado como un ejemplo, al igual que la minimización de las consecuencias que la visualización de la violencia puede tener en su vida (Save the Children, 2022). La victimización terciaria está asociada a la respuesta social, por lo que en caso de la violencia vicaria es la invisibilización por parte de la sociedad del sufrimiento de los menores, que en ocasiones tan sólo les considera testigos </w:t>
      </w:r>
      <w:r w:rsidR="009F3F4E">
        <w:rPr>
          <w:rFonts w:ascii="Times New Roman" w:hAnsi="Times New Roman" w:cs="Times New Roman"/>
          <w:lang w:val="es-ES_tradnl"/>
        </w:rPr>
        <w:lastRenderedPageBreak/>
        <w:t>en lugar de víctimas. Es este factor el que más impulsa al agresor al perpetuar estas conductas, pues se ve más impune ante la ley; y a cambio, los menores reciben el mensaje de que su experiencia y sentimientos no son importantes (Lapierre, 2009).</w:t>
      </w:r>
    </w:p>
    <w:p w14:paraId="75890B6E" w14:textId="7355CE44" w:rsidR="003F3B72" w:rsidRDefault="003F3B72" w:rsidP="004D1DBB">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Para asegurar la adecuada protección del menor, es necesario que las instituciones correspondientes puedan identificar patrones que les permitan actuar prematuramente, antes de que haya peligro inminente. Ciertos factores de riesgo de violencia vicaria que pueden ayudar a psicólogos, jueces y trabajadores sociales a ubicar dinámicas violentas son:</w:t>
      </w:r>
    </w:p>
    <w:p w14:paraId="79AFEC60" w14:textId="69AF378A" w:rsidR="003F3B72" w:rsidRDefault="00546034" w:rsidP="003F3B72">
      <w:pPr>
        <w:pStyle w:val="ListParagraph"/>
        <w:numPr>
          <w:ilvl w:val="0"/>
          <w:numId w:val="31"/>
        </w:numPr>
        <w:spacing w:line="360" w:lineRule="auto"/>
        <w:jc w:val="both"/>
        <w:rPr>
          <w:rFonts w:ascii="Times New Roman" w:hAnsi="Times New Roman" w:cs="Times New Roman"/>
          <w:lang w:val="es-ES_tradnl"/>
        </w:rPr>
      </w:pPr>
      <w:r>
        <w:rPr>
          <w:rFonts w:ascii="Times New Roman" w:hAnsi="Times New Roman" w:cs="Times New Roman"/>
          <w:lang w:val="es-ES_tradnl"/>
        </w:rPr>
        <w:t>Violencia de género presente en el hogar: desde el momento en el que la madre del menor es víctima de violencia de género, cabe la posibilidad de que coexista con violencia vicaria. Una prolongada exposición a dinámicas violentas entre progenitores puede derivar en una vulnerabilidad mayor en el menor, por lo que puede ser percibido como una diana más sencilla (</w:t>
      </w:r>
      <w:r w:rsidRPr="00263EB3">
        <w:rPr>
          <w:rFonts w:ascii="Times New Roman" w:hAnsi="Times New Roman" w:cs="Times New Roman"/>
          <w:lang w:val="es-ES_tradnl"/>
        </w:rPr>
        <w:t>UNICEF</w:t>
      </w:r>
      <w:r w:rsidR="00263EB3">
        <w:rPr>
          <w:rFonts w:ascii="Times New Roman" w:hAnsi="Times New Roman" w:cs="Times New Roman"/>
          <w:lang w:val="es-ES_tradnl"/>
        </w:rPr>
        <w:t>, 2006</w:t>
      </w:r>
      <w:r>
        <w:rPr>
          <w:rFonts w:ascii="Times New Roman" w:hAnsi="Times New Roman" w:cs="Times New Roman"/>
          <w:lang w:val="es-ES_tradnl"/>
        </w:rPr>
        <w:t>).</w:t>
      </w:r>
    </w:p>
    <w:p w14:paraId="25A19DAE" w14:textId="6EC0FB7A" w:rsidR="00546034" w:rsidRDefault="00263EB3" w:rsidP="003F3B72">
      <w:pPr>
        <w:pStyle w:val="ListParagraph"/>
        <w:numPr>
          <w:ilvl w:val="0"/>
          <w:numId w:val="31"/>
        </w:numPr>
        <w:spacing w:line="360" w:lineRule="auto"/>
        <w:jc w:val="both"/>
        <w:rPr>
          <w:rFonts w:ascii="Times New Roman" w:hAnsi="Times New Roman" w:cs="Times New Roman"/>
          <w:lang w:val="es-ES_tradnl"/>
        </w:rPr>
      </w:pPr>
      <w:r>
        <w:rPr>
          <w:rFonts w:ascii="Times New Roman" w:hAnsi="Times New Roman" w:cs="Times New Roman"/>
          <w:lang w:val="es-ES_tradnl"/>
        </w:rPr>
        <w:t>Inicios de procedimientos</w:t>
      </w:r>
      <w:r w:rsidR="00546034">
        <w:rPr>
          <w:rFonts w:ascii="Times New Roman" w:hAnsi="Times New Roman" w:cs="Times New Roman"/>
          <w:lang w:val="es-ES_tradnl"/>
        </w:rPr>
        <w:t xml:space="preserve"> de separación o divorcio: cuando la madre toma la decisión de separarse, aumenta el riesgo de que los menores sean víctimas, pues la pareja deja de tener el mismo control sobre ellos. Sobre todo en contextos judiciales en los que los menores son oídos por el Juez, los menores pueden ser instrumentalizados a favor de un padre o de otro mediante discursos aprendidos y lealtades forzadas (</w:t>
      </w:r>
      <w:r>
        <w:rPr>
          <w:rFonts w:ascii="Times New Roman" w:hAnsi="Times New Roman" w:cs="Times New Roman"/>
          <w:lang w:val="es-ES_tradnl"/>
        </w:rPr>
        <w:t xml:space="preserve">UNODC, 2018; </w:t>
      </w:r>
      <w:r w:rsidR="00546034">
        <w:rPr>
          <w:rFonts w:ascii="Times New Roman" w:hAnsi="Times New Roman" w:cs="Times New Roman"/>
          <w:lang w:val="es-ES_tradnl"/>
        </w:rPr>
        <w:t>Vaccaro, 2023).</w:t>
      </w:r>
    </w:p>
    <w:p w14:paraId="6B03FC65" w14:textId="31A02E58" w:rsidR="00546034" w:rsidRDefault="00546034" w:rsidP="003F3B72">
      <w:pPr>
        <w:pStyle w:val="ListParagraph"/>
        <w:numPr>
          <w:ilvl w:val="0"/>
          <w:numId w:val="31"/>
        </w:numPr>
        <w:spacing w:line="360" w:lineRule="auto"/>
        <w:jc w:val="both"/>
        <w:rPr>
          <w:rFonts w:ascii="Times New Roman" w:hAnsi="Times New Roman" w:cs="Times New Roman"/>
          <w:lang w:val="es-ES_tradnl"/>
        </w:rPr>
      </w:pPr>
      <w:r>
        <w:rPr>
          <w:rFonts w:ascii="Times New Roman" w:hAnsi="Times New Roman" w:cs="Times New Roman"/>
          <w:lang w:val="es-ES_tradnl"/>
        </w:rPr>
        <w:t>Hijos menores pequeños: según VioGén, una gran proporción de los casos de violencia de género incluye a víctimas con hijos menores a cargo. Aproximadamente 1.400 menores estaban en riesgo elevado o extremo de sufrir violencia vicaria en 2025 (Ministerio de Igualdad, 2025).</w:t>
      </w:r>
    </w:p>
    <w:p w14:paraId="04AAD132" w14:textId="1039E1DC" w:rsidR="00546034" w:rsidRDefault="00546034" w:rsidP="003F3B72">
      <w:pPr>
        <w:pStyle w:val="ListParagraph"/>
        <w:numPr>
          <w:ilvl w:val="0"/>
          <w:numId w:val="31"/>
        </w:num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Bajo apoyo familiar, social e institucional: al ser mujeres que han terminado por estar aisladas por consecuencia de violencia de género o por ausencia de </w:t>
      </w:r>
      <w:r w:rsidR="00263EB3">
        <w:rPr>
          <w:rFonts w:ascii="Times New Roman" w:hAnsi="Times New Roman" w:cs="Times New Roman"/>
          <w:lang w:val="es-ES_tradnl"/>
        </w:rPr>
        <w:t>apoyo social, los agresores las consideran víctimas más accesibles porque consideran que no podrán defenderse (Vaccaro, 2023).</w:t>
      </w:r>
    </w:p>
    <w:p w14:paraId="5587B8B8" w14:textId="0C90A1AC" w:rsidR="00263EB3" w:rsidRDefault="00263EB3" w:rsidP="003F3B72">
      <w:pPr>
        <w:pStyle w:val="ListParagraph"/>
        <w:numPr>
          <w:ilvl w:val="0"/>
          <w:numId w:val="31"/>
        </w:numPr>
        <w:spacing w:line="360" w:lineRule="auto"/>
        <w:jc w:val="both"/>
        <w:rPr>
          <w:rFonts w:ascii="Times New Roman" w:hAnsi="Times New Roman" w:cs="Times New Roman"/>
          <w:lang w:val="es-ES_tradnl"/>
        </w:rPr>
      </w:pPr>
      <w:r>
        <w:rPr>
          <w:rFonts w:ascii="Times New Roman" w:hAnsi="Times New Roman" w:cs="Times New Roman"/>
          <w:lang w:val="es-ES_tradnl"/>
        </w:rPr>
        <w:t>Respuesta institucional insuficiente: la desprotección institucional supone una perpetuación del daño y contribuye al empoderamiento del agresor, validando su comportamiento (UNODC, 2018).</w:t>
      </w:r>
    </w:p>
    <w:p w14:paraId="6E4016EB" w14:textId="50DF2F7D" w:rsidR="00F502F1" w:rsidRPr="008E6D91" w:rsidRDefault="00263EB3" w:rsidP="008E6D91">
      <w:pPr>
        <w:spacing w:line="360" w:lineRule="auto"/>
        <w:ind w:firstLine="720"/>
        <w:jc w:val="both"/>
        <w:rPr>
          <w:rFonts w:ascii="Times New Roman" w:hAnsi="Times New Roman" w:cs="Times New Roman"/>
          <w:color w:val="000000" w:themeColor="text1"/>
          <w:lang w:val="es-ES_tradnl"/>
        </w:rPr>
      </w:pPr>
      <w:r w:rsidRPr="008E6D91">
        <w:rPr>
          <w:rFonts w:ascii="Times New Roman" w:hAnsi="Times New Roman" w:cs="Times New Roman"/>
          <w:color w:val="000000" w:themeColor="text1"/>
          <w:lang w:val="es-ES_tradnl"/>
        </w:rPr>
        <w:t xml:space="preserve">Estos factores evidencian la necesidad de intervenciones preventivas </w:t>
      </w:r>
      <w:r w:rsidR="00486067" w:rsidRPr="008E6D91">
        <w:rPr>
          <w:rFonts w:ascii="Times New Roman" w:hAnsi="Times New Roman" w:cs="Times New Roman"/>
          <w:color w:val="000000" w:themeColor="text1"/>
          <w:lang w:val="es-ES_tradnl"/>
        </w:rPr>
        <w:t xml:space="preserve">junto con una educación necesaria tanto para mujeres como para hombres en la que se fomenten </w:t>
      </w:r>
      <w:r w:rsidR="00486067" w:rsidRPr="008E6D91">
        <w:rPr>
          <w:rFonts w:ascii="Times New Roman" w:hAnsi="Times New Roman" w:cs="Times New Roman"/>
          <w:color w:val="000000" w:themeColor="text1"/>
          <w:lang w:val="es-ES_tradnl"/>
        </w:rPr>
        <w:lastRenderedPageBreak/>
        <w:t>relaciones donde el poder se distribuya equitativamente, y los menores se consideren agentes autónomos y no objetos a instrumentalizar.</w:t>
      </w:r>
      <w:r w:rsidRPr="008E6D91">
        <w:rPr>
          <w:rFonts w:ascii="Times New Roman" w:hAnsi="Times New Roman" w:cs="Times New Roman"/>
          <w:color w:val="000000" w:themeColor="text1"/>
          <w:lang w:val="es-ES_tradnl"/>
        </w:rPr>
        <w:t xml:space="preserve"> </w:t>
      </w:r>
    </w:p>
    <w:p w14:paraId="27D718BC" w14:textId="4060C1A5" w:rsidR="003E0D86" w:rsidRDefault="003E0D86" w:rsidP="00A55BC5">
      <w:pPr>
        <w:pStyle w:val="Heading1"/>
        <w:numPr>
          <w:ilvl w:val="0"/>
          <w:numId w:val="17"/>
        </w:numPr>
        <w:jc w:val="both"/>
        <w:rPr>
          <w:rFonts w:ascii="Times New Roman" w:hAnsi="Times New Roman" w:cs="Times New Roman"/>
          <w:b/>
          <w:bCs/>
          <w:color w:val="000000" w:themeColor="text1"/>
          <w:sz w:val="24"/>
          <w:szCs w:val="24"/>
          <w:lang w:val="es-ES_tradnl"/>
        </w:rPr>
      </w:pPr>
      <w:bookmarkStart w:id="110" w:name="_Toc215252698"/>
      <w:bookmarkStart w:id="111" w:name="_Toc215253004"/>
      <w:bookmarkStart w:id="112" w:name="_Toc215253338"/>
      <w:bookmarkStart w:id="113" w:name="_Toc215253392"/>
      <w:bookmarkStart w:id="114" w:name="_Toc215255584"/>
      <w:bookmarkStart w:id="115" w:name="_Toc215256199"/>
      <w:bookmarkStart w:id="116" w:name="_Toc217838008"/>
      <w:bookmarkStart w:id="117" w:name="_Toc218416699"/>
      <w:bookmarkStart w:id="118" w:name="_Toc218422514"/>
      <w:bookmarkStart w:id="119" w:name="_Toc219919449"/>
      <w:bookmarkStart w:id="120" w:name="_Toc219919515"/>
      <w:bookmarkStart w:id="121" w:name="_Toc220260628"/>
      <w:bookmarkStart w:id="122" w:name="_Toc221125839"/>
      <w:bookmarkStart w:id="123" w:name="_Toc221212519"/>
      <w:r w:rsidRPr="002A7E10">
        <w:rPr>
          <w:rFonts w:ascii="Times New Roman" w:hAnsi="Times New Roman" w:cs="Times New Roman"/>
          <w:b/>
          <w:bCs/>
          <w:color w:val="000000" w:themeColor="text1"/>
          <w:sz w:val="24"/>
          <w:szCs w:val="24"/>
          <w:lang w:val="es-ES_tradnl"/>
        </w:rPr>
        <w:t>Teorías de la Criminalidad</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35684F6B" w14:textId="7BC81459" w:rsidR="00720535" w:rsidRDefault="00C53CD8" w:rsidP="00BC6002">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Con el objetivo de comprender</w:t>
      </w:r>
      <w:r w:rsidR="00720535" w:rsidRPr="00720535">
        <w:rPr>
          <w:rFonts w:ascii="Times New Roman" w:hAnsi="Times New Roman" w:cs="Times New Roman"/>
          <w:lang w:val="es-ES_tradnl"/>
        </w:rPr>
        <w:t xml:space="preserve"> el comportamiento de aquellas personas que cometen delitos </w:t>
      </w:r>
      <w:r>
        <w:rPr>
          <w:rFonts w:ascii="Times New Roman" w:hAnsi="Times New Roman" w:cs="Times New Roman"/>
          <w:lang w:val="es-ES_tradnl"/>
        </w:rPr>
        <w:t>vinculados</w:t>
      </w:r>
      <w:r w:rsidR="00720535" w:rsidRPr="00720535">
        <w:rPr>
          <w:rFonts w:ascii="Times New Roman" w:hAnsi="Times New Roman" w:cs="Times New Roman"/>
          <w:lang w:val="es-ES_tradnl"/>
        </w:rPr>
        <w:t xml:space="preserve"> </w:t>
      </w:r>
      <w:r>
        <w:rPr>
          <w:rFonts w:ascii="Times New Roman" w:hAnsi="Times New Roman" w:cs="Times New Roman"/>
          <w:lang w:val="es-ES_tradnl"/>
        </w:rPr>
        <w:t>a</w:t>
      </w:r>
      <w:r w:rsidR="00720535" w:rsidRPr="00720535">
        <w:rPr>
          <w:rFonts w:ascii="Times New Roman" w:hAnsi="Times New Roman" w:cs="Times New Roman"/>
          <w:lang w:val="es-ES_tradnl"/>
        </w:rPr>
        <w:t xml:space="preserve"> la violencia de género, se </w:t>
      </w:r>
      <w:r>
        <w:rPr>
          <w:rFonts w:ascii="Times New Roman" w:hAnsi="Times New Roman" w:cs="Times New Roman"/>
          <w:lang w:val="es-ES_tradnl"/>
        </w:rPr>
        <w:t>analizarán</w:t>
      </w:r>
      <w:r w:rsidR="00720535" w:rsidRPr="00720535">
        <w:rPr>
          <w:rFonts w:ascii="Times New Roman" w:hAnsi="Times New Roman" w:cs="Times New Roman"/>
          <w:lang w:val="es-ES_tradnl"/>
        </w:rPr>
        <w:t xml:space="preserve"> diferentes teorías de la criminalidad </w:t>
      </w:r>
      <w:r>
        <w:rPr>
          <w:rFonts w:ascii="Times New Roman" w:hAnsi="Times New Roman" w:cs="Times New Roman"/>
          <w:lang w:val="es-ES_tradnl"/>
        </w:rPr>
        <w:t xml:space="preserve">centradas en la </w:t>
      </w:r>
      <w:r w:rsidR="00720535" w:rsidRPr="00720535">
        <w:rPr>
          <w:rFonts w:ascii="Times New Roman" w:hAnsi="Times New Roman" w:cs="Times New Roman"/>
          <w:lang w:val="es-ES_tradnl"/>
        </w:rPr>
        <w:t>conducta</w:t>
      </w:r>
      <w:r>
        <w:rPr>
          <w:rFonts w:ascii="Times New Roman" w:hAnsi="Times New Roman" w:cs="Times New Roman"/>
          <w:lang w:val="es-ES_tradnl"/>
        </w:rPr>
        <w:t xml:space="preserve"> delictiva</w:t>
      </w:r>
      <w:r w:rsidR="00720535" w:rsidRPr="00720535">
        <w:rPr>
          <w:rFonts w:ascii="Times New Roman" w:hAnsi="Times New Roman" w:cs="Times New Roman"/>
          <w:lang w:val="es-ES_tradnl"/>
        </w:rPr>
        <w:t xml:space="preserve"> y la </w:t>
      </w:r>
      <w:r>
        <w:rPr>
          <w:rFonts w:ascii="Times New Roman" w:hAnsi="Times New Roman" w:cs="Times New Roman"/>
          <w:lang w:val="es-ES_tradnl"/>
        </w:rPr>
        <w:t>interacción</w:t>
      </w:r>
      <w:r w:rsidR="00720535" w:rsidRPr="00720535">
        <w:rPr>
          <w:rFonts w:ascii="Times New Roman" w:hAnsi="Times New Roman" w:cs="Times New Roman"/>
          <w:lang w:val="es-ES_tradnl"/>
        </w:rPr>
        <w:t xml:space="preserve"> con el entorno. </w:t>
      </w:r>
      <w:r w:rsidR="00720026">
        <w:rPr>
          <w:rFonts w:ascii="Times New Roman" w:hAnsi="Times New Roman" w:cs="Times New Roman"/>
          <w:lang w:val="es-ES_tradnl"/>
        </w:rPr>
        <w:t>Entre las más empleadas y desarrolladas, s</w:t>
      </w:r>
      <w:r>
        <w:rPr>
          <w:rFonts w:ascii="Times New Roman" w:hAnsi="Times New Roman" w:cs="Times New Roman"/>
          <w:lang w:val="es-ES_tradnl"/>
        </w:rPr>
        <w:t>e pueden encontrar</w:t>
      </w:r>
      <w:r w:rsidR="00720535" w:rsidRPr="00720535">
        <w:rPr>
          <w:rFonts w:ascii="Times New Roman" w:hAnsi="Times New Roman" w:cs="Times New Roman"/>
          <w:lang w:val="es-ES_tradnl"/>
        </w:rPr>
        <w:t xml:space="preserve"> la teoría de la elección racional, la teoría del control social, la teoría de las actividades rutinarias y la teoría del etiquetamiento.</w:t>
      </w:r>
    </w:p>
    <w:p w14:paraId="5B87E17A" w14:textId="77777777" w:rsidR="00BC6002" w:rsidRPr="00BC6002" w:rsidRDefault="00BC6002" w:rsidP="00BC6002">
      <w:pPr>
        <w:spacing w:line="360" w:lineRule="auto"/>
        <w:ind w:firstLine="720"/>
        <w:jc w:val="both"/>
        <w:rPr>
          <w:rFonts w:ascii="Times New Roman" w:hAnsi="Times New Roman" w:cs="Times New Roman"/>
          <w:lang w:val="es-ES_tradnl"/>
        </w:rPr>
      </w:pPr>
    </w:p>
    <w:p w14:paraId="5635A275" w14:textId="24B35188" w:rsidR="009D0B7B" w:rsidRPr="00C07ACE" w:rsidRDefault="00512076" w:rsidP="00C07ACE">
      <w:pPr>
        <w:pStyle w:val="Heading2"/>
        <w:numPr>
          <w:ilvl w:val="1"/>
          <w:numId w:val="17"/>
        </w:numPr>
        <w:ind w:left="567" w:hanging="425"/>
        <w:rPr>
          <w:rFonts w:ascii="Times New Roman" w:hAnsi="Times New Roman" w:cs="Times New Roman"/>
          <w:b/>
          <w:bCs/>
          <w:color w:val="000000" w:themeColor="text1"/>
          <w:sz w:val="24"/>
          <w:szCs w:val="24"/>
          <w:lang w:val="es-ES_tradnl"/>
        </w:rPr>
      </w:pPr>
      <w:r>
        <w:rPr>
          <w:rFonts w:ascii="Times New Roman" w:hAnsi="Times New Roman" w:cs="Times New Roman"/>
          <w:b/>
          <w:bCs/>
          <w:color w:val="000000" w:themeColor="text1"/>
          <w:sz w:val="24"/>
          <w:szCs w:val="24"/>
          <w:lang w:val="es-ES_tradnl"/>
        </w:rPr>
        <w:t xml:space="preserve"> </w:t>
      </w:r>
      <w:bookmarkStart w:id="124" w:name="_Toc215253339"/>
      <w:bookmarkStart w:id="125" w:name="_Toc215253393"/>
      <w:bookmarkStart w:id="126" w:name="_Toc215255585"/>
      <w:bookmarkStart w:id="127" w:name="_Toc215256200"/>
      <w:bookmarkStart w:id="128" w:name="_Toc217838009"/>
      <w:bookmarkStart w:id="129" w:name="_Toc218416700"/>
      <w:bookmarkStart w:id="130" w:name="_Toc218422515"/>
      <w:bookmarkStart w:id="131" w:name="_Toc219919450"/>
      <w:bookmarkStart w:id="132" w:name="_Toc219919516"/>
      <w:bookmarkStart w:id="133" w:name="_Toc220260629"/>
      <w:bookmarkStart w:id="134" w:name="_Toc221125840"/>
      <w:bookmarkStart w:id="135" w:name="_Toc221212520"/>
      <w:r w:rsidR="003E0D86" w:rsidRPr="00512076">
        <w:rPr>
          <w:rFonts w:ascii="Times New Roman" w:hAnsi="Times New Roman" w:cs="Times New Roman"/>
          <w:b/>
          <w:bCs/>
          <w:color w:val="000000" w:themeColor="text1"/>
          <w:sz w:val="24"/>
          <w:szCs w:val="24"/>
          <w:lang w:val="es-ES_tradnl"/>
        </w:rPr>
        <w:t xml:space="preserve">Teoría de </w:t>
      </w:r>
      <w:r w:rsidR="009D0B7B" w:rsidRPr="00512076">
        <w:rPr>
          <w:rFonts w:ascii="Times New Roman" w:hAnsi="Times New Roman" w:cs="Times New Roman"/>
          <w:b/>
          <w:bCs/>
          <w:color w:val="000000" w:themeColor="text1"/>
          <w:sz w:val="24"/>
          <w:szCs w:val="24"/>
          <w:lang w:val="es-ES_tradnl"/>
        </w:rPr>
        <w:t>l</w:t>
      </w:r>
      <w:r w:rsidR="003E0D86" w:rsidRPr="00512076">
        <w:rPr>
          <w:rFonts w:ascii="Times New Roman" w:hAnsi="Times New Roman" w:cs="Times New Roman"/>
          <w:b/>
          <w:bCs/>
          <w:color w:val="000000" w:themeColor="text1"/>
          <w:sz w:val="24"/>
          <w:szCs w:val="24"/>
          <w:lang w:val="es-ES_tradnl"/>
        </w:rPr>
        <w:t>a elección racional</w:t>
      </w:r>
      <w:bookmarkEnd w:id="124"/>
      <w:bookmarkEnd w:id="125"/>
      <w:bookmarkEnd w:id="126"/>
      <w:bookmarkEnd w:id="127"/>
      <w:bookmarkEnd w:id="128"/>
      <w:bookmarkEnd w:id="129"/>
      <w:bookmarkEnd w:id="130"/>
      <w:bookmarkEnd w:id="131"/>
      <w:bookmarkEnd w:id="132"/>
      <w:bookmarkEnd w:id="133"/>
      <w:bookmarkEnd w:id="134"/>
      <w:bookmarkEnd w:id="135"/>
    </w:p>
    <w:p w14:paraId="7AFBF6E9" w14:textId="383FB778" w:rsidR="00720535" w:rsidRDefault="00C07ACE" w:rsidP="00212899">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La teoría de la elección racional </w:t>
      </w:r>
      <w:r w:rsidR="00924D99">
        <w:rPr>
          <w:rFonts w:ascii="Times New Roman" w:hAnsi="Times New Roman" w:cs="Times New Roman"/>
          <w:lang w:val="es-ES_tradnl"/>
        </w:rPr>
        <w:t xml:space="preserve">– en inglés </w:t>
      </w:r>
      <w:r w:rsidR="00D94EA2">
        <w:rPr>
          <w:rFonts w:ascii="Times New Roman" w:hAnsi="Times New Roman" w:cs="Times New Roman"/>
          <w:lang w:val="es-ES_tradnl"/>
        </w:rPr>
        <w:t>denominada “</w:t>
      </w:r>
      <w:r w:rsidR="00D94EA2" w:rsidRPr="00D94EA2">
        <w:rPr>
          <w:rFonts w:ascii="Times New Roman" w:hAnsi="Times New Roman" w:cs="Times New Roman"/>
          <w:i/>
          <w:iCs/>
          <w:lang w:val="es-ES_tradnl"/>
        </w:rPr>
        <w:t>rational choice theory</w:t>
      </w:r>
      <w:r w:rsidR="00D94EA2">
        <w:rPr>
          <w:rFonts w:ascii="Times New Roman" w:hAnsi="Times New Roman" w:cs="Times New Roman"/>
          <w:lang w:val="es-ES_tradnl"/>
        </w:rPr>
        <w:t xml:space="preserve">” o RCT – se considera </w:t>
      </w:r>
      <w:r>
        <w:rPr>
          <w:rFonts w:ascii="Times New Roman" w:hAnsi="Times New Roman" w:cs="Times New Roman"/>
          <w:lang w:val="es-ES_tradnl"/>
        </w:rPr>
        <w:t>un pilar conceptual dentro del ámbito criminológico</w:t>
      </w:r>
      <w:r w:rsidR="00502752">
        <w:rPr>
          <w:rFonts w:ascii="Times New Roman" w:hAnsi="Times New Roman" w:cs="Times New Roman"/>
          <w:lang w:val="es-ES_tradnl"/>
        </w:rPr>
        <w:t xml:space="preserve"> para poder examinar la conducta delictiva desde un punto de vista sistémico. Este </w:t>
      </w:r>
      <w:r w:rsidR="00034BD2">
        <w:rPr>
          <w:rFonts w:ascii="Times New Roman" w:hAnsi="Times New Roman" w:cs="Times New Roman"/>
          <w:lang w:val="es-ES_tradnl"/>
        </w:rPr>
        <w:t>concepto</w:t>
      </w:r>
      <w:r w:rsidR="00502752">
        <w:rPr>
          <w:rFonts w:ascii="Times New Roman" w:hAnsi="Times New Roman" w:cs="Times New Roman"/>
          <w:lang w:val="es-ES_tradnl"/>
        </w:rPr>
        <w:t xml:space="preserve"> fue desarrollado en el año 1986 por </w:t>
      </w:r>
      <w:r w:rsidR="00E90427">
        <w:rPr>
          <w:rFonts w:ascii="Times New Roman" w:hAnsi="Times New Roman" w:cs="Times New Roman"/>
          <w:lang w:val="es-ES_tradnl"/>
        </w:rPr>
        <w:t xml:space="preserve">Derek </w:t>
      </w:r>
      <w:r w:rsidR="00502752">
        <w:rPr>
          <w:rFonts w:ascii="Times New Roman" w:hAnsi="Times New Roman" w:cs="Times New Roman"/>
          <w:lang w:val="es-ES_tradnl"/>
        </w:rPr>
        <w:t xml:space="preserve">Cornish y </w:t>
      </w:r>
      <w:r w:rsidR="00E90427">
        <w:rPr>
          <w:rFonts w:ascii="Times New Roman" w:hAnsi="Times New Roman" w:cs="Times New Roman"/>
          <w:lang w:val="es-ES_tradnl"/>
        </w:rPr>
        <w:t xml:space="preserve">Ronald </w:t>
      </w:r>
      <w:r w:rsidR="00502752">
        <w:rPr>
          <w:rFonts w:ascii="Times New Roman" w:hAnsi="Times New Roman" w:cs="Times New Roman"/>
          <w:lang w:val="es-ES_tradnl"/>
        </w:rPr>
        <w:t>Clarke</w:t>
      </w:r>
      <w:r w:rsidR="00E90427">
        <w:rPr>
          <w:rFonts w:ascii="Times New Roman" w:hAnsi="Times New Roman" w:cs="Times New Roman"/>
          <w:lang w:val="es-ES_tradnl"/>
        </w:rPr>
        <w:t>, quienes teorizaron que existía un</w:t>
      </w:r>
      <w:r w:rsidR="00502752">
        <w:rPr>
          <w:rFonts w:ascii="Times New Roman" w:hAnsi="Times New Roman" w:cs="Times New Roman"/>
          <w:lang w:val="es-ES_tradnl"/>
        </w:rPr>
        <w:t xml:space="preserve"> </w:t>
      </w:r>
      <w:r w:rsidR="00D94EA2">
        <w:rPr>
          <w:rFonts w:ascii="Times New Roman" w:hAnsi="Times New Roman" w:cs="Times New Roman"/>
          <w:lang w:val="es-ES_tradnl"/>
        </w:rPr>
        <w:t>razonamiento</w:t>
      </w:r>
      <w:r w:rsidR="00E90427">
        <w:rPr>
          <w:rFonts w:ascii="Times New Roman" w:hAnsi="Times New Roman" w:cs="Times New Roman"/>
          <w:lang w:val="es-ES_tradnl"/>
        </w:rPr>
        <w:t xml:space="preserve"> previo a la comisión de un delito que impulsaba o frenaba al individuo. Su fundamento</w:t>
      </w:r>
      <w:r w:rsidR="00034BD2">
        <w:rPr>
          <w:rFonts w:ascii="Times New Roman" w:hAnsi="Times New Roman" w:cs="Times New Roman"/>
          <w:lang w:val="es-ES_tradnl"/>
        </w:rPr>
        <w:t xml:space="preserve"> principal</w:t>
      </w:r>
      <w:r w:rsidR="00E90427">
        <w:rPr>
          <w:rFonts w:ascii="Times New Roman" w:hAnsi="Times New Roman" w:cs="Times New Roman"/>
          <w:lang w:val="es-ES_tradnl"/>
        </w:rPr>
        <w:t xml:space="preserve"> postula que cada individuo actúa acorde a una serie de elecciones y decisiones que toma según el entorno, asemejándose este concepto a la racionalización</w:t>
      </w:r>
      <w:r w:rsidR="00C53CD8">
        <w:rPr>
          <w:rFonts w:ascii="Times New Roman" w:hAnsi="Times New Roman" w:cs="Times New Roman"/>
          <w:lang w:val="es-ES_tradnl"/>
        </w:rPr>
        <w:t>, pese a no estar relacionado</w:t>
      </w:r>
      <w:r w:rsidR="00E90427">
        <w:rPr>
          <w:rFonts w:ascii="Times New Roman" w:hAnsi="Times New Roman" w:cs="Times New Roman"/>
          <w:lang w:val="es-ES_tradnl"/>
        </w:rPr>
        <w:t>. El delito, por tanto, es la consecuencia de dichas decisiones orientadas a lograr un objetivo, el cual se considera más o menos viable según el contexto (Cornish y Clarke, 1986)</w:t>
      </w:r>
      <w:r w:rsidR="00C53CD8">
        <w:rPr>
          <w:rFonts w:ascii="Times New Roman" w:hAnsi="Times New Roman" w:cs="Times New Roman"/>
          <w:lang w:val="es-ES_tradnl"/>
        </w:rPr>
        <w:t>.</w:t>
      </w:r>
    </w:p>
    <w:p w14:paraId="46AD7242" w14:textId="2C13E4F5" w:rsidR="00C53CD8" w:rsidRDefault="00C53CD8" w:rsidP="00212899">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En este contexto, la elección racional se debe considerar como un proceso heurístico que se rige por ciertas restricciones contextuales y cognitivas</w:t>
      </w:r>
      <w:r w:rsidR="00212899">
        <w:rPr>
          <w:rFonts w:ascii="Times New Roman" w:hAnsi="Times New Roman" w:cs="Times New Roman"/>
          <w:lang w:val="es-ES_tradnl"/>
        </w:rPr>
        <w:t>; una evaluación pragmática de los hechos</w:t>
      </w:r>
      <w:r>
        <w:rPr>
          <w:rFonts w:ascii="Times New Roman" w:hAnsi="Times New Roman" w:cs="Times New Roman"/>
          <w:lang w:val="es-ES_tradnl"/>
        </w:rPr>
        <w:t xml:space="preserve">. Según Cornish y Clarke, cuando un individuo se encuentra en una situación en la que cabe la posibilidad de delinquir, éste lo realizará si lo ve oportuno. </w:t>
      </w:r>
      <w:r w:rsidR="00034BD2">
        <w:rPr>
          <w:rFonts w:ascii="Times New Roman" w:hAnsi="Times New Roman" w:cs="Times New Roman"/>
          <w:lang w:val="es-ES_tradnl"/>
        </w:rPr>
        <w:t xml:space="preserve">Para ello, llevará a cabo una evaluación de diferentes cursos de acción según la comparación entre los beneficios y costes percibidos de la acción (Patiño, 2016). </w:t>
      </w:r>
      <w:r>
        <w:rPr>
          <w:rFonts w:ascii="Times New Roman" w:hAnsi="Times New Roman" w:cs="Times New Roman"/>
          <w:lang w:val="es-ES_tradnl"/>
        </w:rPr>
        <w:t>En dicha situación, podrá</w:t>
      </w:r>
      <w:r w:rsidR="00034BD2">
        <w:rPr>
          <w:rFonts w:ascii="Times New Roman" w:hAnsi="Times New Roman" w:cs="Times New Roman"/>
          <w:lang w:val="es-ES_tradnl"/>
        </w:rPr>
        <w:t xml:space="preserve"> </w:t>
      </w:r>
      <w:r>
        <w:rPr>
          <w:rFonts w:ascii="Times New Roman" w:hAnsi="Times New Roman" w:cs="Times New Roman"/>
          <w:lang w:val="es-ES_tradnl"/>
        </w:rPr>
        <w:t xml:space="preserve">encontrar estímulos facilitadores que posibilitarán la comisión del delito y harán que el individuo opte por un curso de acción </w:t>
      </w:r>
      <w:r w:rsidR="00034BD2">
        <w:rPr>
          <w:rFonts w:ascii="Times New Roman" w:hAnsi="Times New Roman" w:cs="Times New Roman"/>
          <w:lang w:val="es-ES_tradnl"/>
        </w:rPr>
        <w:t>activo,</w:t>
      </w:r>
      <w:r w:rsidR="005462D2">
        <w:rPr>
          <w:rFonts w:ascii="Times New Roman" w:hAnsi="Times New Roman" w:cs="Times New Roman"/>
          <w:lang w:val="es-ES_tradnl"/>
        </w:rPr>
        <w:t xml:space="preserve"> pudiendo</w:t>
      </w:r>
      <w:r w:rsidR="00034BD2">
        <w:rPr>
          <w:rFonts w:ascii="Times New Roman" w:hAnsi="Times New Roman" w:cs="Times New Roman"/>
          <w:lang w:val="es-ES_tradnl"/>
        </w:rPr>
        <w:t xml:space="preserve"> llega</w:t>
      </w:r>
      <w:r w:rsidR="005462D2">
        <w:rPr>
          <w:rFonts w:ascii="Times New Roman" w:hAnsi="Times New Roman" w:cs="Times New Roman"/>
          <w:lang w:val="es-ES_tradnl"/>
        </w:rPr>
        <w:t>r</w:t>
      </w:r>
      <w:r w:rsidR="00034BD2">
        <w:rPr>
          <w:rFonts w:ascii="Times New Roman" w:hAnsi="Times New Roman" w:cs="Times New Roman"/>
          <w:lang w:val="es-ES_tradnl"/>
        </w:rPr>
        <w:t xml:space="preserve"> a cometer el delito</w:t>
      </w:r>
      <w:r w:rsidR="005462D2">
        <w:rPr>
          <w:rFonts w:ascii="Times New Roman" w:hAnsi="Times New Roman" w:cs="Times New Roman"/>
          <w:lang w:val="es-ES_tradnl"/>
        </w:rPr>
        <w:t xml:space="preserve"> si sopesa racionalmente las consecuencias potenciales de ser captado</w:t>
      </w:r>
      <w:r w:rsidR="00212899">
        <w:rPr>
          <w:rFonts w:ascii="Times New Roman" w:hAnsi="Times New Roman" w:cs="Times New Roman"/>
          <w:lang w:val="es-ES_tradnl"/>
        </w:rPr>
        <w:t xml:space="preserve"> (Laboratorio Pericial Forense, 2025).</w:t>
      </w:r>
    </w:p>
    <w:p w14:paraId="29042522" w14:textId="63AC23C0" w:rsidR="00212899" w:rsidRDefault="00212899" w:rsidP="002E63B5">
      <w:pPr>
        <w:spacing w:line="360" w:lineRule="auto"/>
        <w:ind w:firstLine="142"/>
        <w:jc w:val="both"/>
        <w:rPr>
          <w:rFonts w:ascii="Times New Roman" w:hAnsi="Times New Roman" w:cs="Times New Roman"/>
          <w:lang w:val="es-ES_tradnl"/>
        </w:rPr>
      </w:pPr>
      <w:r>
        <w:rPr>
          <w:rFonts w:ascii="Times New Roman" w:hAnsi="Times New Roman" w:cs="Times New Roman"/>
          <w:lang w:val="es-ES_tradnl"/>
        </w:rPr>
        <w:lastRenderedPageBreak/>
        <w:tab/>
        <w:t xml:space="preserve">Así pues, la teoría parte de la base de que la conducta delictiva tiene un fin instrumental, pues el delito sólo se comete cuando hay un beneficio o se evita una pérdida. Con ello, se puede decir que el delito no es resultado de impulsos irracionales, sino una decisión estratégica de entre diferentes cursos de acción contemplados, por lo que surge el concepto de la racionalidad limitada en referencia a la toma de decisiones con información incompleta en situaciones pobres temporal y estratégicamente, que tiene un efecto directamente proporcional en </w:t>
      </w:r>
      <w:r w:rsidR="00A83B3A">
        <w:rPr>
          <w:rFonts w:ascii="Times New Roman" w:hAnsi="Times New Roman" w:cs="Times New Roman"/>
          <w:lang w:val="es-ES_tradnl"/>
        </w:rPr>
        <w:t xml:space="preserve">el cálculo de ganancias y riesgos (Patiño, 2016). </w:t>
      </w:r>
    </w:p>
    <w:p w14:paraId="0B3B076F" w14:textId="18ACBA51" w:rsidR="002D5C45" w:rsidRDefault="002E63B5" w:rsidP="00A83B3A">
      <w:pPr>
        <w:spacing w:line="360" w:lineRule="auto"/>
        <w:jc w:val="both"/>
        <w:rPr>
          <w:rFonts w:ascii="Times New Roman" w:hAnsi="Times New Roman" w:cs="Times New Roman"/>
          <w:lang w:val="es-ES_tradnl"/>
        </w:rPr>
      </w:pPr>
      <w:r>
        <w:rPr>
          <w:rFonts w:ascii="Times New Roman" w:hAnsi="Times New Roman" w:cs="Times New Roman"/>
          <w:lang w:val="es-ES_tradnl"/>
        </w:rPr>
        <w:tab/>
        <w:t>A raíz del desarrollo de esta teoría, surgieron enfoques de prevención del delito tales como la prevención situacional. El objetivo de ésta radica en la modificación de las condiciones ambientales con el fin de que la comisión del delito sea un curso de acción descartado o no deseado por el individuo. En caso de incrementar los riesgos o los costes, o de reducir los beneficios percibidos; la probabilidad de delinquir se reduce</w:t>
      </w:r>
      <w:r w:rsidR="002D5C45">
        <w:rPr>
          <w:rFonts w:ascii="Times New Roman" w:hAnsi="Times New Roman" w:cs="Times New Roman"/>
          <w:lang w:val="es-ES_tradnl"/>
        </w:rPr>
        <w:t>. Por ello, varias intervenciones de prevención delictiva están orientadas a influir en los entornos, así como la inserción de sistemas de vigilancia (Soto, 2017).</w:t>
      </w:r>
    </w:p>
    <w:p w14:paraId="37C08A21" w14:textId="2E3AD293" w:rsidR="00720535" w:rsidRDefault="002D5C45" w:rsidP="002D5C45">
      <w:pPr>
        <w:spacing w:line="360" w:lineRule="auto"/>
        <w:jc w:val="both"/>
        <w:rPr>
          <w:rFonts w:ascii="Times New Roman" w:hAnsi="Times New Roman" w:cs="Times New Roman"/>
          <w:lang w:val="es-ES_tradnl"/>
        </w:rPr>
      </w:pPr>
      <w:r>
        <w:rPr>
          <w:rFonts w:ascii="Times New Roman" w:hAnsi="Times New Roman" w:cs="Times New Roman"/>
          <w:lang w:val="es-ES_tradnl"/>
        </w:rPr>
        <w:tab/>
        <w:t>La teoría se ha visto sometida a críticas a lo largo de las décadas posteriores a su desarrollo, entre ellas destaca el desacuerdo de la comunidad criminológica ante la magnitud enfocada en la decisión racional en situaciones donde tienden a primar las emociones junto con las dinámicas de desigualdad estructural. Un ejemplo de esta situación tensa se puede observar en delitos en los que el beneficio contemplado es la satisfacción instantánea o la búsqueda de venganza, donde la carga emocional descompensa la balanza. Además, otra crítica pone el foco en la individualización de la teoría, haciendo referencia a la importancia de las normas culturales y los patrones de exclusión social a lo largo de los años (Laboratorio Pericial Forense, 2025).</w:t>
      </w:r>
    </w:p>
    <w:p w14:paraId="7BFDEEB8" w14:textId="45C19344" w:rsidR="00DF640F" w:rsidRDefault="00512BCB" w:rsidP="00BC6002">
      <w:pPr>
        <w:spacing w:line="360" w:lineRule="auto"/>
        <w:jc w:val="both"/>
        <w:rPr>
          <w:rFonts w:ascii="Times New Roman" w:hAnsi="Times New Roman" w:cs="Times New Roman"/>
          <w:lang w:val="es-ES_tradnl"/>
        </w:rPr>
      </w:pPr>
      <w:r>
        <w:rPr>
          <w:rFonts w:ascii="Times New Roman" w:hAnsi="Times New Roman" w:cs="Times New Roman"/>
          <w:lang w:val="es-ES_tradnl"/>
        </w:rPr>
        <w:tab/>
      </w:r>
      <w:r w:rsidRPr="00BA2A69">
        <w:rPr>
          <w:rFonts w:ascii="Times New Roman" w:hAnsi="Times New Roman" w:cs="Times New Roman"/>
          <w:lang w:val="es-ES_tradnl"/>
        </w:rPr>
        <w:t>Pese a estar más íntimamente relacionada con crímenes con fines instrumentales, esta teoría también puede emplearse para explicar el comportamiento criminal de la violencia vicaria. El agresor, en este caso, elige dañar a terceras personas directamente relacionadas con la víctima porque tras la racionalización, considera que es el curso de acción que más</w:t>
      </w:r>
      <w:r w:rsidR="00B86400">
        <w:rPr>
          <w:rFonts w:ascii="Times New Roman" w:hAnsi="Times New Roman" w:cs="Times New Roman"/>
          <w:lang w:val="es-ES_tradnl"/>
        </w:rPr>
        <w:t xml:space="preserve"> acentúa</w:t>
      </w:r>
      <w:r w:rsidRPr="00BA2A69">
        <w:rPr>
          <w:rFonts w:ascii="Times New Roman" w:hAnsi="Times New Roman" w:cs="Times New Roman"/>
          <w:lang w:val="es-ES_tradnl"/>
        </w:rPr>
        <w:t xml:space="preserve"> el daño percibido</w:t>
      </w:r>
      <w:r w:rsidR="00F1075A">
        <w:rPr>
          <w:rFonts w:ascii="Times New Roman" w:hAnsi="Times New Roman" w:cs="Times New Roman"/>
          <w:lang w:val="es-ES_tradnl"/>
        </w:rPr>
        <w:t xml:space="preserve"> sin suponer un coste muy alto</w:t>
      </w:r>
      <w:r w:rsidR="00BA2A69">
        <w:rPr>
          <w:rFonts w:ascii="Times New Roman" w:hAnsi="Times New Roman" w:cs="Times New Roman"/>
          <w:lang w:val="es-ES_tradnl"/>
        </w:rPr>
        <w:t>; pues es aquello que desea</w:t>
      </w:r>
      <w:r w:rsidR="00F1075A">
        <w:rPr>
          <w:rFonts w:ascii="Times New Roman" w:hAnsi="Times New Roman" w:cs="Times New Roman"/>
          <w:lang w:val="es-ES_tradnl"/>
        </w:rPr>
        <w:t>.</w:t>
      </w:r>
    </w:p>
    <w:p w14:paraId="22017C28" w14:textId="77777777" w:rsidR="00BC6002" w:rsidRPr="00C07ACE" w:rsidRDefault="00BC6002" w:rsidP="00BC6002">
      <w:pPr>
        <w:spacing w:line="360" w:lineRule="auto"/>
        <w:jc w:val="both"/>
        <w:rPr>
          <w:rFonts w:ascii="Times New Roman" w:hAnsi="Times New Roman" w:cs="Times New Roman"/>
          <w:lang w:val="es-ES_tradnl"/>
        </w:rPr>
      </w:pPr>
    </w:p>
    <w:p w14:paraId="2110F492" w14:textId="20077F34" w:rsidR="003E0D86" w:rsidRPr="00512076" w:rsidRDefault="009D0B7B" w:rsidP="00512076">
      <w:pPr>
        <w:pStyle w:val="Heading2"/>
        <w:numPr>
          <w:ilvl w:val="1"/>
          <w:numId w:val="17"/>
        </w:numPr>
        <w:ind w:left="567" w:hanging="425"/>
        <w:rPr>
          <w:rFonts w:ascii="Times New Roman" w:hAnsi="Times New Roman" w:cs="Times New Roman"/>
          <w:b/>
          <w:bCs/>
          <w:color w:val="000000" w:themeColor="text1"/>
          <w:sz w:val="24"/>
          <w:szCs w:val="24"/>
          <w:lang w:val="es-ES_tradnl"/>
        </w:rPr>
      </w:pPr>
      <w:r w:rsidRPr="00512076">
        <w:rPr>
          <w:rFonts w:ascii="Times New Roman" w:hAnsi="Times New Roman" w:cs="Times New Roman"/>
          <w:b/>
          <w:bCs/>
          <w:color w:val="000000" w:themeColor="text1"/>
          <w:sz w:val="24"/>
          <w:szCs w:val="24"/>
          <w:lang w:val="es-ES_tradnl"/>
        </w:rPr>
        <w:lastRenderedPageBreak/>
        <w:t xml:space="preserve"> </w:t>
      </w:r>
      <w:r w:rsidR="003E0D86" w:rsidRPr="00512076">
        <w:rPr>
          <w:rFonts w:ascii="Times New Roman" w:hAnsi="Times New Roman" w:cs="Times New Roman"/>
          <w:b/>
          <w:bCs/>
          <w:color w:val="000000" w:themeColor="text1"/>
          <w:sz w:val="24"/>
          <w:szCs w:val="24"/>
          <w:lang w:val="es-ES_tradnl"/>
        </w:rPr>
        <w:t xml:space="preserve"> </w:t>
      </w:r>
      <w:bookmarkStart w:id="136" w:name="_Toc215253341"/>
      <w:bookmarkStart w:id="137" w:name="_Toc215253395"/>
      <w:bookmarkStart w:id="138" w:name="_Toc215255587"/>
      <w:bookmarkStart w:id="139" w:name="_Toc215256202"/>
      <w:bookmarkStart w:id="140" w:name="_Toc217838010"/>
      <w:bookmarkStart w:id="141" w:name="_Toc218416701"/>
      <w:bookmarkStart w:id="142" w:name="_Toc218422516"/>
      <w:bookmarkStart w:id="143" w:name="_Toc219919451"/>
      <w:bookmarkStart w:id="144" w:name="_Toc219919517"/>
      <w:bookmarkStart w:id="145" w:name="_Toc220260630"/>
      <w:bookmarkStart w:id="146" w:name="_Toc221125841"/>
      <w:bookmarkStart w:id="147" w:name="_Toc221212521"/>
      <w:r w:rsidR="003E0D86" w:rsidRPr="00512076">
        <w:rPr>
          <w:rFonts w:ascii="Times New Roman" w:hAnsi="Times New Roman" w:cs="Times New Roman"/>
          <w:b/>
          <w:bCs/>
          <w:color w:val="000000" w:themeColor="text1"/>
          <w:sz w:val="24"/>
          <w:szCs w:val="24"/>
          <w:lang w:val="es-ES_tradnl"/>
        </w:rPr>
        <w:t xml:space="preserve">Teoría de las actividades </w:t>
      </w:r>
      <w:bookmarkEnd w:id="136"/>
      <w:bookmarkEnd w:id="137"/>
      <w:bookmarkEnd w:id="138"/>
      <w:bookmarkEnd w:id="139"/>
      <w:r w:rsidR="00341921">
        <w:rPr>
          <w:rFonts w:ascii="Times New Roman" w:hAnsi="Times New Roman" w:cs="Times New Roman"/>
          <w:b/>
          <w:bCs/>
          <w:color w:val="000000" w:themeColor="text1"/>
          <w:sz w:val="24"/>
          <w:szCs w:val="24"/>
          <w:lang w:val="es-ES_tradnl"/>
        </w:rPr>
        <w:t>rutinarias</w:t>
      </w:r>
      <w:bookmarkEnd w:id="140"/>
      <w:bookmarkEnd w:id="141"/>
      <w:bookmarkEnd w:id="142"/>
      <w:bookmarkEnd w:id="143"/>
      <w:bookmarkEnd w:id="144"/>
      <w:bookmarkEnd w:id="145"/>
      <w:bookmarkEnd w:id="146"/>
      <w:bookmarkEnd w:id="147"/>
    </w:p>
    <w:p w14:paraId="73999102" w14:textId="6208B7B4" w:rsidR="00134D29" w:rsidRDefault="00341921" w:rsidP="00FF2583">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Lawrence Cohen y Marcus Felson fueron quienes conceptualizaron la teoría en el año 1979</w:t>
      </w:r>
      <w:r w:rsidR="00DF640F">
        <w:rPr>
          <w:rFonts w:ascii="Times New Roman" w:hAnsi="Times New Roman" w:cs="Times New Roman"/>
          <w:lang w:val="es-ES_tradnl"/>
        </w:rPr>
        <w:t xml:space="preserve"> en su estudio “</w:t>
      </w:r>
      <w:r w:rsidR="00DF640F" w:rsidRPr="00DF640F">
        <w:rPr>
          <w:rFonts w:ascii="Times New Roman" w:hAnsi="Times New Roman" w:cs="Times New Roman"/>
          <w:i/>
          <w:iCs/>
          <w:lang w:val="es-ES_tradnl"/>
        </w:rPr>
        <w:t>Social Change and Crime Rate Trends: a Routine Activity Approach</w:t>
      </w:r>
      <w:r w:rsidR="00DF640F">
        <w:rPr>
          <w:rFonts w:ascii="Times New Roman" w:hAnsi="Times New Roman" w:cs="Times New Roman"/>
          <w:lang w:val="es-ES_tradnl"/>
        </w:rPr>
        <w:t>”</w:t>
      </w:r>
      <w:r>
        <w:rPr>
          <w:rFonts w:ascii="Times New Roman" w:hAnsi="Times New Roman" w:cs="Times New Roman"/>
          <w:lang w:val="es-ES_tradnl"/>
        </w:rPr>
        <w:t xml:space="preserve">, proponiendo un enfoque más </w:t>
      </w:r>
      <w:r w:rsidR="00DF640F">
        <w:rPr>
          <w:rFonts w:ascii="Times New Roman" w:hAnsi="Times New Roman" w:cs="Times New Roman"/>
          <w:lang w:val="es-ES_tradnl"/>
        </w:rPr>
        <w:t xml:space="preserve">centrado en las condiciones contextuales y estructurales impulsoras </w:t>
      </w:r>
      <w:r w:rsidR="005B798B">
        <w:rPr>
          <w:rFonts w:ascii="Times New Roman" w:hAnsi="Times New Roman" w:cs="Times New Roman"/>
          <w:lang w:val="es-ES_tradnl"/>
        </w:rPr>
        <w:t>de la comisión de un delito; todo ello para averiguar por qué las tasas delictivas variaban según las derivaciones de los patrones cotidianos (Cohen y Felson, 1979).</w:t>
      </w:r>
      <w:r w:rsidR="00134D29">
        <w:rPr>
          <w:rFonts w:ascii="Times New Roman" w:hAnsi="Times New Roman" w:cs="Times New Roman"/>
          <w:lang w:val="es-ES_tradnl"/>
        </w:rPr>
        <w:t xml:space="preserve"> </w:t>
      </w:r>
    </w:p>
    <w:p w14:paraId="495524B8" w14:textId="4797F158" w:rsidR="0021553C" w:rsidRDefault="005B798B" w:rsidP="00FF2583">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Principalmente, la base teórica sostiene que, para que </w:t>
      </w:r>
      <w:r w:rsidR="00B86400">
        <w:rPr>
          <w:rFonts w:ascii="Times New Roman" w:hAnsi="Times New Roman" w:cs="Times New Roman"/>
          <w:lang w:val="es-ES_tradnl"/>
        </w:rPr>
        <w:t>acontezca</w:t>
      </w:r>
      <w:r>
        <w:rPr>
          <w:rFonts w:ascii="Times New Roman" w:hAnsi="Times New Roman" w:cs="Times New Roman"/>
          <w:lang w:val="es-ES_tradnl"/>
        </w:rPr>
        <w:t xml:space="preserve"> un delito, es necesaria la convergencia de tres elementos: un individuo motivado, un objetivo tentador y la falta de un agente vigilante </w:t>
      </w:r>
      <w:r w:rsidR="0021553C">
        <w:rPr>
          <w:rFonts w:ascii="Times New Roman" w:hAnsi="Times New Roman" w:cs="Times New Roman"/>
          <w:lang w:val="es-ES_tradnl"/>
        </w:rPr>
        <w:t xml:space="preserve">(o guardián) </w:t>
      </w:r>
      <w:r>
        <w:rPr>
          <w:rFonts w:ascii="Times New Roman" w:hAnsi="Times New Roman" w:cs="Times New Roman"/>
          <w:lang w:val="es-ES_tradnl"/>
        </w:rPr>
        <w:t>que prevenga la comisión.</w:t>
      </w:r>
      <w:r w:rsidR="00134D29">
        <w:rPr>
          <w:rFonts w:ascii="Times New Roman" w:hAnsi="Times New Roman" w:cs="Times New Roman"/>
          <w:lang w:val="es-ES_tradnl"/>
        </w:rPr>
        <w:t xml:space="preserve"> </w:t>
      </w:r>
      <w:r w:rsidR="0021553C">
        <w:rPr>
          <w:rFonts w:ascii="Times New Roman" w:hAnsi="Times New Roman" w:cs="Times New Roman"/>
          <w:lang w:val="es-ES_tradnl"/>
        </w:rPr>
        <w:t>El individuo motivado es toda aquella persona que está predispuest</w:t>
      </w:r>
      <w:r w:rsidR="002C53FB">
        <w:rPr>
          <w:rFonts w:ascii="Times New Roman" w:hAnsi="Times New Roman" w:cs="Times New Roman"/>
          <w:lang w:val="es-ES_tradnl"/>
        </w:rPr>
        <w:t>a</w:t>
      </w:r>
      <w:r w:rsidR="0021553C">
        <w:rPr>
          <w:rFonts w:ascii="Times New Roman" w:hAnsi="Times New Roman" w:cs="Times New Roman"/>
          <w:lang w:val="es-ES_tradnl"/>
        </w:rPr>
        <w:t xml:space="preserve"> a cometer un delito por diferentes causas; el objetivo varía acorde al individuo; y la ausencia de guardian</w:t>
      </w:r>
      <w:r w:rsidR="002C53FB">
        <w:rPr>
          <w:rFonts w:ascii="Times New Roman" w:hAnsi="Times New Roman" w:cs="Times New Roman"/>
          <w:lang w:val="es-ES_tradnl"/>
        </w:rPr>
        <w:t>e</w:t>
      </w:r>
      <w:r w:rsidR="0021553C">
        <w:rPr>
          <w:rFonts w:ascii="Times New Roman" w:hAnsi="Times New Roman" w:cs="Times New Roman"/>
          <w:lang w:val="es-ES_tradnl"/>
        </w:rPr>
        <w:t>s hace referencia a la falta de mecanismos de control social que puedan influenciar el delito, disminuyendo la probabilidad de la comisión del mismo (Cohen y Felson, 1979).</w:t>
      </w:r>
    </w:p>
    <w:p w14:paraId="1D1E337D" w14:textId="371A6DF1" w:rsidR="00134D29" w:rsidRDefault="00134D29"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Cohen y Felson, criminólogo y sociólogo respectivamente, se fijaron en las contradicciones evidenciadas en los datos publicados entre el FBI y la Oficina del Censo Norteamericano, pues indicaban un alto nivel de bienestar entre la población con bajas condiciones socioeconómicas</w:t>
      </w:r>
      <w:r w:rsidR="00322693">
        <w:rPr>
          <w:rFonts w:ascii="Times New Roman" w:hAnsi="Times New Roman" w:cs="Times New Roman"/>
          <w:lang w:val="es-ES_tradnl"/>
        </w:rPr>
        <w:t xml:space="preserve">, </w:t>
      </w:r>
      <w:r>
        <w:rPr>
          <w:rFonts w:ascii="Times New Roman" w:hAnsi="Times New Roman" w:cs="Times New Roman"/>
          <w:lang w:val="es-ES_tradnl"/>
        </w:rPr>
        <w:t>suponiendo un cambio de mentalidad en la forma de contemplar a la comunidad menos empleada y escolarizada. A medida que avanzó el estudio vieron que</w:t>
      </w:r>
      <w:r w:rsidR="00961680">
        <w:rPr>
          <w:rFonts w:ascii="Times New Roman" w:hAnsi="Times New Roman" w:cs="Times New Roman"/>
          <w:lang w:val="es-ES_tradnl"/>
        </w:rPr>
        <w:t>,</w:t>
      </w:r>
      <w:r>
        <w:rPr>
          <w:rFonts w:ascii="Times New Roman" w:hAnsi="Times New Roman" w:cs="Times New Roman"/>
          <w:lang w:val="es-ES_tradnl"/>
        </w:rPr>
        <w:t xml:space="preserve"> con el cambio de patrón de estructura de las actividades diaria</w:t>
      </w:r>
      <w:r w:rsidR="00961680">
        <w:rPr>
          <w:rFonts w:ascii="Times New Roman" w:hAnsi="Times New Roman" w:cs="Times New Roman"/>
          <w:lang w:val="es-ES_tradnl"/>
        </w:rPr>
        <w:t>s</w:t>
      </w:r>
      <w:r>
        <w:rPr>
          <w:rFonts w:ascii="Times New Roman" w:hAnsi="Times New Roman" w:cs="Times New Roman"/>
          <w:lang w:val="es-ES_tradnl"/>
        </w:rPr>
        <w:t xml:space="preserve"> potenciado por el contexto postbélico de la población norteamericana</w:t>
      </w:r>
      <w:r w:rsidR="00961680">
        <w:rPr>
          <w:rFonts w:ascii="Times New Roman" w:hAnsi="Times New Roman" w:cs="Times New Roman"/>
          <w:lang w:val="es-ES_tradnl"/>
        </w:rPr>
        <w:t>, se</w:t>
      </w:r>
      <w:r>
        <w:rPr>
          <w:rFonts w:ascii="Times New Roman" w:hAnsi="Times New Roman" w:cs="Times New Roman"/>
          <w:lang w:val="es-ES_tradnl"/>
        </w:rPr>
        <w:t xml:space="preserve"> favorecía</w:t>
      </w:r>
      <w:r w:rsidR="00961680">
        <w:rPr>
          <w:rFonts w:ascii="Times New Roman" w:hAnsi="Times New Roman" w:cs="Times New Roman"/>
          <w:lang w:val="es-ES_tradnl"/>
        </w:rPr>
        <w:t>n</w:t>
      </w:r>
      <w:r>
        <w:rPr>
          <w:rFonts w:ascii="Times New Roman" w:hAnsi="Times New Roman" w:cs="Times New Roman"/>
          <w:lang w:val="es-ES_tradnl"/>
        </w:rPr>
        <w:t xml:space="preserve"> más</w:t>
      </w:r>
      <w:r w:rsidR="00961680">
        <w:rPr>
          <w:rFonts w:ascii="Times New Roman" w:hAnsi="Times New Roman" w:cs="Times New Roman"/>
          <w:lang w:val="es-ES_tradnl"/>
        </w:rPr>
        <w:t xml:space="preserve"> las oportunidades</w:t>
      </w:r>
      <w:r>
        <w:rPr>
          <w:rFonts w:ascii="Times New Roman" w:hAnsi="Times New Roman" w:cs="Times New Roman"/>
          <w:lang w:val="es-ES_tradnl"/>
        </w:rPr>
        <w:t xml:space="preserve"> de consumar delitos. De esta manera, la actividad cotidiana podía servir como potenciadora o restrictiva a la hora de delinquir</w:t>
      </w:r>
      <w:r w:rsidR="0053131E">
        <w:rPr>
          <w:rFonts w:ascii="Times New Roman" w:hAnsi="Times New Roman" w:cs="Times New Roman"/>
          <w:lang w:val="es-ES_tradnl"/>
        </w:rPr>
        <w:t xml:space="preserve">; pero de ninguna manera evidenciaba un aumento en la motivación. Es decir, gracias al desarrollo socioeconómico del siglo XX, la sociedad americana vivió cambios en su rutina tales como mayor movilidad intra e interurbana o el aumento de las actividades laborales fuera del hogar; que a su vez </w:t>
      </w:r>
      <w:r w:rsidR="0021553C">
        <w:rPr>
          <w:rFonts w:ascii="Times New Roman" w:hAnsi="Times New Roman" w:cs="Times New Roman"/>
          <w:lang w:val="es-ES_tradnl"/>
        </w:rPr>
        <w:t>s</w:t>
      </w:r>
      <w:r w:rsidR="002C53FB">
        <w:rPr>
          <w:rFonts w:ascii="Times New Roman" w:hAnsi="Times New Roman" w:cs="Times New Roman"/>
          <w:lang w:val="es-ES_tradnl"/>
        </w:rPr>
        <w:t xml:space="preserve">e convirtieron en </w:t>
      </w:r>
      <w:r w:rsidR="0053131E">
        <w:rPr>
          <w:rFonts w:ascii="Times New Roman" w:hAnsi="Times New Roman" w:cs="Times New Roman"/>
          <w:lang w:val="es-ES_tradnl"/>
        </w:rPr>
        <w:t>facilitadores para delinquir</w:t>
      </w:r>
      <w:r w:rsidR="0021553C">
        <w:rPr>
          <w:rFonts w:ascii="Times New Roman" w:hAnsi="Times New Roman" w:cs="Times New Roman"/>
          <w:lang w:val="es-ES_tradnl"/>
        </w:rPr>
        <w:t>. Subrayaron que estos cambios implicaban una disminución de la presencia de agentes vigilantes y una mayor exposición a objetivos tentadores</w:t>
      </w:r>
      <w:r w:rsidR="00961680">
        <w:rPr>
          <w:rFonts w:ascii="Times New Roman" w:hAnsi="Times New Roman" w:cs="Times New Roman"/>
          <w:lang w:val="es-ES_tradnl"/>
        </w:rPr>
        <w:t xml:space="preserve">, sobre todo contando con el anonimato que ofrecían los contextos urbanos </w:t>
      </w:r>
      <w:r>
        <w:rPr>
          <w:rFonts w:ascii="Times New Roman" w:hAnsi="Times New Roman" w:cs="Times New Roman"/>
          <w:lang w:val="es-ES_tradnl"/>
        </w:rPr>
        <w:t>(Cano, 2018).</w:t>
      </w:r>
    </w:p>
    <w:p w14:paraId="3B7549CE" w14:textId="688A51DF" w:rsidR="00134D29" w:rsidRDefault="00961680" w:rsidP="008B3A8E">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Esta teoría se relaciona estrechamente con la anteriormente mencionada Teoría de la Elección Racional, aunque mientras ésta se centra en la balanza entre costes y beneficios para el individuo, la Teoría de las Actividades Rutinarias</w:t>
      </w:r>
      <w:r w:rsidR="008B3A8E">
        <w:rPr>
          <w:rFonts w:ascii="Times New Roman" w:hAnsi="Times New Roman" w:cs="Times New Roman"/>
          <w:lang w:val="es-ES_tradnl"/>
        </w:rPr>
        <w:t xml:space="preserve"> desvía la atención a </w:t>
      </w:r>
      <w:r w:rsidR="008B3A8E">
        <w:rPr>
          <w:rFonts w:ascii="Times New Roman" w:hAnsi="Times New Roman" w:cs="Times New Roman"/>
          <w:lang w:val="es-ES_tradnl"/>
        </w:rPr>
        <w:lastRenderedPageBreak/>
        <w:t xml:space="preserve">la aparición de escenarios favorables para el delito. </w:t>
      </w:r>
      <w:r w:rsidRPr="008B3A8E">
        <w:rPr>
          <w:rFonts w:ascii="Times New Roman" w:hAnsi="Times New Roman" w:cs="Times New Roman"/>
          <w:i/>
          <w:iCs/>
          <w:lang w:val="es-ES_tradnl"/>
        </w:rPr>
        <w:t>“El factor oportunidad sería el elemento clave en la explicación del delito, y no la satisfacción de las necesidades primarias del individuo”</w:t>
      </w:r>
      <w:r w:rsidR="008B3A8E" w:rsidRPr="008B3A8E">
        <w:rPr>
          <w:rFonts w:ascii="Times New Roman" w:hAnsi="Times New Roman" w:cs="Times New Roman"/>
          <w:i/>
          <w:iCs/>
          <w:lang w:val="es-ES_tradnl"/>
        </w:rPr>
        <w:t xml:space="preserve"> (</w:t>
      </w:r>
      <w:r w:rsidR="008B3A8E">
        <w:rPr>
          <w:rFonts w:ascii="Times New Roman" w:hAnsi="Times New Roman" w:cs="Times New Roman"/>
          <w:lang w:val="es-ES_tradnl"/>
        </w:rPr>
        <w:t>Cano, 2018).</w:t>
      </w:r>
    </w:p>
    <w:p w14:paraId="4676873A" w14:textId="72ADCB9B" w:rsidR="008B3A8E" w:rsidRDefault="002C53FB" w:rsidP="00FF2583">
      <w:pPr>
        <w:spacing w:line="360" w:lineRule="auto"/>
        <w:ind w:firstLine="709"/>
        <w:jc w:val="both"/>
        <w:rPr>
          <w:rFonts w:ascii="Times New Roman" w:hAnsi="Times New Roman" w:cs="Times New Roman"/>
          <w:lang w:val="es-ES_tradnl"/>
        </w:rPr>
      </w:pPr>
      <w:r>
        <w:rPr>
          <w:rFonts w:ascii="Times New Roman" w:hAnsi="Times New Roman" w:cs="Times New Roman"/>
          <w:lang w:val="es-ES_tradnl"/>
        </w:rPr>
        <w:t>De forma s</w:t>
      </w:r>
      <w:r w:rsidR="008B3A8E">
        <w:rPr>
          <w:rFonts w:ascii="Times New Roman" w:hAnsi="Times New Roman" w:cs="Times New Roman"/>
          <w:lang w:val="es-ES_tradnl"/>
        </w:rPr>
        <w:t>imilar, las críticas a esta teoría tienden hacia el cuestionamiento de la limitada explicación sobre las causas de la delincuencia, puesto que no hace referencia a la trayectoria vital o a factores como la exclusión social. Asimismo</w:t>
      </w:r>
      <w:r w:rsidR="001B2C4C">
        <w:rPr>
          <w:rFonts w:ascii="Times New Roman" w:hAnsi="Times New Roman" w:cs="Times New Roman"/>
          <w:lang w:val="es-ES_tradnl"/>
        </w:rPr>
        <w:t>, al incidir tanto en la capacidad disuasoria de los guardianes, corre peligro de que</w:t>
      </w:r>
      <w:r>
        <w:rPr>
          <w:rFonts w:ascii="Times New Roman" w:hAnsi="Times New Roman" w:cs="Times New Roman"/>
          <w:lang w:val="es-ES_tradnl"/>
        </w:rPr>
        <w:t xml:space="preserve"> </w:t>
      </w:r>
      <w:r w:rsidR="001B2C4C">
        <w:rPr>
          <w:rFonts w:ascii="Times New Roman" w:hAnsi="Times New Roman" w:cs="Times New Roman"/>
          <w:lang w:val="es-ES_tradnl"/>
        </w:rPr>
        <w:t>se tienda hacia la sobrevigilancia que atente contra los derechos y libertades individuales</w:t>
      </w:r>
      <w:r>
        <w:rPr>
          <w:rFonts w:ascii="Times New Roman" w:hAnsi="Times New Roman" w:cs="Times New Roman"/>
          <w:lang w:val="es-ES_tradnl"/>
        </w:rPr>
        <w:t>, como medida de protección</w:t>
      </w:r>
      <w:r w:rsidR="001B2C4C">
        <w:rPr>
          <w:rFonts w:ascii="Times New Roman" w:hAnsi="Times New Roman" w:cs="Times New Roman"/>
          <w:lang w:val="es-ES_tradnl"/>
        </w:rPr>
        <w:t xml:space="preserve"> (Paulsen, A. 2020)</w:t>
      </w:r>
      <w:r>
        <w:rPr>
          <w:rFonts w:ascii="Times New Roman" w:hAnsi="Times New Roman" w:cs="Times New Roman"/>
          <w:lang w:val="es-ES_tradnl"/>
        </w:rPr>
        <w:t>.</w:t>
      </w:r>
    </w:p>
    <w:p w14:paraId="331ED30C" w14:textId="376075A9" w:rsidR="00C53CD8" w:rsidRDefault="001B2C4C" w:rsidP="001B2C4C">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Desde esta perspectiva, la violencia vicaria se puede contemplar como una conducta facilitada por la configuración situacional que favorezca una visión de los hijos como objetivos adecuados por parte del agresor motivado. La vulnerabilidad de los menores unida a la comodidad del ámbito familiar sin interferencias institucionales supone la ausencia de un guardián que pueda prevenir la violencia, por lo que el agresor se encuentra en una situación ideal para llevar a cabo la agresión gracias a la convergencia de los tres factores y la falta de control social.</w:t>
      </w:r>
    </w:p>
    <w:p w14:paraId="29AAA565" w14:textId="77777777" w:rsidR="00502752" w:rsidRPr="00C07ACE" w:rsidRDefault="00502752" w:rsidP="00502752">
      <w:pPr>
        <w:spacing w:line="360" w:lineRule="auto"/>
        <w:ind w:firstLine="142"/>
        <w:jc w:val="both"/>
        <w:rPr>
          <w:rFonts w:ascii="Times New Roman" w:hAnsi="Times New Roman" w:cs="Times New Roman"/>
          <w:lang w:val="es-ES_tradnl"/>
        </w:rPr>
      </w:pPr>
    </w:p>
    <w:p w14:paraId="70D05C21" w14:textId="77777777" w:rsidR="00502752" w:rsidRDefault="00502752" w:rsidP="00502752">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148" w:name="_Toc215253340"/>
      <w:bookmarkStart w:id="149" w:name="_Toc215253394"/>
      <w:bookmarkStart w:id="150" w:name="_Toc215255586"/>
      <w:bookmarkStart w:id="151" w:name="_Toc215256201"/>
      <w:bookmarkStart w:id="152" w:name="_Toc217838011"/>
      <w:bookmarkStart w:id="153" w:name="_Toc218416702"/>
      <w:bookmarkStart w:id="154" w:name="_Toc218422517"/>
      <w:bookmarkStart w:id="155" w:name="_Toc219919452"/>
      <w:bookmarkStart w:id="156" w:name="_Toc219919518"/>
      <w:bookmarkStart w:id="157" w:name="_Toc220260631"/>
      <w:bookmarkStart w:id="158" w:name="_Toc221125842"/>
      <w:bookmarkStart w:id="159" w:name="_Toc221212522"/>
      <w:r w:rsidRPr="00512076">
        <w:rPr>
          <w:rFonts w:ascii="Times New Roman" w:hAnsi="Times New Roman" w:cs="Times New Roman"/>
          <w:b/>
          <w:bCs/>
          <w:color w:val="000000" w:themeColor="text1"/>
          <w:sz w:val="24"/>
          <w:szCs w:val="24"/>
          <w:lang w:val="es-ES_tradnl"/>
        </w:rPr>
        <w:t>Teoría del control social</w:t>
      </w:r>
      <w:bookmarkEnd w:id="148"/>
      <w:bookmarkEnd w:id="149"/>
      <w:bookmarkEnd w:id="150"/>
      <w:bookmarkEnd w:id="151"/>
      <w:bookmarkEnd w:id="152"/>
      <w:bookmarkEnd w:id="153"/>
      <w:bookmarkEnd w:id="154"/>
      <w:bookmarkEnd w:id="155"/>
      <w:bookmarkEnd w:id="156"/>
      <w:bookmarkEnd w:id="157"/>
      <w:bookmarkEnd w:id="158"/>
      <w:bookmarkEnd w:id="159"/>
    </w:p>
    <w:p w14:paraId="7DEBD807" w14:textId="232CA029" w:rsidR="00502752" w:rsidRDefault="001B3C11" w:rsidP="00134D29">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Las teorías de control social supusieron un cambio en la premisa contemplada para interpretar la delincuencia</w:t>
      </w:r>
      <w:r w:rsidR="0033173F">
        <w:rPr>
          <w:rFonts w:ascii="Times New Roman" w:hAnsi="Times New Roman" w:cs="Times New Roman"/>
          <w:lang w:val="es-ES_tradnl"/>
        </w:rPr>
        <w:t>, pues se centraron en por qué no ocurría el delito, en lugar de por qué sí ocurría.</w:t>
      </w:r>
    </w:p>
    <w:p w14:paraId="5E725571" w14:textId="4CFA9612" w:rsidR="00BD1D98" w:rsidRDefault="0033173F" w:rsidP="00333D80">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El profesor y criminólogo Travis Hirschi elaboró la Teoría del Control Social en 1969</w:t>
      </w:r>
      <w:r w:rsidR="00333D80">
        <w:rPr>
          <w:rFonts w:ascii="Times New Roman" w:hAnsi="Times New Roman" w:cs="Times New Roman"/>
          <w:lang w:val="es-ES_tradnl"/>
        </w:rPr>
        <w:t>, detallada en su libro “</w:t>
      </w:r>
      <w:r w:rsidR="00333D80" w:rsidRPr="00333D80">
        <w:rPr>
          <w:rFonts w:ascii="Times New Roman" w:hAnsi="Times New Roman" w:cs="Times New Roman"/>
          <w:i/>
          <w:iCs/>
          <w:lang w:val="es-ES_tradnl"/>
        </w:rPr>
        <w:t>Causes of Delinquency</w:t>
      </w:r>
      <w:r w:rsidR="00333D80">
        <w:rPr>
          <w:rFonts w:ascii="Times New Roman" w:hAnsi="Times New Roman" w:cs="Times New Roman"/>
          <w:lang w:val="es-ES_tradnl"/>
        </w:rPr>
        <w:t>”</w:t>
      </w:r>
      <w:r>
        <w:rPr>
          <w:rFonts w:ascii="Times New Roman" w:hAnsi="Times New Roman" w:cs="Times New Roman"/>
          <w:lang w:val="es-ES_tradnl"/>
        </w:rPr>
        <w:t xml:space="preserve">, en la que resaltó </w:t>
      </w:r>
      <w:r w:rsidR="00333D80">
        <w:rPr>
          <w:rFonts w:ascii="Times New Roman" w:hAnsi="Times New Roman" w:cs="Times New Roman"/>
          <w:lang w:val="es-ES_tradnl"/>
        </w:rPr>
        <w:t>el por qué la gente, pese a tener la capacidad de hacerlo, no delinque.</w:t>
      </w:r>
      <w:r w:rsidR="001A48A3">
        <w:rPr>
          <w:rFonts w:ascii="Times New Roman" w:hAnsi="Times New Roman" w:cs="Times New Roman"/>
          <w:lang w:val="es-ES_tradnl"/>
        </w:rPr>
        <w:t xml:space="preserve"> Plantea la idea de que cuanto más fuertes sean los vínculos sociales que unen al individuo con su entorno, menor será la probabilidad de que cometa un delito, ya que éstos actúan como unos agentes o barreras que inhiben</w:t>
      </w:r>
      <w:r w:rsidR="007C1063">
        <w:rPr>
          <w:rFonts w:ascii="Times New Roman" w:hAnsi="Times New Roman" w:cs="Times New Roman"/>
          <w:lang w:val="es-ES_tradnl"/>
        </w:rPr>
        <w:t xml:space="preserve"> la conducta desviada (Hirschi, 1969).</w:t>
      </w:r>
    </w:p>
    <w:p w14:paraId="1A5A592A" w14:textId="19D01C21" w:rsidR="007C1063" w:rsidRDefault="007C1063" w:rsidP="00333D80">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A diferencia de otras teorías, Hirschi no contempla el control social como el resultado de una vigilancia formal, sino como consecuencia de mecanismos emocionales mediante los que la relación social detiene la desviación conductual</w:t>
      </w:r>
      <w:r w:rsidR="00F44950">
        <w:rPr>
          <w:rFonts w:ascii="Times New Roman" w:hAnsi="Times New Roman" w:cs="Times New Roman"/>
          <w:lang w:val="es-ES_tradnl"/>
        </w:rPr>
        <w:t xml:space="preserve">. La conexión de un individuo con la sociedad y su entorno implica una serie de lazos afectivos que le </w:t>
      </w:r>
      <w:r w:rsidR="00F44950">
        <w:rPr>
          <w:rFonts w:ascii="Times New Roman" w:hAnsi="Times New Roman" w:cs="Times New Roman"/>
          <w:lang w:val="es-ES_tradnl"/>
        </w:rPr>
        <w:lastRenderedPageBreak/>
        <w:t xml:space="preserve">predisponen a respetar las normas y leyes sociales, por lo que sin vinculación social que regule los comportamientos, la probabilidad de cometer un delito </w:t>
      </w:r>
      <w:r w:rsidR="00B73FC9">
        <w:rPr>
          <w:rFonts w:ascii="Times New Roman" w:hAnsi="Times New Roman" w:cs="Times New Roman"/>
          <w:lang w:val="es-ES_tradnl"/>
        </w:rPr>
        <w:t>aumenta</w:t>
      </w:r>
      <w:r w:rsidR="00F44950">
        <w:rPr>
          <w:rFonts w:ascii="Times New Roman" w:hAnsi="Times New Roman" w:cs="Times New Roman"/>
          <w:lang w:val="es-ES_tradnl"/>
        </w:rPr>
        <w:t>.</w:t>
      </w:r>
    </w:p>
    <w:p w14:paraId="3D0D191C" w14:textId="7F5BEE07" w:rsidR="00F44950" w:rsidRDefault="00F44950" w:rsidP="00333D80">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Hirschi numera cuatro elementos fundamentales dentro del vínculo social que inhiben la delincuencia a favor de integrar al individuo en la sociedad convencional (Serrano, 2024):</w:t>
      </w:r>
    </w:p>
    <w:p w14:paraId="7423943D" w14:textId="23315A6B" w:rsidR="00F44950" w:rsidRDefault="00F44950" w:rsidP="003F3B72">
      <w:pPr>
        <w:pStyle w:val="ListParagraph"/>
        <w:numPr>
          <w:ilvl w:val="0"/>
          <w:numId w:val="6"/>
        </w:numPr>
        <w:spacing w:line="360" w:lineRule="auto"/>
        <w:jc w:val="both"/>
        <w:rPr>
          <w:rFonts w:ascii="Times New Roman" w:hAnsi="Times New Roman" w:cs="Times New Roman"/>
          <w:lang w:val="es-ES_tradnl"/>
        </w:rPr>
      </w:pPr>
      <w:r>
        <w:rPr>
          <w:rFonts w:ascii="Times New Roman" w:hAnsi="Times New Roman" w:cs="Times New Roman"/>
          <w:lang w:val="es-ES_tradnl"/>
        </w:rPr>
        <w:t>Apego</w:t>
      </w:r>
      <w:r w:rsidR="003B0F38">
        <w:rPr>
          <w:rFonts w:ascii="Times New Roman" w:hAnsi="Times New Roman" w:cs="Times New Roman"/>
          <w:lang w:val="es-ES_tradnl"/>
        </w:rPr>
        <w:t xml:space="preserve"> (</w:t>
      </w:r>
      <w:r w:rsidR="003B0F38" w:rsidRPr="00ED0748">
        <w:rPr>
          <w:rFonts w:ascii="Times New Roman" w:hAnsi="Times New Roman" w:cs="Times New Roman"/>
          <w:i/>
          <w:iCs/>
          <w:lang w:val="es-ES_tradnl"/>
        </w:rPr>
        <w:t>attachment</w:t>
      </w:r>
      <w:r w:rsidR="003B0F38">
        <w:rPr>
          <w:rFonts w:ascii="Times New Roman" w:hAnsi="Times New Roman" w:cs="Times New Roman"/>
          <w:lang w:val="es-ES_tradnl"/>
        </w:rPr>
        <w:t>)</w:t>
      </w:r>
      <w:r>
        <w:rPr>
          <w:rFonts w:ascii="Times New Roman" w:hAnsi="Times New Roman" w:cs="Times New Roman"/>
          <w:lang w:val="es-ES_tradnl"/>
        </w:rPr>
        <w:t>: la intensidad de los vínculos afectivos con otras personas</w:t>
      </w:r>
      <w:r w:rsidR="003B0F38">
        <w:rPr>
          <w:rFonts w:ascii="Times New Roman" w:hAnsi="Times New Roman" w:cs="Times New Roman"/>
          <w:lang w:val="es-ES_tradnl"/>
        </w:rPr>
        <w:t xml:space="preserve">, es decir, la sensibilidad del individuo ante las opiniones de aquellos que le importan, como pueden ser familiares, amigos o </w:t>
      </w:r>
      <w:r w:rsidR="00E62014">
        <w:rPr>
          <w:rFonts w:ascii="Times New Roman" w:hAnsi="Times New Roman" w:cs="Times New Roman"/>
          <w:lang w:val="es-ES_tradnl"/>
        </w:rPr>
        <w:t>relaciones análogas. Un apego fuerte supone más respeto y mayor nivel de interiorización de las normas sociales, por lo que psicológicamente, aumenta el coste de la infracción y disminuye el beneficio del individuo (Hirschi, 1969).</w:t>
      </w:r>
    </w:p>
    <w:p w14:paraId="28B0A44F" w14:textId="2C4C0861" w:rsidR="00E62014" w:rsidRDefault="00E62014" w:rsidP="003F3B72">
      <w:pPr>
        <w:pStyle w:val="ListParagraph"/>
        <w:numPr>
          <w:ilvl w:val="0"/>
          <w:numId w:val="6"/>
        </w:numPr>
        <w:spacing w:line="360" w:lineRule="auto"/>
        <w:jc w:val="both"/>
        <w:rPr>
          <w:rFonts w:ascii="Times New Roman" w:hAnsi="Times New Roman" w:cs="Times New Roman"/>
          <w:lang w:val="es-ES_tradnl"/>
        </w:rPr>
      </w:pPr>
      <w:r>
        <w:rPr>
          <w:rFonts w:ascii="Times New Roman" w:hAnsi="Times New Roman" w:cs="Times New Roman"/>
          <w:lang w:val="es-ES_tradnl"/>
        </w:rPr>
        <w:t>Compromiso o entrega (</w:t>
      </w:r>
      <w:r w:rsidRPr="00ED0748">
        <w:rPr>
          <w:rFonts w:ascii="Times New Roman" w:hAnsi="Times New Roman" w:cs="Times New Roman"/>
          <w:i/>
          <w:iCs/>
          <w:lang w:val="es-ES_tradnl"/>
        </w:rPr>
        <w:t>commitment</w:t>
      </w:r>
      <w:r>
        <w:rPr>
          <w:rFonts w:ascii="Times New Roman" w:hAnsi="Times New Roman" w:cs="Times New Roman"/>
          <w:lang w:val="es-ES_tradnl"/>
        </w:rPr>
        <w:t xml:space="preserve">): el nivel de dedicación al cumplimiento de las leyes sociales, puesto que el componente del miedo actúa como inhibidor de la comisión del delito. El individuo considera preferente dedicar más tiempo en integrarse en la sociedad y seguir las normas, antes que </w:t>
      </w:r>
      <w:r w:rsidR="00ED0748">
        <w:rPr>
          <w:rFonts w:ascii="Times New Roman" w:hAnsi="Times New Roman" w:cs="Times New Roman"/>
          <w:lang w:val="es-ES_tradnl"/>
        </w:rPr>
        <w:t>arriesgarse a</w:t>
      </w:r>
      <w:r>
        <w:rPr>
          <w:rFonts w:ascii="Times New Roman" w:hAnsi="Times New Roman" w:cs="Times New Roman"/>
          <w:lang w:val="es-ES_tradnl"/>
        </w:rPr>
        <w:t xml:space="preserve"> romper con l</w:t>
      </w:r>
      <w:r w:rsidR="00ED0748">
        <w:rPr>
          <w:rFonts w:ascii="Times New Roman" w:hAnsi="Times New Roman" w:cs="Times New Roman"/>
          <w:lang w:val="es-ES_tradnl"/>
        </w:rPr>
        <w:t>os bienes personales adquiridos dentro del contexto sociocultural. Según Becker (1960), el sujeto debe ser consciente de que cualquier decisión que tome acorde a los deseos, oportunidades o intereses que tenga; tendrá consecuencias que irán más allá de una mera decisión. Por ello, la persona se limita a seguir una vida convencional, conformándose con aquello que tiene en lugar de contemplar la delincuencia como forma de vida.</w:t>
      </w:r>
      <w:r w:rsidR="00160FD3">
        <w:rPr>
          <w:rFonts w:ascii="Times New Roman" w:hAnsi="Times New Roman" w:cs="Times New Roman"/>
          <w:lang w:val="es-ES_tradnl"/>
        </w:rPr>
        <w:t xml:space="preserve"> Sin embargo, aquel que no tenga mucho que perder, se podrá permitir una tentación mayor. (Becker, 1960; Hirschi, 1969).</w:t>
      </w:r>
    </w:p>
    <w:p w14:paraId="5BF5DD99" w14:textId="4EE2E4EE" w:rsidR="00E62014" w:rsidRDefault="00E62014" w:rsidP="003F3B72">
      <w:pPr>
        <w:pStyle w:val="ListParagraph"/>
        <w:numPr>
          <w:ilvl w:val="0"/>
          <w:numId w:val="6"/>
        </w:numPr>
        <w:spacing w:line="360" w:lineRule="auto"/>
        <w:jc w:val="both"/>
        <w:rPr>
          <w:rFonts w:ascii="Times New Roman" w:hAnsi="Times New Roman" w:cs="Times New Roman"/>
          <w:lang w:val="es-ES_tradnl"/>
        </w:rPr>
      </w:pPr>
      <w:r>
        <w:rPr>
          <w:rFonts w:ascii="Times New Roman" w:hAnsi="Times New Roman" w:cs="Times New Roman"/>
          <w:lang w:val="es-ES_tradnl"/>
        </w:rPr>
        <w:t>Participación o implicación (</w:t>
      </w:r>
      <w:r w:rsidRPr="00ED0748">
        <w:rPr>
          <w:rFonts w:ascii="Times New Roman" w:hAnsi="Times New Roman" w:cs="Times New Roman"/>
          <w:i/>
          <w:iCs/>
          <w:lang w:val="es-ES_tradnl"/>
        </w:rPr>
        <w:t>involvement</w:t>
      </w:r>
      <w:r>
        <w:rPr>
          <w:rFonts w:ascii="Times New Roman" w:hAnsi="Times New Roman" w:cs="Times New Roman"/>
          <w:lang w:val="es-ES_tradnl"/>
        </w:rPr>
        <w:t>)</w:t>
      </w:r>
      <w:r w:rsidR="00ED0748">
        <w:rPr>
          <w:rFonts w:ascii="Times New Roman" w:hAnsi="Times New Roman" w:cs="Times New Roman"/>
          <w:lang w:val="es-ES_tradnl"/>
        </w:rPr>
        <w:t>: describe la participación en actividades convencionales que satisfagan necesidades recreativas, de forma que los requerimientos temporales y/o cognitivos interfieren con la posibilidad de que se presente una oportunidad de delinquir (Hirschi, 1969).</w:t>
      </w:r>
    </w:p>
    <w:p w14:paraId="414B2EA0" w14:textId="11AFBFC4" w:rsidR="00E62014" w:rsidRPr="00F44950" w:rsidRDefault="00E62014" w:rsidP="003F3B72">
      <w:pPr>
        <w:pStyle w:val="ListParagraph"/>
        <w:numPr>
          <w:ilvl w:val="0"/>
          <w:numId w:val="6"/>
        </w:numPr>
        <w:spacing w:line="360" w:lineRule="auto"/>
        <w:jc w:val="both"/>
        <w:rPr>
          <w:rFonts w:ascii="Times New Roman" w:hAnsi="Times New Roman" w:cs="Times New Roman"/>
          <w:lang w:val="es-ES_tradnl"/>
        </w:rPr>
      </w:pPr>
      <w:r>
        <w:rPr>
          <w:rFonts w:ascii="Times New Roman" w:hAnsi="Times New Roman" w:cs="Times New Roman"/>
          <w:lang w:val="es-ES_tradnl"/>
        </w:rPr>
        <w:t>Creencia (</w:t>
      </w:r>
      <w:r w:rsidRPr="00ED0748">
        <w:rPr>
          <w:rFonts w:ascii="Times New Roman" w:hAnsi="Times New Roman" w:cs="Times New Roman"/>
          <w:i/>
          <w:iCs/>
          <w:lang w:val="es-ES_tradnl"/>
        </w:rPr>
        <w:t>belief</w:t>
      </w:r>
      <w:r>
        <w:rPr>
          <w:rFonts w:ascii="Times New Roman" w:hAnsi="Times New Roman" w:cs="Times New Roman"/>
          <w:lang w:val="es-ES_tradnl"/>
        </w:rPr>
        <w:t>):</w:t>
      </w:r>
      <w:r w:rsidR="004E1443">
        <w:rPr>
          <w:rFonts w:ascii="Times New Roman" w:hAnsi="Times New Roman" w:cs="Times New Roman"/>
          <w:lang w:val="es-ES_tradnl"/>
        </w:rPr>
        <w:t xml:space="preserve"> aceptación del sistema de valores de la sociedad</w:t>
      </w:r>
      <w:r w:rsidR="00D07502">
        <w:rPr>
          <w:rFonts w:ascii="Times New Roman" w:hAnsi="Times New Roman" w:cs="Times New Roman"/>
          <w:lang w:val="es-ES_tradnl"/>
        </w:rPr>
        <w:t>, dando lugar a que la ruptura de las mismas suponga una violación de su propio sistema de valores en los que cree al haberse socializado con ellos. Se percibe el respeto a las normas como un valor en sí mismo que inhibe cualquier conducta delictiva (Hirschi, 1969).</w:t>
      </w:r>
    </w:p>
    <w:p w14:paraId="78375FFB" w14:textId="318EFB4D" w:rsidR="0033173F" w:rsidRDefault="00D07502" w:rsidP="00D07502">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lastRenderedPageBreak/>
        <w:t>Pese a suponer una innovación en el enfoque criminológico contemporáneo, esta teoría no está exenta de críticas. Se argumenta que se simplifica en exceso el comportamiento criminal, pasando por alto factores relevantes como la desigualdad socioeconómica o problemas psicológicos; al igual que no determina por qué ciertas conductas se contemplan como desviadas, y por qué otras no (Serrano, 2024).</w:t>
      </w:r>
    </w:p>
    <w:p w14:paraId="392DBD05" w14:textId="4C95249A" w:rsidR="00D07502" w:rsidRDefault="00D07502" w:rsidP="00D07502">
      <w:pPr>
        <w:spacing w:line="360" w:lineRule="auto"/>
        <w:jc w:val="both"/>
        <w:rPr>
          <w:rFonts w:ascii="Times New Roman" w:hAnsi="Times New Roman" w:cs="Times New Roman"/>
          <w:lang w:val="es-ES_tradnl"/>
        </w:rPr>
      </w:pPr>
      <w:r>
        <w:rPr>
          <w:rFonts w:ascii="Times New Roman" w:hAnsi="Times New Roman" w:cs="Times New Roman"/>
          <w:lang w:val="es-ES_tradnl"/>
        </w:rPr>
        <w:tab/>
        <w:t>Así pues, la violencia vicaria se puede con</w:t>
      </w:r>
      <w:r w:rsidR="00B73FC9">
        <w:rPr>
          <w:rFonts w:ascii="Times New Roman" w:hAnsi="Times New Roman" w:cs="Times New Roman"/>
          <w:lang w:val="es-ES_tradnl"/>
        </w:rPr>
        <w:t>sider</w:t>
      </w:r>
      <w:r>
        <w:rPr>
          <w:rFonts w:ascii="Times New Roman" w:hAnsi="Times New Roman" w:cs="Times New Roman"/>
          <w:lang w:val="es-ES_tradnl"/>
        </w:rPr>
        <w:t xml:space="preserve">ar como la consecuencia final de la ruptura de los vínculos sociales que deberían inhibir las conductas criminales. El individuo que agrede a sus hijos para poder dañar emocionalmente a la madre de los mismos muestra una clara ausencia del factor del apego hacia ellos y hacia ella, lo que provoca la ausencia de perturbación causada por las opiniones de éstos. Tampoco </w:t>
      </w:r>
      <w:r w:rsidR="00636415">
        <w:rPr>
          <w:rFonts w:ascii="Times New Roman" w:hAnsi="Times New Roman" w:cs="Times New Roman"/>
          <w:lang w:val="es-ES_tradnl"/>
        </w:rPr>
        <w:t>creería en las normas sociales y morales, por lo que no tendría reparo en transgredirlas; algo que se ve influenciado por la ausencia de compromiso con actividades l</w:t>
      </w:r>
      <w:r w:rsidR="00B73FC9">
        <w:rPr>
          <w:rFonts w:ascii="Times New Roman" w:hAnsi="Times New Roman" w:cs="Times New Roman"/>
          <w:lang w:val="es-ES_tradnl"/>
        </w:rPr>
        <w:t>ícit</w:t>
      </w:r>
      <w:r w:rsidR="00636415">
        <w:rPr>
          <w:rFonts w:ascii="Times New Roman" w:hAnsi="Times New Roman" w:cs="Times New Roman"/>
          <w:lang w:val="es-ES_tradnl"/>
        </w:rPr>
        <w:t xml:space="preserve">as, sobre todo con aquellas relacionadas con la formación de una familia. Todo ello fomenta la manifestación de comportamientos violentos, destructivos y extremos que satisfacen la necesidad, el interés y la voluntad del agresor de dañar a su </w:t>
      </w:r>
      <w:r w:rsidR="00636415" w:rsidRPr="00B73FC9">
        <w:rPr>
          <w:rFonts w:ascii="Times New Roman" w:hAnsi="Times New Roman" w:cs="Times New Roman"/>
          <w:lang w:val="es-ES_tradnl"/>
        </w:rPr>
        <w:t>cónyuge</w:t>
      </w:r>
      <w:r w:rsidR="00636415">
        <w:rPr>
          <w:rFonts w:ascii="Times New Roman" w:hAnsi="Times New Roman" w:cs="Times New Roman"/>
          <w:lang w:val="es-ES_tradnl"/>
        </w:rPr>
        <w:t>.</w:t>
      </w:r>
    </w:p>
    <w:p w14:paraId="41EDE66B" w14:textId="77777777" w:rsidR="00D07502" w:rsidRDefault="00D07502" w:rsidP="00D07502">
      <w:pPr>
        <w:spacing w:line="360" w:lineRule="auto"/>
        <w:jc w:val="both"/>
        <w:rPr>
          <w:rFonts w:ascii="Times New Roman" w:hAnsi="Times New Roman" w:cs="Times New Roman"/>
          <w:lang w:val="es-ES_tradnl"/>
        </w:rPr>
      </w:pPr>
    </w:p>
    <w:p w14:paraId="302A7638" w14:textId="554B7DAE" w:rsidR="003E0D86" w:rsidRPr="00512076" w:rsidRDefault="009D0B7B" w:rsidP="00512076">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160" w:name="_Toc215253342"/>
      <w:bookmarkStart w:id="161" w:name="_Toc215253396"/>
      <w:bookmarkStart w:id="162" w:name="_Toc215255588"/>
      <w:bookmarkStart w:id="163" w:name="_Toc215256203"/>
      <w:bookmarkStart w:id="164" w:name="_Toc217838012"/>
      <w:bookmarkStart w:id="165" w:name="_Toc218416703"/>
      <w:bookmarkStart w:id="166" w:name="_Toc218422518"/>
      <w:bookmarkStart w:id="167" w:name="_Toc219919453"/>
      <w:bookmarkStart w:id="168" w:name="_Toc219919519"/>
      <w:bookmarkStart w:id="169" w:name="_Toc220260632"/>
      <w:bookmarkStart w:id="170" w:name="_Toc221125843"/>
      <w:bookmarkStart w:id="171" w:name="_Toc221212523"/>
      <w:r w:rsidRPr="00512076">
        <w:rPr>
          <w:rFonts w:ascii="Times New Roman" w:hAnsi="Times New Roman" w:cs="Times New Roman"/>
          <w:b/>
          <w:bCs/>
          <w:color w:val="000000" w:themeColor="text1"/>
          <w:sz w:val="24"/>
          <w:szCs w:val="24"/>
          <w:lang w:val="es-ES_tradnl"/>
        </w:rPr>
        <w:t>Teoría del etiquetamiento</w:t>
      </w:r>
      <w:bookmarkEnd w:id="160"/>
      <w:bookmarkEnd w:id="161"/>
      <w:bookmarkEnd w:id="162"/>
      <w:bookmarkEnd w:id="163"/>
      <w:bookmarkEnd w:id="164"/>
      <w:bookmarkEnd w:id="165"/>
      <w:bookmarkEnd w:id="166"/>
      <w:bookmarkEnd w:id="167"/>
      <w:bookmarkEnd w:id="168"/>
      <w:bookmarkEnd w:id="169"/>
      <w:bookmarkEnd w:id="170"/>
      <w:bookmarkEnd w:id="171"/>
    </w:p>
    <w:p w14:paraId="03B4EABB" w14:textId="4325BB63" w:rsidR="002A6204" w:rsidRDefault="00837584" w:rsidP="000940C9">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 xml:space="preserve">También llamada teoría del etiquetado, la teoría del etiquetamiento se consolidó como una teoría microsociológica de la desviación a raíz del concepto de la estigmatización. </w:t>
      </w:r>
      <w:r w:rsidR="000940C9">
        <w:rPr>
          <w:rFonts w:ascii="Times New Roman" w:hAnsi="Times New Roman" w:cs="Times New Roman"/>
          <w:lang w:val="es-ES_tradnl"/>
        </w:rPr>
        <w:t xml:space="preserve">Para comprender el corolario del que parte, se debe abordar primero el concepto del interaccionismo simbólico, una corriente sociológica enfocada en los procesos de la construcción social de la realidad en base a las interacciones entre las personas. </w:t>
      </w:r>
      <w:r w:rsidR="002A6204">
        <w:rPr>
          <w:rFonts w:ascii="Times New Roman" w:hAnsi="Times New Roman" w:cs="Times New Roman"/>
          <w:lang w:val="es-ES_tradnl"/>
        </w:rPr>
        <w:t>George Mead introdujo el concepto, pero fue su estudiante, Herbert Blumer quien acuñó la definición del interaccionismo simbólico (</w:t>
      </w:r>
      <w:r w:rsidR="00C54861">
        <w:rPr>
          <w:rFonts w:ascii="Times New Roman" w:hAnsi="Times New Roman" w:cs="Times New Roman"/>
          <w:lang w:val="es-ES_tradnl"/>
        </w:rPr>
        <w:t>Peterson, s.f.).</w:t>
      </w:r>
    </w:p>
    <w:p w14:paraId="7E272552" w14:textId="69552D3A" w:rsidR="006509A7" w:rsidRDefault="000940C9" w:rsidP="000940C9">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Así pues, la desviación no es una cualidad intrínseca, sino un resultado de procesos mediante los cuales algunos comportamientos o conductas específicas son interpretadas como desviadas tras la imposición de normas (Leone-Brynjarsson et ál., 2025</w:t>
      </w:r>
      <w:r w:rsidR="00654E96">
        <w:rPr>
          <w:rFonts w:ascii="Times New Roman" w:hAnsi="Times New Roman" w:cs="Times New Roman"/>
          <w:lang w:val="es-ES_tradnl"/>
        </w:rPr>
        <w:t>; Seijo y Mavarez, 2024</w:t>
      </w:r>
      <w:r>
        <w:rPr>
          <w:rFonts w:ascii="Times New Roman" w:hAnsi="Times New Roman" w:cs="Times New Roman"/>
          <w:lang w:val="es-ES_tradnl"/>
        </w:rPr>
        <w:t>).</w:t>
      </w:r>
    </w:p>
    <w:p w14:paraId="66097D5A" w14:textId="67E4D542" w:rsidR="00355D15" w:rsidRDefault="0020040E" w:rsidP="00BD1D98">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 xml:space="preserve">Surgió en la década de los años 60 del siglo XX, cuando algunos sociólogos comenzaron a contemplar la delincuencia como proceso social. Notablemente, Howard Becker fue de los primeros en difundir la teoría en su estudio </w:t>
      </w:r>
      <w:r w:rsidRPr="002A6204">
        <w:rPr>
          <w:rFonts w:ascii="Times New Roman" w:hAnsi="Times New Roman" w:cs="Times New Roman"/>
          <w:i/>
          <w:iCs/>
          <w:lang w:val="es-ES_tradnl"/>
        </w:rPr>
        <w:t>Outsiders</w:t>
      </w:r>
      <w:r>
        <w:rPr>
          <w:rFonts w:ascii="Times New Roman" w:hAnsi="Times New Roman" w:cs="Times New Roman"/>
          <w:lang w:val="es-ES_tradnl"/>
        </w:rPr>
        <w:t xml:space="preserve"> en 1963, donde detalla cómo aquellas personas que delinquen no sólo son contrarios a la norma, sino que </w:t>
      </w:r>
      <w:r>
        <w:rPr>
          <w:rFonts w:ascii="Times New Roman" w:hAnsi="Times New Roman" w:cs="Times New Roman"/>
          <w:lang w:val="es-ES_tradnl"/>
        </w:rPr>
        <w:lastRenderedPageBreak/>
        <w:t>son “etiquetados” y clasificados como desviados por la sociedad (Abreu, 2018). Con la ayuda de Edwin Lemert, distinguieron entre desviación primaria – aquellas actividades contrarias a la norma que no conllevan un sentimiento de desviación en el individuo</w:t>
      </w:r>
      <w:r w:rsidR="002A6204">
        <w:rPr>
          <w:rFonts w:ascii="Times New Roman" w:hAnsi="Times New Roman" w:cs="Times New Roman"/>
          <w:lang w:val="es-ES_tradnl"/>
        </w:rPr>
        <w:t xml:space="preserve"> ni en las personas de su entorno; y la desviación secundaria – infracción de la norma que implica la clasificación del agresor como desviado, y la consecuente interiorización de la etiqueta</w:t>
      </w:r>
      <w:r w:rsidR="00C54861">
        <w:rPr>
          <w:rFonts w:ascii="Times New Roman" w:hAnsi="Times New Roman" w:cs="Times New Roman"/>
          <w:lang w:val="es-ES_tradnl"/>
        </w:rPr>
        <w:t xml:space="preserve"> (Lemert, 1972)</w:t>
      </w:r>
      <w:r w:rsidR="002A6204">
        <w:rPr>
          <w:rFonts w:ascii="Times New Roman" w:hAnsi="Times New Roman" w:cs="Times New Roman"/>
          <w:lang w:val="es-ES_tradnl"/>
        </w:rPr>
        <w:t xml:space="preserve">. Por ello, este infractor tenderá a actuar acorde al calificativo asignado por la sociedad, de forma que se identifica como “agresor desviado” </w:t>
      </w:r>
      <w:r w:rsidR="00C54861">
        <w:rPr>
          <w:rFonts w:ascii="Times New Roman" w:hAnsi="Times New Roman" w:cs="Times New Roman"/>
          <w:lang w:val="es-ES_tradnl"/>
        </w:rPr>
        <w:t xml:space="preserve">y su autoconcepto gira en torno a la identidad desviada que se le ha sido impuesta </w:t>
      </w:r>
      <w:r w:rsidR="002A6204">
        <w:rPr>
          <w:rFonts w:ascii="Times New Roman" w:hAnsi="Times New Roman" w:cs="Times New Roman"/>
          <w:lang w:val="es-ES_tradnl"/>
        </w:rPr>
        <w:t>(Abreu, 2018).</w:t>
      </w:r>
    </w:p>
    <w:p w14:paraId="345DFD6A" w14:textId="4551807E" w:rsidR="00C54861" w:rsidRDefault="00C54861" w:rsidP="00BD1D98">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Simbólicamente, el adjetivo calificativo “delincuente” es una construcción social basada en valores morales y culturales empleada en discursos institucionales, de manera que el delito está directamente relacionado con las reacciones sociales que produce, y su etiqueta refuerza la identidad desviada (Leone-Brynjarsson et ál., 2025). Por ende, el control social puede ser no sólo un inhibidor de la conducta delictiva, sino también un reforzador de la conducta que se intenta prevenir.</w:t>
      </w:r>
      <w:r w:rsidR="005A14AB">
        <w:rPr>
          <w:rFonts w:ascii="Times New Roman" w:hAnsi="Times New Roman" w:cs="Times New Roman"/>
          <w:lang w:val="es-ES_tradnl"/>
        </w:rPr>
        <w:t xml:space="preserve"> Es infinitamente más relevante para los sociólogos y criminólogos aquella persona que mantiene un comportamiento desviado durante un largo periodo de tiempo, antes que alguien que puntualmente lleva a cabo una desviación de conducta; motivo por el cual se pone el foco en la consolidación de la identidad de desviado (Becker, 2014).</w:t>
      </w:r>
    </w:p>
    <w:p w14:paraId="2E4A9D96" w14:textId="03CF8ACA" w:rsidR="005A14AB" w:rsidRDefault="005A14AB" w:rsidP="00BD1D98">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 xml:space="preserve">Según Abreu (2018), la teoría del etiquetamiento destaca la selectividad de la sociedad a la hora de determinar qué actividades suponen una desviación de la normalidad y sobre todo, qué tipo de personas son más tendentes a recibir la etiqueta de “delincuente”. </w:t>
      </w:r>
      <w:r w:rsidR="00D013BC">
        <w:rPr>
          <w:rFonts w:ascii="Times New Roman" w:hAnsi="Times New Roman" w:cs="Times New Roman"/>
          <w:lang w:val="es-ES_tradnl"/>
        </w:rPr>
        <w:t xml:space="preserve">Aquí entra la estigmatización definida por Erving Goffman (1963) como </w:t>
      </w:r>
      <w:r w:rsidR="00D013BC" w:rsidRPr="00D013BC">
        <w:rPr>
          <w:rFonts w:ascii="Times New Roman" w:hAnsi="Times New Roman" w:cs="Times New Roman"/>
          <w:i/>
          <w:iCs/>
          <w:lang w:val="es-ES_tradnl"/>
        </w:rPr>
        <w:t>“situación del individuo inhabilitado para la plena aceptación social”</w:t>
      </w:r>
      <w:r w:rsidR="00D013BC">
        <w:rPr>
          <w:rFonts w:ascii="Times New Roman" w:hAnsi="Times New Roman" w:cs="Times New Roman"/>
          <w:lang w:val="es-ES_tradnl"/>
        </w:rPr>
        <w:t>, pues se destaca cómo ciertos grupos de la sociedad son juzgados con más frecuencia y categorizados como delincuentes por sus condiciones personales – etnia, religión, orientación sexual; entre otras. A causa de este estigma, estos individuos son monitorizados con más rigurosidad, siendo sus comportamientos interpretados como intencionadamente delictivos por la sociedad. Consecuentemente, buscan aceptación social de grupos que no les excluyan de la actividad social, es decir, que no les etiqueten prematuramente como delincuentes; lo que a su vez perpetúa la carrera delictiva, al ser lo que se espera de ellos</w:t>
      </w:r>
      <w:r w:rsidR="00DF175B">
        <w:rPr>
          <w:rFonts w:ascii="Times New Roman" w:hAnsi="Times New Roman" w:cs="Times New Roman"/>
          <w:lang w:val="es-ES_tradnl"/>
        </w:rPr>
        <w:t xml:space="preserve">. Indirectamente, el etiquetamiento o etiquetado actúa como </w:t>
      </w:r>
      <w:r w:rsidR="00625C7A">
        <w:rPr>
          <w:rFonts w:ascii="Times New Roman" w:hAnsi="Times New Roman" w:cs="Times New Roman"/>
          <w:lang w:val="es-ES_tradnl"/>
        </w:rPr>
        <w:t>profecía</w:t>
      </w:r>
      <w:r w:rsidR="00DF175B">
        <w:rPr>
          <w:rFonts w:ascii="Times New Roman" w:hAnsi="Times New Roman" w:cs="Times New Roman"/>
          <w:lang w:val="es-ES_tradnl"/>
        </w:rPr>
        <w:t xml:space="preserve"> autocumplida, al reforzar las </w:t>
      </w:r>
      <w:r w:rsidR="00DF175B">
        <w:rPr>
          <w:rFonts w:ascii="Times New Roman" w:hAnsi="Times New Roman" w:cs="Times New Roman"/>
          <w:lang w:val="es-ES_tradnl"/>
        </w:rPr>
        <w:lastRenderedPageBreak/>
        <w:t xml:space="preserve">conductas desviadas perpetuas y sus subsiguientes dinámicas de marginalización social </w:t>
      </w:r>
      <w:r w:rsidR="00D013BC">
        <w:rPr>
          <w:rFonts w:ascii="Times New Roman" w:hAnsi="Times New Roman" w:cs="Times New Roman"/>
          <w:lang w:val="es-ES_tradnl"/>
        </w:rPr>
        <w:t>(Leone-Brynjarsson et ál., 2025</w:t>
      </w:r>
      <w:r w:rsidR="00510C33">
        <w:rPr>
          <w:rFonts w:ascii="Times New Roman" w:hAnsi="Times New Roman" w:cs="Times New Roman"/>
          <w:lang w:val="es-ES_tradnl"/>
        </w:rPr>
        <w:t>; Seijo y Mavarez, 2024</w:t>
      </w:r>
      <w:r w:rsidR="00DF175B">
        <w:rPr>
          <w:rFonts w:ascii="Times New Roman" w:hAnsi="Times New Roman" w:cs="Times New Roman"/>
          <w:lang w:val="es-ES_tradnl"/>
        </w:rPr>
        <w:t>).</w:t>
      </w:r>
    </w:p>
    <w:p w14:paraId="5229EC57" w14:textId="6AFCE8EA" w:rsidR="00DF175B" w:rsidRDefault="00DF175B" w:rsidP="00BD1D98">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Asimismo, el etiquetamiento no sólo es un proceso formal a través de sistemas penales, sino que también ocurre en instituciones informales como la escuela y los medios de comunicación; mediante las cuales se pueden dar situaciones que refuercen los estigmas y condicionen las trayectorias delictivas de los etiquetados. Una consecuencia del etiquetado en estas instancias es la exclusión social intergeneracional que condiciona el acceso a oportunidades sociales</w:t>
      </w:r>
      <w:r w:rsidR="004B5BF0">
        <w:rPr>
          <w:rFonts w:ascii="Times New Roman" w:hAnsi="Times New Roman" w:cs="Times New Roman"/>
          <w:lang w:val="es-ES_tradnl"/>
        </w:rPr>
        <w:t>, perpetuando la identidad delictiva</w:t>
      </w:r>
      <w:r>
        <w:rPr>
          <w:rFonts w:ascii="Times New Roman" w:hAnsi="Times New Roman" w:cs="Times New Roman"/>
          <w:lang w:val="es-ES_tradnl"/>
        </w:rPr>
        <w:t xml:space="preserve"> (Dias de Assis Neto, 2024).</w:t>
      </w:r>
    </w:p>
    <w:p w14:paraId="7A9B5680" w14:textId="3C3CFB4E" w:rsidR="00355D15" w:rsidRDefault="004B5BF0" w:rsidP="00552E5C">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Con respecto a la violencia vicaria, la teoría del etiquetamiento pone en evidencia el papel selectivo del sistema penal para ubicar qué conductas se clasifican como violentas o no, infiriendo una protección institucional ante tales prácticas al no verse éstas castigadas. El hecho de que un organismo social no reconozca una conducta agresiva o violenta hacia menores como una representación de la violencia vicaria dilata la invisibilización de las víctimas y su sufrimiento, revictimizándose por la falta de apoyo institucional que reciben. Estos procesos de minimización de la conducta delictiva pueden derivar en la no credibilidad de las víctimas que intentan buscar apoyo en el sistema penal y judicial. Asimismo, la teoría del etiquetado ayuda a poner en perspectiva cómo las definiciones sociales y penales de la delincuencia favorecen la continuación de</w:t>
      </w:r>
      <w:r w:rsidR="00510C33">
        <w:rPr>
          <w:rFonts w:ascii="Times New Roman" w:hAnsi="Times New Roman" w:cs="Times New Roman"/>
          <w:lang w:val="es-ES_tradnl"/>
        </w:rPr>
        <w:t xml:space="preserve"> procesos como la violencia vicaria, donde el papel del poder percibido por el agresor acompaña el razonamiento seguido para seguir victimizando. (Abreu, 2018; Seijo y Mavarez, 2019).</w:t>
      </w:r>
    </w:p>
    <w:p w14:paraId="5845E265" w14:textId="77777777" w:rsidR="003E0D86" w:rsidRPr="002A7E10" w:rsidRDefault="006509A7" w:rsidP="00A55BC5">
      <w:pPr>
        <w:pStyle w:val="Heading1"/>
        <w:numPr>
          <w:ilvl w:val="0"/>
          <w:numId w:val="17"/>
        </w:numPr>
        <w:jc w:val="both"/>
        <w:rPr>
          <w:rFonts w:ascii="Times New Roman" w:hAnsi="Times New Roman" w:cs="Times New Roman"/>
          <w:b/>
          <w:bCs/>
          <w:color w:val="000000" w:themeColor="text1"/>
          <w:sz w:val="24"/>
          <w:szCs w:val="24"/>
          <w:lang w:val="es-ES_tradnl"/>
        </w:rPr>
      </w:pPr>
      <w:bookmarkStart w:id="172" w:name="_Toc215252700"/>
      <w:bookmarkStart w:id="173" w:name="_Toc215253006"/>
      <w:bookmarkStart w:id="174" w:name="_Toc215253349"/>
      <w:bookmarkStart w:id="175" w:name="_Toc215253403"/>
      <w:bookmarkStart w:id="176" w:name="_Toc215255589"/>
      <w:bookmarkStart w:id="177" w:name="_Toc215256204"/>
      <w:bookmarkStart w:id="178" w:name="_Toc217838013"/>
      <w:bookmarkStart w:id="179" w:name="_Toc218416704"/>
      <w:bookmarkStart w:id="180" w:name="_Toc218422519"/>
      <w:bookmarkStart w:id="181" w:name="_Toc219919454"/>
      <w:bookmarkStart w:id="182" w:name="_Toc219919520"/>
      <w:bookmarkStart w:id="183" w:name="_Toc220260633"/>
      <w:bookmarkStart w:id="184" w:name="_Toc221125844"/>
      <w:bookmarkStart w:id="185" w:name="_Toc221212524"/>
      <w:r w:rsidRPr="002A7E10">
        <w:rPr>
          <w:rFonts w:ascii="Times New Roman" w:hAnsi="Times New Roman" w:cs="Times New Roman"/>
          <w:b/>
          <w:bCs/>
          <w:color w:val="000000" w:themeColor="text1"/>
          <w:sz w:val="24"/>
          <w:szCs w:val="24"/>
          <w:lang w:val="es-ES_tradnl"/>
        </w:rPr>
        <w:t xml:space="preserve">Caso </w:t>
      </w:r>
      <w:r w:rsidR="001E27F0" w:rsidRPr="002A7E10">
        <w:rPr>
          <w:rFonts w:ascii="Times New Roman" w:hAnsi="Times New Roman" w:cs="Times New Roman"/>
          <w:b/>
          <w:bCs/>
          <w:color w:val="000000" w:themeColor="text1"/>
          <w:sz w:val="24"/>
          <w:szCs w:val="24"/>
          <w:lang w:val="es-ES_tradnl"/>
        </w:rPr>
        <w:t>José Bretón</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37527002" w14:textId="5A4B2444" w:rsidR="000427C2" w:rsidRDefault="006509A7" w:rsidP="00720026">
      <w:pPr>
        <w:spacing w:line="360" w:lineRule="auto"/>
        <w:ind w:firstLine="567"/>
        <w:jc w:val="both"/>
        <w:rPr>
          <w:rFonts w:ascii="Times New Roman" w:hAnsi="Times New Roman" w:cs="Times New Roman"/>
          <w:lang w:val="es-ES_tradnl"/>
        </w:rPr>
      </w:pPr>
      <w:r w:rsidRPr="00CC2562">
        <w:rPr>
          <w:rFonts w:ascii="Times New Roman" w:hAnsi="Times New Roman" w:cs="Times New Roman"/>
          <w:lang w:val="es-ES_tradnl"/>
        </w:rPr>
        <w:t>En 2011, el matrimonio compuesto por Ruth Ortiz y José Bretón comenzó a fragmentarse. A principios del mes de septiembre del mismo año, Ruth trasmitió a su marido su voluntad de solicitar el divorcio. Ruth y José compartían dos hijos – Ruth, de 6 años, nacida en 2005 y José, de 2 años, nacido en 2009. Fruto de esta decisión de divorciarse, Ruth se desplazó del domicilio familiar con los niños para mudarse a Huelva y estar junto a sus padres; de forma que sin ser oficial, ella misma asumió una custodia “de hecho” de los menores, conviviendo con ellos y permitiendo visitas a José cuando éste así lo pedía. Por otro lado, José permaneció en el domicilio familiar en Córdoba.</w:t>
      </w:r>
      <w:r w:rsidR="006F13E6">
        <w:rPr>
          <w:rFonts w:ascii="Times New Roman" w:hAnsi="Times New Roman" w:cs="Times New Roman"/>
          <w:lang w:val="es-ES_tradnl"/>
        </w:rPr>
        <w:t xml:space="preserve"> Un mes después, </w:t>
      </w:r>
      <w:r w:rsidR="00720026">
        <w:rPr>
          <w:rFonts w:ascii="Times New Roman" w:hAnsi="Times New Roman" w:cs="Times New Roman"/>
          <w:lang w:val="es-ES_tradnl"/>
        </w:rPr>
        <w:t xml:space="preserve">sus hijos </w:t>
      </w:r>
      <w:r w:rsidR="006F13E6">
        <w:rPr>
          <w:rFonts w:ascii="Times New Roman" w:hAnsi="Times New Roman" w:cs="Times New Roman"/>
          <w:lang w:val="es-ES_tradnl"/>
        </w:rPr>
        <w:t>Ruth y José Bretón Ortiz fueron asesinados.</w:t>
      </w:r>
    </w:p>
    <w:p w14:paraId="07C35B59" w14:textId="77777777" w:rsidR="00BC6002" w:rsidRDefault="00BC6002" w:rsidP="00720026">
      <w:pPr>
        <w:spacing w:line="360" w:lineRule="auto"/>
        <w:ind w:firstLine="567"/>
        <w:jc w:val="both"/>
        <w:rPr>
          <w:rFonts w:ascii="Times New Roman" w:hAnsi="Times New Roman" w:cs="Times New Roman"/>
          <w:lang w:val="es-ES_tradnl"/>
        </w:rPr>
      </w:pPr>
    </w:p>
    <w:p w14:paraId="0DE92916" w14:textId="3C9A3446" w:rsidR="006F13E6" w:rsidRPr="006F13E6" w:rsidRDefault="006F13E6" w:rsidP="006F13E6">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186" w:name="_Toc215253350"/>
      <w:bookmarkStart w:id="187" w:name="_Toc215253404"/>
      <w:bookmarkStart w:id="188" w:name="_Toc215255590"/>
      <w:bookmarkStart w:id="189" w:name="_Toc215256205"/>
      <w:bookmarkStart w:id="190" w:name="_Toc217838014"/>
      <w:bookmarkStart w:id="191" w:name="_Toc218416705"/>
      <w:bookmarkStart w:id="192" w:name="_Toc218422520"/>
      <w:bookmarkStart w:id="193" w:name="_Toc219919455"/>
      <w:bookmarkStart w:id="194" w:name="_Toc219919521"/>
      <w:bookmarkStart w:id="195" w:name="_Toc220260634"/>
      <w:bookmarkStart w:id="196" w:name="_Toc221125845"/>
      <w:bookmarkStart w:id="197" w:name="_Toc221212525"/>
      <w:r w:rsidRPr="00512076">
        <w:rPr>
          <w:rFonts w:ascii="Times New Roman" w:hAnsi="Times New Roman" w:cs="Times New Roman"/>
          <w:b/>
          <w:bCs/>
          <w:color w:val="000000" w:themeColor="text1"/>
          <w:sz w:val="24"/>
          <w:szCs w:val="24"/>
          <w:lang w:val="es-ES_tradnl"/>
        </w:rPr>
        <w:lastRenderedPageBreak/>
        <w:t>Cronología de</w:t>
      </w:r>
      <w:bookmarkEnd w:id="186"/>
      <w:bookmarkEnd w:id="187"/>
      <w:bookmarkEnd w:id="188"/>
      <w:bookmarkEnd w:id="189"/>
      <w:bookmarkEnd w:id="190"/>
      <w:bookmarkEnd w:id="191"/>
      <w:bookmarkEnd w:id="192"/>
      <w:bookmarkEnd w:id="193"/>
      <w:bookmarkEnd w:id="194"/>
      <w:bookmarkEnd w:id="195"/>
      <w:r w:rsidR="00D6503C">
        <w:rPr>
          <w:rFonts w:ascii="Times New Roman" w:hAnsi="Times New Roman" w:cs="Times New Roman"/>
          <w:b/>
          <w:bCs/>
          <w:color w:val="000000" w:themeColor="text1"/>
          <w:sz w:val="24"/>
          <w:szCs w:val="24"/>
          <w:lang w:val="es-ES_tradnl"/>
        </w:rPr>
        <w:t xml:space="preserve"> los hechos probados</w:t>
      </w:r>
      <w:bookmarkEnd w:id="196"/>
      <w:bookmarkEnd w:id="197"/>
    </w:p>
    <w:p w14:paraId="628D7B7C" w14:textId="77777777" w:rsidR="006F13E6" w:rsidRDefault="006F13E6" w:rsidP="002C4AC3">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Los hechos probados en el caso fueron declarados por el Tribunal del Jurado Popular en el juicio celebrado en la Audiencia Provincial de Córdoba, posteriormente recogidos en la sentencia dictada por el juez del tribunal:</w:t>
      </w:r>
    </w:p>
    <w:p w14:paraId="7728EE25" w14:textId="637EB82A" w:rsidR="006509A7" w:rsidRPr="00CC2562" w:rsidRDefault="006509A7" w:rsidP="002C4AC3">
      <w:pPr>
        <w:spacing w:line="360" w:lineRule="auto"/>
        <w:ind w:firstLine="567"/>
        <w:jc w:val="both"/>
        <w:rPr>
          <w:rFonts w:ascii="Times New Roman" w:hAnsi="Times New Roman" w:cs="Times New Roman"/>
          <w:lang w:val="es-ES_tradnl"/>
        </w:rPr>
      </w:pPr>
      <w:r w:rsidRPr="00CC2562">
        <w:rPr>
          <w:rFonts w:ascii="Times New Roman" w:hAnsi="Times New Roman" w:cs="Times New Roman"/>
          <w:lang w:val="es-ES_tradnl"/>
        </w:rPr>
        <w:t xml:space="preserve">Tras conocer el deseo de Ruth de divorciarse, José comenzó a elaborar un plan </w:t>
      </w:r>
      <w:r w:rsidR="00D6503C">
        <w:rPr>
          <w:rFonts w:ascii="Times New Roman" w:hAnsi="Times New Roman" w:cs="Times New Roman"/>
          <w:lang w:val="es-ES_tradnl"/>
        </w:rPr>
        <w:t xml:space="preserve">con el propósito de </w:t>
      </w:r>
      <w:r w:rsidR="006F13E6">
        <w:rPr>
          <w:rFonts w:ascii="Times New Roman" w:hAnsi="Times New Roman" w:cs="Times New Roman"/>
          <w:lang w:val="es-ES_tradnl"/>
        </w:rPr>
        <w:t>vengarse de su mujer,</w:t>
      </w:r>
      <w:r w:rsidRPr="00CC2562">
        <w:rPr>
          <w:rFonts w:ascii="Times New Roman" w:hAnsi="Times New Roman" w:cs="Times New Roman"/>
          <w:lang w:val="es-ES_tradnl"/>
        </w:rPr>
        <w:t xml:space="preserve"> </w:t>
      </w:r>
      <w:r w:rsidR="006F13E6">
        <w:rPr>
          <w:rFonts w:ascii="Times New Roman" w:hAnsi="Times New Roman" w:cs="Times New Roman"/>
          <w:lang w:val="es-ES_tradnl"/>
        </w:rPr>
        <w:t>el cual</w:t>
      </w:r>
      <w:r w:rsidRPr="00CC2562">
        <w:rPr>
          <w:rFonts w:ascii="Times New Roman" w:hAnsi="Times New Roman" w:cs="Times New Roman"/>
          <w:lang w:val="es-ES_tradnl"/>
        </w:rPr>
        <w:t xml:space="preserve"> involucraba a los hijos que compartían. El 29 de septiembre de 2011, José adquirió medicamentos con fines sedantes, como Orfidal (Lorazepam) que más tarde usaría para adormecer a los niños el día del asesinato. Posteriormente, hizo acopio de leña y gasóleo (en total 271,11 litros), y los depositó en una finca que su familia tenía en las afueras de Córdoba, apodada “Las Quemadillas”, y se informó a través de Internet sobre combustión y hogueras. Todo ello de</w:t>
      </w:r>
      <w:r w:rsidR="006F13E6">
        <w:rPr>
          <w:rFonts w:ascii="Times New Roman" w:hAnsi="Times New Roman" w:cs="Times New Roman"/>
          <w:lang w:val="es-ES_tradnl"/>
        </w:rPr>
        <w:t>notando</w:t>
      </w:r>
      <w:r w:rsidRPr="00CC2562">
        <w:rPr>
          <w:rFonts w:ascii="Times New Roman" w:hAnsi="Times New Roman" w:cs="Times New Roman"/>
          <w:lang w:val="es-ES_tradnl"/>
        </w:rPr>
        <w:t xml:space="preserve"> un</w:t>
      </w:r>
      <w:r w:rsidR="006F13E6">
        <w:rPr>
          <w:rFonts w:ascii="Times New Roman" w:hAnsi="Times New Roman" w:cs="Times New Roman"/>
          <w:lang w:val="es-ES_tradnl"/>
        </w:rPr>
        <w:t xml:space="preserve"> alto</w:t>
      </w:r>
      <w:r w:rsidRPr="00CC2562">
        <w:rPr>
          <w:rFonts w:ascii="Times New Roman" w:hAnsi="Times New Roman" w:cs="Times New Roman"/>
          <w:lang w:val="es-ES_tradnl"/>
        </w:rPr>
        <w:t xml:space="preserve"> nivel de planificación y premeditación a la hora de cometer el crimen.</w:t>
      </w:r>
    </w:p>
    <w:p w14:paraId="78450084" w14:textId="77777777" w:rsidR="006509A7" w:rsidRPr="00CC2562" w:rsidRDefault="006509A7" w:rsidP="002C4AC3">
      <w:pPr>
        <w:spacing w:line="360" w:lineRule="auto"/>
        <w:ind w:firstLine="567"/>
        <w:jc w:val="both"/>
        <w:rPr>
          <w:rFonts w:ascii="Times New Roman" w:hAnsi="Times New Roman" w:cs="Times New Roman"/>
          <w:lang w:val="es-ES_tradnl"/>
        </w:rPr>
      </w:pPr>
      <w:r w:rsidRPr="00CC2562">
        <w:rPr>
          <w:rFonts w:ascii="Times New Roman" w:hAnsi="Times New Roman" w:cs="Times New Roman"/>
          <w:lang w:val="es-ES_tradnl"/>
        </w:rPr>
        <w:t>El 6 de octubre del 2011, recogió a los hijos de su hermana Catalina, sus sobrinos, para llevarlos al colegio y aprovechó para realizar un experimento con ellos, llevándolos al parque y dejándolos solos durante un periodo de tiempo limitado para comprobar qué información sería relevante a la hora de denunciar una desaparición de menores en ese mismo parque. Así, fue ideando una coartada para el crimen que pretendía cometer.</w:t>
      </w:r>
    </w:p>
    <w:p w14:paraId="0A31CA8F" w14:textId="06808489" w:rsidR="006509A7" w:rsidRPr="00CC2562" w:rsidRDefault="00097F30" w:rsidP="002C4AC3">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 xml:space="preserve">La tarde del día siguiente, </w:t>
      </w:r>
      <w:r w:rsidR="006509A7" w:rsidRPr="00CC2562">
        <w:rPr>
          <w:rFonts w:ascii="Times New Roman" w:hAnsi="Times New Roman" w:cs="Times New Roman"/>
          <w:lang w:val="es-ES_tradnl"/>
        </w:rPr>
        <w:t xml:space="preserve">el viernes 7 de octubre del 2011, José Bretón recogió a </w:t>
      </w:r>
      <w:r w:rsidR="00770A3B">
        <w:rPr>
          <w:rFonts w:ascii="Times New Roman" w:hAnsi="Times New Roman" w:cs="Times New Roman"/>
          <w:lang w:val="es-ES_tradnl"/>
        </w:rPr>
        <w:t xml:space="preserve">Ruth y José </w:t>
      </w:r>
      <w:r w:rsidR="006509A7" w:rsidRPr="00CC2562">
        <w:rPr>
          <w:rFonts w:ascii="Times New Roman" w:hAnsi="Times New Roman" w:cs="Times New Roman"/>
          <w:lang w:val="es-ES_tradnl"/>
        </w:rPr>
        <w:t xml:space="preserve">del domicilio que compartían con su madre en Huelva bajo el pretexto de poder pasar el fin de semana con ellos en su residencia en Córdoba. Como tampoco había un régimen establecido de visitas a los menores al no haberse tramitado el divorcio, Ruth permitió esta visita con pernocta. </w:t>
      </w:r>
      <w:r>
        <w:rPr>
          <w:rFonts w:ascii="Times New Roman" w:hAnsi="Times New Roman" w:cs="Times New Roman"/>
          <w:lang w:val="es-ES_tradnl"/>
        </w:rPr>
        <w:t>José Bretón condujo con sus hijos hasta la casa de sus padres y más tarde la de su hermana, donde hizo planes tanto con ella como con su hermano, de llevar a todos sus hijos conjuntamente a un parque que frecuentaban (La Ciudad de los Niños).</w:t>
      </w:r>
    </w:p>
    <w:p w14:paraId="73456509" w14:textId="77777777" w:rsidR="00097F30" w:rsidRDefault="006509A7" w:rsidP="002C4AC3">
      <w:pPr>
        <w:spacing w:line="360" w:lineRule="auto"/>
        <w:ind w:firstLine="567"/>
        <w:jc w:val="both"/>
        <w:rPr>
          <w:rFonts w:ascii="Times New Roman" w:hAnsi="Times New Roman" w:cs="Times New Roman"/>
          <w:lang w:val="es-ES_tradnl"/>
        </w:rPr>
      </w:pPr>
      <w:r w:rsidRPr="00CC2562">
        <w:rPr>
          <w:rFonts w:ascii="Times New Roman" w:hAnsi="Times New Roman" w:cs="Times New Roman"/>
          <w:lang w:val="es-ES_tradnl"/>
        </w:rPr>
        <w:t>El 8 de octubre del 2011,</w:t>
      </w:r>
      <w:r w:rsidR="00097F30">
        <w:rPr>
          <w:rFonts w:ascii="Times New Roman" w:hAnsi="Times New Roman" w:cs="Times New Roman"/>
          <w:lang w:val="es-ES_tradnl"/>
        </w:rPr>
        <w:t xml:space="preserve"> bajo la premisa de acudir a una comida con amigos, José</w:t>
      </w:r>
      <w:r w:rsidRPr="00CC2562">
        <w:rPr>
          <w:rFonts w:ascii="Times New Roman" w:hAnsi="Times New Roman" w:cs="Times New Roman"/>
          <w:lang w:val="es-ES_tradnl"/>
        </w:rPr>
        <w:t xml:space="preserve"> Bretón se desplazó con sus hijos</w:t>
      </w:r>
      <w:r w:rsidR="00097F30">
        <w:rPr>
          <w:rFonts w:ascii="Times New Roman" w:hAnsi="Times New Roman" w:cs="Times New Roman"/>
          <w:lang w:val="es-ES_tradnl"/>
        </w:rPr>
        <w:t xml:space="preserve"> </w:t>
      </w:r>
      <w:r w:rsidRPr="00CC2562">
        <w:rPr>
          <w:rFonts w:ascii="Times New Roman" w:hAnsi="Times New Roman" w:cs="Times New Roman"/>
          <w:lang w:val="es-ES_tradnl"/>
        </w:rPr>
        <w:t xml:space="preserve">hacia la finca “Las Quemadillas”, habiéndoles dado </w:t>
      </w:r>
      <w:r w:rsidR="00097F30">
        <w:rPr>
          <w:rFonts w:ascii="Times New Roman" w:hAnsi="Times New Roman" w:cs="Times New Roman"/>
          <w:lang w:val="es-ES_tradnl"/>
        </w:rPr>
        <w:t xml:space="preserve">los </w:t>
      </w:r>
      <w:r w:rsidRPr="00CC2562">
        <w:rPr>
          <w:rFonts w:ascii="Times New Roman" w:hAnsi="Times New Roman" w:cs="Times New Roman"/>
          <w:lang w:val="es-ES_tradnl"/>
        </w:rPr>
        <w:t xml:space="preserve">sedantes previamente </w:t>
      </w:r>
      <w:r w:rsidR="00097F30">
        <w:rPr>
          <w:rFonts w:ascii="Times New Roman" w:hAnsi="Times New Roman" w:cs="Times New Roman"/>
          <w:lang w:val="es-ES_tradnl"/>
        </w:rPr>
        <w:t>mencionados</w:t>
      </w:r>
      <w:r w:rsidRPr="00CC2562">
        <w:rPr>
          <w:rFonts w:ascii="Times New Roman" w:hAnsi="Times New Roman" w:cs="Times New Roman"/>
          <w:lang w:val="es-ES_tradnl"/>
        </w:rPr>
        <w:t xml:space="preserve"> con el fin de adormecerlos. Estos hechos quedan demostrados por la señal del móvil, que permaneció parada durante dos minutos durante el trayecto desde la Viñuela. Anterior a la administración de los medicamentos, llamó por teléfono a </w:t>
      </w:r>
      <w:r w:rsidR="00097F30">
        <w:rPr>
          <w:rFonts w:ascii="Times New Roman" w:hAnsi="Times New Roman" w:cs="Times New Roman"/>
          <w:lang w:val="es-ES_tradnl"/>
        </w:rPr>
        <w:t xml:space="preserve">su mujer, </w:t>
      </w:r>
      <w:r w:rsidRPr="00CC2562">
        <w:rPr>
          <w:rFonts w:ascii="Times New Roman" w:hAnsi="Times New Roman" w:cs="Times New Roman"/>
          <w:lang w:val="es-ES_tradnl"/>
        </w:rPr>
        <w:t xml:space="preserve">Ruth, pero al no recibir respuesta, </w:t>
      </w:r>
      <w:r w:rsidR="00097F30">
        <w:rPr>
          <w:rFonts w:ascii="Times New Roman" w:hAnsi="Times New Roman" w:cs="Times New Roman"/>
          <w:lang w:val="es-ES_tradnl"/>
        </w:rPr>
        <w:t>prosiguió</w:t>
      </w:r>
      <w:r w:rsidRPr="00CC2562">
        <w:rPr>
          <w:rFonts w:ascii="Times New Roman" w:hAnsi="Times New Roman" w:cs="Times New Roman"/>
          <w:lang w:val="es-ES_tradnl"/>
        </w:rPr>
        <w:t xml:space="preserve"> con el plan </w:t>
      </w:r>
      <w:r w:rsidR="00097F30">
        <w:rPr>
          <w:rFonts w:ascii="Times New Roman" w:hAnsi="Times New Roman" w:cs="Times New Roman"/>
          <w:lang w:val="es-ES_tradnl"/>
        </w:rPr>
        <w:t>que había ideado cuidadosamente</w:t>
      </w:r>
      <w:r w:rsidRPr="00CC2562">
        <w:rPr>
          <w:rFonts w:ascii="Times New Roman" w:hAnsi="Times New Roman" w:cs="Times New Roman"/>
          <w:lang w:val="es-ES_tradnl"/>
        </w:rPr>
        <w:t xml:space="preserve">. Una vez llegaron a la finca, haciendo uso del gasóleo y leña </w:t>
      </w:r>
      <w:r w:rsidRPr="00CC2562">
        <w:rPr>
          <w:rFonts w:ascii="Times New Roman" w:hAnsi="Times New Roman" w:cs="Times New Roman"/>
          <w:lang w:val="es-ES_tradnl"/>
        </w:rPr>
        <w:lastRenderedPageBreak/>
        <w:t>comprados las semanas anteriores</w:t>
      </w:r>
      <w:r w:rsidR="00097F30">
        <w:rPr>
          <w:rFonts w:ascii="Times New Roman" w:hAnsi="Times New Roman" w:cs="Times New Roman"/>
          <w:lang w:val="es-ES_tradnl"/>
        </w:rPr>
        <w:t xml:space="preserve"> de forma previsiva</w:t>
      </w:r>
      <w:r w:rsidRPr="00CC2562">
        <w:rPr>
          <w:rFonts w:ascii="Times New Roman" w:hAnsi="Times New Roman" w:cs="Times New Roman"/>
          <w:lang w:val="es-ES_tradnl"/>
        </w:rPr>
        <w:t xml:space="preserve">, Bretón preparó un incendio intenso, llegando el fuego a </w:t>
      </w:r>
      <w:r w:rsidR="00770A3B">
        <w:rPr>
          <w:rFonts w:ascii="Times New Roman" w:hAnsi="Times New Roman" w:cs="Times New Roman"/>
          <w:lang w:val="es-ES_tradnl"/>
        </w:rPr>
        <w:t>aproximadamente</w:t>
      </w:r>
      <w:r w:rsidRPr="00CC2562">
        <w:rPr>
          <w:rFonts w:ascii="Times New Roman" w:hAnsi="Times New Roman" w:cs="Times New Roman"/>
          <w:lang w:val="es-ES_tradnl"/>
        </w:rPr>
        <w:t xml:space="preserve"> 1200 grados centígrados, asemejándose éste a una pira, y </w:t>
      </w:r>
      <w:r w:rsidR="00770A3B">
        <w:rPr>
          <w:rFonts w:ascii="Times New Roman" w:hAnsi="Times New Roman" w:cs="Times New Roman"/>
          <w:lang w:val="es-ES_tradnl"/>
        </w:rPr>
        <w:t>quemó los cuerpos de los menores. Las altas temperaturas se tradujeron en la disolución prácticamente total de los esqueletos de los niños</w:t>
      </w:r>
      <w:r w:rsidR="00097F30">
        <w:rPr>
          <w:rFonts w:ascii="Times New Roman" w:hAnsi="Times New Roman" w:cs="Times New Roman"/>
          <w:lang w:val="es-ES_tradnl"/>
        </w:rPr>
        <w:t>, de quienes no quedó determinado el estado vital</w:t>
      </w:r>
      <w:r w:rsidR="00770A3B">
        <w:rPr>
          <w:rFonts w:ascii="Times New Roman" w:hAnsi="Times New Roman" w:cs="Times New Roman"/>
          <w:lang w:val="es-ES_tradnl"/>
        </w:rPr>
        <w:t xml:space="preserve">. </w:t>
      </w:r>
    </w:p>
    <w:p w14:paraId="5D1297E3" w14:textId="6B5BC844" w:rsidR="00097F30" w:rsidRDefault="00097F30" w:rsidP="002C4AC3">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 xml:space="preserve">Tras permanecer al lado de la pira funeraria durante varias horas, asegurándose de la calcinación de los huesos de sus hijos, </w:t>
      </w:r>
      <w:r w:rsidR="00770A3B">
        <w:rPr>
          <w:rFonts w:ascii="Times New Roman" w:hAnsi="Times New Roman" w:cs="Times New Roman"/>
          <w:lang w:val="es-ES_tradnl"/>
        </w:rPr>
        <w:t xml:space="preserve">José Bretón </w:t>
      </w:r>
      <w:r>
        <w:rPr>
          <w:rFonts w:ascii="Times New Roman" w:hAnsi="Times New Roman" w:cs="Times New Roman"/>
          <w:lang w:val="es-ES_tradnl"/>
        </w:rPr>
        <w:t xml:space="preserve">se deshizo de cualquier vestigio que pudiera incriminarle. Haciendo una maniobra peligrosa con el coche con el fin de evitar una cámara de vigilancia, </w:t>
      </w:r>
      <w:r w:rsidR="00770A3B">
        <w:rPr>
          <w:rFonts w:ascii="Times New Roman" w:hAnsi="Times New Roman" w:cs="Times New Roman"/>
          <w:lang w:val="es-ES_tradnl"/>
        </w:rPr>
        <w:t>se dirigió al parque donde estuvo con sus sobrinos días anteriores</w:t>
      </w:r>
      <w:r>
        <w:rPr>
          <w:rFonts w:ascii="Times New Roman" w:hAnsi="Times New Roman" w:cs="Times New Roman"/>
          <w:lang w:val="es-ES_tradnl"/>
        </w:rPr>
        <w:t xml:space="preserve"> y alertó a su hermano y a su madre de su presencia, haciéndoles creer que seguía con los niños.</w:t>
      </w:r>
      <w:r w:rsidR="004218ED">
        <w:rPr>
          <w:rFonts w:ascii="Times New Roman" w:hAnsi="Times New Roman" w:cs="Times New Roman"/>
          <w:lang w:val="es-ES_tradnl"/>
        </w:rPr>
        <w:t xml:space="preserve"> Aproximadamente veinte minutos después, volvió a llamar a su familia refiriendo que había perdido a sus hijos, solicitando su ayuda en el parque. </w:t>
      </w:r>
      <w:r w:rsidR="00D6503C">
        <w:rPr>
          <w:rFonts w:ascii="Times New Roman" w:hAnsi="Times New Roman" w:cs="Times New Roman"/>
          <w:lang w:val="es-ES_tradnl"/>
        </w:rPr>
        <w:t>Acto seguido</w:t>
      </w:r>
      <w:r w:rsidR="004218ED">
        <w:rPr>
          <w:rFonts w:ascii="Times New Roman" w:hAnsi="Times New Roman" w:cs="Times New Roman"/>
          <w:lang w:val="es-ES_tradnl"/>
        </w:rPr>
        <w:t>, José Bretón llamó por teléfono a emergencias</w:t>
      </w:r>
      <w:r w:rsidR="00D6503C">
        <w:rPr>
          <w:rFonts w:ascii="Times New Roman" w:hAnsi="Times New Roman" w:cs="Times New Roman"/>
          <w:lang w:val="es-ES_tradnl"/>
        </w:rPr>
        <w:t xml:space="preserve"> (112) </w:t>
      </w:r>
      <w:r w:rsidR="004218ED">
        <w:rPr>
          <w:rFonts w:ascii="Times New Roman" w:hAnsi="Times New Roman" w:cs="Times New Roman"/>
          <w:lang w:val="es-ES_tradnl"/>
        </w:rPr>
        <w:t>para comunicar la desaparición de sus hijos, personándose dos horas después en las comisaría de Policía Nacional para formalizar la denuncia</w:t>
      </w:r>
      <w:r w:rsidR="00C37D6C">
        <w:rPr>
          <w:rFonts w:ascii="Times New Roman" w:hAnsi="Times New Roman" w:cs="Times New Roman"/>
          <w:lang w:val="es-ES_tradnl"/>
        </w:rPr>
        <w:t>, provocando la incoación de un procedimiento judicial de forma engañosa, conociendo el estado real de sus hijos.</w:t>
      </w:r>
    </w:p>
    <w:p w14:paraId="6E0A590D" w14:textId="6FC9A802" w:rsidR="00291F43" w:rsidRPr="00DD34FF" w:rsidRDefault="00C37D6C" w:rsidP="00291F43">
      <w:pPr>
        <w:spacing w:line="360" w:lineRule="auto"/>
        <w:ind w:firstLine="567"/>
        <w:jc w:val="both"/>
        <w:rPr>
          <w:rFonts w:ascii="Times New Roman" w:hAnsi="Times New Roman" w:cs="Times New Roman"/>
          <w:lang w:val="es-ES_tradnl"/>
        </w:rPr>
      </w:pPr>
      <w:r>
        <w:rPr>
          <w:rFonts w:ascii="Times New Roman" w:hAnsi="Times New Roman" w:cs="Times New Roman"/>
          <w:lang w:val="es-ES_tradnl"/>
        </w:rPr>
        <w:t xml:space="preserve">El 22 de octubre del 2011, José Bretón fue detenido y enviado a prisión provisional </w:t>
      </w:r>
      <w:r w:rsidR="00F77E4B">
        <w:rPr>
          <w:rFonts w:ascii="Times New Roman" w:hAnsi="Times New Roman" w:cs="Times New Roman"/>
          <w:lang w:val="es-ES_tradnl"/>
        </w:rPr>
        <w:t xml:space="preserve">al existir indicios racionales de criminalidad que apuntaban a su responsabilidad en la desaparición de los menores. </w:t>
      </w:r>
      <w:r w:rsidR="00B4037F">
        <w:rPr>
          <w:rFonts w:ascii="Times New Roman" w:hAnsi="Times New Roman" w:cs="Times New Roman"/>
          <w:lang w:val="es-ES_tradnl"/>
        </w:rPr>
        <w:t xml:space="preserve">Inicialmente, los restos óseos que se encontraron en “Las Quemadillas” fueron identificados como de roedores, pero tras una segunda opinión solicitada por Ruth Ortiz, el antropólogo forense Francisco Etxeberría confirmó que aquello encontrado podría coincidir con huesos de dos menores de dos y seis años. </w:t>
      </w:r>
      <w:r w:rsidR="00F77E4B">
        <w:rPr>
          <w:rFonts w:ascii="Times New Roman" w:hAnsi="Times New Roman" w:cs="Times New Roman"/>
          <w:lang w:val="es-ES_tradnl"/>
        </w:rPr>
        <w:t>Los argumentos propuestos por las autoridades fueron</w:t>
      </w:r>
      <w:r w:rsidR="00275A08">
        <w:rPr>
          <w:rFonts w:ascii="Times New Roman" w:hAnsi="Times New Roman" w:cs="Times New Roman"/>
          <w:lang w:val="es-ES_tradnl"/>
        </w:rPr>
        <w:t>:</w:t>
      </w:r>
      <w:r w:rsidR="00F77E4B">
        <w:rPr>
          <w:rFonts w:ascii="Times New Roman" w:hAnsi="Times New Roman" w:cs="Times New Roman"/>
          <w:lang w:val="es-ES_tradnl"/>
        </w:rPr>
        <w:t xml:space="preserve"> </w:t>
      </w:r>
      <w:r>
        <w:rPr>
          <w:rFonts w:ascii="Times New Roman" w:hAnsi="Times New Roman" w:cs="Times New Roman"/>
          <w:lang w:val="es-ES_tradnl"/>
        </w:rPr>
        <w:t xml:space="preserve">las inconsistencias demostradas en sus declaraciones cambiantes, el descubrimiento de </w:t>
      </w:r>
      <w:r w:rsidR="00F77E4B">
        <w:rPr>
          <w:rFonts w:ascii="Times New Roman" w:hAnsi="Times New Roman" w:cs="Times New Roman"/>
          <w:lang w:val="es-ES_tradnl"/>
        </w:rPr>
        <w:t>una hoguera</w:t>
      </w:r>
      <w:r w:rsidR="002C4AC3">
        <w:rPr>
          <w:rFonts w:ascii="Times New Roman" w:hAnsi="Times New Roman" w:cs="Times New Roman"/>
          <w:lang w:val="es-ES_tradnl"/>
        </w:rPr>
        <w:t xml:space="preserve"> en la finca “Las Quemadillas”, confirmación de que los restos óseos encontrados pertenecían a niños de las edades de los menores, </w:t>
      </w:r>
      <w:r w:rsidR="00F77E4B">
        <w:rPr>
          <w:rFonts w:ascii="Times New Roman" w:hAnsi="Times New Roman" w:cs="Times New Roman"/>
          <w:lang w:val="es-ES_tradnl"/>
        </w:rPr>
        <w:t>y la relación quebrantada con su mujer. Para evitar una posible fuga o destrucción de pruebas, el Juez solicitó su ingreso.</w:t>
      </w:r>
    </w:p>
    <w:p w14:paraId="1E0739EA" w14:textId="1E1C1325" w:rsidR="00291F43" w:rsidRDefault="00F53DE6" w:rsidP="00F53DE6">
      <w:pPr>
        <w:spacing w:line="360" w:lineRule="auto"/>
        <w:ind w:firstLine="720"/>
        <w:jc w:val="both"/>
        <w:rPr>
          <w:rFonts w:ascii="Times New Roman" w:hAnsi="Times New Roman" w:cs="Times New Roman"/>
          <w:lang w:val="es-ES_tradnl"/>
        </w:rPr>
      </w:pPr>
      <w:r w:rsidRPr="00D6503C">
        <w:rPr>
          <w:rFonts w:ascii="Times New Roman" w:hAnsi="Times New Roman" w:cs="Times New Roman"/>
          <w:lang w:val="es-ES_tradnl"/>
        </w:rPr>
        <w:t>Finalmente, fue condenado</w:t>
      </w:r>
      <w:r w:rsidR="00291F43" w:rsidRPr="00D6503C">
        <w:rPr>
          <w:rFonts w:ascii="Times New Roman" w:hAnsi="Times New Roman" w:cs="Times New Roman"/>
          <w:lang w:val="es-ES_tradnl"/>
        </w:rPr>
        <w:t xml:space="preserve"> a </w:t>
      </w:r>
      <w:r w:rsidRPr="00D6503C">
        <w:rPr>
          <w:rFonts w:ascii="Times New Roman" w:hAnsi="Times New Roman" w:cs="Times New Roman"/>
          <w:lang w:val="es-ES_tradnl"/>
        </w:rPr>
        <w:t>veinte</w:t>
      </w:r>
      <w:r w:rsidR="00291F43" w:rsidRPr="00D6503C">
        <w:rPr>
          <w:rFonts w:ascii="Times New Roman" w:hAnsi="Times New Roman" w:cs="Times New Roman"/>
          <w:lang w:val="es-ES_tradnl"/>
        </w:rPr>
        <w:t xml:space="preserve"> años de prisión por cada asesinato</w:t>
      </w:r>
      <w:r w:rsidRPr="00D6503C">
        <w:rPr>
          <w:rFonts w:ascii="Times New Roman" w:hAnsi="Times New Roman" w:cs="Times New Roman"/>
          <w:lang w:val="es-ES_tradnl"/>
        </w:rPr>
        <w:t xml:space="preserve">, </w:t>
      </w:r>
      <w:r w:rsidR="00291F43" w:rsidRPr="00D6503C">
        <w:rPr>
          <w:rFonts w:ascii="Times New Roman" w:hAnsi="Times New Roman" w:cs="Times New Roman"/>
          <w:lang w:val="es-ES_tradnl"/>
        </w:rPr>
        <w:t>multa</w:t>
      </w:r>
      <w:r w:rsidRPr="00D6503C">
        <w:rPr>
          <w:rFonts w:ascii="Times New Roman" w:hAnsi="Times New Roman" w:cs="Times New Roman"/>
          <w:lang w:val="es-ES_tradnl"/>
        </w:rPr>
        <w:t>do</w:t>
      </w:r>
      <w:r w:rsidR="00291F43" w:rsidRPr="00D6503C">
        <w:rPr>
          <w:rFonts w:ascii="Times New Roman" w:hAnsi="Times New Roman" w:cs="Times New Roman"/>
          <w:lang w:val="es-ES_tradnl"/>
        </w:rPr>
        <w:t xml:space="preserve"> por falsa denuncia</w:t>
      </w:r>
      <w:r w:rsidRPr="00D6503C">
        <w:rPr>
          <w:rFonts w:ascii="Times New Roman" w:hAnsi="Times New Roman" w:cs="Times New Roman"/>
          <w:lang w:val="es-ES_tradnl"/>
        </w:rPr>
        <w:t xml:space="preserve"> y le fue atribuidas tres órdenes de alejamiento a la familia de Ruth Ortiz por veintiún años por cada asesinato</w:t>
      </w:r>
      <w:r w:rsidR="00D6503C" w:rsidRPr="00D6503C">
        <w:rPr>
          <w:rFonts w:ascii="Times New Roman" w:hAnsi="Times New Roman" w:cs="Times New Roman"/>
          <w:i/>
          <w:iCs/>
        </w:rPr>
        <w:t xml:space="preserve"> (Sentencia 31/2013 de la Audiencia Provincial de Córdoba).</w:t>
      </w:r>
    </w:p>
    <w:p w14:paraId="6D91CAA0" w14:textId="101DAB21" w:rsidR="002C4AC3" w:rsidRPr="007053B5" w:rsidRDefault="006509A7" w:rsidP="007053B5">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198" w:name="_Toc215253351"/>
      <w:bookmarkStart w:id="199" w:name="_Toc215253405"/>
      <w:bookmarkStart w:id="200" w:name="_Toc215255591"/>
      <w:bookmarkStart w:id="201" w:name="_Toc215256206"/>
      <w:bookmarkStart w:id="202" w:name="_Toc217838015"/>
      <w:bookmarkStart w:id="203" w:name="_Toc218416706"/>
      <w:bookmarkStart w:id="204" w:name="_Toc218422521"/>
      <w:bookmarkStart w:id="205" w:name="_Toc219919456"/>
      <w:bookmarkStart w:id="206" w:name="_Toc219919522"/>
      <w:bookmarkStart w:id="207" w:name="_Toc220260635"/>
      <w:bookmarkStart w:id="208" w:name="_Toc221125846"/>
      <w:bookmarkStart w:id="209" w:name="_Toc221212526"/>
      <w:r w:rsidRPr="00512076">
        <w:rPr>
          <w:rFonts w:ascii="Times New Roman" w:hAnsi="Times New Roman" w:cs="Times New Roman"/>
          <w:b/>
          <w:bCs/>
          <w:color w:val="000000" w:themeColor="text1"/>
          <w:sz w:val="24"/>
          <w:szCs w:val="24"/>
          <w:lang w:val="es-ES_tradnl"/>
        </w:rPr>
        <w:lastRenderedPageBreak/>
        <w:t>Perfil de José Bretón</w:t>
      </w:r>
      <w:bookmarkEnd w:id="198"/>
      <w:bookmarkEnd w:id="199"/>
      <w:bookmarkEnd w:id="200"/>
      <w:bookmarkEnd w:id="201"/>
      <w:bookmarkEnd w:id="202"/>
      <w:bookmarkEnd w:id="203"/>
      <w:bookmarkEnd w:id="204"/>
      <w:bookmarkEnd w:id="205"/>
      <w:bookmarkEnd w:id="206"/>
      <w:bookmarkEnd w:id="207"/>
      <w:bookmarkEnd w:id="208"/>
      <w:bookmarkEnd w:id="209"/>
    </w:p>
    <w:p w14:paraId="49417301" w14:textId="09E95BEE" w:rsidR="00CD4B94" w:rsidRDefault="00CD4B94"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En la evaluación pericial forense que se le realizó a José Bretón para el juicio por el asesinato de sus hijos</w:t>
      </w:r>
      <w:r w:rsidR="009F6FCC">
        <w:rPr>
          <w:rFonts w:ascii="Times New Roman" w:hAnsi="Times New Roman" w:cs="Times New Roman"/>
          <w:lang w:val="es-ES_tradnl"/>
        </w:rPr>
        <w:t>, se descartó la presencia de psicosis, trastornos delirantes o alteraciones mentales graves que pudieran afectar a sus capacidades volitivas e intelectivas. Es decir, no se encontró evidencia de trastornos que afectaran a su capacidad de comprender la ilicitud de los hechos cometidos ni de actuar acorde a la comprensión (Audiencia Provincial de Córdoba, 2013). Por ello, fue declarado imputable sin apreciar ningún eximente o atenuante por causas psiquiátricas.</w:t>
      </w:r>
    </w:p>
    <w:p w14:paraId="7E926B00" w14:textId="77777777" w:rsidR="00291F43" w:rsidRDefault="007053B5"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Coloquialmente, se le ha atribuido a José Bretón la etiqueta de “psicópata”, pues mediáticamente se considera</w:t>
      </w:r>
      <w:r w:rsidR="00581C98">
        <w:rPr>
          <w:rFonts w:ascii="Times New Roman" w:hAnsi="Times New Roman" w:cs="Times New Roman"/>
          <w:lang w:val="es-ES_tradnl"/>
        </w:rPr>
        <w:t xml:space="preserve"> el filicidio como uno de los crímenes más atroces que se pueden cometer. No obstante, la </w:t>
      </w:r>
      <w:r w:rsidR="00581C98" w:rsidRPr="003E6968">
        <w:rPr>
          <w:rFonts w:ascii="Times New Roman" w:hAnsi="Times New Roman" w:cs="Times New Roman"/>
          <w:u w:val="single"/>
          <w:lang w:val="es-ES_tradnl"/>
        </w:rPr>
        <w:t>psicopatía</w:t>
      </w:r>
      <w:r w:rsidR="00581C98">
        <w:rPr>
          <w:rFonts w:ascii="Times New Roman" w:hAnsi="Times New Roman" w:cs="Times New Roman"/>
          <w:lang w:val="es-ES_tradnl"/>
        </w:rPr>
        <w:t xml:space="preserve"> no se puede diagnosticar por la gravedad del delito ni </w:t>
      </w:r>
      <w:r w:rsidR="00813321">
        <w:rPr>
          <w:rFonts w:ascii="Times New Roman" w:hAnsi="Times New Roman" w:cs="Times New Roman"/>
          <w:lang w:val="es-ES_tradnl"/>
        </w:rPr>
        <w:t>a raíz de</w:t>
      </w:r>
      <w:r w:rsidR="00581C98">
        <w:rPr>
          <w:rFonts w:ascii="Times New Roman" w:hAnsi="Times New Roman" w:cs="Times New Roman"/>
          <w:lang w:val="es-ES_tradnl"/>
        </w:rPr>
        <w:t xml:space="preserve"> una </w:t>
      </w:r>
      <w:r w:rsidR="00813321">
        <w:rPr>
          <w:rFonts w:ascii="Times New Roman" w:hAnsi="Times New Roman" w:cs="Times New Roman"/>
          <w:lang w:val="es-ES_tradnl"/>
        </w:rPr>
        <w:t>acción</w:t>
      </w:r>
      <w:r w:rsidR="00581C98">
        <w:rPr>
          <w:rFonts w:ascii="Times New Roman" w:hAnsi="Times New Roman" w:cs="Times New Roman"/>
          <w:lang w:val="es-ES_tradnl"/>
        </w:rPr>
        <w:t xml:space="preserve"> en concreto, sino con un conjunto de características acordes a un instrumento desarrollado por Robert Hare</w:t>
      </w:r>
      <w:r w:rsidR="00813321">
        <w:rPr>
          <w:rFonts w:ascii="Times New Roman" w:hAnsi="Times New Roman" w:cs="Times New Roman"/>
          <w:lang w:val="es-ES_tradnl"/>
        </w:rPr>
        <w:t>. El término psicopatía ha sido ampliamente debatido</w:t>
      </w:r>
      <w:r w:rsidR="00D03527">
        <w:rPr>
          <w:rFonts w:ascii="Times New Roman" w:hAnsi="Times New Roman" w:cs="Times New Roman"/>
          <w:lang w:val="es-ES_tradnl"/>
        </w:rPr>
        <w:t xml:space="preserve"> y denominado de diferentes formas, entre ellas “Moral Insanity” por James Cowles Pritchard en 1835 o “manía sin delirios” por Philippe Pinel en el siglo XIX (López, 2013). Ésta es un trastorno de la personalidad que difiere del trastorno antisocial de la personalidad, caracterizado por el incumplimiento de las normas sociales, desatención de la seguridad, engaño o la ausencia de remordimiento (American Psychiatric Association, 2013). La </w:t>
      </w:r>
      <w:r w:rsidR="00291F43">
        <w:rPr>
          <w:rFonts w:ascii="Times New Roman" w:hAnsi="Times New Roman" w:cs="Times New Roman"/>
          <w:lang w:val="es-ES_tradnl"/>
        </w:rPr>
        <w:t>psicopatía</w:t>
      </w:r>
      <w:r w:rsidR="00D03527">
        <w:rPr>
          <w:rFonts w:ascii="Times New Roman" w:hAnsi="Times New Roman" w:cs="Times New Roman"/>
          <w:lang w:val="es-ES_tradnl"/>
        </w:rPr>
        <w:t>, sin embargo, abarca una amplia diversidad de características</w:t>
      </w:r>
      <w:r w:rsidR="00897D31">
        <w:rPr>
          <w:rFonts w:ascii="Times New Roman" w:hAnsi="Times New Roman" w:cs="Times New Roman"/>
          <w:lang w:val="es-ES_tradnl"/>
        </w:rPr>
        <w:t xml:space="preserve"> que Harvey Cleckley numeró por primer vez en su libro “The Mask of Sanity”, en el que detalló entrevistas que mantuvo con usuarios internos en un centro (Cleckley, 1941).</w:t>
      </w:r>
      <w:r w:rsidR="00291F43">
        <w:rPr>
          <w:rFonts w:ascii="Times New Roman" w:hAnsi="Times New Roman" w:cs="Times New Roman"/>
          <w:lang w:val="es-ES_tradnl"/>
        </w:rPr>
        <w:t xml:space="preserve"> </w:t>
      </w:r>
      <w:r w:rsidR="00897D31">
        <w:rPr>
          <w:rFonts w:ascii="Times New Roman" w:hAnsi="Times New Roman" w:cs="Times New Roman"/>
          <w:lang w:val="es-ES_tradnl"/>
        </w:rPr>
        <w:t xml:space="preserve">Este listado incluyó 16 características clínicas (López, 2013), aunque fue Robert Hare quien las organizó, valorando veinte elementos agrupados en dos factores: el ámbito interpersonal-afectivo y el ámbito conductual-antisocial. </w:t>
      </w:r>
    </w:p>
    <w:p w14:paraId="64A6D57D" w14:textId="03DAE53A" w:rsidR="002C4AC3" w:rsidRDefault="00897D31"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Para poder determinar un diagnóstico psicopático, Hare elaboró un instrumento denominado </w:t>
      </w:r>
      <w:r w:rsidR="00581C98">
        <w:rPr>
          <w:rFonts w:ascii="Times New Roman" w:hAnsi="Times New Roman" w:cs="Times New Roman"/>
          <w:lang w:val="es-ES_tradnl"/>
        </w:rPr>
        <w:t xml:space="preserve">Psychopathy Checklist-Revised (PCL-R), </w:t>
      </w:r>
      <w:r>
        <w:rPr>
          <w:rFonts w:ascii="Times New Roman" w:hAnsi="Times New Roman" w:cs="Times New Roman"/>
          <w:lang w:val="es-ES_tradnl"/>
        </w:rPr>
        <w:t>una entrevista semi-estructurad</w:t>
      </w:r>
      <w:r w:rsidR="00F36958">
        <w:rPr>
          <w:rFonts w:ascii="Times New Roman" w:hAnsi="Times New Roman" w:cs="Times New Roman"/>
          <w:lang w:val="es-ES_tradnl"/>
        </w:rPr>
        <w:t>a</w:t>
      </w:r>
      <w:r>
        <w:rPr>
          <w:rFonts w:ascii="Times New Roman" w:hAnsi="Times New Roman" w:cs="Times New Roman"/>
          <w:lang w:val="es-ES_tradnl"/>
        </w:rPr>
        <w:t xml:space="preserve"> donde </w:t>
      </w:r>
      <w:r w:rsidR="00F36958">
        <w:rPr>
          <w:rFonts w:ascii="Times New Roman" w:hAnsi="Times New Roman" w:cs="Times New Roman"/>
          <w:lang w:val="es-ES_tradnl"/>
        </w:rPr>
        <w:t xml:space="preserve">el entrevistador debe indagar sobre diferentes aspectos de la vida y mente de la persona. </w:t>
      </w:r>
      <w:r w:rsidR="00291F43">
        <w:rPr>
          <w:rFonts w:ascii="Times New Roman" w:hAnsi="Times New Roman" w:cs="Times New Roman"/>
          <w:lang w:val="es-ES_tradnl"/>
        </w:rPr>
        <w:t xml:space="preserve">Se evalúa mediante la escala Likert, con una puntuación de 0, 1 o 2 según la prevalencia en el individuo. </w:t>
      </w:r>
      <w:r w:rsidR="00CF55F4">
        <w:rPr>
          <w:rFonts w:ascii="Times New Roman" w:hAnsi="Times New Roman" w:cs="Times New Roman"/>
          <w:lang w:val="es-ES_tradnl"/>
        </w:rPr>
        <w:t xml:space="preserve">Con una puntuación superior o igual a 30 puntos, se puede inferir presencia de psicopatía </w:t>
      </w:r>
      <w:r w:rsidR="00F36958">
        <w:rPr>
          <w:rFonts w:ascii="Times New Roman" w:hAnsi="Times New Roman" w:cs="Times New Roman"/>
          <w:lang w:val="es-ES_tradnl"/>
        </w:rPr>
        <w:t>(Hare, 2003).</w:t>
      </w:r>
      <w:r w:rsidR="00291F43">
        <w:rPr>
          <w:rFonts w:ascii="Times New Roman" w:hAnsi="Times New Roman" w:cs="Times New Roman"/>
          <w:lang w:val="es-ES_tradnl"/>
        </w:rPr>
        <w:t xml:space="preserve"> </w:t>
      </w:r>
      <w:r w:rsidR="00CF55F4">
        <w:rPr>
          <w:rFonts w:ascii="Times New Roman" w:hAnsi="Times New Roman" w:cs="Times New Roman"/>
          <w:lang w:val="es-ES_tradnl"/>
        </w:rPr>
        <w:t xml:space="preserve">No hay registros forenses de que a José Bretón se le haya aplicado esta prueba, pero conociendo los </w:t>
      </w:r>
      <w:r w:rsidR="00A50D7A">
        <w:rPr>
          <w:rFonts w:ascii="Times New Roman" w:hAnsi="Times New Roman" w:cs="Times New Roman"/>
          <w:lang w:val="es-ES_tradnl"/>
        </w:rPr>
        <w:t xml:space="preserve">ítems se </w:t>
      </w:r>
      <w:r w:rsidR="00295337">
        <w:rPr>
          <w:rFonts w:ascii="Times New Roman" w:hAnsi="Times New Roman" w:cs="Times New Roman"/>
          <w:lang w:val="es-ES_tradnl"/>
        </w:rPr>
        <w:t>podría</w:t>
      </w:r>
      <w:r w:rsidR="00A50D7A">
        <w:rPr>
          <w:rFonts w:ascii="Times New Roman" w:hAnsi="Times New Roman" w:cs="Times New Roman"/>
          <w:lang w:val="es-ES_tradnl"/>
        </w:rPr>
        <w:t xml:space="preserve"> determinar una puntuación aproximada:</w:t>
      </w:r>
    </w:p>
    <w:p w14:paraId="58CC9800" w14:textId="4837C1D0" w:rsidR="00291F43" w:rsidRPr="00295337" w:rsidRDefault="00A50D7A" w:rsidP="00A50D7A">
      <w:pPr>
        <w:pStyle w:val="ListParagraph"/>
        <w:numPr>
          <w:ilvl w:val="0"/>
          <w:numId w:val="26"/>
        </w:numPr>
        <w:spacing w:line="360" w:lineRule="auto"/>
        <w:jc w:val="both"/>
        <w:rPr>
          <w:rFonts w:ascii="Times New Roman" w:hAnsi="Times New Roman" w:cs="Times New Roman"/>
          <w:lang w:val="es-ES_tradnl"/>
        </w:rPr>
      </w:pPr>
      <w:r w:rsidRPr="00295337">
        <w:rPr>
          <w:rFonts w:ascii="Times New Roman" w:hAnsi="Times New Roman" w:cs="Times New Roman"/>
          <w:lang w:val="es-ES_tradnl"/>
        </w:rPr>
        <w:lastRenderedPageBreak/>
        <w:t xml:space="preserve">Factor I: </w:t>
      </w:r>
      <w:r w:rsidR="00291F43" w:rsidRPr="00295337">
        <w:rPr>
          <w:rFonts w:ascii="Times New Roman" w:hAnsi="Times New Roman" w:cs="Times New Roman"/>
          <w:lang w:val="es-ES_tradnl"/>
        </w:rPr>
        <w:t xml:space="preserve">faceta interpersonal-afectiva. Es el factor que </w:t>
      </w:r>
      <w:r w:rsidR="00295337" w:rsidRPr="00295337">
        <w:rPr>
          <w:rFonts w:ascii="Times New Roman" w:hAnsi="Times New Roman" w:cs="Times New Roman"/>
          <w:lang w:val="es-ES_tradnl"/>
        </w:rPr>
        <w:t>evalúa</w:t>
      </w:r>
      <w:r w:rsidR="00291F43" w:rsidRPr="00295337">
        <w:rPr>
          <w:rFonts w:ascii="Times New Roman" w:hAnsi="Times New Roman" w:cs="Times New Roman"/>
          <w:lang w:val="es-ES_tradnl"/>
        </w:rPr>
        <w:t xml:space="preserve"> la personalidad psicopática del individuo</w:t>
      </w:r>
      <w:r w:rsidR="00295337">
        <w:rPr>
          <w:rFonts w:ascii="Times New Roman" w:hAnsi="Times New Roman" w:cs="Times New Roman"/>
          <w:lang w:val="es-ES_tradnl"/>
        </w:rPr>
        <w:t>. Dentro de los ítems que pertenecen al factor, se podría contemplar la posibilidad de que José Bretón puntuara en alguno de los siguientes:</w:t>
      </w:r>
    </w:p>
    <w:p w14:paraId="0F6A7720" w14:textId="7F1B0E32" w:rsidR="003863EE" w:rsidRPr="00295337" w:rsidRDefault="003863EE" w:rsidP="003863EE">
      <w:pPr>
        <w:pStyle w:val="ListParagraph"/>
        <w:numPr>
          <w:ilvl w:val="1"/>
          <w:numId w:val="26"/>
        </w:numPr>
        <w:spacing w:line="360" w:lineRule="auto"/>
        <w:jc w:val="both"/>
        <w:rPr>
          <w:rFonts w:ascii="Times New Roman" w:hAnsi="Times New Roman" w:cs="Times New Roman"/>
          <w:lang w:val="es-ES_tradnl"/>
        </w:rPr>
      </w:pPr>
      <w:r w:rsidRPr="00295337">
        <w:rPr>
          <w:rFonts w:ascii="Times New Roman" w:hAnsi="Times New Roman" w:cs="Times New Roman"/>
          <w:lang w:val="es-ES_tradnl"/>
        </w:rPr>
        <w:t>Mentiroso patológico</w:t>
      </w:r>
      <w:r w:rsidR="00035339" w:rsidRPr="00295337">
        <w:rPr>
          <w:rFonts w:ascii="Times New Roman" w:hAnsi="Times New Roman" w:cs="Times New Roman"/>
          <w:lang w:val="es-ES_tradnl"/>
        </w:rPr>
        <w:t>: las mentiras que articuló a lo largo de la investigación fueron por miedo a las consecuencias y necesidad</w:t>
      </w:r>
      <w:r w:rsidR="008A1905" w:rsidRPr="00295337">
        <w:rPr>
          <w:rFonts w:ascii="Times New Roman" w:hAnsi="Times New Roman" w:cs="Times New Roman"/>
          <w:lang w:val="es-ES_tradnl"/>
        </w:rPr>
        <w:t xml:space="preserve">, </w:t>
      </w:r>
      <w:r w:rsidR="00295337" w:rsidRPr="00295337">
        <w:rPr>
          <w:rFonts w:ascii="Times New Roman" w:hAnsi="Times New Roman" w:cs="Times New Roman"/>
          <w:lang w:val="es-ES_tradnl"/>
        </w:rPr>
        <w:t>al igual que en sus declaraciones ante el Juez, en las que afirmó ser un padre devoto; mientras que su exmujer declaraba lo opuesto.</w:t>
      </w:r>
    </w:p>
    <w:p w14:paraId="05CB90E0" w14:textId="08D56EB2" w:rsidR="003863EE" w:rsidRPr="00295337" w:rsidRDefault="003863EE" w:rsidP="003863EE">
      <w:pPr>
        <w:pStyle w:val="ListParagraph"/>
        <w:numPr>
          <w:ilvl w:val="1"/>
          <w:numId w:val="26"/>
        </w:numPr>
        <w:spacing w:line="360" w:lineRule="auto"/>
        <w:jc w:val="both"/>
        <w:rPr>
          <w:rFonts w:ascii="Times New Roman" w:hAnsi="Times New Roman" w:cs="Times New Roman"/>
          <w:lang w:val="es-ES_tradnl"/>
        </w:rPr>
      </w:pPr>
      <w:r w:rsidRPr="00295337">
        <w:rPr>
          <w:rFonts w:ascii="Times New Roman" w:hAnsi="Times New Roman" w:cs="Times New Roman"/>
          <w:lang w:val="es-ES_tradnl"/>
        </w:rPr>
        <w:t>Manipulador</w:t>
      </w:r>
      <w:r w:rsidR="00035339" w:rsidRPr="00295337">
        <w:rPr>
          <w:rFonts w:ascii="Times New Roman" w:hAnsi="Times New Roman" w:cs="Times New Roman"/>
          <w:lang w:val="es-ES_tradnl"/>
        </w:rPr>
        <w:t xml:space="preserve">: </w:t>
      </w:r>
      <w:r w:rsidR="00295337">
        <w:rPr>
          <w:rFonts w:ascii="Times New Roman" w:hAnsi="Times New Roman" w:cs="Times New Roman"/>
          <w:lang w:val="es-ES_tradnl"/>
        </w:rPr>
        <w:t>podría</w:t>
      </w:r>
      <w:r w:rsidR="00035339" w:rsidRPr="00295337">
        <w:rPr>
          <w:rFonts w:ascii="Times New Roman" w:hAnsi="Times New Roman" w:cs="Times New Roman"/>
          <w:lang w:val="es-ES_tradnl"/>
        </w:rPr>
        <w:t xml:space="preserve"> puntuar alto en este ítem, ya que convenció a su familia de que los niños realmente habían desaparecido sin que él tuviera algo que ver</w:t>
      </w:r>
      <w:r w:rsidR="008A1905" w:rsidRPr="00295337">
        <w:rPr>
          <w:rFonts w:ascii="Times New Roman" w:hAnsi="Times New Roman" w:cs="Times New Roman"/>
          <w:lang w:val="es-ES_tradnl"/>
        </w:rPr>
        <w:t>.</w:t>
      </w:r>
    </w:p>
    <w:p w14:paraId="3568010E" w14:textId="38F5987F" w:rsidR="003863EE" w:rsidRPr="00295337" w:rsidRDefault="003863EE" w:rsidP="003863EE">
      <w:pPr>
        <w:pStyle w:val="ListParagraph"/>
        <w:numPr>
          <w:ilvl w:val="1"/>
          <w:numId w:val="26"/>
        </w:numPr>
        <w:spacing w:line="360" w:lineRule="auto"/>
        <w:jc w:val="both"/>
        <w:rPr>
          <w:rFonts w:ascii="Times New Roman" w:hAnsi="Times New Roman" w:cs="Times New Roman"/>
          <w:lang w:val="es-ES_tradnl"/>
        </w:rPr>
      </w:pPr>
      <w:r w:rsidRPr="00295337">
        <w:rPr>
          <w:rFonts w:ascii="Times New Roman" w:hAnsi="Times New Roman" w:cs="Times New Roman"/>
          <w:lang w:val="es-ES_tradnl"/>
        </w:rPr>
        <w:t>Ausencia de remordimiento o culpa</w:t>
      </w:r>
      <w:r w:rsidR="00035339" w:rsidRPr="00295337">
        <w:rPr>
          <w:rFonts w:ascii="Times New Roman" w:hAnsi="Times New Roman" w:cs="Times New Roman"/>
          <w:lang w:val="es-ES_tradnl"/>
        </w:rPr>
        <w:t xml:space="preserve">: </w:t>
      </w:r>
      <w:r w:rsidR="00295337" w:rsidRPr="00295337">
        <w:rPr>
          <w:rFonts w:ascii="Times New Roman" w:hAnsi="Times New Roman" w:cs="Times New Roman"/>
          <w:lang w:val="es-ES_tradnl"/>
        </w:rPr>
        <w:t>durante la investigación previa a su detención e incluso tras ser detenido, no muestra falta de arrepentimiento ni de culpabilidad; mostrándose indiferente ante las acusaciones hacia él.</w:t>
      </w:r>
    </w:p>
    <w:p w14:paraId="2536DE7E" w14:textId="0F5AD705" w:rsidR="003863EE" w:rsidRPr="00295337" w:rsidRDefault="00035339" w:rsidP="003863EE">
      <w:pPr>
        <w:pStyle w:val="ListParagraph"/>
        <w:numPr>
          <w:ilvl w:val="1"/>
          <w:numId w:val="26"/>
        </w:numPr>
        <w:spacing w:line="360" w:lineRule="auto"/>
        <w:jc w:val="both"/>
        <w:rPr>
          <w:rFonts w:ascii="Times New Roman" w:hAnsi="Times New Roman" w:cs="Times New Roman"/>
          <w:lang w:val="es-ES_tradnl"/>
        </w:rPr>
      </w:pPr>
      <w:r w:rsidRPr="00295337">
        <w:rPr>
          <w:rFonts w:ascii="Times New Roman" w:hAnsi="Times New Roman" w:cs="Times New Roman"/>
          <w:lang w:val="es-ES_tradnl"/>
        </w:rPr>
        <w:t xml:space="preserve">Falta de empatía: podría puntuar alto, pues fue capaz de adormecer a sus hijos y de quemar sus cuerpos; sin embargo, se debe tener en cuenta que este ítem hace referencia a la empatía como rasgo, no como estado. La empatía como estado puede variar acorde a la situación, </w:t>
      </w:r>
      <w:r w:rsidR="006703B5" w:rsidRPr="00295337">
        <w:rPr>
          <w:rFonts w:ascii="Times New Roman" w:hAnsi="Times New Roman" w:cs="Times New Roman"/>
          <w:lang w:val="es-ES_tradnl"/>
        </w:rPr>
        <w:t xml:space="preserve">es decir, si una persona se ve inundada por una o varias emociones, no será capaz de ponerse </w:t>
      </w:r>
      <w:r w:rsidR="00295337">
        <w:rPr>
          <w:rFonts w:ascii="Times New Roman" w:hAnsi="Times New Roman" w:cs="Times New Roman"/>
          <w:lang w:val="es-ES_tradnl"/>
        </w:rPr>
        <w:t xml:space="preserve">temporalmente </w:t>
      </w:r>
      <w:r w:rsidR="006703B5" w:rsidRPr="00295337">
        <w:rPr>
          <w:rFonts w:ascii="Times New Roman" w:hAnsi="Times New Roman" w:cs="Times New Roman"/>
          <w:lang w:val="es-ES_tradnl"/>
        </w:rPr>
        <w:t xml:space="preserve">en el lugar del otro. </w:t>
      </w:r>
      <w:r w:rsidR="008A1905" w:rsidRPr="00295337">
        <w:rPr>
          <w:rFonts w:ascii="Times New Roman" w:hAnsi="Times New Roman" w:cs="Times New Roman"/>
          <w:lang w:val="es-ES_tradnl"/>
        </w:rPr>
        <w:t>Si</w:t>
      </w:r>
      <w:r w:rsidR="006703B5" w:rsidRPr="00295337">
        <w:rPr>
          <w:rFonts w:ascii="Times New Roman" w:hAnsi="Times New Roman" w:cs="Times New Roman"/>
          <w:lang w:val="es-ES_tradnl"/>
        </w:rPr>
        <w:t xml:space="preserve"> es una incapacidad permanente de ponerse en el lugar del otro sin estado emocional mediante, sí se puede hablar de falta de empatía como rasgo. </w:t>
      </w:r>
      <w:r w:rsidR="00295337">
        <w:rPr>
          <w:rFonts w:ascii="Times New Roman" w:hAnsi="Times New Roman" w:cs="Times New Roman"/>
          <w:lang w:val="es-ES_tradnl"/>
        </w:rPr>
        <w:t>José Bretón podría presentar falta de empatía como estado al no conocer cómo interactúa normalmente.</w:t>
      </w:r>
    </w:p>
    <w:p w14:paraId="27C6C36A" w14:textId="70179FCD" w:rsidR="00A50D7A" w:rsidRDefault="003863EE" w:rsidP="00291F43">
      <w:pPr>
        <w:pStyle w:val="ListParagraph"/>
        <w:numPr>
          <w:ilvl w:val="1"/>
          <w:numId w:val="26"/>
        </w:numPr>
        <w:spacing w:line="360" w:lineRule="auto"/>
        <w:jc w:val="both"/>
        <w:rPr>
          <w:rFonts w:ascii="Times New Roman" w:hAnsi="Times New Roman" w:cs="Times New Roman"/>
          <w:lang w:val="es-ES_tradnl"/>
        </w:rPr>
      </w:pPr>
      <w:r w:rsidRPr="00295337">
        <w:rPr>
          <w:rFonts w:ascii="Times New Roman" w:hAnsi="Times New Roman" w:cs="Times New Roman"/>
          <w:lang w:val="es-ES_tradnl"/>
        </w:rPr>
        <w:t>Incapacidad de aceptar la responsabilidad de las propias acciones</w:t>
      </w:r>
      <w:r w:rsidR="006703B5" w:rsidRPr="00295337">
        <w:rPr>
          <w:rFonts w:ascii="Times New Roman" w:hAnsi="Times New Roman" w:cs="Times New Roman"/>
          <w:lang w:val="es-ES_tradnl"/>
        </w:rPr>
        <w:t>: al no admitir los asesinatos hasta catorce años después, posiblemente puntúe alto.</w:t>
      </w:r>
      <w:r w:rsidR="00295337">
        <w:rPr>
          <w:rFonts w:ascii="Times New Roman" w:hAnsi="Times New Roman" w:cs="Times New Roman"/>
          <w:lang w:val="es-ES_tradnl"/>
        </w:rPr>
        <w:t xml:space="preserve"> No obstante, cabe destacar que algunos presos con los que coincidió en centros penitenciarios remarcaron que en alguna ocasión éste presumió de haber asesinado a sus hijos.</w:t>
      </w:r>
      <w:r w:rsidR="00295337" w:rsidRPr="00295337">
        <w:t xml:space="preserve"> </w:t>
      </w:r>
    </w:p>
    <w:p w14:paraId="0C1F03D3" w14:textId="06F2A6A1" w:rsidR="00C072A1" w:rsidRPr="00C072A1" w:rsidRDefault="00C072A1" w:rsidP="003E6968">
      <w:pPr>
        <w:spacing w:line="360" w:lineRule="auto"/>
        <w:ind w:firstLine="720"/>
        <w:jc w:val="both"/>
        <w:rPr>
          <w:rFonts w:ascii="Times New Roman" w:hAnsi="Times New Roman" w:cs="Times New Roman"/>
          <w:lang w:val="es-ES_tradnl"/>
        </w:rPr>
      </w:pPr>
      <w:r w:rsidRPr="00C072A1">
        <w:rPr>
          <w:rFonts w:ascii="Times New Roman" w:hAnsi="Times New Roman" w:cs="Times New Roman"/>
          <w:lang w:val="es-ES_tradnl"/>
        </w:rPr>
        <w:t>No parece presentar ni encanto superficial, sentido desmesurado de autovalía ni escasa profundidad de los afectos; aunque faltaría una entrevista directa con él para determinar su personalidad de forma más concreta.</w:t>
      </w:r>
    </w:p>
    <w:p w14:paraId="003254E4" w14:textId="0BB25B94" w:rsidR="00045783" w:rsidRPr="00591B41" w:rsidRDefault="00A50D7A" w:rsidP="00591B41">
      <w:pPr>
        <w:pStyle w:val="ListParagraph"/>
        <w:numPr>
          <w:ilvl w:val="0"/>
          <w:numId w:val="26"/>
        </w:numPr>
        <w:spacing w:line="360" w:lineRule="auto"/>
        <w:jc w:val="both"/>
        <w:rPr>
          <w:rFonts w:ascii="Times New Roman" w:hAnsi="Times New Roman" w:cs="Times New Roman"/>
          <w:lang w:val="es-ES_tradnl"/>
        </w:rPr>
      </w:pPr>
      <w:r w:rsidRPr="00C072A1">
        <w:rPr>
          <w:rFonts w:ascii="Times New Roman" w:hAnsi="Times New Roman" w:cs="Times New Roman"/>
          <w:lang w:val="es-ES_tradnl"/>
        </w:rPr>
        <w:t>Factor II:</w:t>
      </w:r>
      <w:r w:rsidR="00291F43" w:rsidRPr="00C072A1">
        <w:rPr>
          <w:rFonts w:ascii="Times New Roman" w:hAnsi="Times New Roman" w:cs="Times New Roman"/>
          <w:lang w:val="es-ES_tradnl"/>
        </w:rPr>
        <w:t xml:space="preserve"> faceta conductual-antisocial. En este factor se pueden </w:t>
      </w:r>
      <w:r w:rsidR="00C072A1" w:rsidRPr="00C072A1">
        <w:rPr>
          <w:rFonts w:ascii="Times New Roman" w:hAnsi="Times New Roman" w:cs="Times New Roman"/>
          <w:lang w:val="es-ES_tradnl"/>
        </w:rPr>
        <w:t>evaluar</w:t>
      </w:r>
      <w:r w:rsidR="00291F43" w:rsidRPr="00C072A1">
        <w:rPr>
          <w:rFonts w:ascii="Times New Roman" w:hAnsi="Times New Roman" w:cs="Times New Roman"/>
          <w:lang w:val="es-ES_tradnl"/>
        </w:rPr>
        <w:t xml:space="preserve"> conductas </w:t>
      </w:r>
      <w:r w:rsidR="008A1905" w:rsidRPr="00C072A1">
        <w:rPr>
          <w:rFonts w:ascii="Times New Roman" w:hAnsi="Times New Roman" w:cs="Times New Roman"/>
          <w:lang w:val="es-ES_tradnl"/>
        </w:rPr>
        <w:t xml:space="preserve">delictivas con cualidades </w:t>
      </w:r>
      <w:r w:rsidR="00291F43" w:rsidRPr="00C072A1">
        <w:rPr>
          <w:rFonts w:ascii="Times New Roman" w:hAnsi="Times New Roman" w:cs="Times New Roman"/>
          <w:lang w:val="es-ES_tradnl"/>
        </w:rPr>
        <w:t>relacionadas con el Trastorno Antisocial de la Personalidad</w:t>
      </w:r>
      <w:r w:rsidR="008A1905" w:rsidRPr="00C072A1">
        <w:rPr>
          <w:rFonts w:ascii="Times New Roman" w:hAnsi="Times New Roman" w:cs="Times New Roman"/>
          <w:lang w:val="es-ES_tradnl"/>
        </w:rPr>
        <w:t xml:space="preserve">. </w:t>
      </w:r>
      <w:r w:rsidR="003863EE" w:rsidRPr="00C072A1">
        <w:rPr>
          <w:rFonts w:ascii="Times New Roman" w:hAnsi="Times New Roman" w:cs="Times New Roman"/>
          <w:lang w:val="es-ES_tradnl"/>
        </w:rPr>
        <w:t xml:space="preserve">Sólo se podrá valorar este factor si el individuo ha tenido conductas violentas </w:t>
      </w:r>
      <w:r w:rsidR="003863EE" w:rsidRPr="00C072A1">
        <w:rPr>
          <w:rFonts w:ascii="Times New Roman" w:hAnsi="Times New Roman" w:cs="Times New Roman"/>
          <w:lang w:val="es-ES_tradnl"/>
        </w:rPr>
        <w:lastRenderedPageBreak/>
        <w:t>conocidas o si ha sido condenado por algún delito</w:t>
      </w:r>
      <w:r w:rsidR="00591B41">
        <w:rPr>
          <w:rFonts w:ascii="Times New Roman" w:hAnsi="Times New Roman" w:cs="Times New Roman"/>
          <w:lang w:val="es-ES_tradnl"/>
        </w:rPr>
        <w:t xml:space="preserve">, y en caso negativo, cabe la posibilidad de que sea un psicópata subclínico. </w:t>
      </w:r>
      <w:r w:rsidR="003863EE" w:rsidRPr="00591B41">
        <w:rPr>
          <w:rFonts w:ascii="Times New Roman" w:hAnsi="Times New Roman" w:cs="Times New Roman"/>
          <w:lang w:val="es-ES_tradnl"/>
        </w:rPr>
        <w:t>La psicopatía subclínica hace referencia a la sintomatología que no cualifica como psicopatía clínica formalmente al no cumplir todos los requisitos, pero sí supone malestar y afecciones significativas en la vida diaria del individuo (Alpiste, 2014).</w:t>
      </w:r>
      <w:r w:rsidR="00045783" w:rsidRPr="00591B41">
        <w:rPr>
          <w:rFonts w:ascii="Times New Roman" w:hAnsi="Times New Roman" w:cs="Times New Roman"/>
          <w:lang w:val="es-ES_tradnl"/>
        </w:rPr>
        <w:t xml:space="preserve"> </w:t>
      </w:r>
      <w:r w:rsidR="00591B41">
        <w:rPr>
          <w:rFonts w:ascii="Times New Roman" w:hAnsi="Times New Roman" w:cs="Times New Roman"/>
          <w:lang w:val="es-ES_tradnl"/>
        </w:rPr>
        <w:t>Aquí, l</w:t>
      </w:r>
      <w:r w:rsidR="00591B41" w:rsidRPr="00591B41">
        <w:rPr>
          <w:rFonts w:ascii="Times New Roman" w:hAnsi="Times New Roman" w:cs="Times New Roman"/>
          <w:lang w:val="es-ES_tradnl"/>
        </w:rPr>
        <w:t xml:space="preserve">a población psicopática subclínica no puntuaría alto y se quedaría al margen del diagnóstico según el instrumento. </w:t>
      </w:r>
      <w:r w:rsidR="00045783" w:rsidRPr="00591B41">
        <w:rPr>
          <w:rFonts w:ascii="Times New Roman" w:hAnsi="Times New Roman" w:cs="Times New Roman"/>
          <w:lang w:val="es-ES_tradnl"/>
        </w:rPr>
        <w:t>José Bretón no parece puntuar en ningún ítem de este factor, pues no hay información suficiente como para determinar su conducta antisocial ajena al delito por el que se le imputa. Los ítems en cuestión son los siguientes:</w:t>
      </w:r>
    </w:p>
    <w:p w14:paraId="06064FE8" w14:textId="56E45C37" w:rsidR="003863EE" w:rsidRPr="00045783" w:rsidRDefault="003863EE"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Necesidad de estimulación por tendencia al aburrimiento</w:t>
      </w:r>
      <w:r w:rsidR="00045783">
        <w:rPr>
          <w:rFonts w:ascii="Times New Roman" w:hAnsi="Times New Roman" w:cs="Times New Roman"/>
          <w:lang w:val="es-ES_tradnl"/>
        </w:rPr>
        <w:t>.</w:t>
      </w:r>
    </w:p>
    <w:p w14:paraId="60DEB138" w14:textId="54BDA9D3"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Estilo de vida parasitario</w:t>
      </w:r>
      <w:r w:rsidR="006703B5" w:rsidRPr="00045783">
        <w:rPr>
          <w:rFonts w:ascii="Times New Roman" w:hAnsi="Times New Roman" w:cs="Times New Roman"/>
          <w:lang w:val="es-ES_tradnl"/>
        </w:rPr>
        <w:t>: no hay información suficiente.</w:t>
      </w:r>
    </w:p>
    <w:p w14:paraId="356E7861" w14:textId="2449EF88"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Falta de control conductual</w:t>
      </w:r>
      <w:r w:rsidR="00045783">
        <w:rPr>
          <w:rFonts w:ascii="Times New Roman" w:hAnsi="Times New Roman" w:cs="Times New Roman"/>
          <w:lang w:val="es-ES_tradnl"/>
        </w:rPr>
        <w:t>.</w:t>
      </w:r>
    </w:p>
    <w:p w14:paraId="3E768C96" w14:textId="00986A76" w:rsidR="003863EE" w:rsidRPr="00045783" w:rsidRDefault="003863EE"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Problemas de conducta en la infancia</w:t>
      </w:r>
      <w:r w:rsidR="00045783">
        <w:rPr>
          <w:rFonts w:ascii="Times New Roman" w:hAnsi="Times New Roman" w:cs="Times New Roman"/>
          <w:lang w:val="es-ES_tradnl"/>
        </w:rPr>
        <w:t>.</w:t>
      </w:r>
    </w:p>
    <w:p w14:paraId="5D32A784" w14:textId="0AD0BED4"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Falta de metas realistas a largo plazo</w:t>
      </w:r>
      <w:r w:rsidR="00045783">
        <w:rPr>
          <w:rFonts w:ascii="Times New Roman" w:hAnsi="Times New Roman" w:cs="Times New Roman"/>
          <w:lang w:val="es-ES_tradnl"/>
        </w:rPr>
        <w:t>.</w:t>
      </w:r>
    </w:p>
    <w:p w14:paraId="25EB857F" w14:textId="6FC3FF22"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Impulsividad</w:t>
      </w:r>
      <w:r w:rsidR="00045783">
        <w:rPr>
          <w:rFonts w:ascii="Times New Roman" w:hAnsi="Times New Roman" w:cs="Times New Roman"/>
          <w:lang w:val="es-ES_tradnl"/>
        </w:rPr>
        <w:t>.</w:t>
      </w:r>
    </w:p>
    <w:p w14:paraId="3E767898" w14:textId="53C75B37"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Irresponsabilidad</w:t>
      </w:r>
      <w:r w:rsidR="00045783">
        <w:rPr>
          <w:rFonts w:ascii="Times New Roman" w:hAnsi="Times New Roman" w:cs="Times New Roman"/>
          <w:lang w:val="es-ES_tradnl"/>
        </w:rPr>
        <w:t>.</w:t>
      </w:r>
    </w:p>
    <w:p w14:paraId="64E4C2CE" w14:textId="6D1D81A8"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Delincuencia juvenil</w:t>
      </w:r>
      <w:r w:rsidR="00045783">
        <w:rPr>
          <w:rFonts w:ascii="Times New Roman" w:hAnsi="Times New Roman" w:cs="Times New Roman"/>
          <w:lang w:val="es-ES_tradnl"/>
        </w:rPr>
        <w:t>.</w:t>
      </w:r>
    </w:p>
    <w:p w14:paraId="4C21B000" w14:textId="564B8E7E"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Revocación de libertad condicional</w:t>
      </w:r>
      <w:r w:rsidR="00045783">
        <w:rPr>
          <w:rFonts w:ascii="Times New Roman" w:hAnsi="Times New Roman" w:cs="Times New Roman"/>
          <w:lang w:val="es-ES_tradnl"/>
        </w:rPr>
        <w:t>.</w:t>
      </w:r>
    </w:p>
    <w:p w14:paraId="6493D2F6" w14:textId="298F8370" w:rsidR="00035339" w:rsidRPr="00045783" w:rsidRDefault="00035339" w:rsidP="003863EE">
      <w:pPr>
        <w:pStyle w:val="ListParagraph"/>
        <w:numPr>
          <w:ilvl w:val="1"/>
          <w:numId w:val="26"/>
        </w:numPr>
        <w:spacing w:line="360" w:lineRule="auto"/>
        <w:jc w:val="both"/>
        <w:rPr>
          <w:rFonts w:ascii="Times New Roman" w:hAnsi="Times New Roman" w:cs="Times New Roman"/>
          <w:lang w:val="es-ES_tradnl"/>
        </w:rPr>
      </w:pPr>
      <w:r w:rsidRPr="00045783">
        <w:rPr>
          <w:rFonts w:ascii="Times New Roman" w:hAnsi="Times New Roman" w:cs="Times New Roman"/>
          <w:lang w:val="es-ES_tradnl"/>
        </w:rPr>
        <w:t>Versatilidad criminal</w:t>
      </w:r>
      <w:r w:rsidR="00045783">
        <w:rPr>
          <w:rFonts w:ascii="Times New Roman" w:hAnsi="Times New Roman" w:cs="Times New Roman"/>
          <w:lang w:val="es-ES_tradnl"/>
        </w:rPr>
        <w:t>.</w:t>
      </w:r>
    </w:p>
    <w:p w14:paraId="6ED3F0D7" w14:textId="3DFE9F38" w:rsidR="003863EE" w:rsidRPr="00035339" w:rsidRDefault="008235E0" w:rsidP="006703B5">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De forma complementaria,</w:t>
      </w:r>
      <w:r w:rsidR="006703B5">
        <w:rPr>
          <w:rFonts w:ascii="Times New Roman" w:hAnsi="Times New Roman" w:cs="Times New Roman"/>
          <w:lang w:val="es-ES_tradnl"/>
        </w:rPr>
        <w:t xml:space="preserve"> hay dos ítems que no encajan en ningún factor, pero añaden a la puntuación total, siendo estos: relaciones maritales de corta duración frecuentes y la conducta sexual promiscua</w:t>
      </w:r>
      <w:r w:rsidR="00747D9D">
        <w:rPr>
          <w:rFonts w:ascii="Times New Roman" w:hAnsi="Times New Roman" w:cs="Times New Roman"/>
          <w:lang w:val="es-ES_tradnl"/>
        </w:rPr>
        <w:t xml:space="preserve"> (Torrubia y Cuquerella, 2008)</w:t>
      </w:r>
      <w:r w:rsidR="006703B5">
        <w:rPr>
          <w:rFonts w:ascii="Times New Roman" w:hAnsi="Times New Roman" w:cs="Times New Roman"/>
          <w:lang w:val="es-ES_tradnl"/>
        </w:rPr>
        <w:t>. No hay datos suficientes sobre José Bretón como para valorar estos ítems.</w:t>
      </w:r>
      <w:r w:rsidR="00747D9D">
        <w:rPr>
          <w:rFonts w:ascii="Times New Roman" w:hAnsi="Times New Roman" w:cs="Times New Roman"/>
          <w:lang w:val="es-ES_tradnl"/>
        </w:rPr>
        <w:t xml:space="preserve"> Así pues, se puede determinar que parece presentar algunas características psicopáticas, pero no las suficientes como para puntuar más de un 30 en la PCL-R de Hare. </w:t>
      </w:r>
    </w:p>
    <w:p w14:paraId="60365211" w14:textId="53ABDAA0" w:rsidR="006C3F2D" w:rsidRDefault="009F6FCC" w:rsidP="008C03A7">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Declaraciones de quien fue su abogada junto con artículos periodísticos hacen referencia a una presencia de rasgos compatibles con aquellos relacionados con el </w:t>
      </w:r>
      <w:r w:rsidRPr="009270ED">
        <w:rPr>
          <w:rFonts w:ascii="Times New Roman" w:hAnsi="Times New Roman" w:cs="Times New Roman"/>
          <w:b/>
          <w:bCs/>
          <w:u w:val="single"/>
          <w:lang w:val="es-ES_tradnl"/>
        </w:rPr>
        <w:t>Trastorno Obsesivo-Compulsivo</w:t>
      </w:r>
      <w:r w:rsidR="00747D9D">
        <w:rPr>
          <w:rFonts w:ascii="Times New Roman" w:hAnsi="Times New Roman" w:cs="Times New Roman"/>
          <w:b/>
          <w:bCs/>
          <w:u w:val="single"/>
          <w:lang w:val="es-ES_tradnl"/>
        </w:rPr>
        <w:t xml:space="preserve"> (TOC)</w:t>
      </w:r>
      <w:r w:rsidR="009270ED">
        <w:rPr>
          <w:rFonts w:ascii="Times New Roman" w:hAnsi="Times New Roman" w:cs="Times New Roman"/>
          <w:lang w:val="es-ES_tradnl"/>
        </w:rPr>
        <w:t xml:space="preserve"> y con el </w:t>
      </w:r>
      <w:r w:rsidR="009270ED" w:rsidRPr="009270ED">
        <w:rPr>
          <w:rFonts w:ascii="Times New Roman" w:hAnsi="Times New Roman" w:cs="Times New Roman"/>
          <w:b/>
          <w:bCs/>
          <w:u w:val="single"/>
          <w:lang w:val="es-ES_tradnl"/>
        </w:rPr>
        <w:t>Trastorno Narcisista de la Personalidad</w:t>
      </w:r>
      <w:r w:rsidR="009270ED">
        <w:rPr>
          <w:rFonts w:ascii="Times New Roman" w:hAnsi="Times New Roman" w:cs="Times New Roman"/>
          <w:lang w:val="es-ES_tradnl"/>
        </w:rPr>
        <w:t xml:space="preserve"> (Romero, 2025). El TOC es un trastorno caracterizado por una combinación de obsesiones constantes y persistentes junto con compulsiones dirigidas a disminuir la ansiedad relacionada con las obsesiones, además de la presencia de perfeccionismo y necesidad de control (American Psychiatric Association, 2013). José Bretón muestra pautas de conducta asociadas con necesidad de control incluso previas a </w:t>
      </w:r>
      <w:r w:rsidR="009270ED">
        <w:rPr>
          <w:rFonts w:ascii="Times New Roman" w:hAnsi="Times New Roman" w:cs="Times New Roman"/>
          <w:lang w:val="es-ES_tradnl"/>
        </w:rPr>
        <w:lastRenderedPageBreak/>
        <w:t xml:space="preserve">la comisión del delito, ejemplificadas con la baja tolerancia a la frustración provocada por el divorcio y una planificación </w:t>
      </w:r>
      <w:r w:rsidR="00B8388E">
        <w:rPr>
          <w:rFonts w:ascii="Times New Roman" w:hAnsi="Times New Roman" w:cs="Times New Roman"/>
          <w:lang w:val="es-ES_tradnl"/>
        </w:rPr>
        <w:t xml:space="preserve">detallada </w:t>
      </w:r>
      <w:r w:rsidR="009270ED">
        <w:rPr>
          <w:rFonts w:ascii="Times New Roman" w:hAnsi="Times New Roman" w:cs="Times New Roman"/>
          <w:lang w:val="es-ES_tradnl"/>
        </w:rPr>
        <w:t xml:space="preserve">del delito que pretendía cometer. Una </w:t>
      </w:r>
      <w:r w:rsidR="00B8388E">
        <w:rPr>
          <w:rFonts w:ascii="Times New Roman" w:hAnsi="Times New Roman" w:cs="Times New Roman"/>
          <w:lang w:val="es-ES_tradnl"/>
        </w:rPr>
        <w:t>necesidad de negar los hechos constante pese a las pruebas incriminatorias combinada con la minuciosidad empleada en el crimen podría denotar pensamiento obsesivo y rígido. No supone una causalidad directa con la comisión del crimen, pero sí puede ayudar a comprender el porqué de la conducta de Bretón previa al asesinato de sus hijos</w:t>
      </w:r>
      <w:r w:rsidR="008C03A7">
        <w:rPr>
          <w:rFonts w:ascii="Times New Roman" w:hAnsi="Times New Roman" w:cs="Times New Roman"/>
          <w:lang w:val="es-ES_tradnl"/>
        </w:rPr>
        <w:t xml:space="preserve"> (Redacción Cordópolis, 2013)</w:t>
      </w:r>
      <w:r w:rsidR="00B8388E">
        <w:rPr>
          <w:rFonts w:ascii="Times New Roman" w:hAnsi="Times New Roman" w:cs="Times New Roman"/>
          <w:lang w:val="es-ES_tradnl"/>
        </w:rPr>
        <w:t>.</w:t>
      </w:r>
    </w:p>
    <w:p w14:paraId="758264A9" w14:textId="43BF7F24" w:rsidR="00AC718E" w:rsidRDefault="00AC718E" w:rsidP="008C03A7">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Asimismo, la propia conducta se pude relacionar con la agresividad instrumental. La agresividad instrumental hace referencia a la conducta agresiva empleada para lograr un objetivo concreto más allá del daño físico, de forma que el agresor no exhibe señales de impulsividad, sino que es capaz de controlar los impulsos (Anderson y Bushman, 2002). La naturaleza de esta agresión se asocia a la planificación y estrategia, pues el individuo evalúa si los beneficios superan a los costes </w:t>
      </w:r>
      <w:r w:rsidR="002841BF">
        <w:rPr>
          <w:rFonts w:ascii="Times New Roman" w:hAnsi="Times New Roman" w:cs="Times New Roman"/>
          <w:lang w:val="es-ES_tradnl"/>
        </w:rPr>
        <w:t>antes de llevarla a cabo. Un ejemplo claro de esta tipología de agresión es el acoso escolar, donde el objetivo real de agredir a un compañero no es herirle, sino ganar estatus en la clase. La agresión contraria a la instrumental sería la reactiva, en la que el sujeto reacciona ante un estímulo que percibe como amenaz</w:t>
      </w:r>
      <w:r w:rsidR="00A329D6">
        <w:rPr>
          <w:rFonts w:ascii="Times New Roman" w:hAnsi="Times New Roman" w:cs="Times New Roman"/>
          <w:lang w:val="es-ES_tradnl"/>
        </w:rPr>
        <w:t>ante para poder defenderse, agrediendo a través de la ira sin ningún pensamiento previo deliberado (</w:t>
      </w:r>
      <w:r w:rsidR="00055002">
        <w:rPr>
          <w:rFonts w:ascii="Times New Roman" w:hAnsi="Times New Roman" w:cs="Times New Roman"/>
          <w:lang w:val="es-ES_tradnl"/>
        </w:rPr>
        <w:t>Blair, 2018</w:t>
      </w:r>
      <w:r w:rsidR="00A329D6">
        <w:rPr>
          <w:rFonts w:ascii="Times New Roman" w:hAnsi="Times New Roman" w:cs="Times New Roman"/>
          <w:lang w:val="es-ES_tradnl"/>
        </w:rPr>
        <w:t>).</w:t>
      </w:r>
    </w:p>
    <w:p w14:paraId="43F1940F" w14:textId="45FBFE94" w:rsidR="00486067" w:rsidRDefault="00A329D6" w:rsidP="00055002">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Similarmente, la violencia de género y vicaria son casos donde el maltrato no sólo sirve para dañar a la pareja, sino también para establecer dominancia, ya que el agresor es quien tiene todo el poder (</w:t>
      </w:r>
      <w:r w:rsidR="00055002">
        <w:rPr>
          <w:rFonts w:ascii="Times New Roman" w:hAnsi="Times New Roman" w:cs="Times New Roman"/>
          <w:lang w:val="es-ES_tradnl"/>
        </w:rPr>
        <w:t>Ríos-Lechuga, et ál., 2024</w:t>
      </w:r>
      <w:r>
        <w:rPr>
          <w:rFonts w:ascii="Times New Roman" w:hAnsi="Times New Roman" w:cs="Times New Roman"/>
          <w:lang w:val="es-ES_tradnl"/>
        </w:rPr>
        <w:t>). Los hijos – pese a empezar siendo terceros inocentes – se convierten en instrumentos para dañar; pues son el medio que emplean para poder provocar el máximo sufrimiento psicológico en sus madres. Así pues, el asesinato de Ruth y José Bretón Ortiz es la máxima expresión de agresividad instrumental y violencia vicaria.</w:t>
      </w:r>
    </w:p>
    <w:p w14:paraId="4000721D" w14:textId="7DFAC7EC" w:rsidR="00D6503C" w:rsidRDefault="008C03A7" w:rsidP="003A0DE5">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En conclusión, José Bretón no parece presentar ninguna enfermedad mental grave que obnubile su capacidad volitiva e intelectiva, pese a identificarse alguna característica psicopática, obsesiva-compulsiva y narcisista</w:t>
      </w:r>
      <w:r w:rsidR="00B001C7">
        <w:rPr>
          <w:rFonts w:ascii="Times New Roman" w:hAnsi="Times New Roman" w:cs="Times New Roman"/>
          <w:lang w:val="es-ES_tradnl"/>
        </w:rPr>
        <w:t xml:space="preserve"> en él</w:t>
      </w:r>
      <w:r w:rsidRPr="003A0DE5">
        <w:rPr>
          <w:rFonts w:ascii="Times New Roman" w:hAnsi="Times New Roman" w:cs="Times New Roman"/>
          <w:lang w:val="es-ES_tradnl"/>
        </w:rPr>
        <w:t>.</w:t>
      </w:r>
      <w:r w:rsidR="003A0DE5" w:rsidRPr="003A0DE5">
        <w:rPr>
          <w:rFonts w:ascii="Times New Roman" w:hAnsi="Times New Roman" w:cs="Times New Roman"/>
        </w:rPr>
        <w:t xml:space="preserve"> </w:t>
      </w:r>
      <w:r w:rsidR="003A0DE5" w:rsidRPr="003A0DE5">
        <w:rPr>
          <w:rFonts w:ascii="Times New Roman" w:hAnsi="Times New Roman" w:cs="Times New Roman"/>
        </w:rPr>
        <w:tab/>
        <w:t xml:space="preserve">Con ello </w:t>
      </w:r>
      <w:r w:rsidR="003A0DE5">
        <w:rPr>
          <w:rFonts w:ascii="Times New Roman" w:hAnsi="Times New Roman" w:cs="Times New Roman"/>
        </w:rPr>
        <w:t>se remarca que la</w:t>
      </w:r>
      <w:r w:rsidR="003A0DE5" w:rsidRPr="003A0DE5">
        <w:rPr>
          <w:rFonts w:ascii="Times New Roman" w:hAnsi="Times New Roman" w:cs="Times New Roman"/>
        </w:rPr>
        <w:t xml:space="preserve"> violencia vicaria no es un fenómeno vinculado a la "locura" o enfermedad mental, sino a un uso racional y estratégico de la violencia (agresión instrumental). Esto rompe con el estigma social </w:t>
      </w:r>
      <w:r w:rsidR="003A0DE5">
        <w:rPr>
          <w:rFonts w:ascii="Times New Roman" w:hAnsi="Times New Roman" w:cs="Times New Roman"/>
        </w:rPr>
        <w:t xml:space="preserve">comentado al principio, </w:t>
      </w:r>
      <w:r w:rsidR="003A0DE5" w:rsidRPr="003A0DE5">
        <w:rPr>
          <w:rFonts w:ascii="Times New Roman" w:hAnsi="Times New Roman" w:cs="Times New Roman"/>
        </w:rPr>
        <w:t>"quien hace eso debe estar loco"</w:t>
      </w:r>
      <w:r w:rsidR="003A0DE5">
        <w:rPr>
          <w:rFonts w:ascii="Times New Roman" w:hAnsi="Times New Roman" w:cs="Times New Roman"/>
        </w:rPr>
        <w:t xml:space="preserve"> o “es un psicópata”, cuando simplemente es un resultado de decisiones deliberadas con un objetivo concreto</w:t>
      </w:r>
      <w:r w:rsidR="003A0DE5" w:rsidRPr="003A0DE5">
        <w:rPr>
          <w:rFonts w:ascii="Times New Roman" w:hAnsi="Times New Roman" w:cs="Times New Roman"/>
        </w:rPr>
        <w:t>.</w:t>
      </w:r>
    </w:p>
    <w:p w14:paraId="0ACE9DE5" w14:textId="0E4DB811" w:rsidR="000427C2" w:rsidRPr="000427C2" w:rsidRDefault="000427C2" w:rsidP="000427C2">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210" w:name="_Toc218416707"/>
      <w:bookmarkStart w:id="211" w:name="_Toc218422522"/>
      <w:bookmarkStart w:id="212" w:name="_Toc219919457"/>
      <w:bookmarkStart w:id="213" w:name="_Toc219919523"/>
      <w:bookmarkStart w:id="214" w:name="_Toc220260636"/>
      <w:bookmarkStart w:id="215" w:name="_Toc221125847"/>
      <w:bookmarkStart w:id="216" w:name="_Toc221212527"/>
      <w:r>
        <w:rPr>
          <w:rFonts w:ascii="Times New Roman" w:hAnsi="Times New Roman" w:cs="Times New Roman"/>
          <w:b/>
          <w:bCs/>
          <w:color w:val="000000" w:themeColor="text1"/>
          <w:sz w:val="24"/>
          <w:szCs w:val="24"/>
          <w:lang w:val="es-ES_tradnl"/>
        </w:rPr>
        <w:lastRenderedPageBreak/>
        <w:t>Teorías de la criminalidad aplicadas al caso</w:t>
      </w:r>
      <w:bookmarkEnd w:id="210"/>
      <w:bookmarkEnd w:id="211"/>
      <w:bookmarkEnd w:id="212"/>
      <w:bookmarkEnd w:id="213"/>
      <w:bookmarkEnd w:id="214"/>
      <w:bookmarkEnd w:id="215"/>
      <w:bookmarkEnd w:id="216"/>
    </w:p>
    <w:p w14:paraId="20429BCB" w14:textId="297C7B2D" w:rsidR="000427C2" w:rsidRDefault="00720026" w:rsidP="006C3F2D">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En base a la exposición teórica de las cuatro teorías de la criminalidad previamente descritas, se procede a su aplicación al caso </w:t>
      </w:r>
      <w:r w:rsidR="00F9438C">
        <w:rPr>
          <w:rFonts w:ascii="Times New Roman" w:hAnsi="Times New Roman" w:cs="Times New Roman"/>
          <w:lang w:val="es-ES_tradnl"/>
        </w:rPr>
        <w:t xml:space="preserve">de </w:t>
      </w:r>
      <w:r>
        <w:rPr>
          <w:rFonts w:ascii="Times New Roman" w:hAnsi="Times New Roman" w:cs="Times New Roman"/>
          <w:lang w:val="es-ES_tradnl"/>
        </w:rPr>
        <w:t>José Bretón</w:t>
      </w:r>
      <w:r w:rsidR="00F9438C">
        <w:rPr>
          <w:rFonts w:ascii="Times New Roman" w:hAnsi="Times New Roman" w:cs="Times New Roman"/>
          <w:lang w:val="es-ES_tradnl"/>
        </w:rPr>
        <w:t xml:space="preserve"> para poder comprender los mecanismos que facilitaron la ejecución del crimen.</w:t>
      </w:r>
    </w:p>
    <w:p w14:paraId="6E12B657" w14:textId="6773E678" w:rsidR="00CB1613" w:rsidRDefault="00720026" w:rsidP="006C3F2D">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Según la </w:t>
      </w:r>
      <w:r w:rsidRPr="00F9438C">
        <w:rPr>
          <w:rFonts w:ascii="Times New Roman" w:hAnsi="Times New Roman" w:cs="Times New Roman"/>
          <w:u w:val="single"/>
          <w:lang w:val="es-ES_tradnl"/>
        </w:rPr>
        <w:t>teoría de la elección racional</w:t>
      </w:r>
      <w:r>
        <w:rPr>
          <w:rFonts w:ascii="Times New Roman" w:hAnsi="Times New Roman" w:cs="Times New Roman"/>
          <w:lang w:val="es-ES_tradnl"/>
        </w:rPr>
        <w:t xml:space="preserve">, </w:t>
      </w:r>
      <w:r w:rsidR="00F9438C">
        <w:rPr>
          <w:rFonts w:ascii="Times New Roman" w:hAnsi="Times New Roman" w:cs="Times New Roman"/>
          <w:lang w:val="es-ES_tradnl"/>
        </w:rPr>
        <w:t>José Bretón llevó a cabo una línea de pensamiento deliberada y orientada a lograr un objetivo en concreto. Cornish y Clark (1986) postularon que la conducta es el resultado de una evaluación consciente de los costes y los beneficios que el individuo percibe en un contexto específico. En el caso, los hechos probados muestran un alto nivel de planificación previa al crimen, evidenciado por la adquisición de medicamentos sedantes, acopio de leña y la elaboración de una coartada. Todo ello indica que los objetivos en concreto que José Bretón tuvo en cuenta a la hora de consumar el delito fueron la maximización del daño emocional a su mujer Ruth Ortiz y la minimización del riesgo de ser descubierto.</w:t>
      </w:r>
      <w:r w:rsidR="00AC01FE">
        <w:rPr>
          <w:rFonts w:ascii="Times New Roman" w:hAnsi="Times New Roman" w:cs="Times New Roman"/>
          <w:lang w:val="es-ES_tradnl"/>
        </w:rPr>
        <w:t xml:space="preserve"> La elección de recurrir a la violencia vicaria surgió tras valorar que, al ser los hijos aquello que su mujer más quería, dañarlos implicaría un gran sufrimiento para ella sin suponer un coste que él considerara inasumible para él. Tal y como se menciona en el apartado anterior, la racionalidad no está directamente relacionada con la ausencia de emociones, sino con la limitada información de la que dispone el individuo bajo una fuerte carga motivacional.</w:t>
      </w:r>
    </w:p>
    <w:p w14:paraId="75BF2F54" w14:textId="05466F1E" w:rsidR="00B437F1" w:rsidRDefault="00AC01FE" w:rsidP="00B437F1">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Desde la t</w:t>
      </w:r>
      <w:r w:rsidRPr="00AC01FE">
        <w:rPr>
          <w:rFonts w:ascii="Times New Roman" w:hAnsi="Times New Roman" w:cs="Times New Roman"/>
          <w:u w:val="single"/>
          <w:lang w:val="es-ES_tradnl"/>
        </w:rPr>
        <w:t>eoría de las actividades rutinarias</w:t>
      </w:r>
      <w:r>
        <w:rPr>
          <w:rFonts w:ascii="Times New Roman" w:hAnsi="Times New Roman" w:cs="Times New Roman"/>
          <w:lang w:val="es-ES_tradnl"/>
        </w:rPr>
        <w:t xml:space="preserve">, es posible un análisis situacional del caso. </w:t>
      </w:r>
      <w:r w:rsidR="00D97F94">
        <w:rPr>
          <w:rFonts w:ascii="Times New Roman" w:hAnsi="Times New Roman" w:cs="Times New Roman"/>
          <w:lang w:val="es-ES_tradnl"/>
        </w:rPr>
        <w:t xml:space="preserve">Aquí tiene lugar una convergencia entre un agresor motivado, un objetivo tentador y la ausencia de agentes vigilantes: sus hijos estaban bajo su protección durante el fin de semana con el beneplácito de su mujer en un lugar relativamente alejado de la ciudad, donde hay más controles institucionales. El hecho de que pudiera acceder </w:t>
      </w:r>
      <w:r w:rsidR="00B437F1">
        <w:rPr>
          <w:rFonts w:ascii="Times New Roman" w:hAnsi="Times New Roman" w:cs="Times New Roman"/>
          <w:lang w:val="es-ES_tradnl"/>
        </w:rPr>
        <w:t>fácilmente</w:t>
      </w:r>
      <w:r w:rsidR="00D97F94">
        <w:rPr>
          <w:rFonts w:ascii="Times New Roman" w:hAnsi="Times New Roman" w:cs="Times New Roman"/>
          <w:lang w:val="es-ES_tradnl"/>
        </w:rPr>
        <w:t xml:space="preserve"> a </w:t>
      </w:r>
      <w:r w:rsidR="00B437F1">
        <w:rPr>
          <w:rFonts w:ascii="Times New Roman" w:hAnsi="Times New Roman" w:cs="Times New Roman"/>
          <w:lang w:val="es-ES_tradnl"/>
        </w:rPr>
        <w:t xml:space="preserve">la finca de </w:t>
      </w:r>
      <w:r w:rsidR="00D97F94">
        <w:rPr>
          <w:rFonts w:ascii="Times New Roman" w:hAnsi="Times New Roman" w:cs="Times New Roman"/>
          <w:lang w:val="es-ES_tradnl"/>
        </w:rPr>
        <w:t xml:space="preserve">“Las Quemadillas” </w:t>
      </w:r>
      <w:r w:rsidR="00B437F1">
        <w:rPr>
          <w:rFonts w:ascii="Times New Roman" w:hAnsi="Times New Roman" w:cs="Times New Roman"/>
          <w:lang w:val="es-ES_tradnl"/>
        </w:rPr>
        <w:t>refuerza la idea de que las oportunidades delictivas juegan un papel incluso más importante que la mera motivación. Según esta teoría, la violencia vicaria se ve facilitada por la rutina familiar y la confianza inherente que se le atribuye al ámbito doméstico, incluso entre cónyuges que deciden romper el vínculo matrimonial.</w:t>
      </w:r>
    </w:p>
    <w:p w14:paraId="2195ED9E" w14:textId="08C0AEAA" w:rsidR="006762EC" w:rsidRDefault="006762EC" w:rsidP="006762EC">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Con respecto a </w:t>
      </w:r>
      <w:r w:rsidR="00B437F1">
        <w:rPr>
          <w:rFonts w:ascii="Times New Roman" w:hAnsi="Times New Roman" w:cs="Times New Roman"/>
          <w:lang w:val="es-ES_tradnl"/>
        </w:rPr>
        <w:t xml:space="preserve">la </w:t>
      </w:r>
      <w:r w:rsidR="00B437F1" w:rsidRPr="00B437F1">
        <w:rPr>
          <w:rFonts w:ascii="Times New Roman" w:hAnsi="Times New Roman" w:cs="Times New Roman"/>
          <w:u w:val="single"/>
          <w:lang w:val="es-ES_tradnl"/>
        </w:rPr>
        <w:t>teoría del control social</w:t>
      </w:r>
      <w:r>
        <w:rPr>
          <w:rFonts w:ascii="Times New Roman" w:hAnsi="Times New Roman" w:cs="Times New Roman"/>
          <w:lang w:val="es-ES_tradnl"/>
        </w:rPr>
        <w:t xml:space="preserve">, esta </w:t>
      </w:r>
      <w:r w:rsidR="00B437F1">
        <w:rPr>
          <w:rFonts w:ascii="Times New Roman" w:hAnsi="Times New Roman" w:cs="Times New Roman"/>
          <w:lang w:val="es-ES_tradnl"/>
        </w:rPr>
        <w:t>permite centrarse en la debilitación de los vínculos inhibidores de la conducta delictiva. Hirschi</w:t>
      </w:r>
      <w:r>
        <w:rPr>
          <w:rFonts w:ascii="Times New Roman" w:hAnsi="Times New Roman" w:cs="Times New Roman"/>
          <w:lang w:val="es-ES_tradnl"/>
        </w:rPr>
        <w:t xml:space="preserve"> (1969) </w:t>
      </w:r>
      <w:r w:rsidR="00B437F1">
        <w:rPr>
          <w:rFonts w:ascii="Times New Roman" w:hAnsi="Times New Roman" w:cs="Times New Roman"/>
          <w:lang w:val="es-ES_tradnl"/>
        </w:rPr>
        <w:t xml:space="preserve">declaró que el apego, compromiso, participación y creencia en las normas sociales suponen un bloqueo de la desviación social. En el caso Bretón, el filicidio es la consecuencia extrema de la ruptura de estos lazos sociales, en especial el apego. La ejecución del delito muestra una débil sensibilidad hacia el daño provocado tanto a su mujer como a su familia y </w:t>
      </w:r>
      <w:r>
        <w:rPr>
          <w:rFonts w:ascii="Times New Roman" w:hAnsi="Times New Roman" w:cs="Times New Roman"/>
          <w:lang w:val="es-ES_tradnl"/>
        </w:rPr>
        <w:t xml:space="preserve">una radical </w:t>
      </w:r>
      <w:r>
        <w:rPr>
          <w:rFonts w:ascii="Times New Roman" w:hAnsi="Times New Roman" w:cs="Times New Roman"/>
          <w:lang w:val="es-ES_tradnl"/>
        </w:rPr>
        <w:lastRenderedPageBreak/>
        <w:t>transgresión de las normas morales que sigue la construcción de la familia. Además, la ruptura del matrimonio y la percepción del divorcio como una amenaza a su estatus social y dentro de la familia, se pueden interpretar como factores que incidieron en el abandono de José Bretón del compromiso con el seguimiento de una vida convencional, lo cual a su vez ayudó a la ejecución del crimen, pues se redujo el coste emocional de la infracción. En esencia, la violencia vicaria es el resultado final de la disolución de los mecanismos de control social que, de ser vínculos más fortalecidos, actuarían como inhibidores de conductas con semejante gravedad.</w:t>
      </w:r>
    </w:p>
    <w:p w14:paraId="154EDE83" w14:textId="4D1531A8" w:rsidR="00D96962" w:rsidRDefault="006762EC" w:rsidP="00D96962">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Por último, </w:t>
      </w:r>
      <w:r w:rsidRPr="006762EC">
        <w:rPr>
          <w:rFonts w:ascii="Times New Roman" w:hAnsi="Times New Roman" w:cs="Times New Roman"/>
          <w:u w:val="single"/>
          <w:lang w:val="es-ES_tradnl"/>
        </w:rPr>
        <w:t>la teoría del etiquetamiento</w:t>
      </w:r>
      <w:r>
        <w:rPr>
          <w:rFonts w:ascii="Times New Roman" w:hAnsi="Times New Roman" w:cs="Times New Roman"/>
          <w:lang w:val="es-ES_tradnl"/>
        </w:rPr>
        <w:t xml:space="preserve"> supone una oportunidad para analizar el caso desde la perspectiva de la posición social e institucional posterior al delito. No se centra en aquello que incitó la comisión del delito, sino en cómo el descubrimiento de ciertas conductas lleva a que éstas sean clasificadas y tratadas como “desviadas” por la sociedad. En el caso de José Bretón, al ser la sociedad consciente de la atrocidad del crimen, no tardó en ser etiquetado como “psicópata”. Si bien coincide con la indignación y horror que </w:t>
      </w:r>
      <w:r w:rsidR="002A5916">
        <w:rPr>
          <w:rFonts w:ascii="Times New Roman" w:hAnsi="Times New Roman" w:cs="Times New Roman"/>
          <w:lang w:val="es-ES_tradnl"/>
        </w:rPr>
        <w:t>sembró</w:t>
      </w:r>
      <w:r>
        <w:rPr>
          <w:rFonts w:ascii="Times New Roman" w:hAnsi="Times New Roman" w:cs="Times New Roman"/>
          <w:lang w:val="es-ES_tradnl"/>
        </w:rPr>
        <w:t xml:space="preserve"> el asesinato</w:t>
      </w:r>
      <w:r w:rsidR="002A5916">
        <w:rPr>
          <w:rFonts w:ascii="Times New Roman" w:hAnsi="Times New Roman" w:cs="Times New Roman"/>
          <w:lang w:val="es-ES_tradnl"/>
        </w:rPr>
        <w:t>, no es compatible con los análisis forenses y psicológicos reales llevados a cabo en la investigación. Esto implica que la sociedad es quien construye una identidad desviada acorde a sus prejuicios y percepciones, simplificando los fenómenos criminales y desviando el foco atencional de factores situacionales o estructurales que sí tienen valor analítico. Asimismo, e</w:t>
      </w:r>
      <w:r>
        <w:rPr>
          <w:rFonts w:ascii="Times New Roman" w:hAnsi="Times New Roman" w:cs="Times New Roman"/>
          <w:lang w:val="es-ES_tradnl"/>
        </w:rPr>
        <w:t>sta teoría pone en perspectiva cómo la identificación tardía de la violencia vicaria contribuye directamente a la minimización de violencia hacia menores, lo que deriva en una añadida dificultad de reconocimiento institucional.</w:t>
      </w:r>
    </w:p>
    <w:p w14:paraId="558DB0E0" w14:textId="77777777" w:rsidR="00D96962" w:rsidRDefault="00D96962" w:rsidP="00D96962">
      <w:pPr>
        <w:spacing w:line="360" w:lineRule="auto"/>
        <w:ind w:firstLine="720"/>
        <w:jc w:val="both"/>
        <w:rPr>
          <w:rFonts w:ascii="Times New Roman" w:hAnsi="Times New Roman" w:cs="Times New Roman"/>
          <w:lang w:val="es-ES_tradnl"/>
        </w:rPr>
      </w:pPr>
    </w:p>
    <w:p w14:paraId="116EEE1E" w14:textId="200C1725" w:rsidR="0071741C" w:rsidRPr="00030344" w:rsidRDefault="0076019C" w:rsidP="004B5647">
      <w:pPr>
        <w:pStyle w:val="Heading2"/>
        <w:numPr>
          <w:ilvl w:val="1"/>
          <w:numId w:val="17"/>
        </w:numPr>
        <w:ind w:left="567" w:hanging="425"/>
        <w:rPr>
          <w:rFonts w:ascii="Times New Roman" w:hAnsi="Times New Roman" w:cs="Times New Roman"/>
          <w:b/>
          <w:bCs/>
          <w:color w:val="000000" w:themeColor="text1"/>
          <w:sz w:val="24"/>
          <w:szCs w:val="24"/>
          <w:lang w:val="es-ES_tradnl"/>
        </w:rPr>
      </w:pPr>
      <w:bookmarkStart w:id="217" w:name="_Toc215252699"/>
      <w:bookmarkStart w:id="218" w:name="_Toc215253005"/>
      <w:bookmarkStart w:id="219" w:name="_Toc215253343"/>
      <w:bookmarkStart w:id="220" w:name="_Toc215253397"/>
      <w:bookmarkStart w:id="221" w:name="_Toc215255594"/>
      <w:bookmarkStart w:id="222" w:name="_Toc215256209"/>
      <w:bookmarkStart w:id="223" w:name="_Toc217838017"/>
      <w:bookmarkStart w:id="224" w:name="_Toc218416708"/>
      <w:bookmarkStart w:id="225" w:name="_Toc218422523"/>
      <w:bookmarkStart w:id="226" w:name="_Toc219919458"/>
      <w:bookmarkStart w:id="227" w:name="_Toc219919524"/>
      <w:bookmarkStart w:id="228" w:name="_Toc220260637"/>
      <w:bookmarkStart w:id="229" w:name="_Toc221125848"/>
      <w:bookmarkStart w:id="230" w:name="_Toc221212528"/>
      <w:r w:rsidRPr="002A7E10">
        <w:rPr>
          <w:rFonts w:ascii="Times New Roman" w:hAnsi="Times New Roman" w:cs="Times New Roman"/>
          <w:b/>
          <w:bCs/>
          <w:color w:val="000000" w:themeColor="text1"/>
          <w:sz w:val="24"/>
          <w:szCs w:val="24"/>
          <w:lang w:val="es-ES_tradnl"/>
        </w:rPr>
        <w:t>Contexto Social</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14:paraId="12C0B21F" w14:textId="6C1512DA" w:rsidR="004B5647" w:rsidRDefault="00030344" w:rsidP="0084263D">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Uno de los</w:t>
      </w:r>
      <w:r w:rsidR="005D034B">
        <w:rPr>
          <w:rFonts w:ascii="Times New Roman" w:hAnsi="Times New Roman" w:cs="Times New Roman"/>
          <w:lang w:val="es-ES_tradnl"/>
        </w:rPr>
        <w:t xml:space="preserve"> rol</w:t>
      </w:r>
      <w:r>
        <w:rPr>
          <w:rFonts w:ascii="Times New Roman" w:hAnsi="Times New Roman" w:cs="Times New Roman"/>
          <w:lang w:val="es-ES_tradnl"/>
        </w:rPr>
        <w:t>es más</w:t>
      </w:r>
      <w:r w:rsidR="005D034B">
        <w:rPr>
          <w:rFonts w:ascii="Times New Roman" w:hAnsi="Times New Roman" w:cs="Times New Roman"/>
          <w:lang w:val="es-ES_tradnl"/>
        </w:rPr>
        <w:t xml:space="preserve"> importante</w:t>
      </w:r>
      <w:r>
        <w:rPr>
          <w:rFonts w:ascii="Times New Roman" w:hAnsi="Times New Roman" w:cs="Times New Roman"/>
          <w:lang w:val="es-ES_tradnl"/>
        </w:rPr>
        <w:t>s</w:t>
      </w:r>
      <w:r w:rsidR="005D034B">
        <w:rPr>
          <w:rFonts w:ascii="Times New Roman" w:hAnsi="Times New Roman" w:cs="Times New Roman"/>
          <w:lang w:val="es-ES_tradnl"/>
        </w:rPr>
        <w:t xml:space="preserve"> </w:t>
      </w:r>
      <w:r>
        <w:rPr>
          <w:rFonts w:ascii="Times New Roman" w:hAnsi="Times New Roman" w:cs="Times New Roman"/>
          <w:lang w:val="es-ES_tradnl"/>
        </w:rPr>
        <w:t>en la</w:t>
      </w:r>
      <w:r w:rsidR="005D034B">
        <w:rPr>
          <w:rFonts w:ascii="Times New Roman" w:hAnsi="Times New Roman" w:cs="Times New Roman"/>
          <w:lang w:val="es-ES_tradnl"/>
        </w:rPr>
        <w:t xml:space="preserve"> sociedad con respecto a la contextualización </w:t>
      </w:r>
      <w:r w:rsidR="00216BCD">
        <w:rPr>
          <w:rFonts w:ascii="Times New Roman" w:hAnsi="Times New Roman" w:cs="Times New Roman"/>
          <w:lang w:val="es-ES_tradnl"/>
        </w:rPr>
        <w:t>de cualquier</w:t>
      </w:r>
      <w:r w:rsidR="005D034B">
        <w:rPr>
          <w:rFonts w:ascii="Times New Roman" w:hAnsi="Times New Roman" w:cs="Times New Roman"/>
          <w:lang w:val="es-ES_tradnl"/>
        </w:rPr>
        <w:t xml:space="preserve"> caso es el que le pertenece a los medios de comunicación. Éstos son los responsables de la construcción del concepto colectivo sobre las agresiones</w:t>
      </w:r>
      <w:r>
        <w:rPr>
          <w:rFonts w:ascii="Times New Roman" w:hAnsi="Times New Roman" w:cs="Times New Roman"/>
          <w:lang w:val="es-ES_tradnl"/>
        </w:rPr>
        <w:t xml:space="preserve"> y el agresor, pues la cobertura mediática del caso puede influir sobre la percepción pública significativamente</w:t>
      </w:r>
      <w:r w:rsidR="00F427BD">
        <w:rPr>
          <w:rFonts w:ascii="Times New Roman" w:hAnsi="Times New Roman" w:cs="Times New Roman"/>
          <w:lang w:val="es-ES_tradnl"/>
        </w:rPr>
        <w:t xml:space="preserve">. Arroyo (2023) remarca que un problema del tratamiento de los medios sobre </w:t>
      </w:r>
      <w:r w:rsidR="004B5647">
        <w:rPr>
          <w:rFonts w:ascii="Times New Roman" w:hAnsi="Times New Roman" w:cs="Times New Roman"/>
          <w:lang w:val="es-ES_tradnl"/>
        </w:rPr>
        <w:t>esta tipología de</w:t>
      </w:r>
      <w:r w:rsidR="00F427BD">
        <w:rPr>
          <w:rFonts w:ascii="Times New Roman" w:hAnsi="Times New Roman" w:cs="Times New Roman"/>
          <w:lang w:val="es-ES_tradnl"/>
        </w:rPr>
        <w:t xml:space="preserve"> casos es la tendencia a definirlos como excepcionales, sin conexión a lo que se puede entender como consecuencia de las dinámicas de género establecidas en la sociedad.</w:t>
      </w:r>
      <w:r w:rsidR="004B5647">
        <w:rPr>
          <w:rFonts w:ascii="Times New Roman" w:hAnsi="Times New Roman" w:cs="Times New Roman"/>
          <w:lang w:val="es-ES_tradnl"/>
        </w:rPr>
        <w:t xml:space="preserve"> La prensa puede reproducir y replicar estereotipos de género que refuercen</w:t>
      </w:r>
      <w:r w:rsidR="00275A08">
        <w:rPr>
          <w:rFonts w:ascii="Times New Roman" w:hAnsi="Times New Roman" w:cs="Times New Roman"/>
          <w:lang w:val="es-ES_tradnl"/>
        </w:rPr>
        <w:t xml:space="preserve"> </w:t>
      </w:r>
      <w:r w:rsidR="004B5647">
        <w:rPr>
          <w:rFonts w:ascii="Times New Roman" w:hAnsi="Times New Roman" w:cs="Times New Roman"/>
          <w:lang w:val="es-ES_tradnl"/>
        </w:rPr>
        <w:t xml:space="preserve">la victimización de la mujer junto con una percepción de ella como alguien vulnerable y </w:t>
      </w:r>
      <w:r w:rsidR="004B5647">
        <w:rPr>
          <w:rFonts w:ascii="Times New Roman" w:hAnsi="Times New Roman" w:cs="Times New Roman"/>
          <w:lang w:val="es-ES_tradnl"/>
        </w:rPr>
        <w:lastRenderedPageBreak/>
        <w:t xml:space="preserve">desamparada; mientras que el agresor se suele </w:t>
      </w:r>
      <w:r w:rsidR="00275A08">
        <w:rPr>
          <w:rFonts w:ascii="Times New Roman" w:hAnsi="Times New Roman" w:cs="Times New Roman"/>
          <w:lang w:val="es-ES_tradnl"/>
        </w:rPr>
        <w:t>describir</w:t>
      </w:r>
      <w:r w:rsidR="004B5647">
        <w:rPr>
          <w:rFonts w:ascii="Times New Roman" w:hAnsi="Times New Roman" w:cs="Times New Roman"/>
          <w:lang w:val="es-ES_tradnl"/>
        </w:rPr>
        <w:t xml:space="preserve"> como una persona fría y racional, sin sentimientos – todo ello con el fin de justificar su acción como exclusiva y no como parte de un problema </w:t>
      </w:r>
      <w:r w:rsidR="00275A08">
        <w:rPr>
          <w:rFonts w:ascii="Times New Roman" w:hAnsi="Times New Roman" w:cs="Times New Roman"/>
          <w:lang w:val="es-ES_tradnl"/>
        </w:rPr>
        <w:t>vigente</w:t>
      </w:r>
      <w:r w:rsidR="004B5647">
        <w:rPr>
          <w:rFonts w:ascii="Times New Roman" w:hAnsi="Times New Roman" w:cs="Times New Roman"/>
          <w:lang w:val="es-ES_tradnl"/>
        </w:rPr>
        <w:t>.</w:t>
      </w:r>
    </w:p>
    <w:p w14:paraId="2C276211" w14:textId="37F7E4E1" w:rsidR="006258D2" w:rsidRDefault="004B5647" w:rsidP="00713310">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En el caso de José Bretón</w:t>
      </w:r>
      <w:r w:rsidR="00275A08">
        <w:rPr>
          <w:rFonts w:ascii="Times New Roman" w:hAnsi="Times New Roman" w:cs="Times New Roman"/>
          <w:lang w:val="es-ES_tradnl"/>
        </w:rPr>
        <w:t xml:space="preserve">, </w:t>
      </w:r>
      <w:r w:rsidR="00713310">
        <w:rPr>
          <w:rFonts w:ascii="Times New Roman" w:hAnsi="Times New Roman" w:cs="Times New Roman"/>
          <w:lang w:val="es-ES_tradnl"/>
        </w:rPr>
        <w:t xml:space="preserve">inicialmente </w:t>
      </w:r>
      <w:r w:rsidR="00275A08">
        <w:rPr>
          <w:rFonts w:ascii="Times New Roman" w:hAnsi="Times New Roman" w:cs="Times New Roman"/>
          <w:lang w:val="es-ES_tradnl"/>
        </w:rPr>
        <w:t xml:space="preserve">fue plasmado en la prensa como un padre preocupado por sus hijos, pues es el papel que eligió representar. La investigación y su cobertura giró en torno a su relato; generando empatía en la sociedad. No obstante, esta visión causó confusión cuando se informó de la detención, pues no coincidía con la de un agresor frío, calculador y dispuesto a asesinar a sus hijos para dañar a su exmujer. Más tarde, al </w:t>
      </w:r>
      <w:r w:rsidR="00B4037F">
        <w:rPr>
          <w:rFonts w:ascii="Times New Roman" w:hAnsi="Times New Roman" w:cs="Times New Roman"/>
          <w:lang w:val="es-ES_tradnl"/>
        </w:rPr>
        <w:t xml:space="preserve">confirmarse la identificación de los menores a raíz de los restos óseos, </w:t>
      </w:r>
      <w:r w:rsidR="00275A08">
        <w:rPr>
          <w:rFonts w:ascii="Times New Roman" w:hAnsi="Times New Roman" w:cs="Times New Roman"/>
          <w:lang w:val="es-ES_tradnl"/>
        </w:rPr>
        <w:t xml:space="preserve">la narrativa se focalizó en los errores forenses y judiciales, de forma que se reforzó una lectura despolitizada e individualizada del caso, impidiendo la comprensión del mismo como </w:t>
      </w:r>
      <w:r w:rsidR="00713310">
        <w:rPr>
          <w:rFonts w:ascii="Times New Roman" w:hAnsi="Times New Roman" w:cs="Times New Roman"/>
          <w:lang w:val="es-ES_tradnl"/>
        </w:rPr>
        <w:t xml:space="preserve">una representación de </w:t>
      </w:r>
      <w:r w:rsidR="00275A08">
        <w:rPr>
          <w:rFonts w:ascii="Times New Roman" w:hAnsi="Times New Roman" w:cs="Times New Roman"/>
          <w:lang w:val="es-ES_tradnl"/>
        </w:rPr>
        <w:t>violencia de género</w:t>
      </w:r>
      <w:r w:rsidR="00713310">
        <w:rPr>
          <w:rFonts w:ascii="Times New Roman" w:hAnsi="Times New Roman" w:cs="Times New Roman"/>
          <w:lang w:val="es-ES_tradnl"/>
        </w:rPr>
        <w:t xml:space="preserve">. </w:t>
      </w:r>
    </w:p>
    <w:p w14:paraId="0BED4C2E" w14:textId="689F9B93" w:rsidR="00713310" w:rsidRDefault="00713310" w:rsidP="00963F2A">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Años más tarde, el autor Luisgé Martín trató de publicar un libro centrado en el trazo del perfil de Bretón. Sin embargo, </w:t>
      </w:r>
      <w:r w:rsidR="006258D2">
        <w:rPr>
          <w:rFonts w:ascii="Times New Roman" w:hAnsi="Times New Roman" w:cs="Times New Roman"/>
          <w:lang w:val="es-ES_tradnl"/>
        </w:rPr>
        <w:t>hubo una ola de</w:t>
      </w:r>
      <w:r>
        <w:rPr>
          <w:rFonts w:ascii="Times New Roman" w:hAnsi="Times New Roman" w:cs="Times New Roman"/>
          <w:lang w:val="es-ES_tradnl"/>
        </w:rPr>
        <w:t xml:space="preserve"> </w:t>
      </w:r>
      <w:r w:rsidR="006258D2">
        <w:rPr>
          <w:rFonts w:ascii="Times New Roman" w:hAnsi="Times New Roman" w:cs="Times New Roman"/>
          <w:lang w:val="es-ES_tradnl"/>
        </w:rPr>
        <w:t>rechazo hacia</w:t>
      </w:r>
      <w:r>
        <w:rPr>
          <w:rFonts w:ascii="Times New Roman" w:hAnsi="Times New Roman" w:cs="Times New Roman"/>
          <w:lang w:val="es-ES_tradnl"/>
        </w:rPr>
        <w:t xml:space="preserve"> la difusión de contenidos sobre él, </w:t>
      </w:r>
      <w:r w:rsidR="006258D2">
        <w:rPr>
          <w:rFonts w:ascii="Times New Roman" w:hAnsi="Times New Roman" w:cs="Times New Roman"/>
          <w:lang w:val="es-ES_tradnl"/>
        </w:rPr>
        <w:t>remarcando</w:t>
      </w:r>
      <w:r>
        <w:rPr>
          <w:rFonts w:ascii="Times New Roman" w:hAnsi="Times New Roman" w:cs="Times New Roman"/>
          <w:lang w:val="es-ES_tradnl"/>
        </w:rPr>
        <w:t xml:space="preserve"> el daño que supondría hacia la familia Ortiz y sensibilizándose ante el peligro de situar al agresor como protagonista del crimen. Esto supone una evolución en la concienciación social, </w:t>
      </w:r>
      <w:r w:rsidR="006258D2">
        <w:rPr>
          <w:rFonts w:ascii="Times New Roman" w:hAnsi="Times New Roman" w:cs="Times New Roman"/>
          <w:lang w:val="es-ES_tradnl"/>
        </w:rPr>
        <w:t>la cual ya sitúa el foco principal en la recuperación de las víctimas.</w:t>
      </w:r>
    </w:p>
    <w:p w14:paraId="1820B175" w14:textId="0EF35764" w:rsidR="00713310" w:rsidRPr="00963F2A" w:rsidRDefault="003E0D86" w:rsidP="00963F2A">
      <w:pPr>
        <w:pStyle w:val="Heading1"/>
        <w:numPr>
          <w:ilvl w:val="0"/>
          <w:numId w:val="17"/>
        </w:numPr>
        <w:jc w:val="both"/>
        <w:rPr>
          <w:rFonts w:ascii="Times New Roman" w:hAnsi="Times New Roman" w:cs="Times New Roman"/>
          <w:b/>
          <w:bCs/>
          <w:color w:val="000000" w:themeColor="text1"/>
          <w:sz w:val="24"/>
          <w:szCs w:val="24"/>
          <w:lang w:val="es-ES_tradnl"/>
        </w:rPr>
      </w:pPr>
      <w:bookmarkStart w:id="231" w:name="_Toc215252701"/>
      <w:bookmarkStart w:id="232" w:name="_Toc215253007"/>
      <w:bookmarkStart w:id="233" w:name="_Toc215253354"/>
      <w:bookmarkStart w:id="234" w:name="_Toc215253408"/>
      <w:bookmarkStart w:id="235" w:name="_Toc215255600"/>
      <w:bookmarkStart w:id="236" w:name="_Toc215256215"/>
      <w:bookmarkStart w:id="237" w:name="_Toc217838023"/>
      <w:bookmarkStart w:id="238" w:name="_Toc218416712"/>
      <w:bookmarkStart w:id="239" w:name="_Toc218422524"/>
      <w:bookmarkStart w:id="240" w:name="_Toc219919459"/>
      <w:bookmarkStart w:id="241" w:name="_Toc219919525"/>
      <w:bookmarkStart w:id="242" w:name="_Toc220260638"/>
      <w:bookmarkStart w:id="243" w:name="_Toc221125849"/>
      <w:bookmarkStart w:id="244" w:name="_Toc221212529"/>
      <w:r w:rsidRPr="002A7E10">
        <w:rPr>
          <w:rFonts w:ascii="Times New Roman" w:hAnsi="Times New Roman" w:cs="Times New Roman"/>
          <w:b/>
          <w:bCs/>
          <w:color w:val="000000" w:themeColor="text1"/>
          <w:sz w:val="24"/>
          <w:szCs w:val="24"/>
          <w:lang w:val="es-ES_tradnl"/>
        </w:rPr>
        <w:t>Estrategias de prevención y actuación ante la violencia vicaria</w:t>
      </w:r>
      <w:bookmarkStart w:id="245" w:name="_Toc215253355"/>
      <w:bookmarkStart w:id="246" w:name="_Toc215253409"/>
      <w:bookmarkStart w:id="247" w:name="_Toc215255601"/>
      <w:bookmarkStart w:id="248" w:name="_Toc215256216"/>
      <w:bookmarkStart w:id="249" w:name="_Toc217838024"/>
      <w:bookmarkStart w:id="250" w:name="_Toc218416713"/>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785AB4A7" w14:textId="36D1B5B0" w:rsidR="00D52A7A" w:rsidRDefault="00D52A7A" w:rsidP="00D52A7A">
      <w:pPr>
        <w:spacing w:line="360" w:lineRule="auto"/>
        <w:ind w:firstLine="720"/>
        <w:jc w:val="both"/>
        <w:rPr>
          <w:rFonts w:ascii="Times New Roman" w:hAnsi="Times New Roman" w:cs="Times New Roman"/>
          <w:lang w:val="es-ES_tradnl"/>
        </w:rPr>
      </w:pPr>
      <w:r w:rsidRPr="00D52A7A">
        <w:rPr>
          <w:rFonts w:ascii="Times New Roman" w:hAnsi="Times New Roman" w:cs="Times New Roman"/>
          <w:lang w:val="es-ES_tradnl"/>
        </w:rPr>
        <w:t>En España, el discurso social relacionado con la violencia vicaria ha resaltado las restricciones del sistema de protección institucional hacia menores y mujeres. Notablemente, el reconocimiento del menor como víctima de violencia de género ha supuesto una transformación en el mundo jurídico</w:t>
      </w:r>
      <w:r>
        <w:rPr>
          <w:rFonts w:ascii="Times New Roman" w:hAnsi="Times New Roman" w:cs="Times New Roman"/>
          <w:lang w:val="es-ES_tradnl"/>
        </w:rPr>
        <w:t>.</w:t>
      </w:r>
    </w:p>
    <w:p w14:paraId="49EDA166" w14:textId="20C28D95" w:rsidR="00713310" w:rsidRDefault="00963F2A" w:rsidP="00963F2A">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La </w:t>
      </w:r>
      <w:r w:rsidR="005700FE" w:rsidRPr="009132A2">
        <w:rPr>
          <w:rFonts w:ascii="Times New Roman" w:hAnsi="Times New Roman" w:cs="Times New Roman"/>
          <w:lang w:val="es-ES_tradnl"/>
        </w:rPr>
        <w:t>solución a la</w:t>
      </w:r>
      <w:r w:rsidR="005700FE" w:rsidRPr="005700FE">
        <w:rPr>
          <w:rFonts w:ascii="Times New Roman" w:hAnsi="Times New Roman" w:cs="Times New Roman"/>
          <w:color w:val="EE0000"/>
          <w:lang w:val="es-ES_tradnl"/>
        </w:rPr>
        <w:t xml:space="preserve"> </w:t>
      </w:r>
      <w:r>
        <w:rPr>
          <w:rFonts w:ascii="Times New Roman" w:hAnsi="Times New Roman" w:cs="Times New Roman"/>
          <w:lang w:val="es-ES_tradnl"/>
        </w:rPr>
        <w:t xml:space="preserve">violencia vicaria no se puede abordar tan sólo desde la perspectiva penal o punitiva, sino que necesita estrategias </w:t>
      </w:r>
      <w:r w:rsidR="005700FE">
        <w:rPr>
          <w:rFonts w:ascii="Times New Roman" w:hAnsi="Times New Roman" w:cs="Times New Roman"/>
          <w:lang w:val="es-ES_tradnl"/>
        </w:rPr>
        <w:t xml:space="preserve">multidisciplinares que incidan en la estructura social que la facilita. </w:t>
      </w:r>
      <w:r w:rsidR="00FA7E69">
        <w:rPr>
          <w:rFonts w:ascii="Times New Roman" w:hAnsi="Times New Roman" w:cs="Times New Roman"/>
          <w:lang w:val="es-ES_tradnl"/>
        </w:rPr>
        <w:t>Previamente se ha destacado la estructura patriarcal a la que se adhiere la sociedad española</w:t>
      </w:r>
      <w:r w:rsidR="00D52A7A">
        <w:rPr>
          <w:rFonts w:ascii="Times New Roman" w:hAnsi="Times New Roman" w:cs="Times New Roman"/>
          <w:lang w:val="es-ES_tradnl"/>
        </w:rPr>
        <w:t xml:space="preserve"> e investigaciones en el ámbito de la educación para lograr una igualdad entre géneros señalan la prevalencia de estos modelos de masculinidad, que legitiman estas conductas violentas (Connell y Messerschmidt, 2005).</w:t>
      </w:r>
      <w:r w:rsidR="00D52A7A" w:rsidRPr="00D52A7A">
        <w:rPr>
          <w:rFonts w:ascii="Times New Roman" w:hAnsi="Times New Roman" w:cs="Times New Roman"/>
          <w:lang w:val="es-ES_tradnl"/>
        </w:rPr>
        <w:t xml:space="preserve"> </w:t>
      </w:r>
      <w:r w:rsidR="00D52A7A">
        <w:rPr>
          <w:rFonts w:ascii="Times New Roman" w:hAnsi="Times New Roman" w:cs="Times New Roman"/>
          <w:lang w:val="es-ES_tradnl"/>
        </w:rPr>
        <w:t>De forma que, para lograr conciencia sobre la violencia vicaria o de género, resulta fundamental que haya una educación temprana sobre igualdad de géneros y la deconstrucción de la masculinidad hegemónica como la predeterminada.</w:t>
      </w:r>
    </w:p>
    <w:p w14:paraId="137942B0" w14:textId="4BB8EF58" w:rsidR="00FA7E69" w:rsidRDefault="009132A2" w:rsidP="009132A2">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lastRenderedPageBreak/>
        <w:t>Educar en la infancia y adolescencia se podría considerar prevención primaria, pues evita la aparición de trastornos mentales asociados a la violencia vicaria y reduce los factores de riesgo. La implementación de programas educativos podría resultar en la promoción del respeto entre parejas futuras</w:t>
      </w:r>
      <w:r w:rsidR="00D52A7A">
        <w:rPr>
          <w:rFonts w:ascii="Times New Roman" w:hAnsi="Times New Roman" w:cs="Times New Roman"/>
          <w:lang w:val="es-ES_tradnl"/>
        </w:rPr>
        <w:t>, y en una mejora a la hora de identificar abuso (Flood, 2019)</w:t>
      </w:r>
      <w:r>
        <w:rPr>
          <w:rFonts w:ascii="Times New Roman" w:hAnsi="Times New Roman" w:cs="Times New Roman"/>
          <w:lang w:val="es-ES_tradnl"/>
        </w:rPr>
        <w:t xml:space="preserve">. </w:t>
      </w:r>
      <w:r w:rsidR="00FA7E69">
        <w:rPr>
          <w:rFonts w:ascii="Times New Roman" w:hAnsi="Times New Roman" w:cs="Times New Roman"/>
          <w:lang w:val="es-ES_tradnl"/>
        </w:rPr>
        <w:t>Estudios como el de Katz et ál. (2020), evidencian que la exposición a dinámicas de violencia de género durante la infancia aumenta la probabilidad de ser víctima en un futuro y de replicar los patrones violentos, de forma que la intervención preventiva</w:t>
      </w:r>
      <w:r>
        <w:rPr>
          <w:rFonts w:ascii="Times New Roman" w:hAnsi="Times New Roman" w:cs="Times New Roman"/>
          <w:lang w:val="es-ES_tradnl"/>
        </w:rPr>
        <w:t xml:space="preserve">, además, </w:t>
      </w:r>
      <w:r w:rsidR="00FA7E69">
        <w:rPr>
          <w:rFonts w:ascii="Times New Roman" w:hAnsi="Times New Roman" w:cs="Times New Roman"/>
          <w:lang w:val="es-ES_tradnl"/>
        </w:rPr>
        <w:t>actúa como factor de protección.</w:t>
      </w:r>
    </w:p>
    <w:p w14:paraId="0D5CC5B8" w14:textId="5788C422" w:rsidR="009132A2" w:rsidRDefault="009132A2" w:rsidP="009132A2">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Complementariamente, la prevención secundaria hace referencia a la detección </w:t>
      </w:r>
      <w:r w:rsidR="00D52A7A">
        <w:rPr>
          <w:rFonts w:ascii="Times New Roman" w:hAnsi="Times New Roman" w:cs="Times New Roman"/>
          <w:lang w:val="es-ES_tradnl"/>
        </w:rPr>
        <w:t xml:space="preserve">precoz </w:t>
      </w:r>
      <w:r>
        <w:rPr>
          <w:rFonts w:ascii="Times New Roman" w:hAnsi="Times New Roman" w:cs="Times New Roman"/>
          <w:lang w:val="es-ES_tradnl"/>
        </w:rPr>
        <w:t>del problema ya existente y a la disminución de los efectos que pueda tener. Por este motivo, poder educar a los profesionales que trabajen junto a menores o mujeres posiblemente maltratadas sobre cómo detectar indicadores de riesgo supone una visibilización del problema e impide la cronificación. Algunos de los indicadores mencionados podrían ser las conductas de control y manipulación del vínculo con hijos. El cambio social requiere también el reconocimiento de la violencia vicaria como violencia de género, pues la minimización de la problemática social tan sólo dificulta la adopción de medidas eficaces</w:t>
      </w:r>
      <w:r w:rsidR="009B1C55">
        <w:rPr>
          <w:rFonts w:ascii="Times New Roman" w:hAnsi="Times New Roman" w:cs="Times New Roman"/>
          <w:lang w:val="es-ES_tradnl"/>
        </w:rPr>
        <w:t xml:space="preserve"> (European Institute for Gender Equality, 2025).</w:t>
      </w:r>
    </w:p>
    <w:p w14:paraId="0B3A6FD6" w14:textId="342E55F5" w:rsidR="00BC6002" w:rsidRDefault="009B1C55" w:rsidP="00BC6002">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El foco principal de la actuación institucional siempre debe permanecer en la protección y recuperación de las víctimas, donde prevalecerá el interés del menor (Ley Orgánica 8/2021). Así pues, es necesario integrar la violencia vicaria como un factor a tener en cuenta a la hora de imponer la guarda y custodia de menores</w:t>
      </w:r>
      <w:r w:rsidR="009819B3">
        <w:rPr>
          <w:rFonts w:ascii="Times New Roman" w:hAnsi="Times New Roman" w:cs="Times New Roman"/>
          <w:lang w:val="es-ES_tradnl"/>
        </w:rPr>
        <w:t>, de manera que no se fuerce el contacto entre un potencial agresor y su hijo. Asimismo, resulta imprescindible el desarrollo de un protocolo que convierta evaluaciones interdisciplinares para valorar la idoneidad del contacto, en obligatorias. Para que estos cursos de acción sean efectivos casi en su totalidad, se deberán coordinar los distintos sistemas judiciales y de protección del menor para reducir la exposición a la violencia de género</w:t>
      </w:r>
      <w:r w:rsidR="00D52A7A">
        <w:rPr>
          <w:rFonts w:ascii="Times New Roman" w:hAnsi="Times New Roman" w:cs="Times New Roman"/>
          <w:lang w:val="es-ES_tradnl"/>
        </w:rPr>
        <w:t xml:space="preserve"> o intentar reparar el daño provocado. Esto quedaría vinculado a la prevención terciaria, donde el objetivo es disminuir el efecto de las consecuencias. </w:t>
      </w:r>
      <w:r w:rsidR="00D67B0A">
        <w:rPr>
          <w:rFonts w:ascii="Times New Roman" w:hAnsi="Times New Roman" w:cs="Times New Roman"/>
          <w:lang w:val="es-ES_tradnl"/>
        </w:rPr>
        <w:t xml:space="preserve">En conclusión, </w:t>
      </w:r>
      <w:r w:rsidR="00D52A7A">
        <w:rPr>
          <w:rFonts w:ascii="Times New Roman" w:hAnsi="Times New Roman" w:cs="Times New Roman"/>
          <w:lang w:val="es-ES_tradnl"/>
        </w:rPr>
        <w:t>una atención psicológica y especializada se podría convertir en una necesidad para las víctimas, aunque dependería de la correcta aplicación de los protocolos preventivos.</w:t>
      </w:r>
      <w:bookmarkEnd w:id="245"/>
      <w:bookmarkEnd w:id="246"/>
      <w:bookmarkEnd w:id="247"/>
      <w:bookmarkEnd w:id="248"/>
      <w:bookmarkEnd w:id="249"/>
      <w:bookmarkEnd w:id="250"/>
    </w:p>
    <w:p w14:paraId="7045B66A" w14:textId="77777777" w:rsidR="00BC6002" w:rsidRPr="00D52A7A" w:rsidRDefault="00BC6002" w:rsidP="00BC6002">
      <w:pPr>
        <w:spacing w:line="360" w:lineRule="auto"/>
        <w:ind w:firstLine="720"/>
        <w:jc w:val="both"/>
        <w:rPr>
          <w:rFonts w:ascii="Times New Roman" w:hAnsi="Times New Roman" w:cs="Times New Roman"/>
          <w:lang w:val="es-ES_tradnl"/>
        </w:rPr>
      </w:pPr>
    </w:p>
    <w:p w14:paraId="7350A656" w14:textId="646125FE" w:rsidR="00793FEF" w:rsidRDefault="00793FEF" w:rsidP="00A55BC5">
      <w:pPr>
        <w:pStyle w:val="Heading1"/>
        <w:numPr>
          <w:ilvl w:val="0"/>
          <w:numId w:val="17"/>
        </w:numPr>
        <w:jc w:val="both"/>
        <w:rPr>
          <w:rFonts w:ascii="Times New Roman" w:hAnsi="Times New Roman" w:cs="Times New Roman"/>
          <w:b/>
          <w:bCs/>
          <w:color w:val="000000" w:themeColor="text1"/>
          <w:sz w:val="24"/>
          <w:szCs w:val="24"/>
          <w:lang w:val="es-ES_tradnl"/>
        </w:rPr>
      </w:pPr>
      <w:bookmarkStart w:id="251" w:name="_Toc215256220"/>
      <w:bookmarkStart w:id="252" w:name="_Toc217838028"/>
      <w:bookmarkStart w:id="253" w:name="_Toc218416716"/>
      <w:bookmarkStart w:id="254" w:name="_Toc218422525"/>
      <w:bookmarkStart w:id="255" w:name="_Toc219919460"/>
      <w:bookmarkStart w:id="256" w:name="_Toc219919526"/>
      <w:bookmarkStart w:id="257" w:name="_Toc220260639"/>
      <w:bookmarkStart w:id="258" w:name="_Toc221125850"/>
      <w:bookmarkStart w:id="259" w:name="_Toc215252702"/>
      <w:bookmarkStart w:id="260" w:name="_Toc215253008"/>
      <w:bookmarkStart w:id="261" w:name="_Toc215253360"/>
      <w:bookmarkStart w:id="262" w:name="_Toc215253414"/>
      <w:bookmarkStart w:id="263" w:name="_Toc215255606"/>
      <w:bookmarkStart w:id="264" w:name="_Toc221212530"/>
      <w:r>
        <w:rPr>
          <w:rFonts w:ascii="Times New Roman" w:hAnsi="Times New Roman" w:cs="Times New Roman"/>
          <w:b/>
          <w:bCs/>
          <w:color w:val="000000" w:themeColor="text1"/>
          <w:sz w:val="24"/>
          <w:szCs w:val="24"/>
          <w:lang w:val="es-ES_tradnl"/>
        </w:rPr>
        <w:lastRenderedPageBreak/>
        <w:t>Conclusión</w:t>
      </w:r>
      <w:bookmarkEnd w:id="251"/>
      <w:bookmarkEnd w:id="252"/>
      <w:bookmarkEnd w:id="253"/>
      <w:bookmarkEnd w:id="254"/>
      <w:bookmarkEnd w:id="255"/>
      <w:bookmarkEnd w:id="256"/>
      <w:bookmarkEnd w:id="257"/>
      <w:bookmarkEnd w:id="258"/>
      <w:bookmarkEnd w:id="264"/>
    </w:p>
    <w:p w14:paraId="4A90DB3E" w14:textId="35F53C6B" w:rsidR="00164550" w:rsidRPr="003E6968" w:rsidRDefault="001253E6" w:rsidP="007F38F4">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A lo largo del presente trabajo </w:t>
      </w:r>
      <w:r w:rsidRPr="007F38F4">
        <w:rPr>
          <w:rFonts w:ascii="Times New Roman" w:hAnsi="Times New Roman" w:cs="Times New Roman"/>
          <w:lang w:val="es-ES_tradnl"/>
        </w:rPr>
        <w:t xml:space="preserve">se </w:t>
      </w:r>
      <w:r w:rsidR="007F38F4">
        <w:rPr>
          <w:rFonts w:ascii="Times New Roman" w:hAnsi="Times New Roman" w:cs="Times New Roman"/>
          <w:lang w:val="es-ES_tradnl"/>
        </w:rPr>
        <w:t>han cumplido</w:t>
      </w:r>
      <w:r w:rsidRPr="007F38F4">
        <w:rPr>
          <w:rFonts w:ascii="Times New Roman" w:hAnsi="Times New Roman" w:cs="Times New Roman"/>
          <w:lang w:val="es-ES_tradnl"/>
        </w:rPr>
        <w:t xml:space="preserve"> los</w:t>
      </w:r>
      <w:r>
        <w:rPr>
          <w:rFonts w:ascii="Times New Roman" w:hAnsi="Times New Roman" w:cs="Times New Roman"/>
          <w:lang w:val="es-ES_tradnl"/>
        </w:rPr>
        <w:t xml:space="preserve"> objetivos propuestos, integrando las diferentes teorías de la criminalidad y realizando un análisis empírico de los conceptos asociados a la violencia vicaria y de género.</w:t>
      </w:r>
    </w:p>
    <w:p w14:paraId="0B601F62" w14:textId="13FE89B2" w:rsidR="001253E6" w:rsidRDefault="001253E6"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Principalmente, la revisión bibliográfica ha ayudado a identificar los factores de riesgo asociados a la violencia vicaria, los cuales han reflejado un patrón recurrente de comportamiento entre parejas que, con los protocolos de protección, permiten una detección de la situación más precoz.</w:t>
      </w:r>
    </w:p>
    <w:p w14:paraId="26FD9F30" w14:textId="77777777" w:rsidR="001253E6" w:rsidRDefault="001253E6"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En segundo lugar, el análisis del caso de José Bretón ha permitido aplicar las teorías de la criminalidad expuestas, demostrando su uso para explicar la conducta a lo largo de la planificación y ejecución de un delito. Esta investigación evidencia que la violencia vicaria es el resultado final de una combinación de decisiones orientadas a ejercer el mayor daño posible a la víctima principal, siendo en este caso la mujer del agresor.</w:t>
      </w:r>
    </w:p>
    <w:p w14:paraId="56E13140" w14:textId="1FD392A8" w:rsidR="001253E6" w:rsidRDefault="001253E6"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A continuación, la exploración del perfil psico-criminológico del agresor subraya la relevancia de la detección de dinámicas conductuales y rasgos de personalidad. En este caso, al no detectarse trastornos mentales graves en </w:t>
      </w:r>
      <w:r w:rsidR="00945CAD">
        <w:rPr>
          <w:rFonts w:ascii="Times New Roman" w:hAnsi="Times New Roman" w:cs="Times New Roman"/>
          <w:lang w:val="es-ES_tradnl"/>
        </w:rPr>
        <w:t>él, se puede afirmar que no sólo es importante considerar la patología como origen del problema, sino que resulta imprescindible comprender la dinámica social desde la cual el agresor interactúa con otros.</w:t>
      </w:r>
    </w:p>
    <w:p w14:paraId="34AE530A" w14:textId="7F4CDDEF" w:rsidR="00945CAD" w:rsidRDefault="00945CAD" w:rsidP="003E696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Por último, determinar la respuesta institucional ante la violencia vicaria ha remarcado avances judiciales, como el reconocimiento del menor como víctima directa de la agresión. No obstante, se han encontrado limitaciones en la efectividad de la protección actualmente ejercida, de forma que se requieren protocolos más rigurosos para conseguir un nivel de concienciación más avanzado en la sociedad.</w:t>
      </w:r>
    </w:p>
    <w:p w14:paraId="3E887244" w14:textId="0A3151DA" w:rsidR="00583714" w:rsidRPr="00F53460" w:rsidRDefault="00D67B0A" w:rsidP="00F53460">
      <w:pPr>
        <w:spacing w:line="360" w:lineRule="auto"/>
        <w:ind w:firstLine="720"/>
        <w:jc w:val="both"/>
        <w:rPr>
          <w:rFonts w:ascii="Times New Roman" w:hAnsi="Times New Roman" w:cs="Times New Roman"/>
          <w:b/>
          <w:bCs/>
          <w:highlight w:val="cyan"/>
        </w:rPr>
      </w:pPr>
      <w:r>
        <w:rPr>
          <w:rFonts w:ascii="Times New Roman" w:hAnsi="Times New Roman" w:cs="Times New Roman"/>
          <w:lang w:val="es-ES_tradnl"/>
        </w:rPr>
        <w:t xml:space="preserve">En definitiva, el abordaje desde una visión criminológica pone de manifiesto la necesidad de dirigir el enfoque principal a la víctima en lugar de al agresor, comprendiendo la violencia vicaria como un fenómeno socioestructural vinculado a roles de género y oportunidades situacionales. Mediante una intervención que integre las necesidades de las víctimas e incluya una educación temprana, se comienza a contemplar </w:t>
      </w:r>
      <w:r w:rsidR="007F38F4" w:rsidRPr="007F38F4">
        <w:rPr>
          <w:rFonts w:ascii="Times New Roman" w:hAnsi="Times New Roman" w:cs="Times New Roman"/>
          <w:lang w:val="es-ES_tradnl"/>
        </w:rPr>
        <w:t>la erradicación de la violencia mediante el fortalecimiento de la prevención primaria y la</w:t>
      </w:r>
      <w:r w:rsidR="007F38F4">
        <w:rPr>
          <w:rFonts w:ascii="Times New Roman" w:hAnsi="Times New Roman" w:cs="Times New Roman"/>
          <w:lang w:val="es-ES_tradnl"/>
        </w:rPr>
        <w:t xml:space="preserve"> evaluación del riesgo.</w:t>
      </w:r>
      <w:r w:rsidR="00F53460" w:rsidRPr="00F53460">
        <w:rPr>
          <w:rFonts w:ascii="Times New Roman" w:hAnsi="Times New Roman" w:cs="Times New Roman"/>
          <w:b/>
          <w:bCs/>
          <w:highlight w:val="cyan"/>
        </w:rPr>
        <w:t xml:space="preserve"> </w:t>
      </w:r>
    </w:p>
    <w:p w14:paraId="63C24C94" w14:textId="390ECD12" w:rsidR="006509A7" w:rsidRPr="002A7E10" w:rsidRDefault="006509A7" w:rsidP="0076019C">
      <w:pPr>
        <w:pStyle w:val="Heading1"/>
        <w:numPr>
          <w:ilvl w:val="0"/>
          <w:numId w:val="17"/>
        </w:numPr>
        <w:jc w:val="both"/>
        <w:rPr>
          <w:rFonts w:ascii="Times New Roman" w:hAnsi="Times New Roman" w:cs="Times New Roman"/>
          <w:b/>
          <w:bCs/>
          <w:color w:val="000000" w:themeColor="text1"/>
          <w:sz w:val="24"/>
          <w:szCs w:val="24"/>
          <w:lang w:val="es-ES_tradnl"/>
        </w:rPr>
      </w:pPr>
      <w:bookmarkStart w:id="265" w:name="_Toc215256221"/>
      <w:bookmarkStart w:id="266" w:name="_Toc217838029"/>
      <w:bookmarkStart w:id="267" w:name="_Toc218416717"/>
      <w:bookmarkStart w:id="268" w:name="_Toc218422526"/>
      <w:bookmarkStart w:id="269" w:name="_Toc219919461"/>
      <w:bookmarkStart w:id="270" w:name="_Toc219919527"/>
      <w:bookmarkStart w:id="271" w:name="_Toc220260640"/>
      <w:bookmarkStart w:id="272" w:name="_Toc221125851"/>
      <w:bookmarkStart w:id="273" w:name="_Toc221212531"/>
      <w:r w:rsidRPr="002A7E10">
        <w:rPr>
          <w:rFonts w:ascii="Times New Roman" w:hAnsi="Times New Roman" w:cs="Times New Roman"/>
          <w:b/>
          <w:bCs/>
          <w:color w:val="000000" w:themeColor="text1"/>
          <w:sz w:val="24"/>
          <w:szCs w:val="24"/>
          <w:lang w:val="es-ES_tradnl"/>
        </w:rPr>
        <w:lastRenderedPageBreak/>
        <w:t>Bibliografía</w:t>
      </w:r>
      <w:bookmarkEnd w:id="259"/>
      <w:bookmarkEnd w:id="260"/>
      <w:bookmarkEnd w:id="261"/>
      <w:bookmarkEnd w:id="262"/>
      <w:bookmarkEnd w:id="263"/>
      <w:bookmarkEnd w:id="265"/>
      <w:bookmarkEnd w:id="266"/>
      <w:bookmarkEnd w:id="267"/>
      <w:bookmarkEnd w:id="268"/>
      <w:bookmarkEnd w:id="269"/>
      <w:bookmarkEnd w:id="270"/>
      <w:bookmarkEnd w:id="271"/>
      <w:bookmarkEnd w:id="272"/>
      <w:bookmarkEnd w:id="273"/>
    </w:p>
    <w:p w14:paraId="43D2787B" w14:textId="7076F3D1" w:rsidR="004218ED" w:rsidRDefault="000940C9" w:rsidP="000B7958">
      <w:pPr>
        <w:spacing w:line="360" w:lineRule="auto"/>
        <w:ind w:firstLine="720"/>
        <w:jc w:val="both"/>
        <w:rPr>
          <w:rFonts w:ascii="Times New Roman" w:hAnsi="Times New Roman" w:cs="Times New Roman"/>
        </w:rPr>
      </w:pPr>
      <w:r w:rsidRPr="000940C9">
        <w:rPr>
          <w:rFonts w:ascii="Times New Roman" w:hAnsi="Times New Roman" w:cs="Times New Roman"/>
        </w:rPr>
        <w:t xml:space="preserve">Abreu, C. (2018). Análisis estructuralista de la teoría del etiquetamiento. </w:t>
      </w:r>
      <w:r w:rsidR="00654E96" w:rsidRPr="00A06946">
        <w:rPr>
          <w:rFonts w:ascii="Times New Roman" w:hAnsi="Times New Roman" w:cs="Times New Roman"/>
          <w:i/>
          <w:iCs/>
        </w:rPr>
        <w:t>Diánoia,</w:t>
      </w:r>
      <w:r w:rsidR="00654E96">
        <w:rPr>
          <w:rFonts w:ascii="Times New Roman" w:hAnsi="Times New Roman" w:cs="Times New Roman"/>
        </w:rPr>
        <w:t xml:space="preserve"> 64(82), 31-59. </w:t>
      </w:r>
      <w:hyperlink r:id="rId9" w:history="1">
        <w:r w:rsidR="00654E96" w:rsidRPr="009A5E9A">
          <w:rPr>
            <w:rStyle w:val="Hyperlink"/>
            <w:rFonts w:ascii="Times New Roman" w:hAnsi="Times New Roman" w:cs="Times New Roman"/>
          </w:rPr>
          <w:t>https://www.redalyc.org/jatsRepo/584/58463392002/58463392002.pdf</w:t>
        </w:r>
      </w:hyperlink>
      <w:r w:rsidR="00654E96">
        <w:rPr>
          <w:rFonts w:ascii="Times New Roman" w:hAnsi="Times New Roman" w:cs="Times New Roman"/>
        </w:rPr>
        <w:t xml:space="preserve"> </w:t>
      </w:r>
    </w:p>
    <w:p w14:paraId="52FD60B1" w14:textId="1E7485F3" w:rsidR="003863EE" w:rsidRPr="003863EE" w:rsidRDefault="003863EE" w:rsidP="000B7958">
      <w:pPr>
        <w:spacing w:line="360" w:lineRule="auto"/>
        <w:ind w:firstLine="720"/>
        <w:jc w:val="both"/>
        <w:rPr>
          <w:rFonts w:ascii="Times New Roman" w:hAnsi="Times New Roman" w:cs="Times New Roman"/>
        </w:rPr>
      </w:pPr>
      <w:r w:rsidRPr="000427C2">
        <w:rPr>
          <w:rFonts w:ascii="Times New Roman" w:hAnsi="Times New Roman" w:cs="Times New Roman"/>
        </w:rPr>
        <w:t xml:space="preserve">Alpiste, A. (2014). </w:t>
      </w:r>
      <w:r w:rsidRPr="003863EE">
        <w:rPr>
          <w:rFonts w:ascii="Times New Roman" w:hAnsi="Times New Roman" w:cs="Times New Roman"/>
        </w:rPr>
        <w:t xml:space="preserve">El psicópata subclínico: sus manifestaciones y comportamiento. </w:t>
      </w:r>
      <w:r w:rsidRPr="00A06946">
        <w:rPr>
          <w:rFonts w:ascii="Times New Roman" w:hAnsi="Times New Roman" w:cs="Times New Roman"/>
          <w:i/>
          <w:iCs/>
        </w:rPr>
        <w:t>Derecho y Cambio Social</w:t>
      </w:r>
      <w:r>
        <w:rPr>
          <w:rFonts w:ascii="Times New Roman" w:hAnsi="Times New Roman" w:cs="Times New Roman"/>
        </w:rPr>
        <w:t xml:space="preserve">. </w:t>
      </w:r>
      <w:hyperlink r:id="rId10" w:history="1">
        <w:r>
          <w:rPr>
            <w:rStyle w:val="Hyperlink"/>
            <w:rFonts w:ascii="Times New Roman" w:hAnsi="Times New Roman" w:cs="Times New Roman"/>
          </w:rPr>
          <w:t>https://dialnet.unirioja.es/descarga/articulo/4750872.pdf&amp;ved=2ahUKEwiR9ojWyu2RAxV3NvsDHSOzDMkQFnoECFAQAQ&amp;usg=AOvVaw1uB_5lZxxGmfFJiYfOziz4</w:t>
        </w:r>
      </w:hyperlink>
      <w:r>
        <w:rPr>
          <w:rFonts w:ascii="Times New Roman" w:hAnsi="Times New Roman" w:cs="Times New Roman"/>
        </w:rPr>
        <w:t xml:space="preserve"> </w:t>
      </w:r>
    </w:p>
    <w:p w14:paraId="7FA1B6B2" w14:textId="774379D7" w:rsidR="009270ED" w:rsidRPr="007F38F4" w:rsidRDefault="009270ED" w:rsidP="000B7958">
      <w:pPr>
        <w:spacing w:line="360" w:lineRule="auto"/>
        <w:ind w:firstLine="720"/>
        <w:jc w:val="both"/>
        <w:rPr>
          <w:rFonts w:ascii="Times New Roman" w:hAnsi="Times New Roman" w:cs="Times New Roman"/>
          <w:lang w:val="en-GB"/>
        </w:rPr>
      </w:pPr>
      <w:r w:rsidRPr="000427C2">
        <w:rPr>
          <w:rFonts w:ascii="Times New Roman" w:hAnsi="Times New Roman" w:cs="Times New Roman"/>
        </w:rPr>
        <w:t xml:space="preserve">American Psychiatric Association. (2013). </w:t>
      </w:r>
      <w:r w:rsidRPr="00A06946">
        <w:rPr>
          <w:rFonts w:ascii="Times New Roman" w:hAnsi="Times New Roman" w:cs="Times New Roman"/>
          <w:i/>
          <w:iCs/>
        </w:rPr>
        <w:t>DSM-5: Manual diagnóstico y estadístico de los trastornos mentales</w:t>
      </w:r>
      <w:r w:rsidRPr="009270ED">
        <w:rPr>
          <w:rFonts w:ascii="Times New Roman" w:hAnsi="Times New Roman" w:cs="Times New Roman"/>
        </w:rPr>
        <w:t xml:space="preserve">. </w:t>
      </w:r>
      <w:r w:rsidRPr="007F38F4">
        <w:rPr>
          <w:rFonts w:ascii="Times New Roman" w:hAnsi="Times New Roman" w:cs="Times New Roman"/>
          <w:lang w:val="en-GB"/>
        </w:rPr>
        <w:t xml:space="preserve">APA. </w:t>
      </w:r>
      <w:hyperlink r:id="rId11" w:history="1">
        <w:r w:rsidRPr="007F38F4">
          <w:rPr>
            <w:rStyle w:val="Hyperlink"/>
            <w:rFonts w:ascii="Times New Roman" w:hAnsi="Times New Roman" w:cs="Times New Roman"/>
            <w:lang w:val="en-GB"/>
          </w:rPr>
          <w:t>https://www.google.com/dsm5español/</w:t>
        </w:r>
      </w:hyperlink>
      <w:r w:rsidRPr="007F38F4">
        <w:rPr>
          <w:rFonts w:ascii="Times New Roman" w:hAnsi="Times New Roman" w:cs="Times New Roman"/>
          <w:lang w:val="en-GB"/>
        </w:rPr>
        <w:t xml:space="preserve"> </w:t>
      </w:r>
    </w:p>
    <w:p w14:paraId="63BB520B" w14:textId="79334B60" w:rsidR="00112ECF" w:rsidRPr="004B61E0" w:rsidRDefault="00112ECF" w:rsidP="000B7958">
      <w:pPr>
        <w:spacing w:line="360" w:lineRule="auto"/>
        <w:ind w:firstLine="720"/>
        <w:jc w:val="both"/>
        <w:rPr>
          <w:rFonts w:ascii="Times New Roman" w:hAnsi="Times New Roman" w:cs="Times New Roman"/>
        </w:rPr>
      </w:pPr>
      <w:r w:rsidRPr="007F38F4">
        <w:rPr>
          <w:rFonts w:ascii="Times New Roman" w:hAnsi="Times New Roman" w:cs="Times New Roman"/>
          <w:lang w:val="en-GB"/>
        </w:rPr>
        <w:t xml:space="preserve">Anderson, C. y Bushman, B. (2002). </w:t>
      </w:r>
      <w:r w:rsidRPr="00112ECF">
        <w:rPr>
          <w:rFonts w:ascii="Times New Roman" w:hAnsi="Times New Roman" w:cs="Times New Roman"/>
          <w:lang w:val="en-GB"/>
        </w:rPr>
        <w:t xml:space="preserve">Human Aggression. </w:t>
      </w:r>
      <w:r w:rsidRPr="00A06946">
        <w:rPr>
          <w:rFonts w:ascii="Times New Roman" w:hAnsi="Times New Roman" w:cs="Times New Roman"/>
          <w:i/>
          <w:iCs/>
          <w:lang w:val="en-GB"/>
        </w:rPr>
        <w:t>Annual Review of Psychology</w:t>
      </w:r>
      <w:r w:rsidRPr="00112ECF">
        <w:rPr>
          <w:rFonts w:ascii="Times New Roman" w:hAnsi="Times New Roman" w:cs="Times New Roman"/>
          <w:lang w:val="en-GB"/>
        </w:rPr>
        <w:t xml:space="preserve">. </w:t>
      </w:r>
      <w:hyperlink r:id="rId12" w:history="1">
        <w:r w:rsidRPr="004B61E0">
          <w:rPr>
            <w:rStyle w:val="Hyperlink"/>
            <w:rFonts w:ascii="Times New Roman" w:hAnsi="Times New Roman" w:cs="Times New Roman"/>
          </w:rPr>
          <w:t>https://people.uncw.edu/ogler/experimental/human%20agression.pdf</w:t>
        </w:r>
      </w:hyperlink>
      <w:r w:rsidRPr="004B61E0">
        <w:rPr>
          <w:rFonts w:ascii="Times New Roman" w:hAnsi="Times New Roman" w:cs="Times New Roman"/>
        </w:rPr>
        <w:t xml:space="preserve"> </w:t>
      </w:r>
    </w:p>
    <w:p w14:paraId="7AAB8AEE" w14:textId="643A442B" w:rsidR="00275A08" w:rsidRDefault="00275A08" w:rsidP="000B7958">
      <w:pPr>
        <w:spacing w:line="360" w:lineRule="auto"/>
        <w:ind w:firstLine="720"/>
        <w:jc w:val="both"/>
        <w:rPr>
          <w:rFonts w:ascii="Times New Roman" w:hAnsi="Times New Roman" w:cs="Times New Roman"/>
        </w:rPr>
      </w:pPr>
      <w:r>
        <w:rPr>
          <w:rFonts w:ascii="Times New Roman" w:hAnsi="Times New Roman" w:cs="Times New Roman"/>
        </w:rPr>
        <w:t xml:space="preserve">Arroyo, I. (2023). Violencia contra los hijos y representación discursiva del agresor: estereotipos de género en la prensa española. </w:t>
      </w:r>
      <w:r w:rsidRPr="00A06946">
        <w:rPr>
          <w:rFonts w:ascii="Times New Roman" w:hAnsi="Times New Roman" w:cs="Times New Roman"/>
          <w:i/>
          <w:iCs/>
        </w:rPr>
        <w:t xml:space="preserve">Cuadernos AISPI, vol. 22, núm. 2. </w:t>
      </w:r>
      <w:hyperlink r:id="rId13" w:history="1">
        <w:r w:rsidRPr="00A05BE0">
          <w:rPr>
            <w:rStyle w:val="Hyperlink"/>
            <w:rFonts w:ascii="Times New Roman" w:hAnsi="Times New Roman" w:cs="Times New Roman"/>
          </w:rPr>
          <w:t>https://www.ledijournals.com/ojs/index.php/cuadernos/article/view/2305</w:t>
        </w:r>
      </w:hyperlink>
      <w:r>
        <w:rPr>
          <w:rFonts w:ascii="Times New Roman" w:hAnsi="Times New Roman" w:cs="Times New Roman"/>
        </w:rPr>
        <w:t xml:space="preserve"> </w:t>
      </w:r>
    </w:p>
    <w:p w14:paraId="29F3E887" w14:textId="0D511551" w:rsidR="002312D4" w:rsidRDefault="002312D4" w:rsidP="000B7958">
      <w:pPr>
        <w:spacing w:line="360" w:lineRule="auto"/>
        <w:ind w:firstLine="720"/>
        <w:jc w:val="both"/>
        <w:rPr>
          <w:rFonts w:ascii="Times New Roman" w:hAnsi="Times New Roman" w:cs="Times New Roman"/>
        </w:rPr>
      </w:pPr>
      <w:r>
        <w:rPr>
          <w:rFonts w:ascii="Times New Roman" w:hAnsi="Times New Roman" w:cs="Times New Roman"/>
        </w:rPr>
        <w:t xml:space="preserve">Asamblea General de las Naciones Unidas. (1993). Cuadragésimo octavo periodo de sesiones - </w:t>
      </w:r>
      <w:r w:rsidRPr="002312D4">
        <w:rPr>
          <w:rFonts w:ascii="Times New Roman" w:hAnsi="Times New Roman" w:cs="Times New Roman"/>
        </w:rPr>
        <w:t xml:space="preserve">85ª sesión plenaria. </w:t>
      </w:r>
      <w:r>
        <w:rPr>
          <w:rFonts w:ascii="Times New Roman" w:hAnsi="Times New Roman" w:cs="Times New Roman"/>
          <w:i/>
          <w:iCs/>
        </w:rPr>
        <w:t xml:space="preserve">Naciones Unidas. </w:t>
      </w:r>
      <w:hyperlink r:id="rId14" w:anchor="files" w:history="1">
        <w:r w:rsidRPr="001D4244">
          <w:rPr>
            <w:rStyle w:val="Hyperlink"/>
            <w:rFonts w:ascii="Times New Roman" w:hAnsi="Times New Roman" w:cs="Times New Roman"/>
          </w:rPr>
          <w:t>https://digitallibrary.un.org/record/186502?ln=en&amp;v=pdf#files</w:t>
        </w:r>
      </w:hyperlink>
      <w:r>
        <w:rPr>
          <w:rFonts w:ascii="Times New Roman" w:hAnsi="Times New Roman" w:cs="Times New Roman"/>
        </w:rPr>
        <w:t xml:space="preserve"> </w:t>
      </w:r>
    </w:p>
    <w:p w14:paraId="54099D03" w14:textId="7B2DDFE9" w:rsidR="000940C9" w:rsidRDefault="004218ED" w:rsidP="004218ED">
      <w:pPr>
        <w:spacing w:line="360" w:lineRule="auto"/>
        <w:ind w:firstLine="720"/>
        <w:jc w:val="both"/>
        <w:rPr>
          <w:rFonts w:ascii="Times New Roman" w:hAnsi="Times New Roman" w:cs="Times New Roman"/>
        </w:rPr>
      </w:pPr>
      <w:r>
        <w:rPr>
          <w:rFonts w:ascii="Times New Roman" w:hAnsi="Times New Roman" w:cs="Times New Roman"/>
        </w:rPr>
        <w:t xml:space="preserve">Audiencia Provincial de Córdoba, Tribunal del Jurado. (2013, 22 de julio). Sentencia del Jurado </w:t>
      </w:r>
      <w:r w:rsidR="00F53DE6">
        <w:rPr>
          <w:rFonts w:ascii="Times New Roman" w:hAnsi="Times New Roman" w:cs="Times New Roman"/>
        </w:rPr>
        <w:t>N.º</w:t>
      </w:r>
      <w:r>
        <w:rPr>
          <w:rFonts w:ascii="Times New Roman" w:hAnsi="Times New Roman" w:cs="Times New Roman"/>
        </w:rPr>
        <w:t xml:space="preserve"> 1/2013 (Caso José Bretón) [Sentencia]. </w:t>
      </w:r>
      <w:r w:rsidR="00E01E41">
        <w:rPr>
          <w:rFonts w:ascii="Times New Roman" w:hAnsi="Times New Roman" w:cs="Times New Roman"/>
        </w:rPr>
        <w:t xml:space="preserve">Consejo General del </w:t>
      </w:r>
      <w:r>
        <w:rPr>
          <w:rFonts w:ascii="Times New Roman" w:hAnsi="Times New Roman" w:cs="Times New Roman"/>
        </w:rPr>
        <w:t xml:space="preserve">Poder Judicial de España. </w:t>
      </w:r>
      <w:hyperlink r:id="rId15" w:history="1">
        <w:r>
          <w:rPr>
            <w:rStyle w:val="Hyperlink"/>
            <w:rFonts w:ascii="Times New Roman" w:hAnsi="Times New Roman" w:cs="Times New Roman"/>
          </w:rPr>
          <w:t>https://www.poderjudicial.es/cgpj/es/CasoJoseBretonPenal</w:t>
        </w:r>
      </w:hyperlink>
      <w:r>
        <w:rPr>
          <w:rFonts w:ascii="Times New Roman" w:hAnsi="Times New Roman" w:cs="Times New Roman"/>
        </w:rPr>
        <w:t xml:space="preserve"> </w:t>
      </w:r>
    </w:p>
    <w:p w14:paraId="240FBD4B" w14:textId="6A3F373A" w:rsidR="006509A7" w:rsidRPr="00355D15" w:rsidRDefault="006509A7" w:rsidP="000B7958">
      <w:pPr>
        <w:spacing w:line="360" w:lineRule="auto"/>
        <w:ind w:firstLine="720"/>
        <w:jc w:val="both"/>
        <w:rPr>
          <w:rFonts w:ascii="Times New Roman" w:hAnsi="Times New Roman" w:cs="Times New Roman"/>
          <w:lang w:val="sv-SE"/>
        </w:rPr>
      </w:pPr>
      <w:r w:rsidRPr="000427C2">
        <w:rPr>
          <w:rFonts w:ascii="Times New Roman" w:hAnsi="Times New Roman" w:cs="Times New Roman"/>
          <w:lang w:val="en-GB"/>
        </w:rPr>
        <w:t xml:space="preserve">Bartky, S. (1990). </w:t>
      </w:r>
      <w:r w:rsidRPr="00CC2562">
        <w:rPr>
          <w:rFonts w:ascii="Times New Roman" w:hAnsi="Times New Roman" w:cs="Times New Roman"/>
          <w:i/>
          <w:iCs/>
          <w:lang w:val="en-GB"/>
        </w:rPr>
        <w:t>Femininity and Domination.</w:t>
      </w:r>
      <w:r w:rsidRPr="00CC2562">
        <w:rPr>
          <w:rFonts w:ascii="Times New Roman" w:hAnsi="Times New Roman" w:cs="Times New Roman"/>
          <w:lang w:val="en-GB"/>
        </w:rPr>
        <w:t xml:space="preserve"> Routledge, Chapman and Hall, Inc. </w:t>
      </w:r>
      <w:hyperlink r:id="rId16" w:history="1">
        <w:r w:rsidRPr="00355D15">
          <w:rPr>
            <w:rStyle w:val="Hyperlink"/>
            <w:rFonts w:ascii="Times New Roman" w:hAnsi="Times New Roman" w:cs="Times New Roman"/>
            <w:lang w:val="sv-SE"/>
          </w:rPr>
          <w:t>https://biblioteca-alternativa.noblogs.org/files/2010/09/femininity-and-domination.pdf</w:t>
        </w:r>
      </w:hyperlink>
      <w:r w:rsidRPr="00355D15">
        <w:rPr>
          <w:rFonts w:ascii="Times New Roman" w:hAnsi="Times New Roman" w:cs="Times New Roman"/>
          <w:lang w:val="sv-SE"/>
        </w:rPr>
        <w:t xml:space="preserve"> </w:t>
      </w:r>
    </w:p>
    <w:p w14:paraId="5C2C9835" w14:textId="15E6C209" w:rsidR="00ED0748" w:rsidRPr="000427C2" w:rsidRDefault="00ED0748" w:rsidP="000B7958">
      <w:pPr>
        <w:spacing w:line="360" w:lineRule="auto"/>
        <w:ind w:firstLine="720"/>
        <w:jc w:val="both"/>
        <w:rPr>
          <w:rFonts w:ascii="Times New Roman" w:hAnsi="Times New Roman" w:cs="Times New Roman"/>
          <w:lang w:val="en-GB"/>
        </w:rPr>
      </w:pPr>
      <w:r w:rsidRPr="001866A0">
        <w:rPr>
          <w:rFonts w:ascii="Times New Roman" w:hAnsi="Times New Roman" w:cs="Times New Roman"/>
          <w:lang w:val="sv-SE"/>
        </w:rPr>
        <w:t xml:space="preserve">Becker, H. (1960). </w:t>
      </w:r>
      <w:r w:rsidRPr="005A14AB">
        <w:rPr>
          <w:rFonts w:ascii="Times New Roman" w:hAnsi="Times New Roman" w:cs="Times New Roman"/>
          <w:i/>
          <w:iCs/>
          <w:lang w:val="en-GB"/>
        </w:rPr>
        <w:t>Notes on the Concept of Commitment.</w:t>
      </w:r>
      <w:r>
        <w:rPr>
          <w:rFonts w:ascii="Times New Roman" w:hAnsi="Times New Roman" w:cs="Times New Roman"/>
          <w:lang w:val="en-GB"/>
        </w:rPr>
        <w:t xml:space="preserve"> University of Chicago Press. American Journal of Sociology.</w:t>
      </w:r>
      <w:r w:rsidRPr="00177972">
        <w:rPr>
          <w:lang w:val="en-US"/>
        </w:rPr>
        <w:t xml:space="preserve"> </w:t>
      </w:r>
    </w:p>
    <w:p w14:paraId="285E8738" w14:textId="518589CB" w:rsidR="005A14AB" w:rsidRPr="004B61E0" w:rsidRDefault="005A14AB" w:rsidP="000B7958">
      <w:pPr>
        <w:spacing w:line="360" w:lineRule="auto"/>
        <w:ind w:firstLine="720"/>
        <w:jc w:val="both"/>
        <w:rPr>
          <w:rFonts w:ascii="Times New Roman" w:hAnsi="Times New Roman" w:cs="Times New Roman"/>
          <w:lang w:val="en-GB"/>
        </w:rPr>
      </w:pPr>
      <w:r w:rsidRPr="005A14AB">
        <w:rPr>
          <w:rFonts w:ascii="Times New Roman" w:hAnsi="Times New Roman" w:cs="Times New Roman"/>
          <w:lang w:val="en-GB"/>
        </w:rPr>
        <w:t xml:space="preserve">Becker, H. (2014). </w:t>
      </w:r>
      <w:r w:rsidRPr="005A14AB">
        <w:rPr>
          <w:rFonts w:ascii="Times New Roman" w:hAnsi="Times New Roman" w:cs="Times New Roman"/>
          <w:i/>
          <w:iCs/>
          <w:lang w:val="en-GB"/>
        </w:rPr>
        <w:t>What about Mozart? What about Murder? Reasoning from cases.</w:t>
      </w:r>
      <w:r>
        <w:rPr>
          <w:rFonts w:ascii="Times New Roman" w:hAnsi="Times New Roman" w:cs="Times New Roman"/>
          <w:lang w:val="en-GB"/>
        </w:rPr>
        <w:t xml:space="preserve"> </w:t>
      </w:r>
      <w:r w:rsidRPr="004B61E0">
        <w:rPr>
          <w:rFonts w:ascii="Times New Roman" w:hAnsi="Times New Roman" w:cs="Times New Roman"/>
          <w:lang w:val="en-GB"/>
        </w:rPr>
        <w:t>University of Chicago Press</w:t>
      </w:r>
      <w:r w:rsidR="00055002" w:rsidRPr="004B61E0">
        <w:rPr>
          <w:rFonts w:ascii="Times New Roman" w:hAnsi="Times New Roman" w:cs="Times New Roman"/>
          <w:lang w:val="en-GB"/>
        </w:rPr>
        <w:t>.</w:t>
      </w:r>
    </w:p>
    <w:p w14:paraId="77DF14FE" w14:textId="5371DF84" w:rsidR="00112ECF" w:rsidRPr="00112ECF" w:rsidRDefault="00112ECF"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Blair, J. (</w:t>
      </w:r>
      <w:r w:rsidR="00055002">
        <w:rPr>
          <w:rFonts w:ascii="Times New Roman" w:hAnsi="Times New Roman" w:cs="Times New Roman"/>
          <w:lang w:val="en-GB"/>
        </w:rPr>
        <w:t xml:space="preserve">2018). Neurocognitive mechanisms implicated in increasing the risk for violence. </w:t>
      </w:r>
      <w:r w:rsidR="00055002" w:rsidRPr="00A06946">
        <w:rPr>
          <w:rFonts w:ascii="Times New Roman" w:hAnsi="Times New Roman" w:cs="Times New Roman"/>
          <w:i/>
          <w:iCs/>
          <w:lang w:val="en-GB"/>
        </w:rPr>
        <w:t xml:space="preserve">National Library of Medicine. </w:t>
      </w:r>
      <w:hyperlink r:id="rId17" w:history="1">
        <w:r w:rsidR="00055002">
          <w:rPr>
            <w:rStyle w:val="Hyperlink"/>
            <w:rFonts w:ascii="Times New Roman" w:hAnsi="Times New Roman" w:cs="Times New Roman"/>
            <w:lang w:val="en-GB"/>
          </w:rPr>
          <w:t>https://www.ncbi.nlm.nih.gov/books/NBK488199</w:t>
        </w:r>
      </w:hyperlink>
    </w:p>
    <w:p w14:paraId="73E04E8C" w14:textId="67851763" w:rsidR="006509A7" w:rsidRPr="00CC2562" w:rsidRDefault="006509A7" w:rsidP="000B7958">
      <w:pPr>
        <w:spacing w:line="360" w:lineRule="auto"/>
        <w:ind w:firstLine="720"/>
        <w:jc w:val="both"/>
        <w:rPr>
          <w:rFonts w:ascii="Times New Roman" w:hAnsi="Times New Roman" w:cs="Times New Roman"/>
          <w:lang w:val="es-ES_tradnl"/>
        </w:rPr>
      </w:pPr>
      <w:r w:rsidRPr="004B61E0">
        <w:rPr>
          <w:rFonts w:ascii="Times New Roman" w:hAnsi="Times New Roman" w:cs="Times New Roman"/>
        </w:rPr>
        <w:lastRenderedPageBreak/>
        <w:t xml:space="preserve">BOE-A-2004-21760. </w:t>
      </w:r>
      <w:r w:rsidRPr="00CC2562">
        <w:rPr>
          <w:rFonts w:ascii="Times New Roman" w:hAnsi="Times New Roman" w:cs="Times New Roman"/>
          <w:i/>
          <w:iCs/>
          <w:lang w:val="es-ES_tradnl"/>
        </w:rPr>
        <w:t>Ley Orgánica 1/2004, del 28 de diciembre, de Medidas de Protección Integral contra la Violencia de Género.</w:t>
      </w:r>
      <w:r w:rsidRPr="00CC2562">
        <w:rPr>
          <w:rFonts w:ascii="Times New Roman" w:hAnsi="Times New Roman" w:cs="Times New Roman"/>
          <w:lang w:val="es-ES_tradnl"/>
        </w:rPr>
        <w:t xml:space="preserve"> Agencia Estatal del Boletín Oficial del Estado. </w:t>
      </w:r>
      <w:hyperlink r:id="rId18" w:anchor="top" w:history="1">
        <w:r w:rsidRPr="00CC2562">
          <w:rPr>
            <w:rStyle w:val="Hyperlink"/>
            <w:rFonts w:ascii="Times New Roman" w:hAnsi="Times New Roman" w:cs="Times New Roman"/>
            <w:lang w:val="es-ES_tradnl"/>
          </w:rPr>
          <w:t>https://www.boe.es/buscar/act.php?id=BOE-A-2004-21760</w:t>
        </w:r>
      </w:hyperlink>
      <w:r w:rsidRPr="00CC2562">
        <w:rPr>
          <w:rFonts w:ascii="Times New Roman" w:hAnsi="Times New Roman" w:cs="Times New Roman"/>
          <w:lang w:val="es-ES_tradnl"/>
        </w:rPr>
        <w:t xml:space="preserve"> </w:t>
      </w:r>
    </w:p>
    <w:p w14:paraId="4606BF76" w14:textId="1CF61028" w:rsidR="006509A7" w:rsidRPr="00CC2562" w:rsidRDefault="006509A7" w:rsidP="000B7958">
      <w:pPr>
        <w:spacing w:line="360" w:lineRule="auto"/>
        <w:ind w:firstLine="720"/>
        <w:jc w:val="both"/>
        <w:rPr>
          <w:rFonts w:ascii="Times New Roman" w:hAnsi="Times New Roman" w:cs="Times New Roman"/>
          <w:lang w:val="es-ES_tradnl"/>
        </w:rPr>
      </w:pPr>
      <w:r w:rsidRPr="00CC2562">
        <w:rPr>
          <w:rFonts w:ascii="Times New Roman" w:hAnsi="Times New Roman" w:cs="Times New Roman"/>
          <w:lang w:val="es-ES_tradnl"/>
        </w:rPr>
        <w:t xml:space="preserve">BOE-A-2021-9347. </w:t>
      </w:r>
      <w:r w:rsidRPr="00CC2562">
        <w:rPr>
          <w:rFonts w:ascii="Times New Roman" w:hAnsi="Times New Roman" w:cs="Times New Roman"/>
          <w:i/>
          <w:iCs/>
          <w:lang w:val="es-ES_tradnl"/>
        </w:rPr>
        <w:t>Ley Orgánica 8/2021, del 4 de junio, de protección integral a la infancia y la adolescencia frente a la violencia.</w:t>
      </w:r>
      <w:r w:rsidRPr="00CC2562">
        <w:rPr>
          <w:rFonts w:ascii="Times New Roman" w:hAnsi="Times New Roman" w:cs="Times New Roman"/>
          <w:lang w:val="es-ES_tradnl"/>
        </w:rPr>
        <w:t xml:space="preserve"> Agencia Estatal del Boletín Oficial del Estado. </w:t>
      </w:r>
      <w:hyperlink r:id="rId19" w:history="1">
        <w:r w:rsidRPr="00CC2562">
          <w:rPr>
            <w:rStyle w:val="Hyperlink"/>
            <w:rFonts w:ascii="Times New Roman" w:hAnsi="Times New Roman" w:cs="Times New Roman"/>
            <w:lang w:val="es-ES_tradnl"/>
          </w:rPr>
          <w:t>https://www.boe.es/buscar/doc.php?id=BOE-A-2021-9347</w:t>
        </w:r>
      </w:hyperlink>
      <w:r w:rsidRPr="00CC2562">
        <w:rPr>
          <w:rFonts w:ascii="Times New Roman" w:hAnsi="Times New Roman" w:cs="Times New Roman"/>
          <w:lang w:val="es-ES_tradnl"/>
        </w:rPr>
        <w:t xml:space="preserve"> </w:t>
      </w:r>
    </w:p>
    <w:p w14:paraId="71F5707F" w14:textId="26D6A23A" w:rsidR="006509A7" w:rsidRPr="006509A7" w:rsidRDefault="006509A7" w:rsidP="000B7958">
      <w:pPr>
        <w:spacing w:line="360" w:lineRule="auto"/>
        <w:ind w:firstLine="720"/>
        <w:jc w:val="both"/>
        <w:rPr>
          <w:rFonts w:ascii="Times New Roman" w:hAnsi="Times New Roman" w:cs="Times New Roman"/>
          <w:lang w:val="en-GB"/>
        </w:rPr>
      </w:pPr>
      <w:r w:rsidRPr="00CC2562">
        <w:rPr>
          <w:rFonts w:ascii="Times New Roman" w:hAnsi="Times New Roman" w:cs="Times New Roman"/>
          <w:lang w:val="es-ES_tradnl"/>
        </w:rPr>
        <w:t xml:space="preserve">Bourdieu, P. (2000). </w:t>
      </w:r>
      <w:r w:rsidRPr="00CC2562">
        <w:rPr>
          <w:rFonts w:ascii="Times New Roman" w:hAnsi="Times New Roman" w:cs="Times New Roman"/>
          <w:i/>
          <w:iCs/>
          <w:lang w:val="es-ES_tradnl"/>
        </w:rPr>
        <w:t>La dominación masculina.</w:t>
      </w:r>
      <w:r w:rsidRPr="00CC2562">
        <w:rPr>
          <w:rFonts w:ascii="Times New Roman" w:hAnsi="Times New Roman" w:cs="Times New Roman"/>
          <w:lang w:val="es-ES_tradnl"/>
        </w:rPr>
        <w:t xml:space="preserve"> </w:t>
      </w:r>
      <w:r w:rsidRPr="006509A7">
        <w:rPr>
          <w:rFonts w:ascii="Times New Roman" w:hAnsi="Times New Roman" w:cs="Times New Roman"/>
          <w:lang w:val="en-GB"/>
        </w:rPr>
        <w:t>Anagrama.</w:t>
      </w:r>
    </w:p>
    <w:p w14:paraId="722F8BEC" w14:textId="131A60CB" w:rsidR="006509A7" w:rsidRDefault="006509A7" w:rsidP="000B7958">
      <w:pPr>
        <w:spacing w:line="360" w:lineRule="auto"/>
        <w:ind w:firstLine="720"/>
        <w:jc w:val="both"/>
        <w:rPr>
          <w:rFonts w:ascii="Times New Roman" w:hAnsi="Times New Roman" w:cs="Times New Roman"/>
          <w:lang w:val="en-GB"/>
        </w:rPr>
      </w:pPr>
      <w:r w:rsidRPr="006509A7">
        <w:rPr>
          <w:rFonts w:ascii="Times New Roman" w:hAnsi="Times New Roman" w:cs="Times New Roman"/>
          <w:lang w:val="en-GB"/>
        </w:rPr>
        <w:t xml:space="preserve">Butler, J. (1990). </w:t>
      </w:r>
      <w:r w:rsidRPr="00A06946">
        <w:rPr>
          <w:rFonts w:ascii="Times New Roman" w:hAnsi="Times New Roman" w:cs="Times New Roman"/>
          <w:i/>
          <w:iCs/>
          <w:lang w:val="en-GB"/>
        </w:rPr>
        <w:t xml:space="preserve">Gender Trouble: feminism and the subversion of identity. </w:t>
      </w:r>
      <w:r>
        <w:rPr>
          <w:rFonts w:ascii="Times New Roman" w:hAnsi="Times New Roman" w:cs="Times New Roman"/>
          <w:lang w:val="en-GB"/>
        </w:rPr>
        <w:t xml:space="preserve">Routledge, Champan and Hall, Inc. </w:t>
      </w:r>
      <w:hyperlink r:id="rId20" w:history="1">
        <w:r w:rsidRPr="00A22BD5">
          <w:rPr>
            <w:rStyle w:val="Hyperlink"/>
            <w:rFonts w:ascii="Times New Roman" w:hAnsi="Times New Roman" w:cs="Times New Roman"/>
            <w:lang w:val="en-GB"/>
          </w:rPr>
          <w:t>https://autof.wordpress.com/wp-content/uploads/2010/02/butler-judith-gender-trouble-feminism-and-the-subversion-of-identity-1990.pdf</w:t>
        </w:r>
      </w:hyperlink>
      <w:r>
        <w:rPr>
          <w:rFonts w:ascii="Times New Roman" w:hAnsi="Times New Roman" w:cs="Times New Roman"/>
          <w:lang w:val="en-GB"/>
        </w:rPr>
        <w:t xml:space="preserve"> </w:t>
      </w:r>
    </w:p>
    <w:p w14:paraId="387ABA2E" w14:textId="54B9DCBA" w:rsidR="00295337" w:rsidRPr="00D13FEE" w:rsidRDefault="00295337" w:rsidP="00295337">
      <w:pPr>
        <w:spacing w:line="360" w:lineRule="auto"/>
        <w:ind w:firstLine="720"/>
        <w:jc w:val="both"/>
        <w:rPr>
          <w:rFonts w:ascii="Times New Roman" w:hAnsi="Times New Roman" w:cs="Times New Roman"/>
        </w:rPr>
      </w:pPr>
      <w:r>
        <w:rPr>
          <w:rFonts w:ascii="Times New Roman" w:hAnsi="Times New Roman" w:cs="Times New Roman"/>
        </w:rPr>
        <w:t>CNH Canal Huelva. (2013</w:t>
      </w:r>
      <w:r w:rsidR="00A06946">
        <w:rPr>
          <w:rFonts w:ascii="Times New Roman" w:hAnsi="Times New Roman" w:cs="Times New Roman"/>
        </w:rPr>
        <w:t>, 19 de junio</w:t>
      </w:r>
      <w:r>
        <w:rPr>
          <w:rFonts w:ascii="Times New Roman" w:hAnsi="Times New Roman" w:cs="Times New Roman"/>
        </w:rPr>
        <w:t xml:space="preserve">). </w:t>
      </w:r>
      <w:r w:rsidRPr="00A06946">
        <w:rPr>
          <w:rFonts w:ascii="Times New Roman" w:hAnsi="Times New Roman" w:cs="Times New Roman"/>
          <w:i/>
          <w:iCs/>
        </w:rPr>
        <w:t>18 06 13 JUICIO BRETON</w:t>
      </w:r>
      <w:r>
        <w:rPr>
          <w:rFonts w:ascii="Times New Roman" w:hAnsi="Times New Roman" w:cs="Times New Roman"/>
        </w:rPr>
        <w:t xml:space="preserve"> [Vídeo]. </w:t>
      </w:r>
      <w:r w:rsidRPr="00D13FEE">
        <w:rPr>
          <w:rFonts w:ascii="Times New Roman" w:hAnsi="Times New Roman" w:cs="Times New Roman"/>
        </w:rPr>
        <w:t xml:space="preserve">YouTube. </w:t>
      </w:r>
      <w:hyperlink r:id="rId21" w:history="1">
        <w:r w:rsidRPr="00D13FEE">
          <w:rPr>
            <w:rStyle w:val="Hyperlink"/>
            <w:rFonts w:ascii="Times New Roman" w:hAnsi="Times New Roman" w:cs="Times New Roman"/>
          </w:rPr>
          <w:t>https://youtu.be/8SNBsN9yM7o?si=tVilXcHMQ69sn3Fa</w:t>
        </w:r>
      </w:hyperlink>
      <w:r w:rsidRPr="00D13FEE">
        <w:rPr>
          <w:rFonts w:ascii="Times New Roman" w:hAnsi="Times New Roman" w:cs="Times New Roman"/>
        </w:rPr>
        <w:t xml:space="preserve"> </w:t>
      </w:r>
    </w:p>
    <w:p w14:paraId="04178ECD" w14:textId="0F5484E3" w:rsidR="00134D29" w:rsidRDefault="00134D29" w:rsidP="000B7958">
      <w:pPr>
        <w:spacing w:line="360" w:lineRule="auto"/>
        <w:ind w:firstLine="720"/>
        <w:jc w:val="both"/>
        <w:rPr>
          <w:rFonts w:ascii="Times New Roman" w:hAnsi="Times New Roman" w:cs="Times New Roman"/>
        </w:rPr>
      </w:pPr>
      <w:r>
        <w:rPr>
          <w:rFonts w:ascii="Times New Roman" w:hAnsi="Times New Roman" w:cs="Times New Roman"/>
        </w:rPr>
        <w:t>Cano, M.A. (2018). Cambio social y tendencias en la tasa de criminalidad: un enfoque desde las actividades cotidianas: sobre el impacto de la teoría de las actividades cotidianas en el pensamiento criminológico moderno</w:t>
      </w:r>
      <w:r w:rsidRPr="00134D29">
        <w:rPr>
          <w:rFonts w:ascii="Times New Roman" w:hAnsi="Times New Roman" w:cs="Times New Roman"/>
          <w:i/>
          <w:iCs/>
        </w:rPr>
        <w:t>. Revista de Derecho Penal y Criminología.</w:t>
      </w:r>
      <w:r>
        <w:rPr>
          <w:rFonts w:ascii="Times New Roman" w:hAnsi="Times New Roman" w:cs="Times New Roman"/>
        </w:rPr>
        <w:t xml:space="preserve">  </w:t>
      </w:r>
      <w:hyperlink r:id="rId22" w:history="1">
        <w:r w:rsidRPr="009A5E9A">
          <w:rPr>
            <w:rStyle w:val="Hyperlink"/>
            <w:rFonts w:ascii="Times New Roman" w:hAnsi="Times New Roman" w:cs="Times New Roman"/>
          </w:rPr>
          <w:t>https://revistas.uned.es/index.php/RDPC/article/view/26497/20944</w:t>
        </w:r>
      </w:hyperlink>
      <w:r>
        <w:rPr>
          <w:rFonts w:ascii="Times New Roman" w:hAnsi="Times New Roman" w:cs="Times New Roman"/>
        </w:rPr>
        <w:t xml:space="preserve"> </w:t>
      </w:r>
    </w:p>
    <w:p w14:paraId="0EC5ED05" w14:textId="77C40CD3" w:rsidR="003E029C" w:rsidRPr="003E029C" w:rsidRDefault="003E029C" w:rsidP="000B7958">
      <w:pPr>
        <w:spacing w:line="360" w:lineRule="auto"/>
        <w:ind w:firstLine="720"/>
        <w:jc w:val="both"/>
        <w:rPr>
          <w:rFonts w:ascii="Times New Roman" w:hAnsi="Times New Roman" w:cs="Times New Roman"/>
        </w:rPr>
      </w:pPr>
      <w:r w:rsidRPr="003E029C">
        <w:rPr>
          <w:rFonts w:ascii="Times New Roman" w:hAnsi="Times New Roman" w:cs="Times New Roman"/>
        </w:rPr>
        <w:t>Castrillón, M., y Agudel</w:t>
      </w:r>
      <w:r>
        <w:rPr>
          <w:rFonts w:ascii="Times New Roman" w:hAnsi="Times New Roman" w:cs="Times New Roman"/>
        </w:rPr>
        <w:t xml:space="preserve">o, A. (2023). El reconocimiento de la violencia simbólica y la pertenencia de su abordaje en la formación en Comunicación Social. </w:t>
      </w:r>
      <w:r w:rsidRPr="003E029C">
        <w:rPr>
          <w:rFonts w:ascii="Times New Roman" w:hAnsi="Times New Roman" w:cs="Times New Roman"/>
          <w:i/>
          <w:iCs/>
        </w:rPr>
        <w:t>Revistas Científicas Complutenses.</w:t>
      </w:r>
      <w:r>
        <w:rPr>
          <w:rFonts w:ascii="Times New Roman" w:hAnsi="Times New Roman" w:cs="Times New Roman"/>
        </w:rPr>
        <w:t xml:space="preserve"> </w:t>
      </w:r>
      <w:hyperlink r:id="rId23" w:history="1">
        <w:r w:rsidRPr="00DD0F97">
          <w:rPr>
            <w:rStyle w:val="Hyperlink"/>
            <w:rFonts w:ascii="Times New Roman" w:hAnsi="Times New Roman" w:cs="Times New Roman"/>
          </w:rPr>
          <w:t>https://revistas.ucm.es/index.php/MESO/article/view/89807/4564456567996</w:t>
        </w:r>
      </w:hyperlink>
      <w:r>
        <w:rPr>
          <w:rFonts w:ascii="Times New Roman" w:hAnsi="Times New Roman" w:cs="Times New Roman"/>
        </w:rPr>
        <w:t xml:space="preserve"> </w:t>
      </w:r>
    </w:p>
    <w:p w14:paraId="41685439" w14:textId="372D0100" w:rsidR="00897D31" w:rsidRPr="00897D31" w:rsidRDefault="00897D31" w:rsidP="000B7958">
      <w:pPr>
        <w:spacing w:line="360" w:lineRule="auto"/>
        <w:ind w:firstLine="720"/>
        <w:jc w:val="both"/>
        <w:rPr>
          <w:rFonts w:ascii="Times New Roman" w:hAnsi="Times New Roman" w:cs="Times New Roman"/>
          <w:lang w:val="en-GB"/>
        </w:rPr>
      </w:pPr>
      <w:r w:rsidRPr="00897D31">
        <w:rPr>
          <w:rFonts w:ascii="Times New Roman" w:hAnsi="Times New Roman" w:cs="Times New Roman"/>
          <w:lang w:val="en-GB"/>
        </w:rPr>
        <w:t xml:space="preserve">Cleckley, H. (1941). </w:t>
      </w:r>
      <w:r w:rsidRPr="00897D31">
        <w:rPr>
          <w:rFonts w:ascii="Times New Roman" w:hAnsi="Times New Roman" w:cs="Times New Roman"/>
          <w:i/>
          <w:iCs/>
          <w:lang w:val="en-GB"/>
        </w:rPr>
        <w:t>The Mask of Sanity: An Attempt to Clarify Some Issues About the So-Called Psychopathic Personality</w:t>
      </w:r>
      <w:r>
        <w:rPr>
          <w:rFonts w:ascii="Times New Roman" w:hAnsi="Times New Roman" w:cs="Times New Roman"/>
          <w:lang w:val="en-GB"/>
        </w:rPr>
        <w:t>. Mosby.</w:t>
      </w:r>
    </w:p>
    <w:p w14:paraId="41856B2B" w14:textId="548C2AB3" w:rsidR="00DF640F" w:rsidRPr="00355D15" w:rsidRDefault="00DF640F" w:rsidP="000B7958">
      <w:pPr>
        <w:spacing w:line="360" w:lineRule="auto"/>
        <w:ind w:firstLine="720"/>
        <w:jc w:val="both"/>
        <w:rPr>
          <w:rFonts w:ascii="Times New Roman" w:hAnsi="Times New Roman" w:cs="Times New Roman"/>
          <w:lang w:val="en-GB"/>
        </w:rPr>
      </w:pPr>
      <w:r w:rsidRPr="008235E0">
        <w:rPr>
          <w:rFonts w:ascii="Times New Roman" w:hAnsi="Times New Roman" w:cs="Times New Roman"/>
          <w:lang w:val="en-GB"/>
        </w:rPr>
        <w:t xml:space="preserve">Cohen, L. y Felson, M. (1979). </w:t>
      </w:r>
      <w:r w:rsidRPr="00DF640F">
        <w:rPr>
          <w:rFonts w:ascii="Times New Roman" w:hAnsi="Times New Roman" w:cs="Times New Roman"/>
          <w:lang w:val="en-GB"/>
        </w:rPr>
        <w:t>Social Change and Crime Rate</w:t>
      </w:r>
      <w:r>
        <w:rPr>
          <w:rFonts w:ascii="Times New Roman" w:hAnsi="Times New Roman" w:cs="Times New Roman"/>
          <w:lang w:val="en-GB"/>
        </w:rPr>
        <w:t xml:space="preserve"> Trends: A Routine Activity Approach. </w:t>
      </w:r>
      <w:r w:rsidRPr="00355D15">
        <w:rPr>
          <w:rFonts w:ascii="Times New Roman" w:hAnsi="Times New Roman" w:cs="Times New Roman"/>
          <w:i/>
          <w:iCs/>
          <w:lang w:val="en-GB"/>
        </w:rPr>
        <w:t>American Sociological Review.</w:t>
      </w:r>
      <w:r w:rsidRPr="00355D15">
        <w:rPr>
          <w:i/>
          <w:iCs/>
          <w:lang w:val="en-GB"/>
        </w:rPr>
        <w:t xml:space="preserve"> </w:t>
      </w:r>
      <w:hyperlink r:id="rId24" w:history="1">
        <w:r w:rsidRPr="00355D15">
          <w:rPr>
            <w:rStyle w:val="Hyperlink"/>
            <w:rFonts w:ascii="Times New Roman" w:hAnsi="Times New Roman" w:cs="Times New Roman"/>
            <w:lang w:val="en-GB"/>
          </w:rPr>
          <w:t>https://faculty.washington.edu/matsueda/courses/587/readings/Cohen%20and%20Felson%201979%20Routine%20Activities.pdf</w:t>
        </w:r>
      </w:hyperlink>
      <w:r w:rsidRPr="00355D15">
        <w:rPr>
          <w:rFonts w:ascii="Times New Roman" w:hAnsi="Times New Roman" w:cs="Times New Roman"/>
          <w:lang w:val="en-GB"/>
        </w:rPr>
        <w:t xml:space="preserve"> </w:t>
      </w:r>
    </w:p>
    <w:p w14:paraId="743CC4C2" w14:textId="204EFCBB" w:rsidR="000B7958" w:rsidRDefault="000B7958"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 xml:space="preserve">Connell, R. W. y Messerschmidt, J.W. (2005). Hegemonic masculinity: Rethinking the concept. </w:t>
      </w:r>
      <w:r w:rsidRPr="00A06946">
        <w:rPr>
          <w:rFonts w:ascii="Times New Roman" w:hAnsi="Times New Roman" w:cs="Times New Roman"/>
          <w:i/>
          <w:iCs/>
          <w:lang w:val="en-GB"/>
        </w:rPr>
        <w:t xml:space="preserve">Gender &amp; Society. </w:t>
      </w:r>
      <w:hyperlink r:id="rId25" w:history="1">
        <w:r w:rsidRPr="001D4244">
          <w:rPr>
            <w:rStyle w:val="Hyperlink"/>
            <w:rFonts w:ascii="Times New Roman" w:hAnsi="Times New Roman" w:cs="Times New Roman"/>
            <w:lang w:val="en-GB"/>
          </w:rPr>
          <w:t>https://journals.sagepub.com/doi/epdf/10.1177/0891243205278639</w:t>
        </w:r>
      </w:hyperlink>
      <w:r>
        <w:rPr>
          <w:rFonts w:ascii="Times New Roman" w:hAnsi="Times New Roman" w:cs="Times New Roman"/>
          <w:lang w:val="en-GB"/>
        </w:rPr>
        <w:t xml:space="preserve"> </w:t>
      </w:r>
    </w:p>
    <w:p w14:paraId="75871D87" w14:textId="11425466" w:rsidR="00E90427" w:rsidRPr="00512BCB" w:rsidRDefault="00E90427" w:rsidP="000B7958">
      <w:pPr>
        <w:spacing w:line="360" w:lineRule="auto"/>
        <w:ind w:firstLine="720"/>
        <w:jc w:val="both"/>
        <w:rPr>
          <w:rFonts w:ascii="Times New Roman" w:hAnsi="Times New Roman" w:cs="Times New Roman"/>
        </w:rPr>
      </w:pPr>
      <w:r w:rsidRPr="00E90427">
        <w:rPr>
          <w:rFonts w:ascii="Times New Roman" w:hAnsi="Times New Roman" w:cs="Times New Roman"/>
          <w:lang w:val="en-GB"/>
        </w:rPr>
        <w:lastRenderedPageBreak/>
        <w:t xml:space="preserve">Cornish, D., y Clarke, R. </w:t>
      </w:r>
      <w:r>
        <w:rPr>
          <w:rFonts w:ascii="Times New Roman" w:hAnsi="Times New Roman" w:cs="Times New Roman"/>
          <w:lang w:val="en-GB"/>
        </w:rPr>
        <w:t xml:space="preserve">(1986). </w:t>
      </w:r>
      <w:r w:rsidRPr="00E90427">
        <w:rPr>
          <w:rFonts w:ascii="Times New Roman" w:hAnsi="Times New Roman" w:cs="Times New Roman"/>
          <w:i/>
          <w:iCs/>
          <w:lang w:val="en-GB"/>
        </w:rPr>
        <w:t>The reasoning criminal: Rational choice perspectives on offending.</w:t>
      </w:r>
      <w:r>
        <w:rPr>
          <w:rFonts w:ascii="Times New Roman" w:hAnsi="Times New Roman" w:cs="Times New Roman"/>
          <w:lang w:val="en-GB"/>
        </w:rPr>
        <w:t xml:space="preserve"> </w:t>
      </w:r>
      <w:r w:rsidRPr="00512BCB">
        <w:rPr>
          <w:rFonts w:ascii="Times New Roman" w:hAnsi="Times New Roman" w:cs="Times New Roman"/>
        </w:rPr>
        <w:t>Springer.</w:t>
      </w:r>
    </w:p>
    <w:p w14:paraId="6F82D49E" w14:textId="05E5DA3F" w:rsidR="006C7A37" w:rsidRDefault="006509A7" w:rsidP="00077AA7">
      <w:pPr>
        <w:spacing w:line="360" w:lineRule="auto"/>
        <w:ind w:firstLine="720"/>
        <w:jc w:val="both"/>
        <w:rPr>
          <w:rFonts w:ascii="Times New Roman" w:hAnsi="Times New Roman" w:cs="Times New Roman"/>
          <w:lang w:val="es-ES_tradnl"/>
        </w:rPr>
      </w:pPr>
      <w:r w:rsidRPr="006509A7">
        <w:rPr>
          <w:rFonts w:ascii="Times New Roman" w:hAnsi="Times New Roman" w:cs="Times New Roman"/>
        </w:rPr>
        <w:t xml:space="preserve">De Grado, L. (2025). </w:t>
      </w:r>
      <w:r w:rsidRPr="00CC2562">
        <w:rPr>
          <w:rFonts w:ascii="Times New Roman" w:hAnsi="Times New Roman" w:cs="Times New Roman"/>
          <w:lang w:val="es-ES_tradnl"/>
        </w:rPr>
        <w:t xml:space="preserve">¿Qué es la violencia vicaria?. </w:t>
      </w:r>
      <w:r w:rsidRPr="00CC2562">
        <w:rPr>
          <w:rFonts w:ascii="Times New Roman" w:hAnsi="Times New Roman" w:cs="Times New Roman"/>
          <w:i/>
          <w:iCs/>
          <w:lang w:val="es-ES_tradnl"/>
        </w:rPr>
        <w:t>EFEMINISTA</w:t>
      </w:r>
      <w:r w:rsidRPr="00CC2562">
        <w:rPr>
          <w:rFonts w:ascii="Times New Roman" w:hAnsi="Times New Roman" w:cs="Times New Roman"/>
          <w:lang w:val="es-ES_tradnl"/>
        </w:rPr>
        <w:t xml:space="preserve">. </w:t>
      </w:r>
      <w:hyperlink r:id="rId26" w:history="1">
        <w:r w:rsidR="000B7958" w:rsidRPr="001D4244">
          <w:rPr>
            <w:rStyle w:val="Hyperlink"/>
            <w:rFonts w:ascii="Times New Roman" w:hAnsi="Times New Roman" w:cs="Times New Roman"/>
            <w:lang w:val="es-ES_tradnl"/>
          </w:rPr>
          <w:t>https://efinista.com/que-es-la-violencia-vicaria/</w:t>
        </w:r>
      </w:hyperlink>
      <w:r w:rsidRPr="00CC2562">
        <w:rPr>
          <w:rFonts w:ascii="Times New Roman" w:hAnsi="Times New Roman" w:cs="Times New Roman"/>
          <w:lang w:val="es-ES_tradnl"/>
        </w:rPr>
        <w:t xml:space="preserve"> </w:t>
      </w:r>
    </w:p>
    <w:p w14:paraId="45F1D0E4" w14:textId="190BA9EE" w:rsidR="00355D15" w:rsidRPr="008235E0" w:rsidRDefault="00355D15" w:rsidP="000B7958">
      <w:pPr>
        <w:spacing w:line="360" w:lineRule="auto"/>
        <w:ind w:firstLine="720"/>
        <w:jc w:val="both"/>
        <w:rPr>
          <w:rFonts w:ascii="Times New Roman" w:hAnsi="Times New Roman" w:cs="Times New Roman"/>
          <w:lang w:val="en-GB"/>
        </w:rPr>
      </w:pPr>
      <w:r>
        <w:rPr>
          <w:rFonts w:ascii="Times New Roman" w:hAnsi="Times New Roman" w:cs="Times New Roman"/>
          <w:lang w:val="es-ES_tradnl"/>
        </w:rPr>
        <w:t xml:space="preserve">Dias de Assis Neto, N. (2024). Interaccionismo simbólico y criminología crítica: análisis del interaccionismo simbólico como antecedente de la teoría del etiquetamiento. </w:t>
      </w:r>
      <w:r w:rsidR="00837584" w:rsidRPr="00837584">
        <w:rPr>
          <w:rFonts w:ascii="Times New Roman" w:hAnsi="Times New Roman" w:cs="Times New Roman"/>
          <w:i/>
          <w:iCs/>
          <w:lang w:val="es-ES_tradnl"/>
        </w:rPr>
        <w:t>Revista Derecho Penal y Criminología</w:t>
      </w:r>
      <w:r w:rsidR="00837584" w:rsidRPr="00A06946">
        <w:rPr>
          <w:rFonts w:ascii="Times New Roman" w:hAnsi="Times New Roman" w:cs="Times New Roman"/>
          <w:i/>
          <w:iCs/>
          <w:lang w:val="es-ES_tradnl"/>
        </w:rPr>
        <w:t>, vol. 45, nº 119 (julio-diciembre de 2024), pp. 171-190</w:t>
      </w:r>
      <w:r w:rsidRPr="00A06946">
        <w:rPr>
          <w:rFonts w:ascii="Times New Roman" w:hAnsi="Times New Roman" w:cs="Times New Roman"/>
          <w:i/>
          <w:iCs/>
          <w:lang w:val="es-ES_tradnl"/>
        </w:rPr>
        <w:t>.</w:t>
      </w:r>
      <w:r>
        <w:rPr>
          <w:rFonts w:ascii="Times New Roman" w:hAnsi="Times New Roman" w:cs="Times New Roman"/>
          <w:lang w:val="es-ES_tradnl"/>
        </w:rPr>
        <w:t xml:space="preserve"> </w:t>
      </w:r>
      <w:hyperlink r:id="rId27" w:history="1">
        <w:r w:rsidR="00837584" w:rsidRPr="008235E0">
          <w:rPr>
            <w:rStyle w:val="Hyperlink"/>
            <w:rFonts w:ascii="Times New Roman" w:hAnsi="Times New Roman" w:cs="Times New Roman"/>
            <w:lang w:val="en-GB"/>
          </w:rPr>
          <w:t>https://dialnet.unirioja.es/servlet/articulo?codigo=9679706</w:t>
        </w:r>
      </w:hyperlink>
    </w:p>
    <w:p w14:paraId="0DA1725D" w14:textId="6AC16DDC" w:rsidR="007A1051" w:rsidRDefault="007A1051"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 xml:space="preserve">European Institute for Gender Equality. (2022). Gender-based violence. </w:t>
      </w:r>
      <w:hyperlink r:id="rId28" w:history="1">
        <w:r w:rsidRPr="001D4244">
          <w:rPr>
            <w:rStyle w:val="Hyperlink"/>
            <w:rFonts w:ascii="Times New Roman" w:hAnsi="Times New Roman" w:cs="Times New Roman"/>
            <w:lang w:val="en-GB"/>
          </w:rPr>
          <w:t>https://eige.europa.eu/gender-based-violence/what-is-gender-based-violence</w:t>
        </w:r>
      </w:hyperlink>
      <w:r>
        <w:rPr>
          <w:rFonts w:ascii="Times New Roman" w:hAnsi="Times New Roman" w:cs="Times New Roman"/>
          <w:lang w:val="en-GB"/>
        </w:rPr>
        <w:t xml:space="preserve"> </w:t>
      </w:r>
    </w:p>
    <w:p w14:paraId="2EA31E28" w14:textId="19A07FE5" w:rsidR="0026590C" w:rsidRPr="0026590C" w:rsidRDefault="0026590C" w:rsidP="000B7958">
      <w:pPr>
        <w:spacing w:line="360" w:lineRule="auto"/>
        <w:ind w:firstLine="720"/>
        <w:jc w:val="both"/>
        <w:rPr>
          <w:rFonts w:ascii="Times New Roman" w:hAnsi="Times New Roman" w:cs="Times New Roman"/>
          <w:lang w:val="en-GB"/>
        </w:rPr>
      </w:pPr>
      <w:r w:rsidRPr="0026590C">
        <w:rPr>
          <w:rFonts w:ascii="Times New Roman" w:hAnsi="Times New Roman" w:cs="Times New Roman"/>
          <w:lang w:val="en-GB"/>
        </w:rPr>
        <w:t>Fedina, L., Bender, A., Royer, M., Ash</w:t>
      </w:r>
      <w:r>
        <w:rPr>
          <w:rFonts w:ascii="Times New Roman" w:hAnsi="Times New Roman" w:cs="Times New Roman"/>
          <w:lang w:val="en-GB"/>
        </w:rPr>
        <w:t xml:space="preserve">well, L., Tolman, R. y Herrenkohl, T. (2024). 3-month prevalence of unwanted sexual contact victimization in a national sample of college students: differences by race, gender identity, and sexual identity. </w:t>
      </w:r>
      <w:r w:rsidRPr="0026590C">
        <w:rPr>
          <w:rFonts w:ascii="Times New Roman" w:hAnsi="Times New Roman" w:cs="Times New Roman"/>
          <w:i/>
          <w:iCs/>
          <w:lang w:val="en-GB"/>
        </w:rPr>
        <w:t>BMC Public Health</w:t>
      </w:r>
      <w:r>
        <w:rPr>
          <w:rFonts w:ascii="Times New Roman" w:hAnsi="Times New Roman" w:cs="Times New Roman"/>
          <w:lang w:val="en-GB"/>
        </w:rPr>
        <w:t xml:space="preserve">. </w:t>
      </w:r>
      <w:hyperlink r:id="rId29" w:history="1">
        <w:r w:rsidRPr="001D4244">
          <w:rPr>
            <w:rStyle w:val="Hyperlink"/>
            <w:rFonts w:ascii="Times New Roman" w:hAnsi="Times New Roman" w:cs="Times New Roman"/>
            <w:lang w:val="en-GB"/>
          </w:rPr>
          <w:t>https://link.springer.com/article/10.1186/s12889-024-18018-7</w:t>
        </w:r>
      </w:hyperlink>
      <w:r>
        <w:rPr>
          <w:rFonts w:ascii="Times New Roman" w:hAnsi="Times New Roman" w:cs="Times New Roman"/>
          <w:lang w:val="en-GB"/>
        </w:rPr>
        <w:t xml:space="preserve"> </w:t>
      </w:r>
    </w:p>
    <w:p w14:paraId="2EFF98FB" w14:textId="5B5702E0" w:rsidR="009A6D86" w:rsidRDefault="009A6D86" w:rsidP="000B7958">
      <w:pPr>
        <w:spacing w:line="360" w:lineRule="auto"/>
        <w:ind w:firstLine="720"/>
        <w:jc w:val="both"/>
        <w:rPr>
          <w:rFonts w:ascii="Times New Roman" w:hAnsi="Times New Roman" w:cs="Times New Roman"/>
          <w:lang w:val="es-ES_tradnl"/>
        </w:rPr>
      </w:pPr>
      <w:r w:rsidRPr="008F3115">
        <w:rPr>
          <w:rFonts w:ascii="Times New Roman" w:hAnsi="Times New Roman" w:cs="Times New Roman"/>
          <w:lang w:val="en-GB"/>
        </w:rPr>
        <w:t xml:space="preserve">Fernández, </w:t>
      </w:r>
      <w:r w:rsidR="00CA5F23" w:rsidRPr="008F3115">
        <w:rPr>
          <w:rFonts w:ascii="Times New Roman" w:hAnsi="Times New Roman" w:cs="Times New Roman"/>
          <w:lang w:val="en-GB"/>
        </w:rPr>
        <w:t>M. ª</w:t>
      </w:r>
      <w:r w:rsidRPr="008F3115">
        <w:rPr>
          <w:rFonts w:ascii="Times New Roman" w:hAnsi="Times New Roman" w:cs="Times New Roman"/>
          <w:lang w:val="en-GB"/>
        </w:rPr>
        <w:t xml:space="preserve"> C., y López, R. M.ª. (2023). </w:t>
      </w:r>
      <w:r>
        <w:rPr>
          <w:rFonts w:ascii="Times New Roman" w:hAnsi="Times New Roman" w:cs="Times New Roman"/>
          <w:lang w:val="es-ES_tradnl"/>
        </w:rPr>
        <w:t>Violencia de género: situación actual, avances y desafíos pendientes en la respuesta del Sistema Sanitario.</w:t>
      </w:r>
      <w:r w:rsidRPr="009A6D86">
        <w:rPr>
          <w:rFonts w:ascii="Times New Roman" w:hAnsi="Times New Roman" w:cs="Times New Roman"/>
          <w:i/>
          <w:iCs/>
          <w:lang w:val="es-ES_tradnl"/>
        </w:rPr>
        <w:t xml:space="preserve"> Revista Atención Primaria. </w:t>
      </w:r>
      <w:hyperlink r:id="rId30" w:history="1">
        <w:r w:rsidRPr="00DD0F97">
          <w:rPr>
            <w:rStyle w:val="Hyperlink"/>
            <w:rFonts w:ascii="Times New Roman" w:hAnsi="Times New Roman" w:cs="Times New Roman"/>
            <w:lang w:val="es-ES_tradnl"/>
          </w:rPr>
          <w:t>https://www.elsevier.es/es-revista-atencion-primaria-27-pdf-S0212656723002007</w:t>
        </w:r>
      </w:hyperlink>
    </w:p>
    <w:p w14:paraId="1FBB4F85" w14:textId="6E810296" w:rsidR="006653CF" w:rsidRDefault="006653CF"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 xml:space="preserve">Flood, M. (2015). Work with men to end violence against women. </w:t>
      </w:r>
      <w:r w:rsidRPr="00A06946">
        <w:rPr>
          <w:rFonts w:ascii="Times New Roman" w:hAnsi="Times New Roman" w:cs="Times New Roman"/>
          <w:i/>
          <w:iCs/>
          <w:lang w:val="en-GB"/>
        </w:rPr>
        <w:t xml:space="preserve">Culture, Health and Sexuality, 17 (S2), 159-176. </w:t>
      </w:r>
      <w:hyperlink r:id="rId31" w:history="1">
        <w:r w:rsidRPr="001D4244">
          <w:rPr>
            <w:rStyle w:val="Hyperlink"/>
            <w:rFonts w:ascii="Times New Roman" w:hAnsi="Times New Roman" w:cs="Times New Roman"/>
            <w:lang w:val="en-GB"/>
          </w:rPr>
          <w:t>https://pmc.ncbi.nlm.nih.gov/articles/PMC4706022/</w:t>
        </w:r>
      </w:hyperlink>
      <w:r>
        <w:rPr>
          <w:rFonts w:ascii="Times New Roman" w:hAnsi="Times New Roman" w:cs="Times New Roman"/>
          <w:lang w:val="en-GB"/>
        </w:rPr>
        <w:t xml:space="preserve"> </w:t>
      </w:r>
    </w:p>
    <w:p w14:paraId="7B044B84" w14:textId="4BA49535" w:rsidR="00EB6D04" w:rsidRPr="00EB6D04" w:rsidRDefault="00EB6D04" w:rsidP="000B7958">
      <w:pPr>
        <w:spacing w:line="360" w:lineRule="auto"/>
        <w:ind w:firstLine="720"/>
        <w:jc w:val="both"/>
        <w:rPr>
          <w:rFonts w:ascii="Times New Roman" w:hAnsi="Times New Roman" w:cs="Times New Roman"/>
        </w:rPr>
      </w:pPr>
      <w:r>
        <w:rPr>
          <w:rFonts w:ascii="Times New Roman" w:hAnsi="Times New Roman" w:cs="Times New Roman"/>
          <w:lang w:val="en-GB"/>
        </w:rPr>
        <w:t xml:space="preserve">Flood, M. (2019). </w:t>
      </w:r>
      <w:r w:rsidRPr="00EB6D04">
        <w:rPr>
          <w:rFonts w:ascii="Times New Roman" w:hAnsi="Times New Roman" w:cs="Times New Roman"/>
          <w:i/>
          <w:iCs/>
          <w:lang w:val="en-GB"/>
        </w:rPr>
        <w:t xml:space="preserve">Engaging Men and Boys in Violence Prevention. </w:t>
      </w:r>
      <w:r w:rsidRPr="00EB6D04">
        <w:rPr>
          <w:rFonts w:ascii="Times New Roman" w:hAnsi="Times New Roman" w:cs="Times New Roman"/>
        </w:rPr>
        <w:t xml:space="preserve">Palgrave MacMillan. </w:t>
      </w:r>
      <w:hyperlink r:id="rId32" w:history="1">
        <w:r w:rsidRPr="00766B91">
          <w:rPr>
            <w:rStyle w:val="Hyperlink"/>
            <w:rFonts w:ascii="Times New Roman" w:hAnsi="Times New Roman" w:cs="Times New Roman"/>
          </w:rPr>
          <w:t>https://xyonline.net/sites/xyonline.net/files/2019-05/Flood%2C%20Engaging%20Men%20and%20Boys%20in%20Violence%20Prevention%202018.pdf</w:t>
        </w:r>
      </w:hyperlink>
      <w:r>
        <w:rPr>
          <w:rFonts w:ascii="Times New Roman" w:hAnsi="Times New Roman" w:cs="Times New Roman"/>
        </w:rPr>
        <w:t xml:space="preserve"> </w:t>
      </w:r>
    </w:p>
    <w:p w14:paraId="10521ED7" w14:textId="4FE688EE" w:rsidR="006653CF" w:rsidRDefault="006653CF"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 xml:space="preserve">Gibbs, A., Dunkle, K., Ramsoomar, L., Willan, S., Jama Shai, N., Chatterji, S., Naved, R. y Jewkes, R. (2020). New </w:t>
      </w:r>
      <w:r w:rsidR="00CA5F23">
        <w:rPr>
          <w:rFonts w:ascii="Times New Roman" w:hAnsi="Times New Roman" w:cs="Times New Roman"/>
          <w:lang w:val="en-GB"/>
        </w:rPr>
        <w:t>learnings</w:t>
      </w:r>
      <w:r>
        <w:rPr>
          <w:rFonts w:ascii="Times New Roman" w:hAnsi="Times New Roman" w:cs="Times New Roman"/>
          <w:lang w:val="en-GB"/>
        </w:rPr>
        <w:t xml:space="preserve"> on drivers of men’s physical and/or sexual violence against their female partners, and women’s experiences of this, and the implications for prevention interventions. </w:t>
      </w:r>
      <w:r w:rsidRPr="00A06946">
        <w:rPr>
          <w:rFonts w:ascii="Times New Roman" w:hAnsi="Times New Roman" w:cs="Times New Roman"/>
          <w:i/>
          <w:iCs/>
          <w:lang w:val="en-GB"/>
        </w:rPr>
        <w:t xml:space="preserve">Global Health Action. </w:t>
      </w:r>
      <w:hyperlink r:id="rId33" w:history="1">
        <w:r w:rsidR="004F7A32" w:rsidRPr="001D4244">
          <w:rPr>
            <w:rStyle w:val="Hyperlink"/>
            <w:rFonts w:ascii="Times New Roman" w:hAnsi="Times New Roman" w:cs="Times New Roman"/>
            <w:lang w:val="en-GB"/>
          </w:rPr>
          <w:t>https://pubmed.ncbi.nlm.nih.gov/32202227/</w:t>
        </w:r>
      </w:hyperlink>
    </w:p>
    <w:p w14:paraId="79D2E394" w14:textId="3975B339" w:rsidR="00B81383" w:rsidRPr="00B81383" w:rsidRDefault="00B81383" w:rsidP="000B7958">
      <w:pPr>
        <w:spacing w:line="360" w:lineRule="auto"/>
        <w:ind w:firstLine="720"/>
        <w:jc w:val="both"/>
        <w:rPr>
          <w:rFonts w:ascii="Times New Roman" w:hAnsi="Times New Roman" w:cs="Times New Roman"/>
        </w:rPr>
      </w:pPr>
      <w:r w:rsidRPr="008235E0">
        <w:rPr>
          <w:rFonts w:ascii="Times New Roman" w:hAnsi="Times New Roman" w:cs="Times New Roman"/>
          <w:lang w:val="en-GB"/>
        </w:rPr>
        <w:lastRenderedPageBreak/>
        <w:t xml:space="preserve">Gómez-Osorio, J.D. (2022). </w:t>
      </w:r>
      <w:r>
        <w:rPr>
          <w:rFonts w:ascii="Times New Roman" w:hAnsi="Times New Roman" w:cs="Times New Roman"/>
        </w:rPr>
        <w:t xml:space="preserve">¿Qué hay de malo en ser hombre? Homosocialidad y sexismo en el dispositivo de masculinidad. </w:t>
      </w:r>
      <w:r w:rsidRPr="00A06946">
        <w:rPr>
          <w:rFonts w:ascii="Times New Roman" w:hAnsi="Times New Roman" w:cs="Times New Roman"/>
          <w:i/>
          <w:iCs/>
        </w:rPr>
        <w:t>Universidad Nacional de la Plata.</w:t>
      </w:r>
      <w:r w:rsidRPr="00A06946">
        <w:rPr>
          <w:i/>
          <w:iCs/>
        </w:rPr>
        <w:t xml:space="preserve"> </w:t>
      </w:r>
      <w:hyperlink r:id="rId34" w:history="1">
        <w:r w:rsidRPr="001D4244">
          <w:rPr>
            <w:rStyle w:val="Hyperlink"/>
            <w:rFonts w:ascii="Times New Roman" w:hAnsi="Times New Roman" w:cs="Times New Roman"/>
          </w:rPr>
          <w:t>https://www.memoria.fahce.unlp.edu.ar/trab_eventos/ev.15930/ev.15930.pdf</w:t>
        </w:r>
      </w:hyperlink>
      <w:r>
        <w:rPr>
          <w:rFonts w:ascii="Times New Roman" w:hAnsi="Times New Roman" w:cs="Times New Roman"/>
        </w:rPr>
        <w:t xml:space="preserve"> </w:t>
      </w:r>
    </w:p>
    <w:p w14:paraId="42D264FB" w14:textId="736970B7" w:rsidR="00F36958" w:rsidRPr="00291F43" w:rsidRDefault="00F36958" w:rsidP="000B7958">
      <w:pPr>
        <w:spacing w:line="360" w:lineRule="auto"/>
        <w:ind w:firstLine="720"/>
        <w:jc w:val="both"/>
        <w:rPr>
          <w:rFonts w:ascii="Times New Roman" w:hAnsi="Times New Roman" w:cs="Times New Roman"/>
        </w:rPr>
      </w:pPr>
      <w:r w:rsidRPr="008235E0">
        <w:rPr>
          <w:rFonts w:ascii="Times New Roman" w:hAnsi="Times New Roman" w:cs="Times New Roman"/>
          <w:lang w:val="en-GB"/>
        </w:rPr>
        <w:t xml:space="preserve">Hare, R. (2003). </w:t>
      </w:r>
      <w:r>
        <w:rPr>
          <w:rFonts w:ascii="Times New Roman" w:hAnsi="Times New Roman" w:cs="Times New Roman"/>
          <w:lang w:val="en-GB"/>
        </w:rPr>
        <w:t>Manual for the revised psychopathy checklist - 2</w:t>
      </w:r>
      <w:r w:rsidRPr="00F36958">
        <w:rPr>
          <w:rFonts w:ascii="Times New Roman" w:hAnsi="Times New Roman" w:cs="Times New Roman"/>
          <w:vertAlign w:val="superscript"/>
          <w:lang w:val="en-GB"/>
        </w:rPr>
        <w:t>nd</w:t>
      </w:r>
      <w:r>
        <w:rPr>
          <w:rFonts w:ascii="Times New Roman" w:hAnsi="Times New Roman" w:cs="Times New Roman"/>
          <w:lang w:val="en-GB"/>
        </w:rPr>
        <w:t xml:space="preserve"> edition. </w:t>
      </w:r>
      <w:r w:rsidR="00291F43" w:rsidRPr="00A06946">
        <w:rPr>
          <w:rFonts w:ascii="Times New Roman" w:hAnsi="Times New Roman" w:cs="Times New Roman"/>
          <w:i/>
          <w:iCs/>
        </w:rPr>
        <w:t>Ediciones TEA.</w:t>
      </w:r>
      <w:r w:rsidR="00291F43" w:rsidRPr="00291F43">
        <w:rPr>
          <w:rFonts w:ascii="Times New Roman" w:hAnsi="Times New Roman" w:cs="Times New Roman"/>
        </w:rPr>
        <w:t xml:space="preserve"> </w:t>
      </w:r>
      <w:hyperlink r:id="rId35" w:history="1">
        <w:r w:rsidR="00291F43" w:rsidRPr="009A5E9A">
          <w:rPr>
            <w:rStyle w:val="Hyperlink"/>
            <w:rFonts w:ascii="Times New Roman" w:hAnsi="Times New Roman" w:cs="Times New Roman"/>
          </w:rPr>
          <w:t>https://www.hogrefe-tea.com/public/catalogo/producto/PCL-R-ESCALA-DE-EVALUACION-DE-LA-PSICOPATIA-DE-HARE-REVISADA</w:t>
        </w:r>
      </w:hyperlink>
      <w:r w:rsidR="00291F43">
        <w:rPr>
          <w:rFonts w:ascii="Times New Roman" w:hAnsi="Times New Roman" w:cs="Times New Roman"/>
        </w:rPr>
        <w:t xml:space="preserve"> </w:t>
      </w:r>
    </w:p>
    <w:p w14:paraId="25B8C73F" w14:textId="2F16029C" w:rsidR="0049558C" w:rsidRPr="0049558C" w:rsidRDefault="0049558C" w:rsidP="000B7958">
      <w:pPr>
        <w:spacing w:line="360" w:lineRule="auto"/>
        <w:ind w:firstLine="720"/>
        <w:jc w:val="both"/>
        <w:rPr>
          <w:rFonts w:ascii="Times New Roman" w:hAnsi="Times New Roman" w:cs="Times New Roman"/>
          <w:lang w:val="en-GB"/>
        </w:rPr>
      </w:pPr>
      <w:r w:rsidRPr="0049558C">
        <w:rPr>
          <w:rFonts w:ascii="Times New Roman" w:hAnsi="Times New Roman" w:cs="Times New Roman"/>
          <w:lang w:val="en-GB"/>
        </w:rPr>
        <w:t xml:space="preserve">Hirschi, T. (1969). </w:t>
      </w:r>
      <w:r w:rsidRPr="0049558C">
        <w:rPr>
          <w:rFonts w:ascii="Times New Roman" w:hAnsi="Times New Roman" w:cs="Times New Roman"/>
          <w:i/>
          <w:iCs/>
          <w:lang w:val="en-GB"/>
        </w:rPr>
        <w:t>A</w:t>
      </w:r>
      <w:r w:rsidR="00160FD3">
        <w:rPr>
          <w:rFonts w:ascii="Times New Roman" w:hAnsi="Times New Roman" w:cs="Times New Roman"/>
          <w:i/>
          <w:iCs/>
          <w:lang w:val="en-GB"/>
        </w:rPr>
        <w:t xml:space="preserve"> C</w:t>
      </w:r>
      <w:r w:rsidRPr="0049558C">
        <w:rPr>
          <w:rFonts w:ascii="Times New Roman" w:hAnsi="Times New Roman" w:cs="Times New Roman"/>
          <w:i/>
          <w:iCs/>
          <w:lang w:val="en-GB"/>
        </w:rPr>
        <w:t xml:space="preserve">ontrol </w:t>
      </w:r>
      <w:r w:rsidR="00160FD3">
        <w:rPr>
          <w:rFonts w:ascii="Times New Roman" w:hAnsi="Times New Roman" w:cs="Times New Roman"/>
          <w:i/>
          <w:iCs/>
          <w:lang w:val="en-GB"/>
        </w:rPr>
        <w:t>T</w:t>
      </w:r>
      <w:r w:rsidRPr="0049558C">
        <w:rPr>
          <w:rFonts w:ascii="Times New Roman" w:hAnsi="Times New Roman" w:cs="Times New Roman"/>
          <w:i/>
          <w:iCs/>
          <w:lang w:val="en-GB"/>
        </w:rPr>
        <w:t>heory of Delinquency: Causes of Delinquenc</w:t>
      </w:r>
      <w:r>
        <w:rPr>
          <w:rFonts w:ascii="Times New Roman" w:hAnsi="Times New Roman" w:cs="Times New Roman"/>
          <w:i/>
          <w:iCs/>
          <w:lang w:val="en-GB"/>
        </w:rPr>
        <w:t>y</w:t>
      </w:r>
      <w:r w:rsidRPr="0049558C">
        <w:rPr>
          <w:rFonts w:ascii="Times New Roman" w:hAnsi="Times New Roman" w:cs="Times New Roman"/>
          <w:i/>
          <w:iCs/>
          <w:lang w:val="en-GB"/>
        </w:rPr>
        <w:t>.</w:t>
      </w:r>
      <w:r>
        <w:rPr>
          <w:rFonts w:ascii="Times New Roman" w:hAnsi="Times New Roman" w:cs="Times New Roman"/>
          <w:lang w:val="en-GB"/>
        </w:rPr>
        <w:t xml:space="preserve"> Transaction Publishers. </w:t>
      </w:r>
      <w:hyperlink r:id="rId36" w:history="1">
        <w:r w:rsidRPr="009A5E9A">
          <w:rPr>
            <w:rStyle w:val="Hyperlink"/>
            <w:rFonts w:ascii="Times New Roman" w:hAnsi="Times New Roman" w:cs="Times New Roman"/>
            <w:lang w:val="en-GB"/>
          </w:rPr>
          <w:t>https://conflictosocialyconductadesviada.wordpress.com/wp-content/uploads/2010/11/hirsh-conrol-social.pdf</w:t>
        </w:r>
      </w:hyperlink>
      <w:r>
        <w:rPr>
          <w:rFonts w:ascii="Times New Roman" w:hAnsi="Times New Roman" w:cs="Times New Roman"/>
          <w:lang w:val="en-GB"/>
        </w:rPr>
        <w:t xml:space="preserve"> </w:t>
      </w:r>
    </w:p>
    <w:p w14:paraId="20B8C271" w14:textId="70817A39" w:rsidR="00D371DE" w:rsidRPr="00D371DE" w:rsidRDefault="00D371DE" w:rsidP="000B7958">
      <w:pPr>
        <w:spacing w:line="360" w:lineRule="auto"/>
        <w:ind w:firstLine="720"/>
        <w:jc w:val="both"/>
        <w:rPr>
          <w:rFonts w:ascii="Times New Roman" w:hAnsi="Times New Roman" w:cs="Times New Roman"/>
          <w:lang w:val="en-GB"/>
        </w:rPr>
      </w:pPr>
      <w:r w:rsidRPr="00D371DE">
        <w:rPr>
          <w:rFonts w:ascii="Times New Roman" w:hAnsi="Times New Roman" w:cs="Times New Roman"/>
          <w:lang w:val="en-GB"/>
        </w:rPr>
        <w:t xml:space="preserve">Holt, S., Buckley, H. y </w:t>
      </w:r>
      <w:r>
        <w:rPr>
          <w:rFonts w:ascii="Times New Roman" w:hAnsi="Times New Roman" w:cs="Times New Roman"/>
          <w:lang w:val="en-GB"/>
        </w:rPr>
        <w:t xml:space="preserve">Whelan, S. (2008). The impact of exposure to domestic violence on children and young people. </w:t>
      </w:r>
      <w:r w:rsidRPr="004D1DBB">
        <w:rPr>
          <w:rFonts w:ascii="Times New Roman" w:hAnsi="Times New Roman" w:cs="Times New Roman"/>
          <w:i/>
          <w:iCs/>
          <w:lang w:val="en-GB"/>
        </w:rPr>
        <w:t>Elsevier</w:t>
      </w:r>
      <w:r w:rsidR="004D1DBB" w:rsidRPr="004D1DBB">
        <w:rPr>
          <w:rFonts w:ascii="Times New Roman" w:hAnsi="Times New Roman" w:cs="Times New Roman"/>
          <w:i/>
          <w:iCs/>
          <w:lang w:val="en-GB"/>
        </w:rPr>
        <w:t xml:space="preserve">. </w:t>
      </w:r>
      <w:hyperlink r:id="rId37" w:history="1">
        <w:r w:rsidR="004D1DBB">
          <w:rPr>
            <w:rStyle w:val="Hyperlink"/>
            <w:rFonts w:ascii="Times New Roman" w:hAnsi="Times New Roman" w:cs="Times New Roman"/>
            <w:lang w:val="en-GB"/>
          </w:rPr>
          <w:t>https://www.researchgate.net/publication/23219462</w:t>
        </w:r>
      </w:hyperlink>
      <w:r w:rsidR="004D1DBB">
        <w:rPr>
          <w:rFonts w:ascii="Times New Roman" w:hAnsi="Times New Roman" w:cs="Times New Roman"/>
          <w:lang w:val="en-GB"/>
        </w:rPr>
        <w:t xml:space="preserve"> </w:t>
      </w:r>
    </w:p>
    <w:p w14:paraId="46F3E947" w14:textId="270008E4" w:rsidR="009B1C55" w:rsidRPr="009B1C55" w:rsidRDefault="00085E59" w:rsidP="009B1C55">
      <w:pPr>
        <w:spacing w:line="360" w:lineRule="auto"/>
        <w:ind w:firstLine="720"/>
        <w:jc w:val="both"/>
        <w:rPr>
          <w:rFonts w:ascii="Times New Roman" w:hAnsi="Times New Roman" w:cs="Times New Roman"/>
          <w:lang w:val="en-GB"/>
        </w:rPr>
      </w:pPr>
      <w:r w:rsidRPr="00085E59">
        <w:rPr>
          <w:rFonts w:ascii="Times New Roman" w:hAnsi="Times New Roman" w:cs="Times New Roman"/>
          <w:lang w:val="en-GB"/>
        </w:rPr>
        <w:t>Johnson, L., Chen, Y., S</w:t>
      </w:r>
      <w:r>
        <w:rPr>
          <w:rFonts w:ascii="Times New Roman" w:hAnsi="Times New Roman" w:cs="Times New Roman"/>
          <w:lang w:val="en-GB"/>
        </w:rPr>
        <w:t xml:space="preserve">tylianou, A. y Arnold, A. (2022). Examining the impact of economic abuse on survivors of intimate partner violence: a scoping review. </w:t>
      </w:r>
      <w:r w:rsidRPr="00A06946">
        <w:rPr>
          <w:rFonts w:ascii="Times New Roman" w:hAnsi="Times New Roman" w:cs="Times New Roman"/>
          <w:i/>
          <w:iCs/>
          <w:lang w:val="en-GB"/>
        </w:rPr>
        <w:t xml:space="preserve">BMC Public Health. </w:t>
      </w:r>
      <w:hyperlink r:id="rId38" w:history="1">
        <w:r w:rsidRPr="001D4244">
          <w:rPr>
            <w:rStyle w:val="Hyperlink"/>
            <w:rFonts w:ascii="Times New Roman" w:hAnsi="Times New Roman" w:cs="Times New Roman"/>
            <w:lang w:val="en-GB"/>
          </w:rPr>
          <w:t>https://link.springer.com/article/10.1186/s12889-022-13297-4?utm_source=chatgpt.com</w:t>
        </w:r>
      </w:hyperlink>
      <w:r>
        <w:rPr>
          <w:rFonts w:ascii="Times New Roman" w:hAnsi="Times New Roman" w:cs="Times New Roman"/>
          <w:lang w:val="en-GB"/>
        </w:rPr>
        <w:t xml:space="preserve"> </w:t>
      </w:r>
    </w:p>
    <w:p w14:paraId="1123D71C" w14:textId="5FBC991A" w:rsidR="009B1C55" w:rsidRPr="009B1C55" w:rsidRDefault="009B1C55" w:rsidP="000B7958">
      <w:pPr>
        <w:spacing w:line="360" w:lineRule="auto"/>
        <w:ind w:firstLine="720"/>
        <w:jc w:val="both"/>
        <w:rPr>
          <w:rFonts w:ascii="Times New Roman" w:hAnsi="Times New Roman" w:cs="Times New Roman"/>
          <w:lang w:val="en-GB"/>
        </w:rPr>
      </w:pPr>
      <w:r w:rsidRPr="007F38F4">
        <w:rPr>
          <w:rFonts w:ascii="Times New Roman" w:hAnsi="Times New Roman" w:cs="Times New Roman"/>
          <w:lang w:val="en-GB"/>
        </w:rPr>
        <w:t xml:space="preserve">Katz, E., Nikupeteri, A. y Laitinen, M. (2020). </w:t>
      </w:r>
      <w:r w:rsidRPr="009B1C55">
        <w:rPr>
          <w:rFonts w:ascii="Times New Roman" w:hAnsi="Times New Roman" w:cs="Times New Roman"/>
          <w:lang w:val="en-GB"/>
        </w:rPr>
        <w:t xml:space="preserve">When </w:t>
      </w:r>
      <w:r>
        <w:rPr>
          <w:rFonts w:ascii="Times New Roman" w:hAnsi="Times New Roman" w:cs="Times New Roman"/>
          <w:lang w:val="en-GB"/>
        </w:rPr>
        <w:t xml:space="preserve">Coercive Control Continues to Harm Children: Post-Separation Fathering, Stalking and Domestic Violence. </w:t>
      </w:r>
      <w:r w:rsidRPr="00A06946">
        <w:rPr>
          <w:rFonts w:ascii="Times New Roman" w:hAnsi="Times New Roman" w:cs="Times New Roman"/>
          <w:i/>
          <w:iCs/>
          <w:lang w:val="en-GB"/>
        </w:rPr>
        <w:t xml:space="preserve">Wiley Online Library. </w:t>
      </w:r>
      <w:hyperlink r:id="rId39" w:history="1">
        <w:r w:rsidRPr="00A05BE0">
          <w:rPr>
            <w:rStyle w:val="Hyperlink"/>
            <w:rFonts w:ascii="Times New Roman" w:hAnsi="Times New Roman" w:cs="Times New Roman"/>
            <w:lang w:val="en-GB"/>
          </w:rPr>
          <w:t>https://research.edgehill.ac.uk/ws/portalfiles/portal/86053069/Child_Abuse_Review_-_2020_-_Katz_-_When_Coercive_Control_Continues_to_Harm_Children_Post_Separation_Fathering_Stalking.pdf</w:t>
        </w:r>
      </w:hyperlink>
      <w:r>
        <w:rPr>
          <w:rFonts w:ascii="Times New Roman" w:hAnsi="Times New Roman" w:cs="Times New Roman"/>
          <w:lang w:val="en-GB"/>
        </w:rPr>
        <w:t xml:space="preserve"> </w:t>
      </w:r>
    </w:p>
    <w:p w14:paraId="69C3CB15" w14:textId="1D617A29" w:rsidR="00840A94" w:rsidRPr="00840A94" w:rsidRDefault="00840A94" w:rsidP="000B7958">
      <w:pPr>
        <w:spacing w:line="360" w:lineRule="auto"/>
        <w:ind w:firstLine="720"/>
        <w:jc w:val="both"/>
        <w:rPr>
          <w:rFonts w:ascii="Times New Roman" w:hAnsi="Times New Roman" w:cs="Times New Roman"/>
          <w:lang w:val="en-GB"/>
        </w:rPr>
      </w:pPr>
      <w:r w:rsidRPr="00A06946">
        <w:rPr>
          <w:rFonts w:ascii="Times New Roman" w:hAnsi="Times New Roman" w:cs="Times New Roman"/>
          <w:lang w:val="sv-SE"/>
        </w:rPr>
        <w:t xml:space="preserve">Kitzmann, K., Gaylord, N., Holt, A., Kenny, E. (2003). </w:t>
      </w:r>
      <w:r w:rsidRPr="00840A94">
        <w:rPr>
          <w:rFonts w:ascii="Times New Roman" w:hAnsi="Times New Roman" w:cs="Times New Roman"/>
          <w:lang w:val="en-GB"/>
        </w:rPr>
        <w:t>Child witnesses to domestic viol</w:t>
      </w:r>
      <w:r>
        <w:rPr>
          <w:rFonts w:ascii="Times New Roman" w:hAnsi="Times New Roman" w:cs="Times New Roman"/>
          <w:lang w:val="en-GB"/>
        </w:rPr>
        <w:t xml:space="preserve">ence: a meta-analytic review. </w:t>
      </w:r>
      <w:r w:rsidRPr="00A06946">
        <w:rPr>
          <w:rFonts w:ascii="Times New Roman" w:hAnsi="Times New Roman" w:cs="Times New Roman"/>
          <w:i/>
          <w:iCs/>
          <w:lang w:val="en-GB"/>
        </w:rPr>
        <w:t xml:space="preserve">Journal </w:t>
      </w:r>
      <w:r w:rsidR="00A06946" w:rsidRPr="00A06946">
        <w:rPr>
          <w:rFonts w:ascii="Times New Roman" w:hAnsi="Times New Roman" w:cs="Times New Roman"/>
          <w:i/>
          <w:iCs/>
          <w:lang w:val="en-GB"/>
        </w:rPr>
        <w:t>of Consulting and Clinical Psychology.</w:t>
      </w:r>
      <w:r w:rsidR="00A06946">
        <w:rPr>
          <w:rFonts w:ascii="Times New Roman" w:hAnsi="Times New Roman" w:cs="Times New Roman"/>
          <w:lang w:val="en-GB"/>
        </w:rPr>
        <w:t xml:space="preserve"> </w:t>
      </w:r>
      <w:hyperlink r:id="rId40" w:history="1">
        <w:r w:rsidR="000069BA" w:rsidRPr="00766B91">
          <w:rPr>
            <w:rStyle w:val="Hyperlink"/>
            <w:rFonts w:ascii="Times New Roman" w:hAnsi="Times New Roman" w:cs="Times New Roman"/>
            <w:lang w:val="en-GB"/>
          </w:rPr>
          <w:t>https://psycnet.apa.org/doiLanding?doi=10.1037%2F0022-006X.71.2.339</w:t>
        </w:r>
      </w:hyperlink>
      <w:r w:rsidR="000069BA">
        <w:rPr>
          <w:rFonts w:ascii="Times New Roman" w:hAnsi="Times New Roman" w:cs="Times New Roman"/>
          <w:lang w:val="en-GB"/>
        </w:rPr>
        <w:t xml:space="preserve"> </w:t>
      </w:r>
    </w:p>
    <w:p w14:paraId="42592773" w14:textId="268C2713" w:rsidR="00212899" w:rsidRPr="00512BCB" w:rsidRDefault="00212899" w:rsidP="000B7958">
      <w:pPr>
        <w:spacing w:line="360" w:lineRule="auto"/>
        <w:ind w:firstLine="720"/>
        <w:jc w:val="both"/>
        <w:rPr>
          <w:rFonts w:ascii="Times New Roman" w:hAnsi="Times New Roman" w:cs="Times New Roman"/>
        </w:rPr>
      </w:pPr>
      <w:r w:rsidRPr="001866A0">
        <w:rPr>
          <w:rFonts w:ascii="Times New Roman" w:hAnsi="Times New Roman" w:cs="Times New Roman"/>
        </w:rPr>
        <w:t xml:space="preserve">Laboratorio Pericial Forense. </w:t>
      </w:r>
      <w:r>
        <w:rPr>
          <w:rFonts w:ascii="Times New Roman" w:hAnsi="Times New Roman" w:cs="Times New Roman"/>
          <w:lang w:val="es-ES_tradnl"/>
        </w:rPr>
        <w:t xml:space="preserve">(2025). Teoría de la elección racional: Racionalidad y crimen. </w:t>
      </w:r>
      <w:hyperlink r:id="rId41" w:history="1">
        <w:r w:rsidRPr="00512BCB">
          <w:rPr>
            <w:rStyle w:val="Hyperlink"/>
            <w:rFonts w:ascii="Times New Roman" w:hAnsi="Times New Roman" w:cs="Times New Roman"/>
          </w:rPr>
          <w:t>https://laboratoriopericialforense.com/teoria-de-la-eleccion-racional-racionalidad-y-crimen/</w:t>
        </w:r>
      </w:hyperlink>
      <w:r w:rsidRPr="00512BCB">
        <w:rPr>
          <w:rFonts w:ascii="Times New Roman" w:hAnsi="Times New Roman" w:cs="Times New Roman"/>
        </w:rPr>
        <w:t xml:space="preserve"> </w:t>
      </w:r>
    </w:p>
    <w:p w14:paraId="384BEB8F" w14:textId="6A5ADDD6" w:rsidR="009B7B83" w:rsidRDefault="009B7B83"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 xml:space="preserve">Lapierre, S. (2009). More responsibilities, less control: understanding the challenges and difficulties involved in mothering in the context of domestic violence. </w:t>
      </w:r>
      <w:r w:rsidRPr="009B7B83">
        <w:rPr>
          <w:rFonts w:ascii="Times New Roman" w:hAnsi="Times New Roman" w:cs="Times New Roman"/>
          <w:i/>
          <w:iCs/>
          <w:lang w:val="en-GB"/>
        </w:rPr>
        <w:t xml:space="preserve">The </w:t>
      </w:r>
      <w:r w:rsidRPr="009B7B83">
        <w:rPr>
          <w:rFonts w:ascii="Times New Roman" w:hAnsi="Times New Roman" w:cs="Times New Roman"/>
          <w:i/>
          <w:iCs/>
          <w:lang w:val="en-GB"/>
        </w:rPr>
        <w:lastRenderedPageBreak/>
        <w:t xml:space="preserve">British Journal of Social Work. </w:t>
      </w:r>
      <w:hyperlink r:id="rId42" w:history="1">
        <w:r w:rsidRPr="00766B91">
          <w:rPr>
            <w:rStyle w:val="Hyperlink"/>
            <w:rFonts w:ascii="Times New Roman" w:hAnsi="Times New Roman" w:cs="Times New Roman"/>
            <w:lang w:val="en-GB"/>
          </w:rPr>
          <w:t>https://academic.oup.com/bjsw/article/40/5/1434/1730064?login=true</w:t>
        </w:r>
      </w:hyperlink>
      <w:r>
        <w:rPr>
          <w:rFonts w:ascii="Times New Roman" w:hAnsi="Times New Roman" w:cs="Times New Roman"/>
          <w:lang w:val="en-GB"/>
        </w:rPr>
        <w:t xml:space="preserve"> </w:t>
      </w:r>
    </w:p>
    <w:p w14:paraId="2930A4E4" w14:textId="26377338" w:rsidR="00C54861" w:rsidRPr="000427C2" w:rsidRDefault="00C54861" w:rsidP="000B7958">
      <w:pPr>
        <w:spacing w:line="360" w:lineRule="auto"/>
        <w:ind w:firstLine="720"/>
        <w:jc w:val="both"/>
        <w:rPr>
          <w:rFonts w:ascii="Times New Roman" w:hAnsi="Times New Roman" w:cs="Times New Roman"/>
        </w:rPr>
      </w:pPr>
      <w:r w:rsidRPr="00C54861">
        <w:rPr>
          <w:rFonts w:ascii="Times New Roman" w:hAnsi="Times New Roman" w:cs="Times New Roman"/>
          <w:lang w:val="en-GB"/>
        </w:rPr>
        <w:t xml:space="preserve">Lemert, E. (1972). </w:t>
      </w:r>
      <w:r w:rsidRPr="00C54861">
        <w:rPr>
          <w:rFonts w:ascii="Times New Roman" w:hAnsi="Times New Roman" w:cs="Times New Roman"/>
          <w:i/>
          <w:iCs/>
          <w:lang w:val="en-GB"/>
        </w:rPr>
        <w:t>Human Deviance, Social Problems, and Social Control.</w:t>
      </w:r>
      <w:r>
        <w:rPr>
          <w:rFonts w:ascii="Times New Roman" w:hAnsi="Times New Roman" w:cs="Times New Roman"/>
          <w:lang w:val="en-GB"/>
        </w:rPr>
        <w:t xml:space="preserve"> </w:t>
      </w:r>
      <w:r w:rsidRPr="000427C2">
        <w:rPr>
          <w:rFonts w:ascii="Times New Roman" w:hAnsi="Times New Roman" w:cs="Times New Roman"/>
        </w:rPr>
        <w:t xml:space="preserve">Nueva Jersey Prentice-Hall. </w:t>
      </w:r>
    </w:p>
    <w:p w14:paraId="694F941B" w14:textId="4CF3AE5C" w:rsidR="00576031" w:rsidRPr="000B7958" w:rsidRDefault="00837584" w:rsidP="000B7958">
      <w:pPr>
        <w:spacing w:line="360" w:lineRule="auto"/>
        <w:ind w:firstLine="720"/>
        <w:jc w:val="both"/>
        <w:rPr>
          <w:rFonts w:ascii="Times New Roman" w:hAnsi="Times New Roman" w:cs="Times New Roman"/>
          <w:lang w:val="sv-SE"/>
        </w:rPr>
      </w:pPr>
      <w:r>
        <w:rPr>
          <w:rFonts w:ascii="Times New Roman" w:hAnsi="Times New Roman" w:cs="Times New Roman"/>
          <w:lang w:val="es-ES_tradnl"/>
        </w:rPr>
        <w:t>Leone-Brynjarsson, D., González-Morales, A., Maza-Abarca, A., Acevedo-Ribera, I. y Barz-Cabezas, F. (2025). Significado de “delincuente”: un estudio fenomenológico de la Teoría del Etiquetamiento desde la criminología cultural</w:t>
      </w:r>
      <w:r w:rsidRPr="00837584">
        <w:rPr>
          <w:rFonts w:ascii="Times New Roman" w:hAnsi="Times New Roman" w:cs="Times New Roman"/>
          <w:i/>
          <w:iCs/>
          <w:lang w:val="es-ES_tradnl"/>
        </w:rPr>
        <w:t xml:space="preserve">. </w:t>
      </w:r>
      <w:r w:rsidRPr="00837584">
        <w:rPr>
          <w:rFonts w:ascii="Times New Roman" w:hAnsi="Times New Roman" w:cs="Times New Roman"/>
          <w:i/>
          <w:iCs/>
          <w:lang w:val="sv-SE"/>
        </w:rPr>
        <w:t xml:space="preserve">Ratio Juris. </w:t>
      </w:r>
      <w:hyperlink r:id="rId43" w:history="1">
        <w:r w:rsidRPr="009A5E9A">
          <w:rPr>
            <w:rStyle w:val="Hyperlink"/>
            <w:rFonts w:ascii="Times New Roman" w:hAnsi="Times New Roman" w:cs="Times New Roman"/>
            <w:lang w:val="sv-SE"/>
          </w:rPr>
          <w:t>https://publicaciones.unaula.edu.co/index.php/ratiojuris/article/view/1787/2437</w:t>
        </w:r>
      </w:hyperlink>
      <w:r>
        <w:rPr>
          <w:rFonts w:ascii="Times New Roman" w:hAnsi="Times New Roman" w:cs="Times New Roman"/>
          <w:lang w:val="sv-SE"/>
        </w:rPr>
        <w:t xml:space="preserve"> </w:t>
      </w:r>
    </w:p>
    <w:p w14:paraId="7FCE27CC" w14:textId="3B74EAF2" w:rsidR="00576031" w:rsidRDefault="00D03527" w:rsidP="000B795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López, S. (2013). Revisión de la psicopatía: pasado, presente y futuro. </w:t>
      </w:r>
      <w:r w:rsidRPr="00A06946">
        <w:rPr>
          <w:rFonts w:ascii="Times New Roman" w:hAnsi="Times New Roman" w:cs="Times New Roman"/>
          <w:i/>
          <w:iCs/>
          <w:lang w:val="es-ES_tradnl"/>
        </w:rPr>
        <w:t>Revista Puertorriqueña de Psicología, vol. 24, nº 2, 1-16</w:t>
      </w:r>
      <w:r>
        <w:rPr>
          <w:rFonts w:ascii="Times New Roman" w:hAnsi="Times New Roman" w:cs="Times New Roman"/>
          <w:lang w:val="es-ES_tradnl"/>
        </w:rPr>
        <w:t xml:space="preserve">. </w:t>
      </w:r>
      <w:hyperlink r:id="rId44" w:history="1">
        <w:r w:rsidRPr="009A5E9A">
          <w:rPr>
            <w:rStyle w:val="Hyperlink"/>
            <w:rFonts w:ascii="Times New Roman" w:hAnsi="Times New Roman" w:cs="Times New Roman"/>
            <w:lang w:val="es-ES_tradnl"/>
          </w:rPr>
          <w:t>https://www.redalyc.org/pdf/2332/233229143007.pdf</w:t>
        </w:r>
      </w:hyperlink>
      <w:r>
        <w:rPr>
          <w:rFonts w:ascii="Times New Roman" w:hAnsi="Times New Roman" w:cs="Times New Roman"/>
          <w:lang w:val="es-ES_tradnl"/>
        </w:rPr>
        <w:t xml:space="preserve"> </w:t>
      </w:r>
    </w:p>
    <w:p w14:paraId="05F9845F" w14:textId="0F66127E" w:rsidR="00070C4D" w:rsidRDefault="003E029C" w:rsidP="000B795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López Safi, S.B. (2015). La violencia simbólica en la construcción social del género.</w:t>
      </w:r>
      <w:r w:rsidRPr="00A06946">
        <w:rPr>
          <w:rFonts w:ascii="Times New Roman" w:hAnsi="Times New Roman" w:cs="Times New Roman"/>
          <w:i/>
          <w:iCs/>
          <w:lang w:val="es-ES_tradnl"/>
        </w:rPr>
        <w:t xml:space="preserve"> ACADEMO Revista de Investigación en Ciencias Sociales y Humanidades. </w:t>
      </w:r>
      <w:hyperlink r:id="rId45" w:history="1">
        <w:r w:rsidR="00070C4D">
          <w:rPr>
            <w:rStyle w:val="Hyperlink"/>
            <w:rFonts w:ascii="Times New Roman" w:hAnsi="Times New Roman" w:cs="Times New Roman"/>
            <w:lang w:val="es-ES_tradnl"/>
          </w:rPr>
          <w:t>https://ww.dialnet.unirioja.com/descarga/articulo/violenciasimbolicaconstrucciongenero</w:t>
        </w:r>
      </w:hyperlink>
      <w:r w:rsidR="00070C4D">
        <w:rPr>
          <w:rFonts w:ascii="Times New Roman" w:hAnsi="Times New Roman" w:cs="Times New Roman"/>
          <w:lang w:val="es-ES_tradnl"/>
        </w:rPr>
        <w:t xml:space="preserve"> </w:t>
      </w:r>
    </w:p>
    <w:p w14:paraId="3001CC5D" w14:textId="19A26496" w:rsidR="003E029C" w:rsidRDefault="006509A7" w:rsidP="006509A7">
      <w:pPr>
        <w:spacing w:line="360" w:lineRule="auto"/>
        <w:ind w:firstLine="720"/>
        <w:jc w:val="both"/>
        <w:rPr>
          <w:rFonts w:ascii="Times New Roman" w:hAnsi="Times New Roman" w:cs="Times New Roman"/>
          <w:lang w:val="es-ES_tradnl"/>
        </w:rPr>
      </w:pPr>
      <w:r w:rsidRPr="00CC2562">
        <w:rPr>
          <w:rFonts w:ascii="Times New Roman" w:hAnsi="Times New Roman" w:cs="Times New Roman"/>
          <w:lang w:val="es-ES_tradnl"/>
        </w:rPr>
        <w:t xml:space="preserve">Lucena K., Vianna, R., Nascimento, J., Campos, H. y Oliveira, E. (2017). Asociación entre la violencia doméstica y la calidad de vida de las mujeres. </w:t>
      </w:r>
      <w:r w:rsidRPr="00CC2562">
        <w:rPr>
          <w:rFonts w:ascii="Times New Roman" w:hAnsi="Times New Roman" w:cs="Times New Roman"/>
          <w:i/>
          <w:iCs/>
          <w:lang w:val="es-ES_tradnl"/>
        </w:rPr>
        <w:t>Revista Latino-Americana e Enfermagem</w:t>
      </w:r>
      <w:r w:rsidRPr="00CC2562">
        <w:rPr>
          <w:rFonts w:ascii="Times New Roman" w:hAnsi="Times New Roman" w:cs="Times New Roman"/>
          <w:lang w:val="es-ES_tradnl"/>
        </w:rPr>
        <w:t>; 25:e2901.</w:t>
      </w:r>
      <w:r w:rsidR="003E029C">
        <w:rPr>
          <w:rFonts w:ascii="Times New Roman" w:hAnsi="Times New Roman" w:cs="Times New Roman"/>
          <w:lang w:val="es-ES_tradnl"/>
        </w:rPr>
        <w:t xml:space="preserve"> </w:t>
      </w:r>
    </w:p>
    <w:p w14:paraId="5AB4D857" w14:textId="59E037AD" w:rsidR="007D3A6C" w:rsidRPr="007D3A6C" w:rsidRDefault="007D3A6C" w:rsidP="000B7958">
      <w:pPr>
        <w:spacing w:line="360" w:lineRule="auto"/>
        <w:ind w:firstLine="720"/>
        <w:jc w:val="both"/>
        <w:rPr>
          <w:rFonts w:ascii="Times New Roman" w:hAnsi="Times New Roman" w:cs="Times New Roman"/>
          <w:lang w:val="es-ES_tradnl"/>
        </w:rPr>
      </w:pPr>
      <w:hyperlink r:id="rId46" w:history="1">
        <w:r>
          <w:rPr>
            <w:rStyle w:val="Hyperlink"/>
            <w:rFonts w:ascii="Times New Roman" w:hAnsi="Times New Roman" w:cs="Times New Roman"/>
            <w:lang w:val="es-ES_tradnl"/>
          </w:rPr>
          <w:t>https://www.scielo.br/j/rlae/a/VLggxWwJYfy3vgjr5vP7mmn/?format=pdf</w:t>
        </w:r>
      </w:hyperlink>
      <w:r w:rsidR="006509A7" w:rsidRPr="00CC2562">
        <w:rPr>
          <w:rFonts w:ascii="Times New Roman" w:hAnsi="Times New Roman" w:cs="Times New Roman"/>
          <w:lang w:val="es-ES_tradnl"/>
        </w:rPr>
        <w:t xml:space="preserve"> </w:t>
      </w:r>
    </w:p>
    <w:p w14:paraId="1C79BEDB" w14:textId="09C4C1C4" w:rsidR="007D3A6C" w:rsidRDefault="006509A7" w:rsidP="000B7958">
      <w:pPr>
        <w:spacing w:line="360" w:lineRule="auto"/>
        <w:ind w:firstLine="720"/>
        <w:jc w:val="both"/>
        <w:rPr>
          <w:rFonts w:ascii="Times New Roman" w:hAnsi="Times New Roman" w:cs="Times New Roman"/>
        </w:rPr>
      </w:pPr>
      <w:r w:rsidRPr="006509A7">
        <w:rPr>
          <w:rFonts w:ascii="Times New Roman" w:hAnsi="Times New Roman" w:cs="Times New Roman"/>
          <w:lang w:val="en-GB"/>
        </w:rPr>
        <w:t xml:space="preserve">Millett, K. (2000). </w:t>
      </w:r>
      <w:r w:rsidRPr="003E029C">
        <w:rPr>
          <w:rFonts w:ascii="Times New Roman" w:hAnsi="Times New Roman" w:cs="Times New Roman"/>
          <w:i/>
          <w:iCs/>
          <w:lang w:val="en-GB"/>
        </w:rPr>
        <w:t xml:space="preserve">Sexual Politics. </w:t>
      </w:r>
      <w:r w:rsidRPr="00CC2562">
        <w:rPr>
          <w:rFonts w:ascii="Times New Roman" w:hAnsi="Times New Roman" w:cs="Times New Roman"/>
          <w:lang w:val="en-GB"/>
        </w:rPr>
        <w:t>University of Illinois Press.</w:t>
      </w:r>
      <w:r w:rsidRPr="00177972">
        <w:rPr>
          <w:rFonts w:ascii="Times New Roman" w:hAnsi="Times New Roman" w:cs="Times New Roman"/>
          <w:lang w:val="en-US"/>
        </w:rPr>
        <w:t xml:space="preserve"> </w:t>
      </w:r>
      <w:hyperlink r:id="rId47" w:history="1">
        <w:r w:rsidRPr="006509A7">
          <w:rPr>
            <w:rStyle w:val="Hyperlink"/>
            <w:rFonts w:ascii="Times New Roman" w:hAnsi="Times New Roman" w:cs="Times New Roman"/>
          </w:rPr>
          <w:t>https://monoskop.org/images/c/c2/Millett_Kate_Sexual_Politics_1970.pdf</w:t>
        </w:r>
      </w:hyperlink>
      <w:r w:rsidRPr="006509A7">
        <w:rPr>
          <w:rFonts w:ascii="Times New Roman" w:hAnsi="Times New Roman" w:cs="Times New Roman"/>
        </w:rPr>
        <w:t xml:space="preserve"> </w:t>
      </w:r>
    </w:p>
    <w:p w14:paraId="2673DD7B" w14:textId="5C4A2E7B" w:rsidR="005B5FD4" w:rsidRDefault="005B5FD4" w:rsidP="000B7958">
      <w:pPr>
        <w:spacing w:line="360" w:lineRule="auto"/>
        <w:ind w:firstLine="720"/>
        <w:jc w:val="both"/>
        <w:rPr>
          <w:rFonts w:ascii="Times New Roman" w:hAnsi="Times New Roman" w:cs="Times New Roman"/>
        </w:rPr>
      </w:pPr>
      <w:r>
        <w:rPr>
          <w:rFonts w:ascii="Times New Roman" w:hAnsi="Times New Roman" w:cs="Times New Roman"/>
        </w:rPr>
        <w:t xml:space="preserve">Ministerio de Igualdad. (2024). Macroencuestra de violencia contra la mujer. </w:t>
      </w:r>
      <w:hyperlink r:id="rId48" w:history="1">
        <w:r w:rsidRPr="001D4244">
          <w:rPr>
            <w:rStyle w:val="Hyperlink"/>
            <w:rFonts w:ascii="Times New Roman" w:hAnsi="Times New Roman" w:cs="Times New Roman"/>
          </w:rPr>
          <w:t>https://violenciagenero.igualdad.gob.es/wp-content/uploads/PPT-macroencuesta-2024_para-web2.pdf</w:t>
        </w:r>
      </w:hyperlink>
      <w:r>
        <w:rPr>
          <w:rFonts w:ascii="Times New Roman" w:hAnsi="Times New Roman" w:cs="Times New Roman"/>
        </w:rPr>
        <w:t xml:space="preserve"> </w:t>
      </w:r>
    </w:p>
    <w:p w14:paraId="152523BE" w14:textId="4CD8F794" w:rsidR="00734ED9" w:rsidRPr="00734ED9" w:rsidRDefault="0097023A" w:rsidP="00734ED9">
      <w:pPr>
        <w:spacing w:line="360" w:lineRule="auto"/>
        <w:ind w:firstLine="720"/>
        <w:jc w:val="both"/>
        <w:rPr>
          <w:rFonts w:ascii="Times New Roman" w:hAnsi="Times New Roman" w:cs="Times New Roman"/>
        </w:rPr>
      </w:pPr>
      <w:r w:rsidRPr="003E029C">
        <w:rPr>
          <w:rFonts w:ascii="Times New Roman" w:hAnsi="Times New Roman" w:cs="Times New Roman"/>
        </w:rPr>
        <w:t>Ojeda, R. (2022). Género, violencia simbólica y cognición en niñas y niños preescolares: una aproximación desde la antropología</w:t>
      </w:r>
      <w:r w:rsidRPr="003E029C">
        <w:rPr>
          <w:rFonts w:ascii="Times New Roman" w:hAnsi="Times New Roman" w:cs="Times New Roman"/>
          <w:i/>
          <w:iCs/>
        </w:rPr>
        <w:t xml:space="preserve">. Revista Euroamericana de Antropología. </w:t>
      </w:r>
      <w:hyperlink r:id="rId49" w:history="1">
        <w:r w:rsidRPr="003E029C">
          <w:rPr>
            <w:rStyle w:val="Hyperlink"/>
            <w:rFonts w:ascii="Times New Roman" w:hAnsi="Times New Roman" w:cs="Times New Roman"/>
          </w:rPr>
          <w:t>https://revistas.usal.es/cuatro/index.php/2387-1555/article/view/21606/29354</w:t>
        </w:r>
      </w:hyperlink>
      <w:r>
        <w:rPr>
          <w:rFonts w:ascii="Times New Roman" w:hAnsi="Times New Roman" w:cs="Times New Roman"/>
        </w:rPr>
        <w:t xml:space="preserve"> </w:t>
      </w:r>
    </w:p>
    <w:p w14:paraId="53009670" w14:textId="0F4D434E" w:rsidR="003E3F52" w:rsidRPr="003E3F52" w:rsidRDefault="003E3F52" w:rsidP="000B7958">
      <w:pPr>
        <w:spacing w:line="360" w:lineRule="auto"/>
        <w:ind w:right="-1" w:firstLine="709"/>
        <w:jc w:val="both"/>
        <w:rPr>
          <w:rFonts w:ascii="Times New Roman" w:hAnsi="Times New Roman" w:cs="Times New Roman"/>
        </w:rPr>
      </w:pPr>
      <w:r w:rsidRPr="008F3115">
        <w:rPr>
          <w:rFonts w:ascii="Times New Roman" w:hAnsi="Times New Roman" w:cs="Times New Roman"/>
        </w:rPr>
        <w:tab/>
      </w:r>
      <w:r w:rsidRPr="003E3F52">
        <w:rPr>
          <w:rFonts w:ascii="Times New Roman" w:hAnsi="Times New Roman" w:cs="Times New Roman"/>
        </w:rPr>
        <w:t>Organización Mundial de l</w:t>
      </w:r>
      <w:r>
        <w:rPr>
          <w:rFonts w:ascii="Times New Roman" w:hAnsi="Times New Roman" w:cs="Times New Roman"/>
        </w:rPr>
        <w:t xml:space="preserve">a Salud. </w:t>
      </w:r>
      <w:r w:rsidRPr="003E3F52">
        <w:rPr>
          <w:rFonts w:ascii="Times New Roman" w:hAnsi="Times New Roman" w:cs="Times New Roman"/>
          <w:lang w:val="en-GB"/>
        </w:rPr>
        <w:t>(2022). Global and regional estimates of</w:t>
      </w:r>
      <w:r>
        <w:rPr>
          <w:rFonts w:ascii="Times New Roman" w:hAnsi="Times New Roman" w:cs="Times New Roman"/>
          <w:lang w:val="en-GB"/>
        </w:rPr>
        <w:t xml:space="preserve"> violence against women: prevalence and health effects of intimate partner violence and non-partner sexual violence. </w:t>
      </w:r>
      <w:r w:rsidRPr="00A06946">
        <w:rPr>
          <w:rFonts w:ascii="Times New Roman" w:hAnsi="Times New Roman" w:cs="Times New Roman"/>
          <w:i/>
          <w:iCs/>
        </w:rPr>
        <w:t xml:space="preserve">Organización Mundial de la Salud. </w:t>
      </w:r>
      <w:hyperlink r:id="rId50" w:history="1">
        <w:r w:rsidRPr="001D4244">
          <w:rPr>
            <w:rStyle w:val="Hyperlink"/>
            <w:rFonts w:ascii="Times New Roman" w:hAnsi="Times New Roman" w:cs="Times New Roman"/>
          </w:rPr>
          <w:t>https://iris.who.int/server/api/core/bitstreams/befdb859-99f5-4632-804d-04eb3fe8d940/content</w:t>
        </w:r>
      </w:hyperlink>
    </w:p>
    <w:p w14:paraId="4493C808" w14:textId="5AC5518C" w:rsidR="00D94EA2" w:rsidRPr="00D94EA2" w:rsidRDefault="00D94EA2" w:rsidP="000B7958">
      <w:pPr>
        <w:spacing w:line="360" w:lineRule="auto"/>
        <w:ind w:firstLine="720"/>
        <w:jc w:val="both"/>
        <w:rPr>
          <w:rFonts w:ascii="Times New Roman" w:hAnsi="Times New Roman" w:cs="Times New Roman"/>
        </w:rPr>
      </w:pPr>
      <w:r w:rsidRPr="00D94EA2">
        <w:rPr>
          <w:rFonts w:ascii="Times New Roman" w:hAnsi="Times New Roman" w:cs="Times New Roman"/>
        </w:rPr>
        <w:t xml:space="preserve">Patiño, M. (2016). </w:t>
      </w:r>
      <w:r>
        <w:rPr>
          <w:rFonts w:ascii="Times New Roman" w:hAnsi="Times New Roman" w:cs="Times New Roman"/>
        </w:rPr>
        <w:t xml:space="preserve">Teoría de la elección racional de Cornish y Clarke. </w:t>
      </w:r>
      <w:r w:rsidRPr="00D94EA2">
        <w:rPr>
          <w:rFonts w:ascii="Times New Roman" w:hAnsi="Times New Roman" w:cs="Times New Roman"/>
          <w:i/>
          <w:iCs/>
        </w:rPr>
        <w:t>Crimipedia – Universidad Miguel Hernández.</w:t>
      </w:r>
      <w:r>
        <w:rPr>
          <w:rFonts w:ascii="Times New Roman" w:hAnsi="Times New Roman" w:cs="Times New Roman"/>
        </w:rPr>
        <w:t xml:space="preserve"> </w:t>
      </w:r>
      <w:hyperlink r:id="rId51" w:history="1">
        <w:r w:rsidRPr="009A5E9A">
          <w:rPr>
            <w:rStyle w:val="Hyperlink"/>
            <w:rFonts w:ascii="Times New Roman" w:hAnsi="Times New Roman" w:cs="Times New Roman"/>
          </w:rPr>
          <w:t>https://crimipedia.umh.es/en/topics/teoria-de-la-eleccion-racional-de-cornish-y-clarke/</w:t>
        </w:r>
      </w:hyperlink>
    </w:p>
    <w:p w14:paraId="73C0163D" w14:textId="14DC2CF0" w:rsidR="00DF640F" w:rsidRDefault="00DF640F" w:rsidP="000B7958">
      <w:pPr>
        <w:spacing w:line="360" w:lineRule="auto"/>
        <w:ind w:firstLine="720"/>
        <w:jc w:val="both"/>
        <w:rPr>
          <w:rFonts w:ascii="Times New Roman" w:hAnsi="Times New Roman" w:cs="Times New Roman"/>
        </w:rPr>
      </w:pPr>
      <w:r w:rsidRPr="00DF640F">
        <w:rPr>
          <w:rFonts w:ascii="Times New Roman" w:hAnsi="Times New Roman" w:cs="Times New Roman"/>
        </w:rPr>
        <w:t>P</w:t>
      </w:r>
      <w:r w:rsidR="000B7958">
        <w:rPr>
          <w:rFonts w:ascii="Times New Roman" w:hAnsi="Times New Roman" w:cs="Times New Roman"/>
        </w:rPr>
        <w:t>a</w:t>
      </w:r>
      <w:r w:rsidRPr="00DF640F">
        <w:rPr>
          <w:rFonts w:ascii="Times New Roman" w:hAnsi="Times New Roman" w:cs="Times New Roman"/>
        </w:rPr>
        <w:t>ulsen, A. (2020). ¿Causas o efecto</w:t>
      </w:r>
      <w:r>
        <w:rPr>
          <w:rFonts w:ascii="Times New Roman" w:hAnsi="Times New Roman" w:cs="Times New Roman"/>
        </w:rPr>
        <w:t>s? El aporte de la geografía al desafío de caminar por nuevos rumbos en el análisis del delito</w:t>
      </w:r>
      <w:r w:rsidRPr="0049558C">
        <w:rPr>
          <w:rFonts w:ascii="Times New Roman" w:hAnsi="Times New Roman" w:cs="Times New Roman"/>
          <w:i/>
          <w:iCs/>
        </w:rPr>
        <w:t>. Revista Territorios y Regionalismos – Universidad de Chile.</w:t>
      </w:r>
      <w:r>
        <w:rPr>
          <w:rFonts w:ascii="Times New Roman" w:hAnsi="Times New Roman" w:cs="Times New Roman"/>
        </w:rPr>
        <w:t xml:space="preserve"> </w:t>
      </w:r>
      <w:hyperlink r:id="rId52" w:history="1">
        <w:r w:rsidRPr="009A5E9A">
          <w:rPr>
            <w:rStyle w:val="Hyperlink"/>
            <w:rFonts w:ascii="Times New Roman" w:hAnsi="Times New Roman" w:cs="Times New Roman"/>
          </w:rPr>
          <w:t>https://www.redalyc.org/journal/6277/627764770004/627764770004.pdf</w:t>
        </w:r>
      </w:hyperlink>
      <w:r>
        <w:rPr>
          <w:rFonts w:ascii="Times New Roman" w:hAnsi="Times New Roman" w:cs="Times New Roman"/>
        </w:rPr>
        <w:t xml:space="preserve"> </w:t>
      </w:r>
    </w:p>
    <w:p w14:paraId="3F489C90" w14:textId="5DB4B174" w:rsidR="002A6204" w:rsidRDefault="002A6204" w:rsidP="000B7958">
      <w:pPr>
        <w:spacing w:line="360" w:lineRule="auto"/>
        <w:ind w:firstLine="720"/>
        <w:jc w:val="both"/>
        <w:rPr>
          <w:rFonts w:ascii="Times New Roman" w:hAnsi="Times New Roman" w:cs="Times New Roman"/>
          <w:lang w:val="en-GB"/>
        </w:rPr>
      </w:pPr>
      <w:r>
        <w:rPr>
          <w:rFonts w:ascii="Times New Roman" w:hAnsi="Times New Roman" w:cs="Times New Roman"/>
          <w:lang w:val="en-GB"/>
        </w:rPr>
        <w:t>Peterson, S. (</w:t>
      </w:r>
      <w:r w:rsidR="00C54861">
        <w:rPr>
          <w:rFonts w:ascii="Times New Roman" w:hAnsi="Times New Roman" w:cs="Times New Roman"/>
          <w:lang w:val="en-GB"/>
        </w:rPr>
        <w:t>s.f.). Symbolic Interactionism – George Herbert Mead &amp; Herbert Blumer, Chapter 5.</w:t>
      </w:r>
      <w:r w:rsidR="00C54861" w:rsidRPr="00C54861">
        <w:rPr>
          <w:rFonts w:ascii="Times New Roman" w:hAnsi="Times New Roman" w:cs="Times New Roman"/>
          <w:i/>
          <w:iCs/>
          <w:lang w:val="en-GB"/>
        </w:rPr>
        <w:t xml:space="preserve"> Montgomery College. </w:t>
      </w:r>
      <w:hyperlink r:id="rId53" w:history="1">
        <w:r w:rsidR="00C54861" w:rsidRPr="009A5E9A">
          <w:rPr>
            <w:rStyle w:val="Hyperlink"/>
            <w:rFonts w:ascii="Times New Roman" w:hAnsi="Times New Roman" w:cs="Times New Roman"/>
            <w:lang w:val="en-GB"/>
          </w:rPr>
          <w:t>https://pressbooks.montgomerycollege.edu/commtheory/chapter/chapter-5-symbolic-interactionism-george-herbert-mead-herbert-blumer/</w:t>
        </w:r>
      </w:hyperlink>
      <w:r w:rsidR="00C54861">
        <w:rPr>
          <w:rFonts w:ascii="Times New Roman" w:hAnsi="Times New Roman" w:cs="Times New Roman"/>
          <w:lang w:val="en-GB"/>
        </w:rPr>
        <w:t xml:space="preserve"> </w:t>
      </w:r>
    </w:p>
    <w:p w14:paraId="2A705848" w14:textId="780886CE" w:rsidR="008C03A7" w:rsidRPr="000B349D" w:rsidRDefault="008C03A7" w:rsidP="000B7958">
      <w:pPr>
        <w:spacing w:line="360" w:lineRule="auto"/>
        <w:ind w:firstLine="720"/>
        <w:jc w:val="both"/>
        <w:rPr>
          <w:rFonts w:ascii="Times New Roman" w:hAnsi="Times New Roman" w:cs="Times New Roman"/>
        </w:rPr>
      </w:pPr>
      <w:r w:rsidRPr="00A06946">
        <w:rPr>
          <w:rFonts w:ascii="Times New Roman" w:hAnsi="Times New Roman" w:cs="Times New Roman"/>
        </w:rPr>
        <w:t>Redacción Cordópolis. (</w:t>
      </w:r>
      <w:r w:rsidRPr="008C03A7">
        <w:rPr>
          <w:rFonts w:ascii="Times New Roman" w:hAnsi="Times New Roman" w:cs="Times New Roman"/>
        </w:rPr>
        <w:t>2013). Los p</w:t>
      </w:r>
      <w:r>
        <w:rPr>
          <w:rFonts w:ascii="Times New Roman" w:hAnsi="Times New Roman" w:cs="Times New Roman"/>
        </w:rPr>
        <w:t xml:space="preserve">eritos descartan que Bretón tenga trastorno psiquiátrico. </w:t>
      </w:r>
      <w:r w:rsidRPr="00A06946">
        <w:rPr>
          <w:rFonts w:ascii="Times New Roman" w:hAnsi="Times New Roman" w:cs="Times New Roman"/>
          <w:i/>
          <w:iCs/>
        </w:rPr>
        <w:t>Cordópolis</w:t>
      </w:r>
      <w:r w:rsidRPr="000B349D">
        <w:rPr>
          <w:rFonts w:ascii="Times New Roman" w:hAnsi="Times New Roman" w:cs="Times New Roman"/>
        </w:rPr>
        <w:t xml:space="preserve">. </w:t>
      </w:r>
      <w:hyperlink r:id="rId54" w:history="1">
        <w:r w:rsidRPr="000B349D">
          <w:rPr>
            <w:rStyle w:val="Hyperlink"/>
            <w:rFonts w:ascii="Times New Roman" w:hAnsi="Times New Roman" w:cs="Times New Roman"/>
          </w:rPr>
          <w:t>https://cordopolis.eldiario.es/cordoba-hoy/peritos-descartan-breton-tenga-trastorno-psiquiatrico_1_7103517.html</w:t>
        </w:r>
      </w:hyperlink>
      <w:r w:rsidRPr="000B349D">
        <w:rPr>
          <w:rFonts w:ascii="Times New Roman" w:hAnsi="Times New Roman" w:cs="Times New Roman"/>
        </w:rPr>
        <w:t xml:space="preserve"> </w:t>
      </w:r>
    </w:p>
    <w:p w14:paraId="1C003B9D" w14:textId="2A56A234" w:rsidR="00055002" w:rsidRPr="00055002" w:rsidRDefault="00055002" w:rsidP="000B7958">
      <w:pPr>
        <w:spacing w:line="360" w:lineRule="auto"/>
        <w:ind w:firstLine="720"/>
        <w:jc w:val="both"/>
        <w:rPr>
          <w:rFonts w:ascii="Times New Roman" w:hAnsi="Times New Roman" w:cs="Times New Roman"/>
          <w:lang w:val="en-GB"/>
        </w:rPr>
      </w:pPr>
      <w:r w:rsidRPr="00055002">
        <w:rPr>
          <w:rFonts w:ascii="Times New Roman" w:hAnsi="Times New Roman" w:cs="Times New Roman"/>
        </w:rPr>
        <w:t>Ríos-Lechuga, J</w:t>
      </w:r>
      <w:r>
        <w:rPr>
          <w:rFonts w:ascii="Times New Roman" w:hAnsi="Times New Roman" w:cs="Times New Roman"/>
        </w:rPr>
        <w:t xml:space="preserve">., Alarcón-Cuenca, J. y López-Zafra, E. (2024). </w:t>
      </w:r>
      <w:r w:rsidRPr="00055002">
        <w:rPr>
          <w:rFonts w:ascii="Times New Roman" w:hAnsi="Times New Roman" w:cs="Times New Roman"/>
          <w:lang w:val="en-GB"/>
        </w:rPr>
        <w:t>Development of an Inde</w:t>
      </w:r>
      <w:r>
        <w:rPr>
          <w:rFonts w:ascii="Times New Roman" w:hAnsi="Times New Roman" w:cs="Times New Roman"/>
          <w:lang w:val="en-GB"/>
        </w:rPr>
        <w:t>x</w:t>
      </w:r>
      <w:r w:rsidRPr="00055002">
        <w:rPr>
          <w:rFonts w:ascii="Times New Roman" w:hAnsi="Times New Roman" w:cs="Times New Roman"/>
          <w:lang w:val="en-GB"/>
        </w:rPr>
        <w:t xml:space="preserve"> to Evaluate Children</w:t>
      </w:r>
      <w:r>
        <w:rPr>
          <w:rFonts w:ascii="Times New Roman" w:hAnsi="Times New Roman" w:cs="Times New Roman"/>
          <w:lang w:val="en-GB"/>
        </w:rPr>
        <w:t xml:space="preserve">’s Risk for Being Instrumentalized in Intimate Partner Violence against Women Contexts. </w:t>
      </w:r>
      <w:r w:rsidRPr="00055002">
        <w:rPr>
          <w:rFonts w:ascii="Times New Roman" w:hAnsi="Times New Roman" w:cs="Times New Roman"/>
          <w:i/>
          <w:iCs/>
          <w:lang w:val="en-GB"/>
        </w:rPr>
        <w:t>The European Journal of Psychology Applied to Legal Context.</w:t>
      </w:r>
      <w:r>
        <w:rPr>
          <w:rFonts w:ascii="Times New Roman" w:hAnsi="Times New Roman" w:cs="Times New Roman"/>
          <w:lang w:val="en-GB"/>
        </w:rPr>
        <w:t xml:space="preserve"> </w:t>
      </w:r>
      <w:hyperlink r:id="rId55" w:history="1">
        <w:r w:rsidRPr="002160E0">
          <w:rPr>
            <w:rStyle w:val="Hyperlink"/>
            <w:rFonts w:ascii="Times New Roman" w:hAnsi="Times New Roman" w:cs="Times New Roman"/>
            <w:lang w:val="en-GB"/>
          </w:rPr>
          <w:t>https://journals.copmadrid.org/ejpalc/art/ejpalc2024a7</w:t>
        </w:r>
      </w:hyperlink>
      <w:r>
        <w:rPr>
          <w:rFonts w:ascii="Times New Roman" w:hAnsi="Times New Roman" w:cs="Times New Roman"/>
          <w:lang w:val="en-GB"/>
        </w:rPr>
        <w:t xml:space="preserve">  </w:t>
      </w:r>
    </w:p>
    <w:p w14:paraId="786D8F48" w14:textId="2DD9EA5A" w:rsidR="009270ED" w:rsidRPr="000427C2" w:rsidRDefault="006509A7" w:rsidP="000B7958">
      <w:pPr>
        <w:spacing w:line="360" w:lineRule="auto"/>
        <w:ind w:firstLine="720"/>
        <w:jc w:val="both"/>
        <w:rPr>
          <w:rFonts w:ascii="Times New Roman" w:hAnsi="Times New Roman" w:cs="Times New Roman"/>
          <w:lang w:val="en-GB"/>
        </w:rPr>
      </w:pPr>
      <w:r w:rsidRPr="00055002">
        <w:rPr>
          <w:rFonts w:ascii="Times New Roman" w:hAnsi="Times New Roman" w:cs="Times New Roman"/>
          <w:lang w:val="en-GB"/>
        </w:rPr>
        <w:t xml:space="preserve">Roka, P. (2025). </w:t>
      </w:r>
      <w:r>
        <w:rPr>
          <w:rFonts w:ascii="Times New Roman" w:hAnsi="Times New Roman" w:cs="Times New Roman"/>
          <w:lang w:val="en-GB"/>
        </w:rPr>
        <w:t xml:space="preserve">Patriarchy and Sexual Dynamics: Advancing Women’s Liberation. </w:t>
      </w:r>
      <w:r w:rsidRPr="00D94EA2">
        <w:rPr>
          <w:rFonts w:ascii="Times New Roman" w:hAnsi="Times New Roman" w:cs="Times New Roman"/>
          <w:i/>
          <w:iCs/>
          <w:lang w:val="en-GB"/>
        </w:rPr>
        <w:t>The Review of Contemporary Scientific and Academic Studies.</w:t>
      </w:r>
      <w:r w:rsidRPr="00177972">
        <w:rPr>
          <w:i/>
          <w:iCs/>
          <w:lang w:val="en-US"/>
        </w:rPr>
        <w:t xml:space="preserve"> </w:t>
      </w:r>
      <w:hyperlink r:id="rId56" w:history="1">
        <w:r w:rsidR="000B7958" w:rsidRPr="001D4244">
          <w:rPr>
            <w:rStyle w:val="Hyperlink"/>
            <w:rFonts w:ascii="Times New Roman" w:hAnsi="Times New Roman" w:cs="Times New Roman"/>
            <w:lang w:val="en-GB"/>
          </w:rPr>
          <w:t>https://thercsas.com/wp-content/uploads/2025/01/rcsas5012025004.pdf</w:t>
        </w:r>
      </w:hyperlink>
      <w:r>
        <w:rPr>
          <w:rFonts w:ascii="Times New Roman" w:hAnsi="Times New Roman" w:cs="Times New Roman"/>
          <w:lang w:val="en-GB"/>
        </w:rPr>
        <w:t xml:space="preserve"> </w:t>
      </w:r>
    </w:p>
    <w:p w14:paraId="0259404A" w14:textId="4186A5A1" w:rsidR="009270ED" w:rsidRDefault="009270ED" w:rsidP="000B7958">
      <w:pPr>
        <w:spacing w:line="360" w:lineRule="auto"/>
        <w:ind w:firstLine="720"/>
        <w:jc w:val="both"/>
        <w:rPr>
          <w:rFonts w:ascii="Times New Roman" w:hAnsi="Times New Roman" w:cs="Times New Roman"/>
        </w:rPr>
      </w:pPr>
      <w:r>
        <w:rPr>
          <w:rFonts w:ascii="Times New Roman" w:hAnsi="Times New Roman" w:cs="Times New Roman"/>
        </w:rPr>
        <w:t xml:space="preserve">Romero, M. (2025). Bárbara Royo, exabogada de José Bretón: “El informe de imputabilidad descartó la psicopatía, pero señaló TOC y rasgos narcisistas”. </w:t>
      </w:r>
      <w:r w:rsidRPr="00A06946">
        <w:rPr>
          <w:rFonts w:ascii="Times New Roman" w:hAnsi="Times New Roman" w:cs="Times New Roman"/>
          <w:i/>
          <w:iCs/>
        </w:rPr>
        <w:t xml:space="preserve">La Vanguardia. </w:t>
      </w:r>
      <w:hyperlink r:id="rId57" w:history="1">
        <w:r w:rsidRPr="009A5E9A">
          <w:rPr>
            <w:rStyle w:val="Hyperlink"/>
            <w:rFonts w:ascii="Times New Roman" w:hAnsi="Times New Roman" w:cs="Times New Roman"/>
          </w:rPr>
          <w:t>https://www.lavanguardia.com/television/20250312/10473614/barbara-royo-exabogada-jose-breton-informe-imputabilidad-descarto-psicopatia-senalo-toc-rasgos-narcisistas-gvm2.html</w:t>
        </w:r>
      </w:hyperlink>
      <w:r>
        <w:rPr>
          <w:rFonts w:ascii="Times New Roman" w:hAnsi="Times New Roman" w:cs="Times New Roman"/>
        </w:rPr>
        <w:t xml:space="preserve"> </w:t>
      </w:r>
    </w:p>
    <w:p w14:paraId="7FBDBB71" w14:textId="658CE2DC" w:rsidR="00576031" w:rsidRDefault="00576031" w:rsidP="000B7958">
      <w:pPr>
        <w:spacing w:line="360" w:lineRule="auto"/>
        <w:ind w:firstLine="720"/>
        <w:jc w:val="both"/>
        <w:rPr>
          <w:rFonts w:ascii="Times New Roman" w:hAnsi="Times New Roman" w:cs="Times New Roman"/>
        </w:rPr>
      </w:pPr>
      <w:r>
        <w:rPr>
          <w:rFonts w:ascii="Times New Roman" w:hAnsi="Times New Roman" w:cs="Times New Roman"/>
        </w:rPr>
        <w:t xml:space="preserve">Santos-Hermoso, J. y López-Ossorio, J. (2025). Sexualización de la violencia en jóvenes. </w:t>
      </w:r>
      <w:r w:rsidRPr="00A06946">
        <w:rPr>
          <w:rFonts w:ascii="Times New Roman" w:hAnsi="Times New Roman" w:cs="Times New Roman"/>
          <w:i/>
          <w:iCs/>
        </w:rPr>
        <w:t xml:space="preserve">Revista Española de Investigación Criminológica. </w:t>
      </w:r>
      <w:hyperlink r:id="rId58" w:history="1">
        <w:r w:rsidRPr="001D4244">
          <w:rPr>
            <w:rStyle w:val="Hyperlink"/>
            <w:rFonts w:ascii="Times New Roman" w:hAnsi="Times New Roman" w:cs="Times New Roman"/>
          </w:rPr>
          <w:t>https://reic.criminologia.net/index.php/journal/article/view/959</w:t>
        </w:r>
      </w:hyperlink>
      <w:r>
        <w:rPr>
          <w:rFonts w:ascii="Times New Roman" w:hAnsi="Times New Roman" w:cs="Times New Roman"/>
        </w:rPr>
        <w:t xml:space="preserve"> </w:t>
      </w:r>
    </w:p>
    <w:p w14:paraId="52EAEA73" w14:textId="3AB4418C" w:rsidR="00AB153E" w:rsidRPr="00AB153E" w:rsidRDefault="00AB153E" w:rsidP="000B7958">
      <w:pPr>
        <w:spacing w:line="360" w:lineRule="auto"/>
        <w:ind w:firstLine="720"/>
        <w:jc w:val="both"/>
        <w:rPr>
          <w:rFonts w:ascii="Times New Roman" w:hAnsi="Times New Roman" w:cs="Times New Roman"/>
          <w:lang w:val="en-GB"/>
        </w:rPr>
      </w:pPr>
      <w:r>
        <w:rPr>
          <w:rFonts w:ascii="Times New Roman" w:hAnsi="Times New Roman" w:cs="Times New Roman"/>
        </w:rPr>
        <w:lastRenderedPageBreak/>
        <w:t>Save the Children. (2025). Por una justicia a la altura de la infancia</w:t>
      </w:r>
      <w:r w:rsidRPr="00A06946">
        <w:rPr>
          <w:rFonts w:ascii="Times New Roman" w:hAnsi="Times New Roman" w:cs="Times New Roman"/>
          <w:i/>
          <w:iCs/>
        </w:rPr>
        <w:t xml:space="preserve">. </w:t>
      </w:r>
      <w:r w:rsidRPr="00A06946">
        <w:rPr>
          <w:rFonts w:ascii="Times New Roman" w:hAnsi="Times New Roman" w:cs="Times New Roman"/>
          <w:i/>
          <w:iCs/>
          <w:lang w:val="en-GB"/>
        </w:rPr>
        <w:t>Save the Children.</w:t>
      </w:r>
      <w:r w:rsidRPr="00AB153E">
        <w:rPr>
          <w:rFonts w:ascii="Times New Roman" w:hAnsi="Times New Roman" w:cs="Times New Roman"/>
          <w:lang w:val="en-GB"/>
        </w:rPr>
        <w:t xml:space="preserve"> </w:t>
      </w:r>
      <w:hyperlink r:id="rId59" w:history="1">
        <w:r w:rsidRPr="00766B91">
          <w:rPr>
            <w:rStyle w:val="Hyperlink"/>
            <w:rFonts w:ascii="Times New Roman" w:hAnsi="Times New Roman" w:cs="Times New Roman"/>
            <w:lang w:val="en-GB"/>
          </w:rPr>
          <w:t>https://www.savethechildren.es/sites/default/files/2025-09/Por_una_justicia_a_la_altura_de_la_infancia_v2025.pdf</w:t>
        </w:r>
      </w:hyperlink>
      <w:r>
        <w:rPr>
          <w:rFonts w:ascii="Times New Roman" w:hAnsi="Times New Roman" w:cs="Times New Roman"/>
          <w:lang w:val="en-GB"/>
        </w:rPr>
        <w:t xml:space="preserve"> </w:t>
      </w:r>
    </w:p>
    <w:p w14:paraId="04ED501B" w14:textId="669DE86F" w:rsidR="0020040E" w:rsidRDefault="0020040E" w:rsidP="000B7958">
      <w:pPr>
        <w:spacing w:line="360" w:lineRule="auto"/>
        <w:ind w:firstLine="720"/>
        <w:jc w:val="both"/>
        <w:rPr>
          <w:rFonts w:ascii="Times New Roman" w:hAnsi="Times New Roman" w:cs="Times New Roman"/>
        </w:rPr>
      </w:pPr>
      <w:r>
        <w:rPr>
          <w:rFonts w:ascii="Times New Roman" w:hAnsi="Times New Roman" w:cs="Times New Roman"/>
        </w:rPr>
        <w:t xml:space="preserve">Seijo, C. y Mavarez, D. (2024). Teoría del etiquetamiento: un recorrido desde el surgimiento de la criminología en el marco de reacción social, recepción alemana y el marxismo. </w:t>
      </w:r>
      <w:r w:rsidRPr="0020040E">
        <w:rPr>
          <w:rFonts w:ascii="Times New Roman" w:hAnsi="Times New Roman" w:cs="Times New Roman"/>
          <w:i/>
          <w:iCs/>
        </w:rPr>
        <w:t>Legalis et Politica,</w:t>
      </w:r>
      <w:r>
        <w:rPr>
          <w:rFonts w:ascii="Times New Roman" w:hAnsi="Times New Roman" w:cs="Times New Roman"/>
        </w:rPr>
        <w:t xml:space="preserve"> vol. 3 nº 3, septiembre-diciembre 2024. </w:t>
      </w:r>
      <w:hyperlink r:id="rId60" w:history="1">
        <w:r w:rsidRPr="009A5E9A">
          <w:rPr>
            <w:rStyle w:val="Hyperlink"/>
            <w:rFonts w:ascii="Times New Roman" w:hAnsi="Times New Roman" w:cs="Times New Roman"/>
          </w:rPr>
          <w:t>https://publishing.fgu-edu.com/ojs/index.php/RLP/article/view/499/934</w:t>
        </w:r>
      </w:hyperlink>
      <w:r>
        <w:rPr>
          <w:rFonts w:ascii="Times New Roman" w:hAnsi="Times New Roman" w:cs="Times New Roman"/>
        </w:rPr>
        <w:t xml:space="preserve"> </w:t>
      </w:r>
    </w:p>
    <w:p w14:paraId="413B5606" w14:textId="25CD982F" w:rsidR="0049558C" w:rsidRDefault="0049558C" w:rsidP="000B7958">
      <w:pPr>
        <w:spacing w:line="360" w:lineRule="auto"/>
        <w:ind w:firstLine="720"/>
        <w:jc w:val="both"/>
        <w:rPr>
          <w:rFonts w:ascii="Times New Roman" w:hAnsi="Times New Roman" w:cs="Times New Roman"/>
        </w:rPr>
      </w:pPr>
      <w:r>
        <w:rPr>
          <w:rFonts w:ascii="Times New Roman" w:hAnsi="Times New Roman" w:cs="Times New Roman"/>
        </w:rPr>
        <w:t>Serrano, A. (2024). Vinculación a la escuela y criminalidad: un contraste empírico de la teoría del control social.</w:t>
      </w:r>
      <w:r w:rsidRPr="0049558C">
        <w:rPr>
          <w:rFonts w:ascii="Times New Roman" w:hAnsi="Times New Roman" w:cs="Times New Roman"/>
          <w:i/>
          <w:iCs/>
        </w:rPr>
        <w:t xml:space="preserve"> Revista Derechos Humanos y Educación. </w:t>
      </w:r>
      <w:hyperlink r:id="rId61" w:history="1">
        <w:r w:rsidRPr="009A5E9A">
          <w:rPr>
            <w:rStyle w:val="Hyperlink"/>
            <w:rFonts w:ascii="Times New Roman" w:hAnsi="Times New Roman" w:cs="Times New Roman"/>
          </w:rPr>
          <w:t>https://revistaderechoshumanosyeducacion.es/index.php/DHED/article/view/169/109</w:t>
        </w:r>
      </w:hyperlink>
      <w:r>
        <w:rPr>
          <w:rFonts w:ascii="Times New Roman" w:hAnsi="Times New Roman" w:cs="Times New Roman"/>
        </w:rPr>
        <w:t xml:space="preserve"> </w:t>
      </w:r>
    </w:p>
    <w:p w14:paraId="3D7B8B62" w14:textId="5B540D54" w:rsidR="002E63B5" w:rsidRPr="002E63B5" w:rsidRDefault="002E63B5" w:rsidP="000B7958">
      <w:pPr>
        <w:spacing w:line="360" w:lineRule="auto"/>
        <w:ind w:firstLine="720"/>
        <w:jc w:val="both"/>
        <w:rPr>
          <w:rFonts w:ascii="Times New Roman" w:hAnsi="Times New Roman" w:cs="Times New Roman"/>
          <w:lang w:val="en-GB"/>
        </w:rPr>
      </w:pPr>
      <w:r>
        <w:rPr>
          <w:rFonts w:ascii="Times New Roman" w:hAnsi="Times New Roman" w:cs="Times New Roman"/>
        </w:rPr>
        <w:t xml:space="preserve">Soto, C. (2017). La prevención situacional: bases teóricas de fundamento criminológico. </w:t>
      </w:r>
      <w:r w:rsidRPr="0049558C">
        <w:rPr>
          <w:rFonts w:ascii="Times New Roman" w:hAnsi="Times New Roman" w:cs="Times New Roman"/>
          <w:i/>
          <w:iCs/>
          <w:lang w:val="en-GB"/>
        </w:rPr>
        <w:t xml:space="preserve">Iter Criminis. </w:t>
      </w:r>
      <w:hyperlink r:id="rId62" w:history="1">
        <w:r w:rsidRPr="002E63B5">
          <w:rPr>
            <w:rStyle w:val="Hyperlink"/>
            <w:rFonts w:ascii="Times New Roman" w:hAnsi="Times New Roman" w:cs="Times New Roman"/>
            <w:lang w:val="en-GB"/>
          </w:rPr>
          <w:t>https://www.academia.edu/33086873/LA_PREVENCIÓN_SITUACIONAL_BASES_TEÓRICAS_DE_FUNDAMENTO_CRIMINOLÓGICO</w:t>
        </w:r>
      </w:hyperlink>
      <w:r w:rsidRPr="002E63B5">
        <w:rPr>
          <w:rFonts w:ascii="Times New Roman" w:hAnsi="Times New Roman" w:cs="Times New Roman"/>
          <w:lang w:val="en-GB"/>
        </w:rPr>
        <w:t xml:space="preserve"> </w:t>
      </w:r>
    </w:p>
    <w:p w14:paraId="5D949D29" w14:textId="42902994" w:rsidR="007D3A6C" w:rsidRDefault="006509A7" w:rsidP="000B7958">
      <w:pPr>
        <w:spacing w:line="360" w:lineRule="auto"/>
        <w:ind w:firstLine="720"/>
        <w:jc w:val="both"/>
        <w:rPr>
          <w:rFonts w:ascii="Times New Roman" w:hAnsi="Times New Roman" w:cs="Times New Roman"/>
        </w:rPr>
      </w:pPr>
      <w:r w:rsidRPr="00CC2562">
        <w:rPr>
          <w:rFonts w:ascii="Times New Roman" w:hAnsi="Times New Roman" w:cs="Times New Roman"/>
        </w:rPr>
        <w:t xml:space="preserve">Tajahuerce, I. y Suárez, M. (s.f.). Así es la violencia vicaria, la expresión más cruel de la violencia de género. </w:t>
      </w:r>
      <w:r w:rsidRPr="00CC2562">
        <w:rPr>
          <w:rFonts w:ascii="Times New Roman" w:hAnsi="Times New Roman" w:cs="Times New Roman"/>
          <w:i/>
          <w:iCs/>
        </w:rPr>
        <w:t>Universidad Complutense de Madrid: Oficina de Transferencia de Conocimiento.</w:t>
      </w:r>
      <w:r w:rsidRPr="00CC2562">
        <w:rPr>
          <w:rFonts w:ascii="Times New Roman" w:hAnsi="Times New Roman" w:cs="Times New Roman"/>
        </w:rPr>
        <w:t xml:space="preserve"> </w:t>
      </w:r>
      <w:hyperlink r:id="rId63" w:history="1">
        <w:r w:rsidRPr="00CC2562">
          <w:rPr>
            <w:rStyle w:val="Hyperlink"/>
            <w:rFonts w:ascii="Times New Roman" w:hAnsi="Times New Roman" w:cs="Times New Roman"/>
          </w:rPr>
          <w:t>https://www.ucm.es/otri/noticias-violencia-vicaria-ucm</w:t>
        </w:r>
      </w:hyperlink>
      <w:r w:rsidRPr="00CC2562">
        <w:rPr>
          <w:rFonts w:ascii="Times New Roman" w:hAnsi="Times New Roman" w:cs="Times New Roman"/>
        </w:rPr>
        <w:t xml:space="preserve"> </w:t>
      </w:r>
    </w:p>
    <w:p w14:paraId="52B9580C" w14:textId="5B0A9DF1" w:rsidR="00263EB3" w:rsidRDefault="00747D9D" w:rsidP="00263EB3">
      <w:pPr>
        <w:spacing w:line="360" w:lineRule="auto"/>
        <w:ind w:firstLine="720"/>
        <w:jc w:val="both"/>
        <w:rPr>
          <w:rFonts w:ascii="Times New Roman" w:hAnsi="Times New Roman" w:cs="Times New Roman"/>
        </w:rPr>
      </w:pPr>
      <w:r>
        <w:rPr>
          <w:rFonts w:ascii="Times New Roman" w:hAnsi="Times New Roman" w:cs="Times New Roman"/>
        </w:rPr>
        <w:t>Torrubia, R. y Cuquerella, À. (2008). Psicopatía: una entidad clínica controvertida pero necesaria en psiquiatría forense.</w:t>
      </w:r>
      <w:r w:rsidRPr="00747D9D">
        <w:rPr>
          <w:rFonts w:ascii="Times New Roman" w:hAnsi="Times New Roman" w:cs="Times New Roman"/>
          <w:i/>
          <w:iCs/>
        </w:rPr>
        <w:t xml:space="preserve"> Revista Española de Medicina Legal. </w:t>
      </w:r>
      <w:hyperlink r:id="rId64" w:history="1">
        <w:r w:rsidRPr="009A5E9A">
          <w:rPr>
            <w:rStyle w:val="Hyperlink"/>
            <w:rFonts w:ascii="Times New Roman" w:hAnsi="Times New Roman" w:cs="Times New Roman"/>
          </w:rPr>
          <w:t>https://www.researchgate.net/publication/250686455_Psicopatia_Una_entidad_clinica_controvertida_pero_necesaria_en_psiquiatria_forense</w:t>
        </w:r>
      </w:hyperlink>
      <w:r>
        <w:rPr>
          <w:rFonts w:ascii="Times New Roman" w:hAnsi="Times New Roman" w:cs="Times New Roman"/>
        </w:rPr>
        <w:t xml:space="preserve"> </w:t>
      </w:r>
    </w:p>
    <w:p w14:paraId="1A2D6865" w14:textId="020212EA" w:rsidR="00263EB3" w:rsidRPr="00263EB3" w:rsidRDefault="00263EB3" w:rsidP="00077AA7">
      <w:pPr>
        <w:spacing w:line="360" w:lineRule="auto"/>
        <w:ind w:firstLine="720"/>
        <w:jc w:val="both"/>
        <w:rPr>
          <w:rFonts w:ascii="Times New Roman" w:hAnsi="Times New Roman" w:cs="Times New Roman"/>
          <w:lang w:val="en-GB"/>
        </w:rPr>
      </w:pPr>
      <w:r w:rsidRPr="00263EB3">
        <w:rPr>
          <w:rFonts w:ascii="Times New Roman" w:hAnsi="Times New Roman" w:cs="Times New Roman"/>
          <w:lang w:val="en-GB"/>
        </w:rPr>
        <w:t xml:space="preserve">UNICEF. (2006). Behind </w:t>
      </w:r>
      <w:r>
        <w:rPr>
          <w:rFonts w:ascii="Times New Roman" w:hAnsi="Times New Roman" w:cs="Times New Roman"/>
          <w:lang w:val="en-GB"/>
        </w:rPr>
        <w:t>C</w:t>
      </w:r>
      <w:r w:rsidRPr="00263EB3">
        <w:rPr>
          <w:rFonts w:ascii="Times New Roman" w:hAnsi="Times New Roman" w:cs="Times New Roman"/>
          <w:lang w:val="en-GB"/>
        </w:rPr>
        <w:t xml:space="preserve">losed </w:t>
      </w:r>
      <w:r>
        <w:rPr>
          <w:rFonts w:ascii="Times New Roman" w:hAnsi="Times New Roman" w:cs="Times New Roman"/>
          <w:lang w:val="en-GB"/>
        </w:rPr>
        <w:t>D</w:t>
      </w:r>
      <w:r w:rsidRPr="00263EB3">
        <w:rPr>
          <w:rFonts w:ascii="Times New Roman" w:hAnsi="Times New Roman" w:cs="Times New Roman"/>
          <w:lang w:val="en-GB"/>
        </w:rPr>
        <w:t>oors: The Impac</w:t>
      </w:r>
      <w:r>
        <w:rPr>
          <w:rFonts w:ascii="Times New Roman" w:hAnsi="Times New Roman" w:cs="Times New Roman"/>
          <w:lang w:val="en-GB"/>
        </w:rPr>
        <w:t xml:space="preserve">t </w:t>
      </w:r>
      <w:r w:rsidR="00CA5F23">
        <w:rPr>
          <w:rFonts w:ascii="Times New Roman" w:hAnsi="Times New Roman" w:cs="Times New Roman"/>
          <w:lang w:val="en-GB"/>
        </w:rPr>
        <w:t>of</w:t>
      </w:r>
      <w:r>
        <w:rPr>
          <w:rFonts w:ascii="Times New Roman" w:hAnsi="Times New Roman" w:cs="Times New Roman"/>
          <w:lang w:val="en-GB"/>
        </w:rPr>
        <w:t xml:space="preserve"> Domestic Violence </w:t>
      </w:r>
      <w:r w:rsidR="00CA5F23">
        <w:rPr>
          <w:rFonts w:ascii="Times New Roman" w:hAnsi="Times New Roman" w:cs="Times New Roman"/>
          <w:lang w:val="en-GB"/>
        </w:rPr>
        <w:t>on</w:t>
      </w:r>
      <w:r>
        <w:rPr>
          <w:rFonts w:ascii="Times New Roman" w:hAnsi="Times New Roman" w:cs="Times New Roman"/>
          <w:lang w:val="en-GB"/>
        </w:rPr>
        <w:t xml:space="preserve"> Children. </w:t>
      </w:r>
      <w:r w:rsidRPr="00A06946">
        <w:rPr>
          <w:rFonts w:ascii="Times New Roman" w:hAnsi="Times New Roman" w:cs="Times New Roman"/>
          <w:i/>
          <w:iCs/>
          <w:lang w:val="en-GB"/>
        </w:rPr>
        <w:t>UNICEF.</w:t>
      </w:r>
      <w:r>
        <w:rPr>
          <w:rFonts w:ascii="Times New Roman" w:hAnsi="Times New Roman" w:cs="Times New Roman"/>
          <w:lang w:val="en-GB"/>
        </w:rPr>
        <w:t xml:space="preserve"> </w:t>
      </w:r>
      <w:hyperlink r:id="rId65" w:history="1">
        <w:r w:rsidRPr="00766B91">
          <w:rPr>
            <w:rStyle w:val="Hyperlink"/>
            <w:rFonts w:ascii="Times New Roman" w:hAnsi="Times New Roman" w:cs="Times New Roman"/>
            <w:lang w:val="en-GB"/>
          </w:rPr>
          <w:t>https://belfastwomensaid.org.uk/themainevent/wp-content/uploads/2021/09/UNICEF_BehindClosedDoors.pdf</w:t>
        </w:r>
      </w:hyperlink>
      <w:r>
        <w:rPr>
          <w:rFonts w:ascii="Times New Roman" w:hAnsi="Times New Roman" w:cs="Times New Roman"/>
          <w:lang w:val="en-GB"/>
        </w:rPr>
        <w:t xml:space="preserve"> </w:t>
      </w:r>
    </w:p>
    <w:p w14:paraId="495EF6C3" w14:textId="10292F70" w:rsidR="00263EB3" w:rsidRPr="00263EB3" w:rsidRDefault="00263EB3" w:rsidP="00077AA7">
      <w:pPr>
        <w:spacing w:line="360" w:lineRule="auto"/>
        <w:ind w:firstLine="720"/>
        <w:jc w:val="both"/>
        <w:rPr>
          <w:rFonts w:ascii="Times New Roman" w:hAnsi="Times New Roman" w:cs="Times New Roman"/>
        </w:rPr>
      </w:pPr>
      <w:r>
        <w:rPr>
          <w:rFonts w:ascii="Times New Roman" w:hAnsi="Times New Roman" w:cs="Times New Roman"/>
          <w:lang w:val="en-GB"/>
        </w:rPr>
        <w:t xml:space="preserve">United Nations Office on Drugs and Crime. (2018). Global study on homicide: gender-related killing of women and girls. </w:t>
      </w:r>
      <w:r w:rsidRPr="00A06946">
        <w:rPr>
          <w:rFonts w:ascii="Times New Roman" w:hAnsi="Times New Roman" w:cs="Times New Roman"/>
          <w:i/>
          <w:iCs/>
        </w:rPr>
        <w:t xml:space="preserve">UNODC. </w:t>
      </w:r>
      <w:hyperlink r:id="rId66" w:history="1">
        <w:r w:rsidRPr="00766B91">
          <w:rPr>
            <w:rStyle w:val="Hyperlink"/>
            <w:rFonts w:ascii="Times New Roman" w:hAnsi="Times New Roman" w:cs="Times New Roman"/>
          </w:rPr>
          <w:t>https://www.unodc.org/documents/data-and-analysis/GSH2018/GSH18_Gender-related_killing_of_women_and_girls.pdf</w:t>
        </w:r>
      </w:hyperlink>
      <w:r>
        <w:rPr>
          <w:rFonts w:ascii="Times New Roman" w:hAnsi="Times New Roman" w:cs="Times New Roman"/>
        </w:rPr>
        <w:t xml:space="preserve"> </w:t>
      </w:r>
    </w:p>
    <w:p w14:paraId="16104A00" w14:textId="7512EB61" w:rsidR="00734ED9" w:rsidRPr="008F3115" w:rsidRDefault="00734ED9" w:rsidP="00734ED9">
      <w:pPr>
        <w:spacing w:line="360" w:lineRule="auto"/>
        <w:ind w:firstLine="720"/>
        <w:jc w:val="both"/>
        <w:rPr>
          <w:rFonts w:ascii="Times New Roman" w:hAnsi="Times New Roman" w:cs="Times New Roman"/>
          <w:lang w:val="en-GB"/>
        </w:rPr>
      </w:pPr>
      <w:r w:rsidRPr="00734ED9">
        <w:rPr>
          <w:rFonts w:ascii="Times New Roman" w:hAnsi="Times New Roman" w:cs="Times New Roman"/>
        </w:rPr>
        <w:t xml:space="preserve">Universidad McGill. (2022). </w:t>
      </w:r>
      <w:r w:rsidRPr="00734ED9">
        <w:rPr>
          <w:rFonts w:ascii="Times New Roman" w:hAnsi="Times New Roman" w:cs="Times New Roman"/>
          <w:i/>
          <w:iCs/>
        </w:rPr>
        <w:t>One in four women experience domestic violence before age 50</w:t>
      </w:r>
      <w:r w:rsidRPr="00734ED9">
        <w:rPr>
          <w:rFonts w:ascii="Times New Roman" w:hAnsi="Times New Roman" w:cs="Times New Roman"/>
        </w:rPr>
        <w:t xml:space="preserve"> [Una de cada cuatro mujeres experimenta violencia doméstica antes de los </w:t>
      </w:r>
      <w:r w:rsidRPr="00734ED9">
        <w:rPr>
          <w:rFonts w:ascii="Times New Roman" w:hAnsi="Times New Roman" w:cs="Times New Roman"/>
        </w:rPr>
        <w:lastRenderedPageBreak/>
        <w:t xml:space="preserve">50 años]. </w:t>
      </w:r>
      <w:r w:rsidRPr="00734ED9">
        <w:rPr>
          <w:rFonts w:ascii="Times New Roman" w:hAnsi="Times New Roman" w:cs="Times New Roman"/>
          <w:lang w:val="en-US"/>
        </w:rPr>
        <w:t xml:space="preserve">McGill Newsroom. </w:t>
      </w:r>
      <w:hyperlink r:id="rId67" w:history="1">
        <w:r w:rsidRPr="008F3115">
          <w:rPr>
            <w:rStyle w:val="Hyperlink"/>
            <w:rFonts w:ascii="Times New Roman" w:hAnsi="Times New Roman" w:cs="Times New Roman"/>
            <w:lang w:val="en-GB"/>
          </w:rPr>
          <w:t>https://www.mcgill.ca/newsroom/channels/news/one-four-women-experience-domestic-violence-age-50-338615</w:t>
        </w:r>
      </w:hyperlink>
    </w:p>
    <w:p w14:paraId="43AA7769" w14:textId="498F35D0" w:rsidR="00596329" w:rsidRDefault="00596329" w:rsidP="00077AA7">
      <w:pPr>
        <w:spacing w:line="360" w:lineRule="auto"/>
        <w:ind w:firstLine="720"/>
        <w:jc w:val="both"/>
        <w:rPr>
          <w:rFonts w:ascii="Times New Roman" w:hAnsi="Times New Roman" w:cs="Times New Roman"/>
        </w:rPr>
      </w:pPr>
      <w:r w:rsidRPr="001866A0">
        <w:rPr>
          <w:rFonts w:ascii="Times New Roman" w:hAnsi="Times New Roman" w:cs="Times New Roman"/>
        </w:rPr>
        <w:t>Vaccaro, S. (20</w:t>
      </w:r>
      <w:r w:rsidR="00077AA7" w:rsidRPr="001866A0">
        <w:rPr>
          <w:rFonts w:ascii="Times New Roman" w:hAnsi="Times New Roman" w:cs="Times New Roman"/>
        </w:rPr>
        <w:t>23</w:t>
      </w:r>
      <w:r w:rsidRPr="001866A0">
        <w:rPr>
          <w:rFonts w:ascii="Times New Roman" w:hAnsi="Times New Roman" w:cs="Times New Roman"/>
        </w:rPr>
        <w:t>).</w:t>
      </w:r>
      <w:r w:rsidR="00077AA7" w:rsidRPr="001866A0">
        <w:rPr>
          <w:rFonts w:ascii="Times New Roman" w:hAnsi="Times New Roman" w:cs="Times New Roman"/>
        </w:rPr>
        <w:t xml:space="preserve"> </w:t>
      </w:r>
      <w:r w:rsidR="00077AA7" w:rsidRPr="00077AA7">
        <w:rPr>
          <w:rFonts w:ascii="Times New Roman" w:hAnsi="Times New Roman" w:cs="Times New Roman"/>
          <w:i/>
          <w:iCs/>
        </w:rPr>
        <w:t xml:space="preserve">Violencia vicaria: golpear donde más duele. </w:t>
      </w:r>
      <w:r w:rsidR="00077AA7">
        <w:rPr>
          <w:rFonts w:ascii="Times New Roman" w:hAnsi="Times New Roman" w:cs="Times New Roman"/>
        </w:rPr>
        <w:t xml:space="preserve">Serendipity Maior. </w:t>
      </w:r>
      <w:hyperlink r:id="rId68" w:history="1">
        <w:r w:rsidR="00077AA7" w:rsidRPr="00766B91">
          <w:rPr>
            <w:rStyle w:val="Hyperlink"/>
            <w:rFonts w:ascii="Times New Roman" w:hAnsi="Times New Roman" w:cs="Times New Roman"/>
          </w:rPr>
          <w:t>https://www.edesclee.com/img/cms/pdfs/9788433032331.pdf</w:t>
        </w:r>
      </w:hyperlink>
      <w:r w:rsidR="00077AA7">
        <w:rPr>
          <w:rFonts w:ascii="Times New Roman" w:hAnsi="Times New Roman" w:cs="Times New Roman"/>
        </w:rPr>
        <w:t xml:space="preserve"> </w:t>
      </w:r>
    </w:p>
    <w:p w14:paraId="661C55D4" w14:textId="7319E671" w:rsidR="00D92BCF" w:rsidRPr="00D92BCF" w:rsidRDefault="00D92BCF" w:rsidP="000B7958">
      <w:pPr>
        <w:spacing w:line="360" w:lineRule="auto"/>
        <w:ind w:firstLine="720"/>
        <w:jc w:val="both"/>
        <w:rPr>
          <w:rFonts w:ascii="Times New Roman" w:hAnsi="Times New Roman" w:cs="Times New Roman"/>
          <w:lang w:val="en-GB"/>
        </w:rPr>
      </w:pPr>
      <w:r w:rsidRPr="00D92BCF">
        <w:rPr>
          <w:rFonts w:ascii="Times New Roman" w:hAnsi="Times New Roman" w:cs="Times New Roman"/>
        </w:rPr>
        <w:t xml:space="preserve">Valdivia, A., Hyde-Vaamonde, C. y </w:t>
      </w:r>
      <w:r>
        <w:rPr>
          <w:rFonts w:ascii="Times New Roman" w:hAnsi="Times New Roman" w:cs="Times New Roman"/>
        </w:rPr>
        <w:t xml:space="preserve">García-Marcos, J. (2022). </w:t>
      </w:r>
      <w:r w:rsidRPr="00D92BCF">
        <w:rPr>
          <w:rFonts w:ascii="Times New Roman" w:hAnsi="Times New Roman" w:cs="Times New Roman"/>
          <w:lang w:val="en-GB"/>
        </w:rPr>
        <w:t>Judging the algorithm: a case st</w:t>
      </w:r>
      <w:r>
        <w:rPr>
          <w:rFonts w:ascii="Times New Roman" w:hAnsi="Times New Roman" w:cs="Times New Roman"/>
          <w:lang w:val="en-GB"/>
        </w:rPr>
        <w:t xml:space="preserve">udy on the risk assessment tool for gender-based violence implemented in the Basque Country. </w:t>
      </w:r>
      <w:r w:rsidRPr="00D92BCF">
        <w:rPr>
          <w:rFonts w:ascii="Times New Roman" w:hAnsi="Times New Roman" w:cs="Times New Roman"/>
          <w:i/>
          <w:iCs/>
          <w:lang w:val="en-GB"/>
        </w:rPr>
        <w:t>Cornell University</w:t>
      </w:r>
      <w:r>
        <w:rPr>
          <w:rFonts w:ascii="Times New Roman" w:hAnsi="Times New Roman" w:cs="Times New Roman"/>
          <w:i/>
          <w:iCs/>
          <w:lang w:val="en-GB"/>
        </w:rPr>
        <w:t>.</w:t>
      </w:r>
      <w:r>
        <w:rPr>
          <w:rFonts w:ascii="Times New Roman" w:hAnsi="Times New Roman" w:cs="Times New Roman"/>
          <w:lang w:val="en-GB"/>
        </w:rPr>
        <w:t xml:space="preserve"> </w:t>
      </w:r>
      <w:hyperlink r:id="rId69" w:history="1">
        <w:r w:rsidRPr="001D4244">
          <w:rPr>
            <w:rStyle w:val="Hyperlink"/>
            <w:rFonts w:ascii="Times New Roman" w:hAnsi="Times New Roman" w:cs="Times New Roman"/>
            <w:lang w:val="en-GB"/>
          </w:rPr>
          <w:t>https://arxiv.org/pdf/2203.03723</w:t>
        </w:r>
      </w:hyperlink>
      <w:r>
        <w:rPr>
          <w:rFonts w:ascii="Times New Roman" w:hAnsi="Times New Roman" w:cs="Times New Roman"/>
          <w:lang w:val="en-GB"/>
        </w:rPr>
        <w:t xml:space="preserve"> </w:t>
      </w:r>
    </w:p>
    <w:p w14:paraId="0C2DF9C3" w14:textId="4D04322A" w:rsidR="00747D9D" w:rsidRPr="00C36F09" w:rsidRDefault="00C36F09" w:rsidP="00B0769E">
      <w:pPr>
        <w:spacing w:line="360" w:lineRule="auto"/>
        <w:ind w:firstLine="720"/>
        <w:jc w:val="both"/>
        <w:rPr>
          <w:rFonts w:ascii="Times New Roman" w:hAnsi="Times New Roman" w:cs="Times New Roman"/>
          <w:lang w:val="en-GB"/>
        </w:rPr>
      </w:pPr>
      <w:r w:rsidRPr="00C36F09">
        <w:rPr>
          <w:rFonts w:ascii="Times New Roman" w:hAnsi="Times New Roman" w:cs="Times New Roman"/>
          <w:lang w:val="en-GB"/>
        </w:rPr>
        <w:t xml:space="preserve">Walby, S., Towers, J. y </w:t>
      </w:r>
      <w:r>
        <w:rPr>
          <w:rFonts w:ascii="Times New Roman" w:hAnsi="Times New Roman" w:cs="Times New Roman"/>
          <w:lang w:val="en-GB"/>
        </w:rPr>
        <w:t xml:space="preserve">Francis, B. (2014). Mainstreaming Domestic and Gender-Based Violence into Sociology and the Criminology of Violence. </w:t>
      </w:r>
      <w:r w:rsidRPr="00A06946">
        <w:rPr>
          <w:rFonts w:ascii="Times New Roman" w:hAnsi="Times New Roman" w:cs="Times New Roman"/>
          <w:i/>
          <w:iCs/>
          <w:lang w:val="en-GB"/>
        </w:rPr>
        <w:t>The Sociological Review, nº 62 (S2), 187-214</w:t>
      </w:r>
      <w:r>
        <w:rPr>
          <w:rFonts w:ascii="Times New Roman" w:hAnsi="Times New Roman" w:cs="Times New Roman"/>
          <w:lang w:val="en-GB"/>
        </w:rPr>
        <w:t xml:space="preserve">. </w:t>
      </w:r>
      <w:hyperlink r:id="rId70" w:history="1">
        <w:r w:rsidRPr="001D4244">
          <w:rPr>
            <w:rStyle w:val="Hyperlink"/>
            <w:rFonts w:ascii="Times New Roman" w:hAnsi="Times New Roman" w:cs="Times New Roman"/>
            <w:lang w:val="en-GB"/>
          </w:rPr>
          <w:t>https://journals.sagepub.com/doi/epub/10.1111/1467-954X.12198</w:t>
        </w:r>
      </w:hyperlink>
      <w:r>
        <w:rPr>
          <w:rFonts w:ascii="Times New Roman" w:hAnsi="Times New Roman" w:cs="Times New Roman"/>
          <w:lang w:val="en-GB"/>
        </w:rPr>
        <w:t xml:space="preserve"> </w:t>
      </w:r>
    </w:p>
    <w:sectPr w:rsidR="00747D9D" w:rsidRPr="00C36F09" w:rsidSect="00770A3B">
      <w:footerReference w:type="even" r:id="rId71"/>
      <w:footerReference w:type="default" r:id="rId72"/>
      <w:footerReference w:type="first" r:id="rId73"/>
      <w:pgSz w:w="11906" w:h="16838"/>
      <w:pgMar w:top="1418" w:right="1701" w:bottom="1418"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0388A" w14:textId="77777777" w:rsidR="006443F7" w:rsidRDefault="006443F7" w:rsidP="002A7E10">
      <w:pPr>
        <w:spacing w:after="0" w:line="240" w:lineRule="auto"/>
      </w:pPr>
      <w:r>
        <w:separator/>
      </w:r>
    </w:p>
  </w:endnote>
  <w:endnote w:type="continuationSeparator" w:id="0">
    <w:p w14:paraId="0E4C994A" w14:textId="77777777" w:rsidR="006443F7" w:rsidRDefault="006443F7" w:rsidP="002A7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BITSTREAM IOWAN OLD STYLE BT">
    <w:panose1 w:val="02040602040506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2729940"/>
      <w:docPartObj>
        <w:docPartGallery w:val="Page Numbers (Bottom of Page)"/>
        <w:docPartUnique/>
      </w:docPartObj>
    </w:sdtPr>
    <w:sdtContent>
      <w:p w14:paraId="5C245994" w14:textId="76170B19" w:rsidR="002A7E10" w:rsidRDefault="002A7E10" w:rsidP="00DD0F97">
        <w:pPr>
          <w:pStyle w:val="Footer"/>
          <w:framePr w:wrap="none" w:vAnchor="text" w:hAnchor="margin" w:xAlign="right" w:y="1"/>
          <w:rPr>
            <w:rStyle w:val="PageNumber"/>
          </w:rPr>
        </w:pPr>
        <w:r w:rsidRPr="002A7E10">
          <w:rPr>
            <w:rStyle w:val="PageNumber"/>
            <w:rFonts w:ascii="Times New Roman" w:hAnsi="Times New Roman" w:cs="Times New Roman"/>
          </w:rPr>
          <w:fldChar w:fldCharType="begin"/>
        </w:r>
        <w:r w:rsidRPr="002A7E10">
          <w:rPr>
            <w:rStyle w:val="PageNumber"/>
            <w:rFonts w:ascii="Times New Roman" w:hAnsi="Times New Roman" w:cs="Times New Roman"/>
          </w:rPr>
          <w:instrText xml:space="preserve"> PAGE </w:instrText>
        </w:r>
        <w:r w:rsidRPr="002A7E10">
          <w:rPr>
            <w:rStyle w:val="PageNumber"/>
            <w:rFonts w:ascii="Times New Roman" w:hAnsi="Times New Roman" w:cs="Times New Roman"/>
          </w:rPr>
          <w:fldChar w:fldCharType="separate"/>
        </w:r>
        <w:r w:rsidRPr="002A7E10">
          <w:rPr>
            <w:rStyle w:val="PageNumber"/>
            <w:rFonts w:ascii="Times New Roman" w:hAnsi="Times New Roman" w:cs="Times New Roman"/>
            <w:noProof/>
          </w:rPr>
          <w:t>12</w:t>
        </w:r>
        <w:r w:rsidRPr="002A7E10">
          <w:rPr>
            <w:rStyle w:val="PageNumber"/>
            <w:rFonts w:ascii="Times New Roman" w:hAnsi="Times New Roman" w:cs="Times New Roman"/>
          </w:rPr>
          <w:fldChar w:fldCharType="end"/>
        </w:r>
      </w:p>
    </w:sdtContent>
  </w:sdt>
  <w:p w14:paraId="679E878A" w14:textId="77777777" w:rsidR="002A7E10" w:rsidRDefault="002A7E10" w:rsidP="002A7E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4621867"/>
      <w:docPartObj>
        <w:docPartGallery w:val="Page Numbers (Bottom of Page)"/>
        <w:docPartUnique/>
      </w:docPartObj>
    </w:sdtPr>
    <w:sdtContent>
      <w:p w14:paraId="6D11A22F" w14:textId="32A508E0" w:rsidR="002A7E10" w:rsidRDefault="002A7E10" w:rsidP="002A7E10">
        <w:pPr>
          <w:pStyle w:val="Footer"/>
          <w:framePr w:wrap="notBeside" w:vAnchor="text" w:hAnchor="page" w:xAlign="right" w:y="1" w:anchorLock="1"/>
          <w:rPr>
            <w:rStyle w:val="PageNumber"/>
          </w:rPr>
        </w:pPr>
        <w:r w:rsidRPr="002A7E10">
          <w:rPr>
            <w:rStyle w:val="PageNumber"/>
            <w:rFonts w:ascii="Times New Roman" w:hAnsi="Times New Roman" w:cs="Times New Roman"/>
          </w:rPr>
          <w:fldChar w:fldCharType="begin"/>
        </w:r>
        <w:r w:rsidRPr="002A7E10">
          <w:rPr>
            <w:rStyle w:val="PageNumber"/>
            <w:rFonts w:ascii="Times New Roman" w:hAnsi="Times New Roman" w:cs="Times New Roman"/>
          </w:rPr>
          <w:instrText xml:space="preserve"> PAGE </w:instrText>
        </w:r>
        <w:r w:rsidRPr="002A7E10">
          <w:rPr>
            <w:rStyle w:val="PageNumber"/>
            <w:rFonts w:ascii="Times New Roman" w:hAnsi="Times New Roman" w:cs="Times New Roman"/>
          </w:rPr>
          <w:fldChar w:fldCharType="separate"/>
        </w:r>
        <w:r w:rsidRPr="002A7E10">
          <w:rPr>
            <w:rStyle w:val="PageNumber"/>
            <w:rFonts w:ascii="Times New Roman" w:hAnsi="Times New Roman" w:cs="Times New Roman"/>
            <w:noProof/>
          </w:rPr>
          <w:t>1</w:t>
        </w:r>
        <w:r w:rsidRPr="002A7E10">
          <w:rPr>
            <w:rStyle w:val="PageNumber"/>
            <w:rFonts w:ascii="Times New Roman" w:hAnsi="Times New Roman" w:cs="Times New Roman"/>
          </w:rPr>
          <w:fldChar w:fldCharType="end"/>
        </w:r>
      </w:p>
    </w:sdtContent>
  </w:sdt>
  <w:p w14:paraId="10D4B1E1" w14:textId="77777777" w:rsidR="002A7E10" w:rsidRDefault="002A7E10" w:rsidP="002A7E1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050E0" w14:textId="77777777" w:rsidR="002A7E10" w:rsidRDefault="002A7E10" w:rsidP="002A7E1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32E40" w14:textId="77777777" w:rsidR="006443F7" w:rsidRDefault="006443F7" w:rsidP="002A7E10">
      <w:pPr>
        <w:spacing w:after="0" w:line="240" w:lineRule="auto"/>
      </w:pPr>
      <w:r>
        <w:separator/>
      </w:r>
    </w:p>
  </w:footnote>
  <w:footnote w:type="continuationSeparator" w:id="0">
    <w:p w14:paraId="29D3D583" w14:textId="77777777" w:rsidR="006443F7" w:rsidRDefault="006443F7" w:rsidP="002A7E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4F8"/>
    <w:multiLevelType w:val="hybridMultilevel"/>
    <w:tmpl w:val="225431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04796A"/>
    <w:multiLevelType w:val="multilevel"/>
    <w:tmpl w:val="6076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B6E0C"/>
    <w:multiLevelType w:val="multilevel"/>
    <w:tmpl w:val="CD0821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A0928FC"/>
    <w:multiLevelType w:val="hybridMultilevel"/>
    <w:tmpl w:val="1AB4BD06"/>
    <w:lvl w:ilvl="0" w:tplc="72EAE49E">
      <w:start w:val="4"/>
      <w:numFmt w:val="bullet"/>
      <w:lvlText w:val="-"/>
      <w:lvlJc w:val="left"/>
      <w:pPr>
        <w:ind w:left="927" w:hanging="360"/>
      </w:pPr>
      <w:rPr>
        <w:rFonts w:ascii="Times New Roman" w:eastAsiaTheme="minorHAnsi"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4" w15:restartNumberingAfterBreak="0">
    <w:nsid w:val="0A9B1F6D"/>
    <w:multiLevelType w:val="hybridMultilevel"/>
    <w:tmpl w:val="91DAF1F0"/>
    <w:lvl w:ilvl="0" w:tplc="EEB2B2BE">
      <w:start w:val="5"/>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AB909AC"/>
    <w:multiLevelType w:val="multilevel"/>
    <w:tmpl w:val="584A9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414AC6"/>
    <w:multiLevelType w:val="hybridMultilevel"/>
    <w:tmpl w:val="F412E4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CF25097"/>
    <w:multiLevelType w:val="multilevel"/>
    <w:tmpl w:val="D4B0F0FA"/>
    <w:lvl w:ilvl="0">
      <w:start w:val="3"/>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8" w15:restartNumberingAfterBreak="0">
    <w:nsid w:val="0E60184C"/>
    <w:multiLevelType w:val="hybridMultilevel"/>
    <w:tmpl w:val="892E2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5604B8"/>
    <w:multiLevelType w:val="multilevel"/>
    <w:tmpl w:val="CD0821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13DD4C93"/>
    <w:multiLevelType w:val="multilevel"/>
    <w:tmpl w:val="D2186956"/>
    <w:lvl w:ilvl="0">
      <w:start w:val="2"/>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11" w15:restartNumberingAfterBreak="0">
    <w:nsid w:val="14B51B65"/>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2" w15:restartNumberingAfterBreak="0">
    <w:nsid w:val="1B635723"/>
    <w:multiLevelType w:val="multilevel"/>
    <w:tmpl w:val="5F4C3D1C"/>
    <w:lvl w:ilvl="0">
      <w:start w:val="2"/>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13" w15:restartNumberingAfterBreak="0">
    <w:nsid w:val="1E717C7E"/>
    <w:multiLevelType w:val="hybridMultilevel"/>
    <w:tmpl w:val="906E79CE"/>
    <w:lvl w:ilvl="0" w:tplc="5844A0E8">
      <w:start w:val="4"/>
      <w:numFmt w:val="bullet"/>
      <w:lvlText w:val="-"/>
      <w:lvlJc w:val="left"/>
      <w:pPr>
        <w:ind w:left="927" w:hanging="360"/>
      </w:pPr>
      <w:rPr>
        <w:rFonts w:ascii="Times New Roman" w:eastAsiaTheme="minorHAnsi"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4" w15:restartNumberingAfterBreak="0">
    <w:nsid w:val="1F4C6F9C"/>
    <w:multiLevelType w:val="hybridMultilevel"/>
    <w:tmpl w:val="D194BCCA"/>
    <w:lvl w:ilvl="0" w:tplc="A8788286">
      <w:start w:val="2"/>
      <w:numFmt w:val="decimal"/>
      <w:lvlText w:val="%1."/>
      <w:lvlJc w:val="left"/>
      <w:pPr>
        <w:ind w:left="720" w:hanging="360"/>
      </w:pPr>
      <w:rPr>
        <w:rFonts w:hint="default"/>
        <w:b w:val="0"/>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FE601E7"/>
    <w:multiLevelType w:val="hybridMultilevel"/>
    <w:tmpl w:val="677098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179462A"/>
    <w:multiLevelType w:val="hybridMultilevel"/>
    <w:tmpl w:val="D9760DB6"/>
    <w:lvl w:ilvl="0" w:tplc="4E407BAC">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3EF42A6"/>
    <w:multiLevelType w:val="hybridMultilevel"/>
    <w:tmpl w:val="755A99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5723735"/>
    <w:multiLevelType w:val="multilevel"/>
    <w:tmpl w:val="7AB863F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C642A16"/>
    <w:multiLevelType w:val="hybridMultilevel"/>
    <w:tmpl w:val="39DC2DF8"/>
    <w:lvl w:ilvl="0" w:tplc="4E407BAC">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FC9665F"/>
    <w:multiLevelType w:val="multilevel"/>
    <w:tmpl w:val="4BF0A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F706B6"/>
    <w:multiLevelType w:val="hybridMultilevel"/>
    <w:tmpl w:val="231E912C"/>
    <w:lvl w:ilvl="0" w:tplc="4E407BA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444251"/>
    <w:multiLevelType w:val="hybridMultilevel"/>
    <w:tmpl w:val="5D10AB16"/>
    <w:lvl w:ilvl="0" w:tplc="0809000F">
      <w:start w:val="1"/>
      <w:numFmt w:val="decimal"/>
      <w:lvlText w:val="%1."/>
      <w:lvlJc w:val="left"/>
      <w:pPr>
        <w:ind w:left="720" w:hanging="360"/>
      </w:pPr>
      <w:rPr>
        <w:rFonts w:hint="default"/>
      </w:rPr>
    </w:lvl>
    <w:lvl w:ilvl="1" w:tplc="E70C7D64">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C5C4FD2"/>
    <w:multiLevelType w:val="multilevel"/>
    <w:tmpl w:val="F15C1B42"/>
    <w:lvl w:ilvl="0">
      <w:start w:val="5"/>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24" w15:restartNumberingAfterBreak="0">
    <w:nsid w:val="3DF23E45"/>
    <w:multiLevelType w:val="multilevel"/>
    <w:tmpl w:val="47DE9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80564C"/>
    <w:multiLevelType w:val="hybridMultilevel"/>
    <w:tmpl w:val="2376A95E"/>
    <w:lvl w:ilvl="0" w:tplc="287438FA">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0FE123A"/>
    <w:multiLevelType w:val="hybridMultilevel"/>
    <w:tmpl w:val="824078E6"/>
    <w:lvl w:ilvl="0" w:tplc="62D8511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1D36C0A"/>
    <w:multiLevelType w:val="hybridMultilevel"/>
    <w:tmpl w:val="9864E0A6"/>
    <w:lvl w:ilvl="0" w:tplc="8772BC6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3A6675F"/>
    <w:multiLevelType w:val="multilevel"/>
    <w:tmpl w:val="F8625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C22DE5"/>
    <w:multiLevelType w:val="multilevel"/>
    <w:tmpl w:val="E12C06F6"/>
    <w:lvl w:ilvl="0">
      <w:start w:val="3"/>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30" w15:restartNumberingAfterBreak="0">
    <w:nsid w:val="518816F8"/>
    <w:multiLevelType w:val="hybridMultilevel"/>
    <w:tmpl w:val="045237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2DA321C"/>
    <w:multiLevelType w:val="multilevel"/>
    <w:tmpl w:val="07768C0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7300F8"/>
    <w:multiLevelType w:val="hybridMultilevel"/>
    <w:tmpl w:val="5D5054E4"/>
    <w:lvl w:ilvl="0" w:tplc="E668E20A">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7DD7E96"/>
    <w:multiLevelType w:val="hybridMultilevel"/>
    <w:tmpl w:val="E5FED8A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5E8B4A4F"/>
    <w:multiLevelType w:val="multilevel"/>
    <w:tmpl w:val="130A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F3D11"/>
    <w:multiLevelType w:val="multilevel"/>
    <w:tmpl w:val="C55E44AE"/>
    <w:lvl w:ilvl="0">
      <w:start w:val="6"/>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36" w15:restartNumberingAfterBreak="0">
    <w:nsid w:val="6A7971B6"/>
    <w:multiLevelType w:val="hybridMultilevel"/>
    <w:tmpl w:val="30802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F892C6A"/>
    <w:multiLevelType w:val="multilevel"/>
    <w:tmpl w:val="505C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BD3270A"/>
    <w:multiLevelType w:val="hybridMultilevel"/>
    <w:tmpl w:val="22CAFF14"/>
    <w:lvl w:ilvl="0" w:tplc="86C838FA">
      <w:numFmt w:val="bullet"/>
      <w:lvlText w:val="-"/>
      <w:lvlJc w:val="left"/>
      <w:pPr>
        <w:ind w:left="1069" w:hanging="360"/>
      </w:pPr>
      <w:rPr>
        <w:rFonts w:ascii="Times New Roman" w:eastAsiaTheme="minorHAnsi" w:hAnsi="Times New Roman"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9" w15:restartNumberingAfterBreak="0">
    <w:nsid w:val="7F717731"/>
    <w:multiLevelType w:val="hybridMultilevel"/>
    <w:tmpl w:val="A056B3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6679507">
    <w:abstractNumId w:val="39"/>
  </w:num>
  <w:num w:numId="2" w16cid:durableId="863636904">
    <w:abstractNumId w:val="36"/>
  </w:num>
  <w:num w:numId="3" w16cid:durableId="1191140697">
    <w:abstractNumId w:val="6"/>
  </w:num>
  <w:num w:numId="4" w16cid:durableId="308633325">
    <w:abstractNumId w:val="33"/>
  </w:num>
  <w:num w:numId="5" w16cid:durableId="871190724">
    <w:abstractNumId w:val="17"/>
  </w:num>
  <w:num w:numId="6" w16cid:durableId="2065563997">
    <w:abstractNumId w:val="21"/>
  </w:num>
  <w:num w:numId="7" w16cid:durableId="1582595535">
    <w:abstractNumId w:val="22"/>
  </w:num>
  <w:num w:numId="8" w16cid:durableId="413547569">
    <w:abstractNumId w:val="14"/>
  </w:num>
  <w:num w:numId="9" w16cid:durableId="1903520635">
    <w:abstractNumId w:val="11"/>
  </w:num>
  <w:num w:numId="10" w16cid:durableId="1220165156">
    <w:abstractNumId w:val="18"/>
  </w:num>
  <w:num w:numId="11" w16cid:durableId="1849638667">
    <w:abstractNumId w:val="12"/>
  </w:num>
  <w:num w:numId="12" w16cid:durableId="795638520">
    <w:abstractNumId w:val="10"/>
  </w:num>
  <w:num w:numId="13" w16cid:durableId="559445493">
    <w:abstractNumId w:val="7"/>
  </w:num>
  <w:num w:numId="14" w16cid:durableId="2116247030">
    <w:abstractNumId w:val="23"/>
  </w:num>
  <w:num w:numId="15" w16cid:durableId="746849151">
    <w:abstractNumId w:val="29"/>
  </w:num>
  <w:num w:numId="16" w16cid:durableId="594098592">
    <w:abstractNumId w:val="35"/>
  </w:num>
  <w:num w:numId="17" w16cid:durableId="66198528">
    <w:abstractNumId w:val="9"/>
  </w:num>
  <w:num w:numId="18" w16cid:durableId="23288000">
    <w:abstractNumId w:val="0"/>
  </w:num>
  <w:num w:numId="19" w16cid:durableId="677850425">
    <w:abstractNumId w:val="15"/>
  </w:num>
  <w:num w:numId="20" w16cid:durableId="521480915">
    <w:abstractNumId w:val="2"/>
  </w:num>
  <w:num w:numId="21" w16cid:durableId="449595886">
    <w:abstractNumId w:val="4"/>
  </w:num>
  <w:num w:numId="22" w16cid:durableId="2058890461">
    <w:abstractNumId w:val="30"/>
  </w:num>
  <w:num w:numId="23" w16cid:durableId="2071154412">
    <w:abstractNumId w:val="32"/>
  </w:num>
  <w:num w:numId="24" w16cid:durableId="1629555980">
    <w:abstractNumId w:val="13"/>
  </w:num>
  <w:num w:numId="25" w16cid:durableId="714473969">
    <w:abstractNumId w:val="3"/>
  </w:num>
  <w:num w:numId="26" w16cid:durableId="1294023380">
    <w:abstractNumId w:val="16"/>
  </w:num>
  <w:num w:numId="27" w16cid:durableId="625891961">
    <w:abstractNumId w:val="25"/>
  </w:num>
  <w:num w:numId="28" w16cid:durableId="2103917269">
    <w:abstractNumId w:val="26"/>
  </w:num>
  <w:num w:numId="29" w16cid:durableId="210966797">
    <w:abstractNumId w:val="27"/>
  </w:num>
  <w:num w:numId="30" w16cid:durableId="637029342">
    <w:abstractNumId w:val="38"/>
  </w:num>
  <w:num w:numId="31" w16cid:durableId="812213758">
    <w:abstractNumId w:val="8"/>
  </w:num>
  <w:num w:numId="32" w16cid:durableId="675612293">
    <w:abstractNumId w:val="37"/>
  </w:num>
  <w:num w:numId="33" w16cid:durableId="1285387781">
    <w:abstractNumId w:val="28"/>
  </w:num>
  <w:num w:numId="34" w16cid:durableId="244850658">
    <w:abstractNumId w:val="1"/>
  </w:num>
  <w:num w:numId="35" w16cid:durableId="142087423">
    <w:abstractNumId w:val="24"/>
  </w:num>
  <w:num w:numId="36" w16cid:durableId="36515115">
    <w:abstractNumId w:val="34"/>
  </w:num>
  <w:num w:numId="37" w16cid:durableId="1300458782">
    <w:abstractNumId w:val="20"/>
  </w:num>
  <w:num w:numId="38" w16cid:durableId="1802728082">
    <w:abstractNumId w:val="5"/>
  </w:num>
  <w:num w:numId="39" w16cid:durableId="710809148">
    <w:abstractNumId w:val="31"/>
  </w:num>
  <w:num w:numId="40" w16cid:durableId="9981921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7"/>
  <w:proofState w:spelling="clean" w:grammar="clean"/>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9A7"/>
    <w:rsid w:val="000069BA"/>
    <w:rsid w:val="00030344"/>
    <w:rsid w:val="00034BD2"/>
    <w:rsid w:val="00035339"/>
    <w:rsid w:val="000414B3"/>
    <w:rsid w:val="000427C2"/>
    <w:rsid w:val="00045783"/>
    <w:rsid w:val="00055002"/>
    <w:rsid w:val="00070C4D"/>
    <w:rsid w:val="00072224"/>
    <w:rsid w:val="000744C4"/>
    <w:rsid w:val="00077AA7"/>
    <w:rsid w:val="000832FD"/>
    <w:rsid w:val="00085E59"/>
    <w:rsid w:val="000940C9"/>
    <w:rsid w:val="000949B1"/>
    <w:rsid w:val="00097F30"/>
    <w:rsid w:val="000B349D"/>
    <w:rsid w:val="000B7958"/>
    <w:rsid w:val="000D2546"/>
    <w:rsid w:val="000D3A60"/>
    <w:rsid w:val="000E604B"/>
    <w:rsid w:val="000F5D36"/>
    <w:rsid w:val="00112ECF"/>
    <w:rsid w:val="00123E30"/>
    <w:rsid w:val="001253E6"/>
    <w:rsid w:val="00134D29"/>
    <w:rsid w:val="00153E7E"/>
    <w:rsid w:val="00160FD3"/>
    <w:rsid w:val="00164550"/>
    <w:rsid w:val="00177972"/>
    <w:rsid w:val="001866A0"/>
    <w:rsid w:val="001A14A5"/>
    <w:rsid w:val="001A48A3"/>
    <w:rsid w:val="001B2C4C"/>
    <w:rsid w:val="001B3C11"/>
    <w:rsid w:val="001B445A"/>
    <w:rsid w:val="001D164A"/>
    <w:rsid w:val="001D1C33"/>
    <w:rsid w:val="001E1C55"/>
    <w:rsid w:val="001E27F0"/>
    <w:rsid w:val="001F0AC1"/>
    <w:rsid w:val="0020040E"/>
    <w:rsid w:val="002115D4"/>
    <w:rsid w:val="00212899"/>
    <w:rsid w:val="0021553C"/>
    <w:rsid w:val="00216BCD"/>
    <w:rsid w:val="00230164"/>
    <w:rsid w:val="002312D4"/>
    <w:rsid w:val="00244A12"/>
    <w:rsid w:val="00256158"/>
    <w:rsid w:val="00263D1A"/>
    <w:rsid w:val="00263EB3"/>
    <w:rsid w:val="0026590C"/>
    <w:rsid w:val="00275A08"/>
    <w:rsid w:val="002841BF"/>
    <w:rsid w:val="00291F43"/>
    <w:rsid w:val="00295337"/>
    <w:rsid w:val="00297E30"/>
    <w:rsid w:val="002A2641"/>
    <w:rsid w:val="002A2D67"/>
    <w:rsid w:val="002A5916"/>
    <w:rsid w:val="002A6204"/>
    <w:rsid w:val="002A7E10"/>
    <w:rsid w:val="002C4AC3"/>
    <w:rsid w:val="002C53FB"/>
    <w:rsid w:val="002D449D"/>
    <w:rsid w:val="002D5C45"/>
    <w:rsid w:val="002E63B5"/>
    <w:rsid w:val="00310519"/>
    <w:rsid w:val="00322693"/>
    <w:rsid w:val="0032608E"/>
    <w:rsid w:val="00326BC6"/>
    <w:rsid w:val="0033173F"/>
    <w:rsid w:val="00333D80"/>
    <w:rsid w:val="00341921"/>
    <w:rsid w:val="00355CBA"/>
    <w:rsid w:val="00355D15"/>
    <w:rsid w:val="0037781A"/>
    <w:rsid w:val="003863EE"/>
    <w:rsid w:val="003921D3"/>
    <w:rsid w:val="003A0DE5"/>
    <w:rsid w:val="003A2F59"/>
    <w:rsid w:val="003A6BE0"/>
    <w:rsid w:val="003B0F38"/>
    <w:rsid w:val="003B591A"/>
    <w:rsid w:val="003D285B"/>
    <w:rsid w:val="003E029C"/>
    <w:rsid w:val="003E0D86"/>
    <w:rsid w:val="003E3F52"/>
    <w:rsid w:val="003E6968"/>
    <w:rsid w:val="003F3B72"/>
    <w:rsid w:val="004113C3"/>
    <w:rsid w:val="00411C07"/>
    <w:rsid w:val="004218ED"/>
    <w:rsid w:val="0042596A"/>
    <w:rsid w:val="00466D0A"/>
    <w:rsid w:val="00486067"/>
    <w:rsid w:val="00492206"/>
    <w:rsid w:val="00492DA9"/>
    <w:rsid w:val="0049558C"/>
    <w:rsid w:val="004B5647"/>
    <w:rsid w:val="004B5BF0"/>
    <w:rsid w:val="004B61E0"/>
    <w:rsid w:val="004C57CF"/>
    <w:rsid w:val="004D1DBB"/>
    <w:rsid w:val="004D59DF"/>
    <w:rsid w:val="004E1443"/>
    <w:rsid w:val="004F299D"/>
    <w:rsid w:val="004F3EA1"/>
    <w:rsid w:val="004F7A32"/>
    <w:rsid w:val="00502752"/>
    <w:rsid w:val="00510C33"/>
    <w:rsid w:val="00512076"/>
    <w:rsid w:val="005126CB"/>
    <w:rsid w:val="00512BCB"/>
    <w:rsid w:val="0053131E"/>
    <w:rsid w:val="00546034"/>
    <w:rsid w:val="005462D2"/>
    <w:rsid w:val="00552E5C"/>
    <w:rsid w:val="005700FE"/>
    <w:rsid w:val="005709F4"/>
    <w:rsid w:val="00574541"/>
    <w:rsid w:val="00576031"/>
    <w:rsid w:val="00577DF8"/>
    <w:rsid w:val="00581C98"/>
    <w:rsid w:val="00583714"/>
    <w:rsid w:val="00590427"/>
    <w:rsid w:val="00591B41"/>
    <w:rsid w:val="00596329"/>
    <w:rsid w:val="005A14AB"/>
    <w:rsid w:val="005A5FF7"/>
    <w:rsid w:val="005B5FD4"/>
    <w:rsid w:val="005B798B"/>
    <w:rsid w:val="005D034B"/>
    <w:rsid w:val="005F0FB9"/>
    <w:rsid w:val="00622B7D"/>
    <w:rsid w:val="006258D2"/>
    <w:rsid w:val="00625C7A"/>
    <w:rsid w:val="00632755"/>
    <w:rsid w:val="00636415"/>
    <w:rsid w:val="006443F7"/>
    <w:rsid w:val="006509A7"/>
    <w:rsid w:val="00654E96"/>
    <w:rsid w:val="006653CF"/>
    <w:rsid w:val="006703B5"/>
    <w:rsid w:val="006762EC"/>
    <w:rsid w:val="006923F7"/>
    <w:rsid w:val="006C3F2D"/>
    <w:rsid w:val="006C4EF0"/>
    <w:rsid w:val="006C7A37"/>
    <w:rsid w:val="006D2813"/>
    <w:rsid w:val="006D4275"/>
    <w:rsid w:val="006E435B"/>
    <w:rsid w:val="006F13E6"/>
    <w:rsid w:val="007008CC"/>
    <w:rsid w:val="007053B5"/>
    <w:rsid w:val="00713310"/>
    <w:rsid w:val="0071628E"/>
    <w:rsid w:val="0071741C"/>
    <w:rsid w:val="00720026"/>
    <w:rsid w:val="00720535"/>
    <w:rsid w:val="00734ED9"/>
    <w:rsid w:val="00747D9D"/>
    <w:rsid w:val="0076019C"/>
    <w:rsid w:val="00765454"/>
    <w:rsid w:val="00770A3B"/>
    <w:rsid w:val="00771FEB"/>
    <w:rsid w:val="00793FEF"/>
    <w:rsid w:val="007A1051"/>
    <w:rsid w:val="007B4A30"/>
    <w:rsid w:val="007C00EE"/>
    <w:rsid w:val="007C1063"/>
    <w:rsid w:val="007C1946"/>
    <w:rsid w:val="007C3CC5"/>
    <w:rsid w:val="007C5513"/>
    <w:rsid w:val="007C727B"/>
    <w:rsid w:val="007C7684"/>
    <w:rsid w:val="007D3A6C"/>
    <w:rsid w:val="007E16D1"/>
    <w:rsid w:val="007F38F4"/>
    <w:rsid w:val="00813321"/>
    <w:rsid w:val="008235E0"/>
    <w:rsid w:val="00837584"/>
    <w:rsid w:val="00840A94"/>
    <w:rsid w:val="0084263D"/>
    <w:rsid w:val="00843F09"/>
    <w:rsid w:val="00852A37"/>
    <w:rsid w:val="00873AE1"/>
    <w:rsid w:val="00884139"/>
    <w:rsid w:val="00897D31"/>
    <w:rsid w:val="008A1905"/>
    <w:rsid w:val="008B3A8E"/>
    <w:rsid w:val="008C03A7"/>
    <w:rsid w:val="008D0D51"/>
    <w:rsid w:val="008E6D91"/>
    <w:rsid w:val="008F3115"/>
    <w:rsid w:val="009132A2"/>
    <w:rsid w:val="00924D99"/>
    <w:rsid w:val="009270ED"/>
    <w:rsid w:val="00945CAD"/>
    <w:rsid w:val="00961680"/>
    <w:rsid w:val="00963F2A"/>
    <w:rsid w:val="00966824"/>
    <w:rsid w:val="0097023A"/>
    <w:rsid w:val="009819B3"/>
    <w:rsid w:val="009A6D86"/>
    <w:rsid w:val="009B1C55"/>
    <w:rsid w:val="009B7B83"/>
    <w:rsid w:val="009D0B7B"/>
    <w:rsid w:val="009D0E79"/>
    <w:rsid w:val="009F236B"/>
    <w:rsid w:val="009F3F4E"/>
    <w:rsid w:val="009F6FCC"/>
    <w:rsid w:val="00A06946"/>
    <w:rsid w:val="00A30364"/>
    <w:rsid w:val="00A30B47"/>
    <w:rsid w:val="00A3242C"/>
    <w:rsid w:val="00A329D6"/>
    <w:rsid w:val="00A44E77"/>
    <w:rsid w:val="00A50D7A"/>
    <w:rsid w:val="00A55BC5"/>
    <w:rsid w:val="00A6559B"/>
    <w:rsid w:val="00A83B3A"/>
    <w:rsid w:val="00AB153E"/>
    <w:rsid w:val="00AB1F19"/>
    <w:rsid w:val="00AC01FE"/>
    <w:rsid w:val="00AC718E"/>
    <w:rsid w:val="00AE31F0"/>
    <w:rsid w:val="00AF5DC6"/>
    <w:rsid w:val="00AF7A11"/>
    <w:rsid w:val="00B001C7"/>
    <w:rsid w:val="00B01160"/>
    <w:rsid w:val="00B02A11"/>
    <w:rsid w:val="00B0769E"/>
    <w:rsid w:val="00B4037F"/>
    <w:rsid w:val="00B437F1"/>
    <w:rsid w:val="00B4764F"/>
    <w:rsid w:val="00B54320"/>
    <w:rsid w:val="00B73FC9"/>
    <w:rsid w:val="00B74A73"/>
    <w:rsid w:val="00B81383"/>
    <w:rsid w:val="00B8388E"/>
    <w:rsid w:val="00B86400"/>
    <w:rsid w:val="00BA2A69"/>
    <w:rsid w:val="00BB0401"/>
    <w:rsid w:val="00BC6002"/>
    <w:rsid w:val="00BC7448"/>
    <w:rsid w:val="00BD1D98"/>
    <w:rsid w:val="00BE096D"/>
    <w:rsid w:val="00BF071C"/>
    <w:rsid w:val="00C00747"/>
    <w:rsid w:val="00C072A1"/>
    <w:rsid w:val="00C07ACE"/>
    <w:rsid w:val="00C36F09"/>
    <w:rsid w:val="00C37D6C"/>
    <w:rsid w:val="00C53CD8"/>
    <w:rsid w:val="00C54861"/>
    <w:rsid w:val="00C61CEF"/>
    <w:rsid w:val="00C720EA"/>
    <w:rsid w:val="00C7777F"/>
    <w:rsid w:val="00CA5F23"/>
    <w:rsid w:val="00CB1613"/>
    <w:rsid w:val="00CD2C75"/>
    <w:rsid w:val="00CD4B94"/>
    <w:rsid w:val="00CF3A55"/>
    <w:rsid w:val="00CF55F4"/>
    <w:rsid w:val="00D013BC"/>
    <w:rsid w:val="00D03527"/>
    <w:rsid w:val="00D04914"/>
    <w:rsid w:val="00D07502"/>
    <w:rsid w:val="00D13FEE"/>
    <w:rsid w:val="00D250F2"/>
    <w:rsid w:val="00D27681"/>
    <w:rsid w:val="00D371DE"/>
    <w:rsid w:val="00D400C1"/>
    <w:rsid w:val="00D52A7A"/>
    <w:rsid w:val="00D61B2C"/>
    <w:rsid w:val="00D6503C"/>
    <w:rsid w:val="00D67B0A"/>
    <w:rsid w:val="00D738A4"/>
    <w:rsid w:val="00D92BCF"/>
    <w:rsid w:val="00D94EA2"/>
    <w:rsid w:val="00D96962"/>
    <w:rsid w:val="00D97F94"/>
    <w:rsid w:val="00DB5112"/>
    <w:rsid w:val="00DB72AB"/>
    <w:rsid w:val="00DD34FF"/>
    <w:rsid w:val="00DD481E"/>
    <w:rsid w:val="00DF175B"/>
    <w:rsid w:val="00DF444A"/>
    <w:rsid w:val="00DF640F"/>
    <w:rsid w:val="00E01E41"/>
    <w:rsid w:val="00E26928"/>
    <w:rsid w:val="00E44D59"/>
    <w:rsid w:val="00E62014"/>
    <w:rsid w:val="00E90427"/>
    <w:rsid w:val="00EB56D5"/>
    <w:rsid w:val="00EB6D04"/>
    <w:rsid w:val="00ED0748"/>
    <w:rsid w:val="00ED4198"/>
    <w:rsid w:val="00F008CF"/>
    <w:rsid w:val="00F10694"/>
    <w:rsid w:val="00F1075A"/>
    <w:rsid w:val="00F12269"/>
    <w:rsid w:val="00F17CDA"/>
    <w:rsid w:val="00F207ED"/>
    <w:rsid w:val="00F26FA2"/>
    <w:rsid w:val="00F36958"/>
    <w:rsid w:val="00F36E73"/>
    <w:rsid w:val="00F427BD"/>
    <w:rsid w:val="00F44950"/>
    <w:rsid w:val="00F502F1"/>
    <w:rsid w:val="00F53460"/>
    <w:rsid w:val="00F53DE6"/>
    <w:rsid w:val="00F62B65"/>
    <w:rsid w:val="00F77E4B"/>
    <w:rsid w:val="00F9438C"/>
    <w:rsid w:val="00FA7DBD"/>
    <w:rsid w:val="00FA7E69"/>
    <w:rsid w:val="00FB526B"/>
    <w:rsid w:val="00FD65EF"/>
    <w:rsid w:val="00FD6E33"/>
    <w:rsid w:val="00FF25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757E4"/>
  <w15:chartTrackingRefBased/>
  <w15:docId w15:val="{94A4A49F-4755-B248-A21B-B760EA2EB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9A7"/>
  </w:style>
  <w:style w:type="paragraph" w:styleId="Heading1">
    <w:name w:val="heading 1"/>
    <w:basedOn w:val="Normal"/>
    <w:next w:val="Normal"/>
    <w:link w:val="Heading1Char"/>
    <w:uiPriority w:val="9"/>
    <w:qFormat/>
    <w:rsid w:val="006509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509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09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09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09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09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9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9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9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9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09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09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09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09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09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9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9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9A7"/>
    <w:rPr>
      <w:rFonts w:eastAsiaTheme="majorEastAsia" w:cstheme="majorBidi"/>
      <w:color w:val="272727" w:themeColor="text1" w:themeTint="D8"/>
    </w:rPr>
  </w:style>
  <w:style w:type="paragraph" w:styleId="Title">
    <w:name w:val="Title"/>
    <w:basedOn w:val="Normal"/>
    <w:next w:val="Normal"/>
    <w:link w:val="TitleChar"/>
    <w:uiPriority w:val="10"/>
    <w:qFormat/>
    <w:rsid w:val="006509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9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9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9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9A7"/>
    <w:pPr>
      <w:spacing w:before="160"/>
      <w:jc w:val="center"/>
    </w:pPr>
    <w:rPr>
      <w:i/>
      <w:iCs/>
      <w:color w:val="404040" w:themeColor="text1" w:themeTint="BF"/>
    </w:rPr>
  </w:style>
  <w:style w:type="character" w:customStyle="1" w:styleId="QuoteChar">
    <w:name w:val="Quote Char"/>
    <w:basedOn w:val="DefaultParagraphFont"/>
    <w:link w:val="Quote"/>
    <w:uiPriority w:val="29"/>
    <w:rsid w:val="006509A7"/>
    <w:rPr>
      <w:i/>
      <w:iCs/>
      <w:color w:val="404040" w:themeColor="text1" w:themeTint="BF"/>
    </w:rPr>
  </w:style>
  <w:style w:type="paragraph" w:styleId="ListParagraph">
    <w:name w:val="List Paragraph"/>
    <w:basedOn w:val="Normal"/>
    <w:uiPriority w:val="34"/>
    <w:qFormat/>
    <w:rsid w:val="006509A7"/>
    <w:pPr>
      <w:ind w:left="720"/>
      <w:contextualSpacing/>
    </w:pPr>
  </w:style>
  <w:style w:type="character" w:styleId="IntenseEmphasis">
    <w:name w:val="Intense Emphasis"/>
    <w:basedOn w:val="DefaultParagraphFont"/>
    <w:uiPriority w:val="21"/>
    <w:qFormat/>
    <w:rsid w:val="006509A7"/>
    <w:rPr>
      <w:i/>
      <w:iCs/>
      <w:color w:val="0F4761" w:themeColor="accent1" w:themeShade="BF"/>
    </w:rPr>
  </w:style>
  <w:style w:type="paragraph" w:styleId="IntenseQuote">
    <w:name w:val="Intense Quote"/>
    <w:basedOn w:val="Normal"/>
    <w:next w:val="Normal"/>
    <w:link w:val="IntenseQuoteChar"/>
    <w:uiPriority w:val="30"/>
    <w:qFormat/>
    <w:rsid w:val="006509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09A7"/>
    <w:rPr>
      <w:i/>
      <w:iCs/>
      <w:color w:val="0F4761" w:themeColor="accent1" w:themeShade="BF"/>
    </w:rPr>
  </w:style>
  <w:style w:type="character" w:styleId="IntenseReference">
    <w:name w:val="Intense Reference"/>
    <w:basedOn w:val="DefaultParagraphFont"/>
    <w:uiPriority w:val="32"/>
    <w:qFormat/>
    <w:rsid w:val="006509A7"/>
    <w:rPr>
      <w:b/>
      <w:bCs/>
      <w:smallCaps/>
      <w:color w:val="0F4761" w:themeColor="accent1" w:themeShade="BF"/>
      <w:spacing w:val="5"/>
    </w:rPr>
  </w:style>
  <w:style w:type="character" w:styleId="Hyperlink">
    <w:name w:val="Hyperlink"/>
    <w:basedOn w:val="DefaultParagraphFont"/>
    <w:uiPriority w:val="99"/>
    <w:unhideWhenUsed/>
    <w:rsid w:val="006509A7"/>
    <w:rPr>
      <w:color w:val="467886" w:themeColor="hyperlink"/>
      <w:u w:val="single"/>
    </w:rPr>
  </w:style>
  <w:style w:type="character" w:styleId="CommentReference">
    <w:name w:val="annotation reference"/>
    <w:basedOn w:val="DefaultParagraphFont"/>
    <w:uiPriority w:val="99"/>
    <w:semiHidden/>
    <w:unhideWhenUsed/>
    <w:rsid w:val="006509A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UnresolvedMention">
    <w:name w:val="Unresolved Mention"/>
    <w:basedOn w:val="DefaultParagraphFont"/>
    <w:uiPriority w:val="99"/>
    <w:semiHidden/>
    <w:unhideWhenUsed/>
    <w:rsid w:val="0097023A"/>
    <w:rPr>
      <w:color w:val="605E5C"/>
      <w:shd w:val="clear" w:color="auto" w:fill="E1DFDD"/>
    </w:rPr>
  </w:style>
  <w:style w:type="paragraph" w:styleId="TOCHeading">
    <w:name w:val="TOC Heading"/>
    <w:basedOn w:val="Heading1"/>
    <w:next w:val="Normal"/>
    <w:uiPriority w:val="39"/>
    <w:unhideWhenUsed/>
    <w:qFormat/>
    <w:rsid w:val="002A7E10"/>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2A7E10"/>
    <w:pPr>
      <w:spacing w:before="120" w:after="0"/>
    </w:pPr>
    <w:rPr>
      <w:b/>
      <w:bCs/>
      <w:i/>
      <w:iCs/>
    </w:rPr>
  </w:style>
  <w:style w:type="paragraph" w:styleId="TOC2">
    <w:name w:val="toc 2"/>
    <w:basedOn w:val="Normal"/>
    <w:next w:val="Normal"/>
    <w:autoRedefine/>
    <w:uiPriority w:val="39"/>
    <w:unhideWhenUsed/>
    <w:rsid w:val="002A7E10"/>
    <w:pPr>
      <w:spacing w:before="120" w:after="0"/>
      <w:ind w:left="240"/>
    </w:pPr>
    <w:rPr>
      <w:b/>
      <w:bCs/>
      <w:sz w:val="22"/>
      <w:szCs w:val="22"/>
    </w:rPr>
  </w:style>
  <w:style w:type="paragraph" w:styleId="TOC3">
    <w:name w:val="toc 3"/>
    <w:basedOn w:val="Normal"/>
    <w:next w:val="Normal"/>
    <w:autoRedefine/>
    <w:uiPriority w:val="39"/>
    <w:unhideWhenUsed/>
    <w:rsid w:val="002A7E10"/>
    <w:pPr>
      <w:spacing w:after="0"/>
      <w:ind w:left="480"/>
    </w:pPr>
    <w:rPr>
      <w:sz w:val="20"/>
      <w:szCs w:val="20"/>
    </w:rPr>
  </w:style>
  <w:style w:type="paragraph" w:styleId="TOC4">
    <w:name w:val="toc 4"/>
    <w:basedOn w:val="Normal"/>
    <w:next w:val="Normal"/>
    <w:autoRedefine/>
    <w:uiPriority w:val="39"/>
    <w:semiHidden/>
    <w:unhideWhenUsed/>
    <w:rsid w:val="002A7E10"/>
    <w:pPr>
      <w:spacing w:after="0"/>
      <w:ind w:left="720"/>
    </w:pPr>
    <w:rPr>
      <w:sz w:val="20"/>
      <w:szCs w:val="20"/>
    </w:rPr>
  </w:style>
  <w:style w:type="paragraph" w:styleId="TOC5">
    <w:name w:val="toc 5"/>
    <w:basedOn w:val="Normal"/>
    <w:next w:val="Normal"/>
    <w:autoRedefine/>
    <w:uiPriority w:val="39"/>
    <w:semiHidden/>
    <w:unhideWhenUsed/>
    <w:rsid w:val="002A7E10"/>
    <w:pPr>
      <w:spacing w:after="0"/>
      <w:ind w:left="960"/>
    </w:pPr>
    <w:rPr>
      <w:sz w:val="20"/>
      <w:szCs w:val="20"/>
    </w:rPr>
  </w:style>
  <w:style w:type="paragraph" w:styleId="TOC6">
    <w:name w:val="toc 6"/>
    <w:basedOn w:val="Normal"/>
    <w:next w:val="Normal"/>
    <w:autoRedefine/>
    <w:uiPriority w:val="39"/>
    <w:semiHidden/>
    <w:unhideWhenUsed/>
    <w:rsid w:val="002A7E10"/>
    <w:pPr>
      <w:spacing w:after="0"/>
      <w:ind w:left="1200"/>
    </w:pPr>
    <w:rPr>
      <w:sz w:val="20"/>
      <w:szCs w:val="20"/>
    </w:rPr>
  </w:style>
  <w:style w:type="paragraph" w:styleId="TOC7">
    <w:name w:val="toc 7"/>
    <w:basedOn w:val="Normal"/>
    <w:next w:val="Normal"/>
    <w:autoRedefine/>
    <w:uiPriority w:val="39"/>
    <w:semiHidden/>
    <w:unhideWhenUsed/>
    <w:rsid w:val="002A7E10"/>
    <w:pPr>
      <w:spacing w:after="0"/>
      <w:ind w:left="1440"/>
    </w:pPr>
    <w:rPr>
      <w:sz w:val="20"/>
      <w:szCs w:val="20"/>
    </w:rPr>
  </w:style>
  <w:style w:type="paragraph" w:styleId="TOC8">
    <w:name w:val="toc 8"/>
    <w:basedOn w:val="Normal"/>
    <w:next w:val="Normal"/>
    <w:autoRedefine/>
    <w:uiPriority w:val="39"/>
    <w:semiHidden/>
    <w:unhideWhenUsed/>
    <w:rsid w:val="002A7E10"/>
    <w:pPr>
      <w:spacing w:after="0"/>
      <w:ind w:left="1680"/>
    </w:pPr>
    <w:rPr>
      <w:sz w:val="20"/>
      <w:szCs w:val="20"/>
    </w:rPr>
  </w:style>
  <w:style w:type="paragraph" w:styleId="TOC9">
    <w:name w:val="toc 9"/>
    <w:basedOn w:val="Normal"/>
    <w:next w:val="Normal"/>
    <w:autoRedefine/>
    <w:uiPriority w:val="39"/>
    <w:semiHidden/>
    <w:unhideWhenUsed/>
    <w:rsid w:val="002A7E10"/>
    <w:pPr>
      <w:spacing w:after="0"/>
      <w:ind w:left="1920"/>
    </w:pPr>
    <w:rPr>
      <w:sz w:val="20"/>
      <w:szCs w:val="20"/>
    </w:rPr>
  </w:style>
  <w:style w:type="paragraph" w:styleId="Header">
    <w:name w:val="header"/>
    <w:basedOn w:val="Normal"/>
    <w:link w:val="HeaderChar"/>
    <w:uiPriority w:val="99"/>
    <w:unhideWhenUsed/>
    <w:rsid w:val="002A7E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7E10"/>
  </w:style>
  <w:style w:type="paragraph" w:styleId="Footer">
    <w:name w:val="footer"/>
    <w:basedOn w:val="Normal"/>
    <w:link w:val="FooterChar"/>
    <w:uiPriority w:val="99"/>
    <w:unhideWhenUsed/>
    <w:rsid w:val="002A7E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7E10"/>
  </w:style>
  <w:style w:type="character" w:styleId="PageNumber">
    <w:name w:val="page number"/>
    <w:basedOn w:val="DefaultParagraphFont"/>
    <w:uiPriority w:val="99"/>
    <w:semiHidden/>
    <w:unhideWhenUsed/>
    <w:rsid w:val="002A7E10"/>
  </w:style>
  <w:style w:type="character" w:styleId="FollowedHyperlink">
    <w:name w:val="FollowedHyperlink"/>
    <w:basedOn w:val="DefaultParagraphFont"/>
    <w:uiPriority w:val="99"/>
    <w:semiHidden/>
    <w:unhideWhenUsed/>
    <w:rsid w:val="002A2D67"/>
    <w:rPr>
      <w:color w:val="96607D" w:themeColor="followedHyperlink"/>
      <w:u w:val="single"/>
    </w:rPr>
  </w:style>
  <w:style w:type="paragraph" w:styleId="NormalWeb">
    <w:name w:val="Normal (Web)"/>
    <w:basedOn w:val="Normal"/>
    <w:uiPriority w:val="99"/>
    <w:semiHidden/>
    <w:unhideWhenUsed/>
    <w:rsid w:val="00297E30"/>
    <w:pPr>
      <w:spacing w:before="100" w:beforeAutospacing="1" w:after="100" w:afterAutospacing="1" w:line="240" w:lineRule="auto"/>
    </w:pPr>
    <w:rPr>
      <w:rFonts w:ascii="Times New Roman" w:eastAsia="Times New Roman" w:hAnsi="Times New Roman" w:cs="Times New Roman"/>
      <w:kern w:val="0"/>
      <w:lang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finista.com/que-es-la-violencia-vicaria/" TargetMode="External"/><Relationship Id="rId21" Type="http://schemas.openxmlformats.org/officeDocument/2006/relationships/hyperlink" Target="https://youtu.be/8SNBsN9yM7o?si=tVilXcHMQ69sn3Fa" TargetMode="External"/><Relationship Id="rId42" Type="http://schemas.openxmlformats.org/officeDocument/2006/relationships/hyperlink" Target="https://academic.oup.com/bjsw/article/40/5/1434/1730064?login=true" TargetMode="External"/><Relationship Id="rId47" Type="http://schemas.openxmlformats.org/officeDocument/2006/relationships/hyperlink" Target="https://monoskop.org/images/c/c2/Millett_Kate_Sexual_Politics_1970.pdf" TargetMode="External"/><Relationship Id="rId63" Type="http://schemas.openxmlformats.org/officeDocument/2006/relationships/hyperlink" Target="https://www.ucm.es/otri/noticias-violencia-vicaria-ucm" TargetMode="External"/><Relationship Id="rId68" Type="http://schemas.openxmlformats.org/officeDocument/2006/relationships/hyperlink" Target="https://www.edesclee.com/img/cms/pdfs/9788433032331.pdf" TargetMode="External"/><Relationship Id="rId2" Type="http://schemas.openxmlformats.org/officeDocument/2006/relationships/numbering" Target="numbering.xml"/><Relationship Id="rId16" Type="http://schemas.openxmlformats.org/officeDocument/2006/relationships/hyperlink" Target="https://biblioteca-alternativa.noblogs.org/files/2010/09/femininity-and-domination.pdf" TargetMode="External"/><Relationship Id="rId29" Type="http://schemas.openxmlformats.org/officeDocument/2006/relationships/hyperlink" Target="https://link.springer.com/article/10.1186/s12889-024-18018-7" TargetMode="External"/><Relationship Id="rId11" Type="http://schemas.openxmlformats.org/officeDocument/2006/relationships/hyperlink" Target="https://www.google.com/url?sa=t&amp;source=web&amp;rct=j&amp;opi=89978449&amp;url=https://apapcanarias.org/wp-content/uploads/2023/12/guia-de-consulta-del-dsm-v.pdf&amp;ved=2ahUKEwjfurvoiOGRAxWlU6QEHeRhG8MQFnoECEkQAQ&amp;usg=AOvVaw3ZFqeXfIekWA6NEtwyy0dS" TargetMode="External"/><Relationship Id="rId24" Type="http://schemas.openxmlformats.org/officeDocument/2006/relationships/hyperlink" Target="https://faculty.washington.edu/matsueda/courses/587/readings/Cohen%20and%20Felson%201979%20Routine%20Activities.pdf" TargetMode="External"/><Relationship Id="rId32" Type="http://schemas.openxmlformats.org/officeDocument/2006/relationships/hyperlink" Target="https://xyonline.net/sites/xyonline.net/files/2019-05/Flood%2C%20Engaging%20Men%20and%20Boys%20in%20Violence%20Prevention%202018.pdf" TargetMode="External"/><Relationship Id="rId37" Type="http://schemas.openxmlformats.org/officeDocument/2006/relationships/hyperlink" Target="https://www.researchgate.net/publication/23219462_The_Impact_of_Exposure_to_Domestic_Violence_on_Children_and_Young_People_A_Review_of_the_Literature" TargetMode="External"/><Relationship Id="rId40" Type="http://schemas.openxmlformats.org/officeDocument/2006/relationships/hyperlink" Target="https://psycnet.apa.org/doiLanding?doi=10.1037%2F0022-006X.71.2.339" TargetMode="External"/><Relationship Id="rId45" Type="http://schemas.openxmlformats.org/officeDocument/2006/relationships/hyperlink" Target="https://www.google.com/url?sa=t&amp;source=web&amp;rct=j&amp;opi=89978449&amp;url=https://dialnet.unirioja.es/descarga/articulo/5762995.pdf&amp;ved=2ahUKEwjTrte6jI6RAxUFiv0HHSaxDXoQFnoECBYQAQ&amp;usg=AOvVaw0oQoFnEsAW58VA3Q6EwLSw" TargetMode="External"/><Relationship Id="rId53" Type="http://schemas.openxmlformats.org/officeDocument/2006/relationships/hyperlink" Target="https://pressbooks.montgomerycollege.edu/commtheory/chapter/chapter-5-symbolic-interactionism-george-herbert-mead-herbert-blumer/" TargetMode="External"/><Relationship Id="rId58" Type="http://schemas.openxmlformats.org/officeDocument/2006/relationships/hyperlink" Target="https://reic.criminologia.net/index.php/journal/article/view/959" TargetMode="External"/><Relationship Id="rId66" Type="http://schemas.openxmlformats.org/officeDocument/2006/relationships/hyperlink" Target="https://www.unodc.org/documents/data-and-analysis/GSH2018/GSH18_Gender-related_killing_of_women_and_girls.pdf" TargetMode="External"/><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revistaderechoshumanosyeducacion.es/index.php/DHED/article/view/169/109" TargetMode="External"/><Relationship Id="rId19" Type="http://schemas.openxmlformats.org/officeDocument/2006/relationships/hyperlink" Target="https://www.boe.es/buscar/doc.php?id=BOE-A-2021-9347" TargetMode="External"/><Relationship Id="rId14" Type="http://schemas.openxmlformats.org/officeDocument/2006/relationships/hyperlink" Target="https://digitallibrary.un.org/record/186502?ln=en&amp;v=pdf" TargetMode="External"/><Relationship Id="rId22" Type="http://schemas.openxmlformats.org/officeDocument/2006/relationships/hyperlink" Target="https://revistas.uned.es/index.php/RDPC/article/view/26497/20944" TargetMode="External"/><Relationship Id="rId27" Type="http://schemas.openxmlformats.org/officeDocument/2006/relationships/hyperlink" Target="https://dialnet.unirioja.es/servlet/articulo?codigo=9679706" TargetMode="External"/><Relationship Id="rId30" Type="http://schemas.openxmlformats.org/officeDocument/2006/relationships/hyperlink" Target="https://www.elsevier.es/es-revista-atencion-primaria-27-pdf-S0212656723002007" TargetMode="External"/><Relationship Id="rId35" Type="http://schemas.openxmlformats.org/officeDocument/2006/relationships/hyperlink" Target="https://www.hogrefe-tea.com/public/catalogo/producto/PCL-R-ESCALA-DE-EVALUACION-DE-LA-PSICOPATIA-DE-HARE-REVISADA" TargetMode="External"/><Relationship Id="rId43" Type="http://schemas.openxmlformats.org/officeDocument/2006/relationships/hyperlink" Target="https://publicaciones.unaula.edu.co/index.php/ratiojuris/article/view/1787/2437" TargetMode="External"/><Relationship Id="rId48" Type="http://schemas.openxmlformats.org/officeDocument/2006/relationships/hyperlink" Target="https://violenciagenero.igualdad.gob.es/wp-content/uploads/PPT-macroencuesta-2024_para-web2.pdf" TargetMode="External"/><Relationship Id="rId56" Type="http://schemas.openxmlformats.org/officeDocument/2006/relationships/hyperlink" Target="https://thercsas.com/wp-content/uploads/2025/01/rcsas5012025004.pdf" TargetMode="External"/><Relationship Id="rId64" Type="http://schemas.openxmlformats.org/officeDocument/2006/relationships/hyperlink" Target="https://www.researchgate.net/publication/250686455_Psicopatia_Una_entidad_clinica_controvertida_pero_necesaria_en_psiquiatria_forense" TargetMode="External"/><Relationship Id="rId69" Type="http://schemas.openxmlformats.org/officeDocument/2006/relationships/hyperlink" Target="https://arxiv.org/pdf/2203.03723" TargetMode="External"/><Relationship Id="rId8" Type="http://schemas.openxmlformats.org/officeDocument/2006/relationships/image" Target="media/image1.jpeg"/><Relationship Id="rId51" Type="http://schemas.openxmlformats.org/officeDocument/2006/relationships/hyperlink" Target="https://crimipedia.umh.es/en/topics/teoria-de-la-eleccion-racional-de-cornish-y-clarke/" TargetMode="External"/><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people.uncw.edu/ogler/experimental/human%20agression.pdf" TargetMode="External"/><Relationship Id="rId17" Type="http://schemas.openxmlformats.org/officeDocument/2006/relationships/hyperlink" Target="https://www.ncbi.nlm.nih.gov/books/NBK488199/" TargetMode="External"/><Relationship Id="rId25" Type="http://schemas.openxmlformats.org/officeDocument/2006/relationships/hyperlink" Target="https://journals.sagepub.com/doi/epdf/10.1177/0891243205278639" TargetMode="External"/><Relationship Id="rId33" Type="http://schemas.openxmlformats.org/officeDocument/2006/relationships/hyperlink" Target="https://pubmed.ncbi.nlm.nih.gov/32202227/" TargetMode="External"/><Relationship Id="rId38" Type="http://schemas.openxmlformats.org/officeDocument/2006/relationships/hyperlink" Target="https://link.springer.com/article/10.1186/s12889-022-13297-4?utm_source=chatgpt.com" TargetMode="External"/><Relationship Id="rId46" Type="http://schemas.openxmlformats.org/officeDocument/2006/relationships/hyperlink" Target="https://www.scielo.br/j/rlae/a/VLggxWwJYfy3vgjr5vP7mmn/?format=pdf&amp;lang=es" TargetMode="External"/><Relationship Id="rId59" Type="http://schemas.openxmlformats.org/officeDocument/2006/relationships/hyperlink" Target="https://www.savethechildren.es/sites/default/files/2025-09/Por_una_justicia_a_la_altura_de_la_infancia_v2025.pdf" TargetMode="External"/><Relationship Id="rId67" Type="http://schemas.openxmlformats.org/officeDocument/2006/relationships/hyperlink" Target="https://www.mcgill.ca/newsroom/channels/news/one-four-women-experience-domestic-violence-age-50-338615" TargetMode="External"/><Relationship Id="rId20" Type="http://schemas.openxmlformats.org/officeDocument/2006/relationships/hyperlink" Target="https://autof.wordpress.com/wp-content/uploads/2010/02/butler-judith-gender-trouble-feminism-and-the-subversion-of-identity-1990.pdf" TargetMode="External"/><Relationship Id="rId41" Type="http://schemas.openxmlformats.org/officeDocument/2006/relationships/hyperlink" Target="https://laboratoriopericialforense.com/teoria-de-la-eleccion-racional-racionalidad-y-crimen/" TargetMode="External"/><Relationship Id="rId54" Type="http://schemas.openxmlformats.org/officeDocument/2006/relationships/hyperlink" Target="https://cordopolis.eldiario.es/cordoba-hoy/peritos-descartan-breton-tenga-trastorno-psiquiatrico_1_7103517.html" TargetMode="External"/><Relationship Id="rId62" Type="http://schemas.openxmlformats.org/officeDocument/2006/relationships/hyperlink" Target="https://www.academia.edu/33086873/LA_PREVENCI&#211;N_SITUACIONAL_BASES_TE&#211;RICAS_DE_FUNDAMENTO_CRIMINOL&#211;GICO" TargetMode="External"/><Relationship Id="rId70" Type="http://schemas.openxmlformats.org/officeDocument/2006/relationships/hyperlink" Target="https://journals.sagepub.com/doi/epub/10.1111/1467-954X.12198"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poderjudicial.es/cgpj/es/Temas/Centro-de-Documentacion-Judicial--CENDOJ-/Jurisprudencia/Sentencias-de-actualidad/Otros-Organos/AP-Cordoba--Tribunal-Jurado--Condena-al-acusado-como-autor-responsable-de-dos-delitos-de-asesinato--con-la-concurrencia-de-la-agravante-de-parentesco-a-las-penas-de-20-anos-de-prision-por-cada-asesinato--al-declararse-probado-por-el-Jurado-que-el-acusado--prevaliendose-de-su-condicion-de-padre--mayor-fortaleza-fisica--confianza-de-los-ninos-y-autoridad-sobre-ellos--acabo-con-la-vida-de-sus-dos-hijos--de-seis-y-dos-anos-de-edad--como-venganza-contra-su-esposa--dada-su-negativa-a-aceptar-pacificamente-la-ruptura-matrimonial?utm_source=chatgpt.com" TargetMode="External"/><Relationship Id="rId23" Type="http://schemas.openxmlformats.org/officeDocument/2006/relationships/hyperlink" Target="https://revistas.ucm.es/index.php/MESO/article/view/89807/4564456567996" TargetMode="External"/><Relationship Id="rId28" Type="http://schemas.openxmlformats.org/officeDocument/2006/relationships/hyperlink" Target="https://eige.europa.eu/gender-based-violence/what-is-gender-based-violence" TargetMode="External"/><Relationship Id="rId36" Type="http://schemas.openxmlformats.org/officeDocument/2006/relationships/hyperlink" Target="https://conflictosocialyconductadesviada.wordpress.com/wp-content/uploads/2010/11/hirsh-conrol-social.pdf" TargetMode="External"/><Relationship Id="rId49" Type="http://schemas.openxmlformats.org/officeDocument/2006/relationships/hyperlink" Target="https://revistas.usal.es/cuatro/index.php/2387-1555/article/view/21606/29354" TargetMode="External"/><Relationship Id="rId57" Type="http://schemas.openxmlformats.org/officeDocument/2006/relationships/hyperlink" Target="https://www.lavanguardia.com/television/20250312/10473614/barbara-royo-exabogada-jose-breton-informe-imputabilidad-descarto-psicopatia-senalo-toc-rasgos-narcisistas-gvm2.html" TargetMode="External"/><Relationship Id="rId10" Type="http://schemas.openxmlformats.org/officeDocument/2006/relationships/hyperlink" Target="https://www.google.com/url?sa=t&amp;source=web&amp;rct=j&amp;opi=89978449&amp;url=https://dialnet.unirioja.es/descarga/articulo/4750872.pdf&amp;ved=2ahUKEwiR9ojWyu2RAxV3NvsDHSOzDMkQFnoECFAQAQ&amp;usg=AOvVaw1uB_5lZxxGmfFJiYfOziz4" TargetMode="External"/><Relationship Id="rId31" Type="http://schemas.openxmlformats.org/officeDocument/2006/relationships/hyperlink" Target="https://pmc.ncbi.nlm.nih.gov/articles/PMC4706022/" TargetMode="External"/><Relationship Id="rId44" Type="http://schemas.openxmlformats.org/officeDocument/2006/relationships/hyperlink" Target="https://www.redalyc.org/pdf/2332/233229143007.pdf" TargetMode="External"/><Relationship Id="rId52" Type="http://schemas.openxmlformats.org/officeDocument/2006/relationships/hyperlink" Target="https://www.redalyc.org/journal/6277/627764770004/627764770004.pdf" TargetMode="External"/><Relationship Id="rId60" Type="http://schemas.openxmlformats.org/officeDocument/2006/relationships/hyperlink" Target="https://publishing.fgu-edu.com/ojs/index.php/RLP/article/view/499/934" TargetMode="External"/><Relationship Id="rId65" Type="http://schemas.openxmlformats.org/officeDocument/2006/relationships/hyperlink" Target="https://belfastwomensaid.org.uk/themainevent/wp-content/uploads/2021/09/UNICEF_BehindClosedDoors.pdf" TargetMode="External"/><Relationship Id="rId73"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redalyc.org/jatsRepo/584/58463392002/58463392002.pdf" TargetMode="External"/><Relationship Id="rId13" Type="http://schemas.openxmlformats.org/officeDocument/2006/relationships/hyperlink" Target="https://www.ledijournals.com/ojs/index.php/cuadernos/article/view/2305" TargetMode="External"/><Relationship Id="rId18" Type="http://schemas.openxmlformats.org/officeDocument/2006/relationships/hyperlink" Target="https://www.boe.es/buscar/act.php?id=BOE-A-2004-21760" TargetMode="External"/><Relationship Id="rId39" Type="http://schemas.openxmlformats.org/officeDocument/2006/relationships/hyperlink" Target="https://research.edgehill.ac.uk/ws/portalfiles/portal/86053069/Child_Abuse_Review_-_2020_-_Katz_-_When_Coercive_Control_Continues_to_Harm_Children_Post_Separation_Fathering_Stalking.pdf" TargetMode="External"/><Relationship Id="rId34" Type="http://schemas.openxmlformats.org/officeDocument/2006/relationships/hyperlink" Target="https://www.memoria.fahce.unlp.edu.ar/trab_eventos/ev.15930/ev.15930.pdf" TargetMode="External"/><Relationship Id="rId50" Type="http://schemas.openxmlformats.org/officeDocument/2006/relationships/hyperlink" Target="https://iris.who.int/server/api/core/bitstreams/befdb859-99f5-4632-804d-04eb3fe8d940/content" TargetMode="External"/><Relationship Id="rId55" Type="http://schemas.openxmlformats.org/officeDocument/2006/relationships/hyperlink" Target="https://journals.copmadrid.org/ejpalc/art/ejpalc2024a7" TargetMode="External"/><Relationship Id="rId7" Type="http://schemas.openxmlformats.org/officeDocument/2006/relationships/endnotes" Target="endnotes.xml"/><Relationship Id="rId7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90BF4-96ED-324C-91EB-D3B193B65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41</Pages>
  <Words>14973</Words>
  <Characters>85347</Characters>
  <Application>Microsoft Office Word</Application>
  <DocSecurity>0</DocSecurity>
  <Lines>711</Lines>
  <Paragraphs>200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Bombardó Lloret</dc:creator>
  <cp:keywords/>
  <dc:description/>
  <cp:lastModifiedBy>Isabel Bombardó Lloret</cp:lastModifiedBy>
  <cp:revision>28</cp:revision>
  <cp:lastPrinted>2025-12-23T18:28:00Z</cp:lastPrinted>
  <dcterms:created xsi:type="dcterms:W3CDTF">2026-02-02T19:31:00Z</dcterms:created>
  <dcterms:modified xsi:type="dcterms:W3CDTF">2026-02-05T18:37:00Z</dcterms:modified>
</cp:coreProperties>
</file>