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CF61A" w14:textId="31504DC6" w:rsidR="00E762F7" w:rsidRPr="00483DCF" w:rsidRDefault="00E762F7" w:rsidP="00E762F7">
      <w:pPr>
        <w:spacing w:after="240"/>
        <w:rPr>
          <w:color w:val="000000"/>
        </w:rPr>
      </w:pPr>
      <w:r w:rsidRPr="00483DCF">
        <w:rPr>
          <w:color w:val="000000"/>
        </w:rPr>
        <w:br/>
      </w:r>
      <w:r w:rsidRPr="00483DCF">
        <w:rPr>
          <w:color w:val="000000"/>
        </w:rPr>
        <w:br/>
      </w:r>
    </w:p>
    <w:p w14:paraId="1FAA27B4" w14:textId="77777777" w:rsidR="00E762F7" w:rsidRPr="00483DCF" w:rsidRDefault="00E762F7" w:rsidP="00E762F7">
      <w:pPr>
        <w:jc w:val="center"/>
        <w:rPr>
          <w:color w:val="000000"/>
        </w:rPr>
      </w:pPr>
      <w:r w:rsidRPr="00483DCF">
        <w:rPr>
          <w:noProof/>
          <w:color w:val="000000"/>
          <w:sz w:val="22"/>
          <w:szCs w:val="22"/>
          <w:bdr w:val="none" w:sz="0" w:space="0" w:color="auto" w:frame="1"/>
        </w:rPr>
        <w:drawing>
          <wp:inline distT="0" distB="0" distL="0" distR="0" wp14:anchorId="5B0680FF" wp14:editId="6E1B5A10">
            <wp:extent cx="2713355" cy="735330"/>
            <wp:effectExtent l="0" t="0" r="4445" b="1270"/>
            <wp:docPr id="1285934025" name="Imagen 1" descr="Dibujo con letras blanc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934025" name="Imagen 1" descr="Dibujo con letras blancas&#10;&#10;El contenido generado por IA puede ser incorrect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13355" cy="735330"/>
                    </a:xfrm>
                    <a:prstGeom prst="rect">
                      <a:avLst/>
                    </a:prstGeom>
                    <a:noFill/>
                    <a:ln>
                      <a:noFill/>
                    </a:ln>
                  </pic:spPr>
                </pic:pic>
              </a:graphicData>
            </a:graphic>
          </wp:inline>
        </w:drawing>
      </w:r>
    </w:p>
    <w:p w14:paraId="5DC1D937" w14:textId="77777777" w:rsidR="00E762F7" w:rsidRPr="00483DCF" w:rsidRDefault="00E762F7" w:rsidP="00E762F7">
      <w:pPr>
        <w:spacing w:after="240"/>
        <w:rPr>
          <w:color w:val="000000"/>
        </w:rPr>
      </w:pPr>
      <w:r w:rsidRPr="00483DCF">
        <w:rPr>
          <w:color w:val="000000"/>
        </w:rPr>
        <w:br/>
      </w:r>
    </w:p>
    <w:p w14:paraId="70B6EEFD" w14:textId="77777777" w:rsidR="00E762F7" w:rsidRPr="00483DCF" w:rsidRDefault="00E762F7" w:rsidP="00E762F7">
      <w:pPr>
        <w:jc w:val="center"/>
        <w:rPr>
          <w:color w:val="000000"/>
        </w:rPr>
      </w:pPr>
      <w:r w:rsidRPr="00483DCF">
        <w:rPr>
          <w:color w:val="000000"/>
        </w:rPr>
        <w:t>UNIVERSIDAD PONTIFICIA COMILLAS</w:t>
      </w:r>
    </w:p>
    <w:p w14:paraId="34FB6236" w14:textId="77777777" w:rsidR="00E762F7" w:rsidRPr="00483DCF" w:rsidRDefault="00E762F7" w:rsidP="00E762F7">
      <w:pPr>
        <w:rPr>
          <w:color w:val="000000"/>
        </w:rPr>
      </w:pPr>
    </w:p>
    <w:p w14:paraId="2AF386AA" w14:textId="77777777" w:rsidR="00E762F7" w:rsidRPr="00483DCF" w:rsidRDefault="00E762F7" w:rsidP="00E762F7">
      <w:pPr>
        <w:jc w:val="center"/>
        <w:rPr>
          <w:color w:val="000000"/>
        </w:rPr>
      </w:pPr>
      <w:r w:rsidRPr="00483DCF">
        <w:rPr>
          <w:color w:val="000000"/>
        </w:rPr>
        <w:t>CIHS - FACULTAD DE CIENCIAS HUMANAS Y SOCIALES </w:t>
      </w:r>
    </w:p>
    <w:p w14:paraId="5B81E174" w14:textId="77777777" w:rsidR="00E762F7" w:rsidRPr="00483DCF" w:rsidRDefault="00E762F7" w:rsidP="00E762F7">
      <w:pPr>
        <w:rPr>
          <w:color w:val="000000"/>
        </w:rPr>
      </w:pPr>
    </w:p>
    <w:p w14:paraId="20B2F3BD" w14:textId="77777777" w:rsidR="00E762F7" w:rsidRPr="00483DCF" w:rsidRDefault="00E762F7" w:rsidP="00E762F7">
      <w:pPr>
        <w:jc w:val="center"/>
        <w:rPr>
          <w:color w:val="000000"/>
        </w:rPr>
      </w:pPr>
      <w:r w:rsidRPr="00483DCF">
        <w:rPr>
          <w:color w:val="000000"/>
        </w:rPr>
        <w:t>TRABAJO DE FIN DE GRADO</w:t>
      </w:r>
    </w:p>
    <w:p w14:paraId="272F649A" w14:textId="48498A9D" w:rsidR="00E762F7" w:rsidRPr="00483DCF" w:rsidRDefault="00B74D5D" w:rsidP="00E762F7">
      <w:pPr>
        <w:jc w:val="center"/>
        <w:rPr>
          <w:color w:val="000000"/>
        </w:rPr>
      </w:pPr>
      <w:r>
        <w:rPr>
          <w:color w:val="000000"/>
        </w:rPr>
        <w:t>CRIMINOLOGÍA</w:t>
      </w:r>
    </w:p>
    <w:p w14:paraId="6033424F" w14:textId="77777777" w:rsidR="00E762F7" w:rsidRPr="00483DCF" w:rsidRDefault="00E762F7" w:rsidP="00E762F7">
      <w:pPr>
        <w:spacing w:after="240"/>
        <w:rPr>
          <w:color w:val="000000"/>
        </w:rPr>
      </w:pPr>
    </w:p>
    <w:p w14:paraId="2983ACCA" w14:textId="43A43FEA" w:rsidR="00E762F7" w:rsidRPr="00483DCF" w:rsidRDefault="00411E1C" w:rsidP="00E762F7">
      <w:pPr>
        <w:rPr>
          <w:color w:val="000000"/>
        </w:rPr>
      </w:pPr>
      <w:r w:rsidRPr="0098381C">
        <w:rPr>
          <w:noProof/>
          <w:color w:val="000000"/>
          <w14:ligatures w14:val="standardContextual"/>
        </w:rPr>
      </w:r>
      <w:r w:rsidR="00411E1C" w:rsidRPr="0098381C">
        <w:rPr>
          <w:noProof/>
          <w:color w:val="000000"/>
          <w14:ligatures w14:val="standardContextual"/>
        </w:rPr>
        <w:pict w14:anchorId="520B6A0F">
          <v:rect id="_x0000_i1025" alt="" style="width:425.2pt;height:.05pt;mso-width-percent:0;mso-height-percent:0;mso-width-percent:0;mso-height-percent:0" o:hralign="center" o:hrstd="t" o:hr="t" fillcolor="#a0a0a0" stroked="f"/>
        </w:pict>
      </w:r>
    </w:p>
    <w:p w14:paraId="3B887DED" w14:textId="77777777" w:rsidR="00E762F7" w:rsidRPr="00483DCF" w:rsidRDefault="00E762F7" w:rsidP="00E762F7">
      <w:pPr>
        <w:spacing w:after="240"/>
        <w:rPr>
          <w:color w:val="000000"/>
        </w:rPr>
      </w:pPr>
    </w:p>
    <w:p w14:paraId="7E53BDF1" w14:textId="79FE4030" w:rsidR="00E762F7" w:rsidRPr="00483DCF" w:rsidRDefault="00D41BA2" w:rsidP="00E762F7">
      <w:pPr>
        <w:jc w:val="center"/>
        <w:rPr>
          <w:color w:val="000000"/>
        </w:rPr>
      </w:pPr>
      <w:r>
        <w:rPr>
          <w:color w:val="000000"/>
          <w:sz w:val="26"/>
          <w:szCs w:val="26"/>
        </w:rPr>
        <w:t xml:space="preserve">Infancias marcadas y agresores reincidentes: una mirada criminológica a la exposición de la </w:t>
      </w:r>
      <w:r w:rsidR="00B74D5D">
        <w:rPr>
          <w:color w:val="000000"/>
          <w:sz w:val="26"/>
          <w:szCs w:val="26"/>
        </w:rPr>
        <w:t>víctima</w:t>
      </w:r>
      <w:r>
        <w:rPr>
          <w:color w:val="000000"/>
          <w:sz w:val="26"/>
          <w:szCs w:val="26"/>
        </w:rPr>
        <w:t xml:space="preserve"> </w:t>
      </w:r>
      <w:r w:rsidR="00B74D5D">
        <w:rPr>
          <w:color w:val="000000"/>
          <w:sz w:val="26"/>
          <w:szCs w:val="26"/>
        </w:rPr>
        <w:t xml:space="preserve">y al perfil del agresor en la violencia de género en menores. </w:t>
      </w:r>
    </w:p>
    <w:p w14:paraId="6DAAC660" w14:textId="77777777" w:rsidR="00E762F7" w:rsidRPr="00483DCF" w:rsidRDefault="00E762F7" w:rsidP="00E762F7">
      <w:pPr>
        <w:rPr>
          <w:color w:val="000000"/>
        </w:rPr>
      </w:pPr>
    </w:p>
    <w:p w14:paraId="4B894C6E" w14:textId="0F34CE3A" w:rsidR="00E762F7" w:rsidRPr="00483DCF" w:rsidRDefault="00411E1C" w:rsidP="00E762F7">
      <w:pPr>
        <w:rPr>
          <w:color w:val="000000"/>
        </w:rPr>
      </w:pPr>
      <w:r w:rsidRPr="0098381C">
        <w:rPr>
          <w:noProof/>
          <w:color w:val="000000"/>
          <w14:ligatures w14:val="standardContextual"/>
        </w:rPr>
      </w:r>
      <w:r w:rsidR="00411E1C" w:rsidRPr="0098381C">
        <w:rPr>
          <w:noProof/>
          <w:color w:val="000000"/>
          <w14:ligatures w14:val="standardContextual"/>
        </w:rPr>
        <w:pict w14:anchorId="55C229D7">
          <v:rect id="_x0000_i1026" alt="" style="width:425.2pt;height:.05pt;mso-width-percent:0;mso-height-percent:0;mso-width-percent:0;mso-height-percent:0" o:hralign="center" o:hrstd="t" o:hr="t" fillcolor="#a0a0a0" stroked="f"/>
        </w:pict>
      </w:r>
    </w:p>
    <w:p w14:paraId="6D460607" w14:textId="77777777" w:rsidR="00E762F7" w:rsidRPr="00483DCF" w:rsidRDefault="00E762F7" w:rsidP="00E762F7">
      <w:pPr>
        <w:spacing w:after="240"/>
        <w:rPr>
          <w:color w:val="000000"/>
        </w:rPr>
      </w:pPr>
    </w:p>
    <w:p w14:paraId="3262343A" w14:textId="77777777" w:rsidR="00E762F7" w:rsidRPr="00483DCF" w:rsidRDefault="00E762F7" w:rsidP="00E762F7">
      <w:pPr>
        <w:jc w:val="center"/>
        <w:rPr>
          <w:color w:val="000000"/>
          <w:sz w:val="26"/>
          <w:szCs w:val="26"/>
        </w:rPr>
      </w:pPr>
    </w:p>
    <w:p w14:paraId="7C7A6E4E" w14:textId="77777777" w:rsidR="00E762F7" w:rsidRPr="00483DCF" w:rsidRDefault="00E762F7" w:rsidP="00E762F7">
      <w:pPr>
        <w:jc w:val="center"/>
        <w:rPr>
          <w:color w:val="000000"/>
          <w:sz w:val="26"/>
          <w:szCs w:val="26"/>
        </w:rPr>
      </w:pPr>
    </w:p>
    <w:p w14:paraId="7FE6B359" w14:textId="77777777" w:rsidR="00E762F7" w:rsidRPr="00483DCF" w:rsidRDefault="00E762F7" w:rsidP="00E762F7">
      <w:pPr>
        <w:jc w:val="center"/>
        <w:rPr>
          <w:color w:val="000000"/>
          <w:sz w:val="26"/>
          <w:szCs w:val="26"/>
        </w:rPr>
      </w:pPr>
    </w:p>
    <w:p w14:paraId="507B57B0" w14:textId="48346F26" w:rsidR="00E762F7" w:rsidRPr="00483DCF" w:rsidRDefault="00E762F7" w:rsidP="00E762F7">
      <w:pPr>
        <w:jc w:val="center"/>
        <w:rPr>
          <w:color w:val="000000"/>
        </w:rPr>
      </w:pPr>
      <w:r w:rsidRPr="00483DCF">
        <w:rPr>
          <w:color w:val="000000"/>
          <w:sz w:val="26"/>
          <w:szCs w:val="26"/>
        </w:rPr>
        <w:t>Autora: Natalia de la Hoz Pérez-</w:t>
      </w:r>
      <w:r w:rsidR="00220646" w:rsidRPr="00483DCF">
        <w:rPr>
          <w:color w:val="000000"/>
          <w:sz w:val="26"/>
          <w:szCs w:val="26"/>
        </w:rPr>
        <w:t>Trasverso</w:t>
      </w:r>
    </w:p>
    <w:p w14:paraId="26DFEC9B" w14:textId="25A48B06" w:rsidR="00E762F7" w:rsidRPr="00483DCF" w:rsidRDefault="00E762F7" w:rsidP="00E762F7">
      <w:pPr>
        <w:jc w:val="center"/>
        <w:rPr>
          <w:color w:val="000000"/>
        </w:rPr>
      </w:pPr>
      <w:r w:rsidRPr="00483DCF">
        <w:rPr>
          <w:color w:val="000000"/>
          <w:sz w:val="26"/>
          <w:szCs w:val="26"/>
        </w:rPr>
        <w:t xml:space="preserve">Tutora: </w:t>
      </w:r>
      <w:r w:rsidR="00B74D5D">
        <w:rPr>
          <w:color w:val="000000"/>
          <w:sz w:val="26"/>
          <w:szCs w:val="26"/>
        </w:rPr>
        <w:t xml:space="preserve">Beatriz </w:t>
      </w:r>
      <w:r w:rsidR="009D060C">
        <w:rPr>
          <w:color w:val="000000"/>
          <w:sz w:val="26"/>
          <w:szCs w:val="26"/>
        </w:rPr>
        <w:t>de Antó</w:t>
      </w:r>
      <w:r w:rsidR="00464023">
        <w:rPr>
          <w:color w:val="000000"/>
          <w:sz w:val="26"/>
          <w:szCs w:val="26"/>
        </w:rPr>
        <w:t>n</w:t>
      </w:r>
    </w:p>
    <w:p w14:paraId="7784BED6" w14:textId="77777777" w:rsidR="00E762F7" w:rsidRPr="00483DCF" w:rsidRDefault="00E762F7" w:rsidP="00E762F7">
      <w:pPr>
        <w:spacing w:after="240"/>
        <w:rPr>
          <w:color w:val="000000"/>
        </w:rPr>
      </w:pPr>
      <w:r w:rsidRPr="00483DCF">
        <w:rPr>
          <w:color w:val="000000"/>
        </w:rPr>
        <w:br/>
      </w:r>
      <w:r w:rsidRPr="00483DCF">
        <w:rPr>
          <w:color w:val="000000"/>
        </w:rPr>
        <w:br/>
      </w:r>
      <w:r w:rsidRPr="00483DCF">
        <w:rPr>
          <w:color w:val="000000"/>
        </w:rPr>
        <w:br/>
      </w:r>
      <w:r w:rsidRPr="00483DCF">
        <w:rPr>
          <w:color w:val="000000"/>
        </w:rPr>
        <w:br/>
      </w:r>
    </w:p>
    <w:p w14:paraId="3A9A115A" w14:textId="77777777" w:rsidR="00E762F7" w:rsidRPr="00483DCF" w:rsidRDefault="00E762F7" w:rsidP="00E762F7">
      <w:pPr>
        <w:spacing w:after="240"/>
        <w:rPr>
          <w:color w:val="000000"/>
        </w:rPr>
      </w:pPr>
    </w:p>
    <w:p w14:paraId="48B3E76A" w14:textId="77777777" w:rsidR="00B74D5D" w:rsidRDefault="00B74D5D" w:rsidP="00B74D5D">
      <w:pPr>
        <w:jc w:val="center"/>
        <w:rPr>
          <w:color w:val="000000"/>
          <w:sz w:val="22"/>
          <w:szCs w:val="22"/>
        </w:rPr>
      </w:pPr>
    </w:p>
    <w:p w14:paraId="776EDC50" w14:textId="77777777" w:rsidR="00B74D5D" w:rsidRDefault="00B74D5D" w:rsidP="00B74D5D">
      <w:pPr>
        <w:jc w:val="center"/>
        <w:rPr>
          <w:color w:val="000000"/>
          <w:sz w:val="22"/>
          <w:szCs w:val="22"/>
        </w:rPr>
      </w:pPr>
    </w:p>
    <w:p w14:paraId="699779D0" w14:textId="77777777" w:rsidR="00B74D5D" w:rsidRDefault="00B74D5D" w:rsidP="00B74D5D">
      <w:pPr>
        <w:jc w:val="center"/>
        <w:rPr>
          <w:color w:val="000000"/>
          <w:sz w:val="22"/>
          <w:szCs w:val="22"/>
        </w:rPr>
      </w:pPr>
    </w:p>
    <w:p w14:paraId="0F6BC218" w14:textId="77777777" w:rsidR="00B74D5D" w:rsidRDefault="00B74D5D" w:rsidP="00B74D5D">
      <w:pPr>
        <w:jc w:val="center"/>
        <w:rPr>
          <w:color w:val="000000"/>
          <w:sz w:val="22"/>
          <w:szCs w:val="22"/>
        </w:rPr>
      </w:pPr>
    </w:p>
    <w:p w14:paraId="45A6E09C" w14:textId="77777777" w:rsidR="00B74D5D" w:rsidRDefault="00B74D5D" w:rsidP="00B74D5D">
      <w:pPr>
        <w:jc w:val="center"/>
        <w:rPr>
          <w:color w:val="000000"/>
          <w:sz w:val="22"/>
          <w:szCs w:val="22"/>
        </w:rPr>
      </w:pPr>
    </w:p>
    <w:p w14:paraId="59A1F867" w14:textId="77777777" w:rsidR="00B74D5D" w:rsidRDefault="00B74D5D" w:rsidP="00B74D5D">
      <w:pPr>
        <w:jc w:val="center"/>
        <w:rPr>
          <w:color w:val="000000"/>
          <w:sz w:val="22"/>
          <w:szCs w:val="22"/>
        </w:rPr>
      </w:pPr>
    </w:p>
    <w:p w14:paraId="3E659B60" w14:textId="2E038F6C" w:rsidR="00E762F7" w:rsidRDefault="00E762F7" w:rsidP="00B74D5D">
      <w:pPr>
        <w:jc w:val="center"/>
        <w:rPr>
          <w:color w:val="000000"/>
        </w:rPr>
      </w:pPr>
      <w:r w:rsidRPr="00483DCF">
        <w:rPr>
          <w:color w:val="000000"/>
          <w:sz w:val="22"/>
          <w:szCs w:val="22"/>
        </w:rPr>
        <w:t>Madrid </w:t>
      </w:r>
    </w:p>
    <w:p w14:paraId="099342FC" w14:textId="5F7C5D72" w:rsidR="00B74D5D" w:rsidRDefault="00B74D5D" w:rsidP="00B74D5D">
      <w:pPr>
        <w:jc w:val="center"/>
        <w:rPr>
          <w:color w:val="000000"/>
        </w:rPr>
      </w:pPr>
      <w:r>
        <w:rPr>
          <w:color w:val="000000"/>
        </w:rPr>
        <w:t>2025/2026</w:t>
      </w:r>
    </w:p>
    <w:p w14:paraId="09158622" w14:textId="77777777" w:rsidR="00B74D5D" w:rsidRPr="00B74D5D" w:rsidRDefault="00B74D5D" w:rsidP="00B74D5D">
      <w:pPr>
        <w:jc w:val="center"/>
        <w:rPr>
          <w:color w:val="000000"/>
        </w:rPr>
      </w:pPr>
    </w:p>
    <w:p w14:paraId="65BF7AB4" w14:textId="0601F733" w:rsidR="00EC2F9E" w:rsidRDefault="00A90186" w:rsidP="00A90186">
      <w:pPr>
        <w:pStyle w:val="Ttulo1"/>
        <w:rPr>
          <w:rFonts w:ascii="Times New Roman" w:hAnsi="Times New Roman" w:cs="Times New Roman"/>
          <w:b/>
          <w:bCs/>
          <w:color w:val="000000" w:themeColor="text1"/>
          <w:sz w:val="24"/>
          <w:szCs w:val="24"/>
        </w:rPr>
      </w:pPr>
      <w:bookmarkStart w:id="0" w:name="_Toc213615895"/>
      <w:bookmarkStart w:id="1" w:name="_Toc213615928"/>
      <w:bookmarkStart w:id="2" w:name="_Toc213615943"/>
      <w:bookmarkStart w:id="3" w:name="_Toc213616428"/>
      <w:bookmarkStart w:id="4" w:name="_Toc213662145"/>
      <w:r w:rsidRPr="00CB55D3">
        <w:rPr>
          <w:rFonts w:ascii="Times New Roman" w:hAnsi="Times New Roman" w:cs="Times New Roman"/>
          <w:b/>
          <w:bCs/>
          <w:color w:val="000000" w:themeColor="text1"/>
          <w:sz w:val="24"/>
          <w:szCs w:val="24"/>
        </w:rPr>
        <w:lastRenderedPageBreak/>
        <w:t>R</w:t>
      </w:r>
      <w:bookmarkEnd w:id="0"/>
      <w:bookmarkEnd w:id="1"/>
      <w:bookmarkEnd w:id="2"/>
      <w:bookmarkEnd w:id="3"/>
      <w:r w:rsidR="00CB55D3">
        <w:rPr>
          <w:rFonts w:ascii="Times New Roman" w:hAnsi="Times New Roman" w:cs="Times New Roman"/>
          <w:b/>
          <w:bCs/>
          <w:color w:val="000000" w:themeColor="text1"/>
          <w:sz w:val="24"/>
          <w:szCs w:val="24"/>
        </w:rPr>
        <w:t>esumen</w:t>
      </w:r>
      <w:bookmarkEnd w:id="4"/>
    </w:p>
    <w:p w14:paraId="373D0508" w14:textId="689CC3DA" w:rsidR="00D82ED6" w:rsidRDefault="00DF521A" w:rsidP="00D82ED6">
      <w:pPr>
        <w:spacing w:line="360" w:lineRule="auto"/>
        <w:ind w:firstLine="708"/>
        <w:jc w:val="both"/>
      </w:pPr>
      <w:r>
        <w:t xml:space="preserve">En la actualidad, la violencia de </w:t>
      </w:r>
      <w:r w:rsidR="00E927CE">
        <w:t>g</w:t>
      </w:r>
      <w:r w:rsidR="001E28F6">
        <w:t>é</w:t>
      </w:r>
      <w:r w:rsidR="00E927CE">
        <w:t xml:space="preserve">nero </w:t>
      </w:r>
      <w:r w:rsidR="007206D1">
        <w:t xml:space="preserve">continúa </w:t>
      </w:r>
      <w:r w:rsidR="007F07D9">
        <w:t xml:space="preserve">siendo una </w:t>
      </w:r>
      <w:r w:rsidR="005C4E5B">
        <w:t>problemática</w:t>
      </w:r>
      <w:r w:rsidR="007F07D9">
        <w:t xml:space="preserve"> </w:t>
      </w:r>
      <w:r w:rsidR="00CB0BBD">
        <w:t>g</w:t>
      </w:r>
      <w:r w:rsidR="007F07D9">
        <w:t>lobal</w:t>
      </w:r>
      <w:r w:rsidR="00A43789">
        <w:t xml:space="preserve"> </w:t>
      </w:r>
      <w:r w:rsidR="001A55AF">
        <w:t>con una elevada prevalencia, a pesar de l</w:t>
      </w:r>
      <w:r w:rsidR="00D82ED6">
        <w:t xml:space="preserve">as medidas implementadas para su erradicación. </w:t>
      </w:r>
      <w:r w:rsidR="00792429">
        <w:t xml:space="preserve">Tradicionalmente, </w:t>
      </w:r>
      <w:r w:rsidR="00D82ED6">
        <w:t xml:space="preserve">se ha entendido como el ejercicio de violencia del hombre hacia la mujer por razón de género, manifestándose a través de conductas </w:t>
      </w:r>
      <w:r w:rsidR="008105FA">
        <w:t>de control, intimidaci</w:t>
      </w:r>
      <w:r w:rsidR="00712444">
        <w:t>ón</w:t>
      </w:r>
      <w:r w:rsidR="003A1377">
        <w:t xml:space="preserve">, </w:t>
      </w:r>
      <w:r w:rsidR="00712444">
        <w:t>manipulación</w:t>
      </w:r>
      <w:r w:rsidR="003A1377">
        <w:t xml:space="preserve"> y coerción</w:t>
      </w:r>
      <w:r w:rsidR="00D82ED6">
        <w:t xml:space="preserve">, centrando la atención principalmente en la mujer como víctima directa. </w:t>
      </w:r>
    </w:p>
    <w:p w14:paraId="78B9963C" w14:textId="2581534B" w:rsidR="00DF5184" w:rsidRPr="00E6073C" w:rsidRDefault="00D82ED6" w:rsidP="00E6073C">
      <w:pPr>
        <w:spacing w:line="360" w:lineRule="auto"/>
        <w:ind w:firstLine="708"/>
        <w:jc w:val="both"/>
      </w:pPr>
      <w:r>
        <w:t>No obstante, esta forma de violencia</w:t>
      </w:r>
      <w:r w:rsidR="007B7FBD">
        <w:t xml:space="preserve"> no se limita únicamente a la mujer</w:t>
      </w:r>
      <w:r w:rsidR="00C34156">
        <w:t xml:space="preserve">, sino que se expande y alcanza de manera significativa </w:t>
      </w:r>
      <w:r>
        <w:t>a los menores</w:t>
      </w:r>
      <w:r w:rsidR="00875CEC">
        <w:t xml:space="preserve"> </w:t>
      </w:r>
      <w:r>
        <w:t>que conviven en el mismo núcleo familiar</w:t>
      </w:r>
      <w:r w:rsidR="00BD00F1">
        <w:t xml:space="preserve">. Estos constituyen </w:t>
      </w:r>
      <w:r w:rsidR="00875CEC">
        <w:t xml:space="preserve">uno de los colectivos más vulnerables y </w:t>
      </w:r>
      <w:r w:rsidR="002A7A0F">
        <w:t xml:space="preserve">han sido </w:t>
      </w:r>
      <w:r w:rsidR="00875CEC">
        <w:t>frecuentemente descritos como “victimas invisibles”</w:t>
      </w:r>
      <w:r w:rsidR="00D02DA8">
        <w:t xml:space="preserve">, </w:t>
      </w:r>
      <w:r w:rsidR="002A7A0F">
        <w:t xml:space="preserve">ya que su situación suele quedar </w:t>
      </w:r>
      <w:r w:rsidR="00321ADE">
        <w:t>desatendida</w:t>
      </w:r>
      <w:r w:rsidR="002A7A0F">
        <w:t xml:space="preserve"> por la </w:t>
      </w:r>
      <w:r w:rsidR="00321ADE">
        <w:t xml:space="preserve">sociedad. </w:t>
      </w:r>
      <w:r w:rsidR="002D5902">
        <w:t>Además,</w:t>
      </w:r>
      <w:r w:rsidR="00AA6738">
        <w:t xml:space="preserve"> d</w:t>
      </w:r>
      <w:r w:rsidR="00033A77">
        <w:t>esde una perspectiva jurídica, son reconocidos como víctimas directas</w:t>
      </w:r>
      <w:r w:rsidR="001378B3">
        <w:t xml:space="preserve"> tanto por las agresiones a las que son expuestos como por ser testigos en su hoga</w:t>
      </w:r>
      <w:r w:rsidR="00E6073C">
        <w:t>r,</w:t>
      </w:r>
      <w:r w:rsidR="00033A77">
        <w:t xml:space="preserve"> lo que implica su protección especifica dentro del </w:t>
      </w:r>
      <w:r w:rsidR="00033A77">
        <w:rPr>
          <w:color w:val="000000"/>
        </w:rPr>
        <w:t>del marco normativo vigente</w:t>
      </w:r>
      <w:r w:rsidR="002D5902">
        <w:rPr>
          <w:color w:val="000000"/>
        </w:rPr>
        <w:t xml:space="preserve">, dado que la </w:t>
      </w:r>
      <w:r w:rsidR="00DF5184">
        <w:rPr>
          <w:color w:val="000000"/>
        </w:rPr>
        <w:t xml:space="preserve">exposición continuada a estas dinámicas de violencia, basadas en la desigualdad, impacta negativamente en su desarrollo integral. </w:t>
      </w:r>
    </w:p>
    <w:p w14:paraId="1287DDA5" w14:textId="3AC317BF" w:rsidR="00DF5184" w:rsidRPr="00DF5184" w:rsidRDefault="00C34909" w:rsidP="00975ECB">
      <w:pPr>
        <w:spacing w:line="360" w:lineRule="auto"/>
        <w:ind w:firstLine="708"/>
        <w:jc w:val="both"/>
      </w:pPr>
      <w:r>
        <w:t xml:space="preserve">Esta realidad se enmarca bajo el lema </w:t>
      </w:r>
      <w:r>
        <w:rPr>
          <w:b/>
          <w:bCs/>
          <w:i/>
          <w:iCs/>
          <w:color w:val="000000"/>
        </w:rPr>
        <w:t>“EN LA VIOLENCIA DE GÉNERO NO HAY UNA SOLA VICTIMA”</w:t>
      </w:r>
      <w:r>
        <w:t xml:space="preserve">, tal y como señala la </w:t>
      </w:r>
      <w:r>
        <w:rPr>
          <w:color w:val="000000"/>
        </w:rPr>
        <w:t xml:space="preserve">organización Save the Children (2022). </w:t>
      </w:r>
    </w:p>
    <w:p w14:paraId="3A151CAB" w14:textId="64B36227" w:rsidR="00DF5184" w:rsidRDefault="00570AFE" w:rsidP="00975ECB">
      <w:pPr>
        <w:spacing w:line="360" w:lineRule="auto"/>
        <w:ind w:firstLine="708"/>
        <w:jc w:val="both"/>
        <w:rPr>
          <w:color w:val="000000" w:themeColor="text1"/>
        </w:rPr>
      </w:pPr>
      <w:r>
        <w:t>E</w:t>
      </w:r>
      <w:r w:rsidR="00DF5184">
        <w:t xml:space="preserve">l presente trabajo tiene como objetivo </w:t>
      </w:r>
      <w:r w:rsidR="0002238D" w:rsidRPr="00DF521A">
        <w:rPr>
          <w:color w:val="000000" w:themeColor="text1"/>
        </w:rPr>
        <w:t>visibilizar</w:t>
      </w:r>
      <w:r w:rsidR="00881556" w:rsidRPr="00DF521A">
        <w:rPr>
          <w:color w:val="000000" w:themeColor="text1"/>
        </w:rPr>
        <w:t xml:space="preserve"> la problemática e</w:t>
      </w:r>
      <w:r w:rsidR="00954101">
        <w:rPr>
          <w:color w:val="000000" w:themeColor="text1"/>
        </w:rPr>
        <w:t xml:space="preserve">n los </w:t>
      </w:r>
      <w:r w:rsidR="00D13183">
        <w:rPr>
          <w:color w:val="000000" w:themeColor="text1"/>
        </w:rPr>
        <w:t>más</w:t>
      </w:r>
      <w:r w:rsidR="00954101">
        <w:rPr>
          <w:color w:val="000000" w:themeColor="text1"/>
        </w:rPr>
        <w:t xml:space="preserve"> pequeños de </w:t>
      </w:r>
      <w:r w:rsidR="000B5BC0">
        <w:rPr>
          <w:color w:val="000000" w:themeColor="text1"/>
        </w:rPr>
        <w:t xml:space="preserve">la </w:t>
      </w:r>
      <w:r w:rsidR="00954101">
        <w:rPr>
          <w:color w:val="000000" w:themeColor="text1"/>
        </w:rPr>
        <w:t>sociedad, analizar los roles y conductas abusivas</w:t>
      </w:r>
      <w:r w:rsidR="009A4627">
        <w:rPr>
          <w:color w:val="000000" w:themeColor="text1"/>
        </w:rPr>
        <w:t xml:space="preserve"> en el ámbito familiar, su tipificación y </w:t>
      </w:r>
      <w:r w:rsidR="00EA0C15">
        <w:rPr>
          <w:color w:val="000000" w:themeColor="text1"/>
        </w:rPr>
        <w:t xml:space="preserve">sanción </w:t>
      </w:r>
      <w:r w:rsidR="00342FAE">
        <w:rPr>
          <w:color w:val="000000" w:themeColor="text1"/>
        </w:rPr>
        <w:t xml:space="preserve">en el </w:t>
      </w:r>
      <w:r w:rsidR="00915C27">
        <w:rPr>
          <w:color w:val="000000" w:themeColor="text1"/>
        </w:rPr>
        <w:t>C</w:t>
      </w:r>
      <w:r w:rsidR="00342FAE">
        <w:rPr>
          <w:color w:val="000000" w:themeColor="text1"/>
        </w:rPr>
        <w:t xml:space="preserve">ódigo </w:t>
      </w:r>
      <w:r w:rsidR="00915C27">
        <w:rPr>
          <w:color w:val="000000" w:themeColor="text1"/>
        </w:rPr>
        <w:t>P</w:t>
      </w:r>
      <w:r w:rsidR="00342FAE">
        <w:rPr>
          <w:color w:val="000000" w:themeColor="text1"/>
        </w:rPr>
        <w:t>enal</w:t>
      </w:r>
      <w:r w:rsidR="00915C27">
        <w:rPr>
          <w:color w:val="000000" w:themeColor="text1"/>
        </w:rPr>
        <w:t xml:space="preserve">, </w:t>
      </w:r>
      <w:r w:rsidR="00F0007D">
        <w:rPr>
          <w:color w:val="000000" w:themeColor="text1"/>
        </w:rPr>
        <w:t xml:space="preserve">analiza </w:t>
      </w:r>
      <w:r w:rsidR="007D1DFC">
        <w:rPr>
          <w:color w:val="000000" w:themeColor="text1"/>
        </w:rPr>
        <w:t>cómo</w:t>
      </w:r>
      <w:r w:rsidR="009C6E68">
        <w:rPr>
          <w:color w:val="000000" w:themeColor="text1"/>
        </w:rPr>
        <w:t xml:space="preserve"> se desarrolla </w:t>
      </w:r>
      <w:r w:rsidR="00A65DFA">
        <w:rPr>
          <w:color w:val="000000" w:themeColor="text1"/>
        </w:rPr>
        <w:t xml:space="preserve">el </w:t>
      </w:r>
      <w:r w:rsidR="00342FAE">
        <w:rPr>
          <w:color w:val="000000" w:themeColor="text1"/>
        </w:rPr>
        <w:t xml:space="preserve">procedimiento jurídico </w:t>
      </w:r>
      <w:r w:rsidR="00A65DFA">
        <w:rPr>
          <w:color w:val="000000" w:themeColor="text1"/>
        </w:rPr>
        <w:t xml:space="preserve">aplicado </w:t>
      </w:r>
      <w:r w:rsidR="009C6E68">
        <w:rPr>
          <w:color w:val="000000" w:themeColor="text1"/>
        </w:rPr>
        <w:t>en</w:t>
      </w:r>
      <w:r w:rsidR="00A65DFA">
        <w:rPr>
          <w:color w:val="000000" w:themeColor="text1"/>
        </w:rPr>
        <w:t xml:space="preserve"> casos de extrema gravedad</w:t>
      </w:r>
      <w:r w:rsidR="00545297">
        <w:rPr>
          <w:color w:val="000000" w:themeColor="text1"/>
        </w:rPr>
        <w:t xml:space="preserve">, y </w:t>
      </w:r>
      <w:r w:rsidR="009C6E68">
        <w:rPr>
          <w:color w:val="000000" w:themeColor="text1"/>
        </w:rPr>
        <w:t xml:space="preserve">elaborar </w:t>
      </w:r>
      <w:r w:rsidR="00545297">
        <w:rPr>
          <w:color w:val="000000" w:themeColor="text1"/>
        </w:rPr>
        <w:t>un perfil criminal del agresor</w:t>
      </w:r>
      <w:r w:rsidR="00320D46">
        <w:rPr>
          <w:color w:val="000000" w:themeColor="text1"/>
        </w:rPr>
        <w:t>.</w:t>
      </w:r>
    </w:p>
    <w:p w14:paraId="07115BCF" w14:textId="1B918E84" w:rsidR="00675064" w:rsidRPr="00DF5184" w:rsidRDefault="00225E2F" w:rsidP="006377E9">
      <w:pPr>
        <w:spacing w:line="360" w:lineRule="auto"/>
        <w:ind w:firstLine="708"/>
        <w:jc w:val="both"/>
        <w:rPr>
          <w:color w:val="000000" w:themeColor="text1"/>
        </w:rPr>
      </w:pPr>
      <w:r w:rsidRPr="005F7DBC">
        <w:rPr>
          <w:i/>
          <w:iCs/>
        </w:rPr>
        <w:t>Palabras clave</w:t>
      </w:r>
      <w:r>
        <w:rPr>
          <w:i/>
          <w:iCs/>
        </w:rPr>
        <w:t xml:space="preserve">: </w:t>
      </w:r>
      <w:r w:rsidR="009454A6" w:rsidRPr="009454A6">
        <w:t xml:space="preserve">violencia de </w:t>
      </w:r>
      <w:r w:rsidR="004922B7" w:rsidRPr="009454A6">
        <w:t>género</w:t>
      </w:r>
      <w:r w:rsidR="009454A6" w:rsidRPr="009454A6">
        <w:t xml:space="preserve">, maltrato infantil, infancia en riesgo, protección del menor, violencia de </w:t>
      </w:r>
      <w:r w:rsidR="004922B7">
        <w:t>gé</w:t>
      </w:r>
      <w:r w:rsidR="009454A6" w:rsidRPr="009454A6">
        <w:t xml:space="preserve">nero en la </w:t>
      </w:r>
      <w:r w:rsidR="004922B7" w:rsidRPr="009454A6">
        <w:t>pareja</w:t>
      </w:r>
      <w:r w:rsidR="004922B7">
        <w:t>, victimizació</w:t>
      </w:r>
      <w:r w:rsidR="00F575BF">
        <w:t xml:space="preserve">n, determinantes sociales. </w:t>
      </w:r>
    </w:p>
    <w:p w14:paraId="5F924697" w14:textId="77777777" w:rsidR="000A00D6" w:rsidRDefault="000A00D6" w:rsidP="000A00D6">
      <w:pPr>
        <w:pStyle w:val="p1"/>
        <w:spacing w:line="360" w:lineRule="auto"/>
        <w:jc w:val="both"/>
        <w:rPr>
          <w:sz w:val="24"/>
          <w:szCs w:val="24"/>
        </w:rPr>
      </w:pPr>
      <w:bookmarkStart w:id="5" w:name="_Toc213615896"/>
      <w:bookmarkStart w:id="6" w:name="_Toc213615929"/>
      <w:bookmarkStart w:id="7" w:name="_Toc213615944"/>
      <w:bookmarkStart w:id="8" w:name="_Toc213616429"/>
      <w:bookmarkStart w:id="9" w:name="_Toc213662146"/>
    </w:p>
    <w:p w14:paraId="7F87E57C" w14:textId="755969B1" w:rsidR="000A00D6" w:rsidRDefault="00D9145A" w:rsidP="000A00D6">
      <w:pPr>
        <w:pStyle w:val="p1"/>
        <w:spacing w:line="360" w:lineRule="auto"/>
        <w:jc w:val="both"/>
        <w:rPr>
          <w:sz w:val="24"/>
          <w:szCs w:val="24"/>
        </w:rPr>
      </w:pPr>
      <w:proofErr w:type="gramStart"/>
      <w:r>
        <w:rPr>
          <w:sz w:val="24"/>
          <w:szCs w:val="24"/>
        </w:rPr>
        <w:t>AÑADIR</w:t>
      </w:r>
      <w:proofErr w:type="gramEnd"/>
      <w:r>
        <w:rPr>
          <w:sz w:val="24"/>
          <w:szCs w:val="24"/>
        </w:rPr>
        <w:t xml:space="preserve"> QUE LA VIOLNXI AL MENOR QUEDAA OCUTO TRAS LOS MUROS DE INTIMIDAD DEL HOGAR. </w:t>
      </w:r>
    </w:p>
    <w:p w14:paraId="74BC6AA7" w14:textId="77777777" w:rsidR="000A00D6" w:rsidRDefault="000A00D6" w:rsidP="000A00D6">
      <w:pPr>
        <w:pStyle w:val="p1"/>
        <w:spacing w:line="360" w:lineRule="auto"/>
        <w:jc w:val="both"/>
        <w:rPr>
          <w:sz w:val="24"/>
          <w:szCs w:val="24"/>
        </w:rPr>
      </w:pPr>
    </w:p>
    <w:p w14:paraId="7230E5EB" w14:textId="77777777" w:rsidR="000A00D6" w:rsidRDefault="000A00D6" w:rsidP="000A00D6">
      <w:pPr>
        <w:pStyle w:val="p1"/>
        <w:spacing w:line="360" w:lineRule="auto"/>
        <w:jc w:val="both"/>
        <w:rPr>
          <w:sz w:val="24"/>
          <w:szCs w:val="24"/>
        </w:rPr>
      </w:pPr>
    </w:p>
    <w:p w14:paraId="3DF57BCA" w14:textId="77777777" w:rsidR="000A00D6" w:rsidRDefault="000A00D6" w:rsidP="000A00D6">
      <w:pPr>
        <w:pStyle w:val="p1"/>
        <w:spacing w:line="360" w:lineRule="auto"/>
        <w:jc w:val="both"/>
        <w:rPr>
          <w:sz w:val="24"/>
          <w:szCs w:val="24"/>
        </w:rPr>
      </w:pPr>
    </w:p>
    <w:p w14:paraId="11093FB5" w14:textId="77777777" w:rsidR="00975ECB" w:rsidRDefault="00975ECB" w:rsidP="000A00D6">
      <w:pPr>
        <w:pStyle w:val="p1"/>
        <w:spacing w:line="360" w:lineRule="auto"/>
        <w:jc w:val="both"/>
        <w:rPr>
          <w:sz w:val="24"/>
          <w:szCs w:val="24"/>
        </w:rPr>
      </w:pPr>
    </w:p>
    <w:p w14:paraId="7C252928" w14:textId="77777777" w:rsidR="006377E9" w:rsidRDefault="006377E9" w:rsidP="000A00D6">
      <w:pPr>
        <w:pStyle w:val="p1"/>
        <w:spacing w:line="360" w:lineRule="auto"/>
        <w:jc w:val="both"/>
        <w:rPr>
          <w:sz w:val="24"/>
          <w:szCs w:val="24"/>
        </w:rPr>
      </w:pPr>
    </w:p>
    <w:p w14:paraId="156B5370" w14:textId="66F82DB6" w:rsidR="00EC2F9E" w:rsidRDefault="00A90186" w:rsidP="006377E9">
      <w:pPr>
        <w:pStyle w:val="p1"/>
        <w:spacing w:line="360" w:lineRule="auto"/>
        <w:jc w:val="both"/>
        <w:rPr>
          <w:b/>
          <w:bCs/>
          <w:color w:val="000000" w:themeColor="text1"/>
          <w:sz w:val="24"/>
          <w:szCs w:val="24"/>
        </w:rPr>
      </w:pPr>
      <w:proofErr w:type="spellStart"/>
      <w:r w:rsidRPr="00CB55D3">
        <w:rPr>
          <w:b/>
          <w:bCs/>
          <w:color w:val="000000" w:themeColor="text1"/>
          <w:sz w:val="24"/>
          <w:szCs w:val="24"/>
        </w:rPr>
        <w:lastRenderedPageBreak/>
        <w:t>A</w:t>
      </w:r>
      <w:bookmarkEnd w:id="5"/>
      <w:bookmarkEnd w:id="6"/>
      <w:bookmarkEnd w:id="7"/>
      <w:bookmarkEnd w:id="8"/>
      <w:r w:rsidR="00CB55D3">
        <w:rPr>
          <w:b/>
          <w:bCs/>
          <w:color w:val="000000" w:themeColor="text1"/>
          <w:sz w:val="24"/>
          <w:szCs w:val="24"/>
        </w:rPr>
        <w:t>bstract</w:t>
      </w:r>
      <w:bookmarkEnd w:id="9"/>
      <w:proofErr w:type="spellEnd"/>
    </w:p>
    <w:p w14:paraId="242779DE" w14:textId="77777777" w:rsidR="006377E9" w:rsidRDefault="006377E9" w:rsidP="006377E9">
      <w:pPr>
        <w:pStyle w:val="NormalWeb"/>
        <w:spacing w:before="0" w:beforeAutospacing="0" w:after="0" w:afterAutospacing="0" w:line="360" w:lineRule="auto"/>
        <w:ind w:firstLine="708"/>
        <w:jc w:val="both"/>
        <w:rPr>
          <w:color w:val="000000"/>
        </w:rPr>
      </w:pPr>
      <w:r>
        <w:rPr>
          <w:color w:val="000000"/>
        </w:rPr>
        <w:t xml:space="preserve">Currently, </w:t>
      </w:r>
      <w:proofErr w:type="spellStart"/>
      <w:r>
        <w:rPr>
          <w:color w:val="000000"/>
        </w:rPr>
        <w:t>gender-based</w:t>
      </w:r>
      <w:proofErr w:type="spellEnd"/>
      <w:r>
        <w:rPr>
          <w:color w:val="000000"/>
        </w:rPr>
        <w:t xml:space="preserve"> </w:t>
      </w:r>
      <w:proofErr w:type="spellStart"/>
      <w:r>
        <w:rPr>
          <w:color w:val="000000"/>
        </w:rPr>
        <w:t>violence</w:t>
      </w:r>
      <w:proofErr w:type="spellEnd"/>
      <w:r>
        <w:rPr>
          <w:color w:val="000000"/>
        </w:rPr>
        <w:t xml:space="preserve"> </w:t>
      </w:r>
      <w:proofErr w:type="spellStart"/>
      <w:r>
        <w:rPr>
          <w:color w:val="000000"/>
        </w:rPr>
        <w:t>remains</w:t>
      </w:r>
      <w:proofErr w:type="spellEnd"/>
      <w:r>
        <w:rPr>
          <w:color w:val="000000"/>
        </w:rPr>
        <w:t xml:space="preserve"> a global </w:t>
      </w:r>
      <w:proofErr w:type="spellStart"/>
      <w:r>
        <w:rPr>
          <w:color w:val="000000"/>
        </w:rPr>
        <w:t>issue</w:t>
      </w:r>
      <w:proofErr w:type="spellEnd"/>
      <w:r>
        <w:rPr>
          <w:color w:val="000000"/>
        </w:rPr>
        <w:t xml:space="preserve"> </w:t>
      </w:r>
      <w:proofErr w:type="spellStart"/>
      <w:r>
        <w:rPr>
          <w:color w:val="000000"/>
        </w:rPr>
        <w:t>with</w:t>
      </w:r>
      <w:proofErr w:type="spellEnd"/>
      <w:r>
        <w:rPr>
          <w:color w:val="000000"/>
        </w:rPr>
        <w:t xml:space="preserve"> </w:t>
      </w:r>
      <w:proofErr w:type="spellStart"/>
      <w:r>
        <w:rPr>
          <w:color w:val="000000"/>
        </w:rPr>
        <w:t>high</w:t>
      </w:r>
      <w:proofErr w:type="spellEnd"/>
      <w:r>
        <w:rPr>
          <w:color w:val="000000"/>
        </w:rPr>
        <w:t xml:space="preserve"> </w:t>
      </w:r>
      <w:proofErr w:type="spellStart"/>
      <w:r>
        <w:rPr>
          <w:color w:val="000000"/>
        </w:rPr>
        <w:t>prevalence</w:t>
      </w:r>
      <w:proofErr w:type="spellEnd"/>
      <w:r>
        <w:rPr>
          <w:color w:val="000000"/>
        </w:rPr>
        <w:t xml:space="preserve">, </w:t>
      </w:r>
      <w:proofErr w:type="spellStart"/>
      <w:r>
        <w:rPr>
          <w:color w:val="000000"/>
        </w:rPr>
        <w:t>despite</w:t>
      </w:r>
      <w:proofErr w:type="spellEnd"/>
      <w:r>
        <w:rPr>
          <w:color w:val="000000"/>
        </w:rPr>
        <w:t xml:space="preserve"> the </w:t>
      </w:r>
      <w:proofErr w:type="spellStart"/>
      <w:r>
        <w:rPr>
          <w:color w:val="000000"/>
        </w:rPr>
        <w:t>measures</w:t>
      </w:r>
      <w:proofErr w:type="spellEnd"/>
      <w:r>
        <w:rPr>
          <w:color w:val="000000"/>
        </w:rPr>
        <w:t xml:space="preserve"> </w:t>
      </w:r>
      <w:proofErr w:type="spellStart"/>
      <w:r>
        <w:rPr>
          <w:color w:val="000000"/>
        </w:rPr>
        <w:t>implemented</w:t>
      </w:r>
      <w:proofErr w:type="spellEnd"/>
      <w:r>
        <w:rPr>
          <w:color w:val="000000"/>
        </w:rPr>
        <w:t xml:space="preserve"> </w:t>
      </w:r>
      <w:proofErr w:type="spellStart"/>
      <w:r>
        <w:rPr>
          <w:color w:val="000000"/>
        </w:rPr>
        <w:t>to</w:t>
      </w:r>
      <w:proofErr w:type="spellEnd"/>
      <w:r>
        <w:rPr>
          <w:color w:val="000000"/>
        </w:rPr>
        <w:t xml:space="preserve"> </w:t>
      </w:r>
      <w:proofErr w:type="spellStart"/>
      <w:r>
        <w:rPr>
          <w:color w:val="000000"/>
        </w:rPr>
        <w:t>eradicate</w:t>
      </w:r>
      <w:proofErr w:type="spellEnd"/>
      <w:r>
        <w:rPr>
          <w:color w:val="000000"/>
        </w:rPr>
        <w:t xml:space="preserve"> </w:t>
      </w:r>
      <w:proofErr w:type="spellStart"/>
      <w:r>
        <w:rPr>
          <w:color w:val="000000"/>
        </w:rPr>
        <w:t>it</w:t>
      </w:r>
      <w:proofErr w:type="spellEnd"/>
      <w:r>
        <w:rPr>
          <w:color w:val="000000"/>
        </w:rPr>
        <w:t xml:space="preserve">. </w:t>
      </w:r>
      <w:proofErr w:type="spellStart"/>
      <w:r>
        <w:rPr>
          <w:color w:val="000000"/>
        </w:rPr>
        <w:t>Traditionally</w:t>
      </w:r>
      <w:proofErr w:type="spellEnd"/>
      <w:r>
        <w:rPr>
          <w:color w:val="000000"/>
        </w:rPr>
        <w:t xml:space="preserve">, </w:t>
      </w:r>
      <w:proofErr w:type="spellStart"/>
      <w:r>
        <w:rPr>
          <w:color w:val="000000"/>
        </w:rPr>
        <w:t>it</w:t>
      </w:r>
      <w:proofErr w:type="spellEnd"/>
      <w:r>
        <w:rPr>
          <w:color w:val="000000"/>
        </w:rPr>
        <w:t xml:space="preserve"> has </w:t>
      </w:r>
      <w:proofErr w:type="spellStart"/>
      <w:r>
        <w:rPr>
          <w:color w:val="000000"/>
        </w:rPr>
        <w:t>been</w:t>
      </w:r>
      <w:proofErr w:type="spellEnd"/>
      <w:r>
        <w:rPr>
          <w:color w:val="000000"/>
        </w:rPr>
        <w:t xml:space="preserve"> </w:t>
      </w:r>
      <w:proofErr w:type="spellStart"/>
      <w:r>
        <w:rPr>
          <w:color w:val="000000"/>
        </w:rPr>
        <w:t>understood</w:t>
      </w:r>
      <w:proofErr w:type="spellEnd"/>
      <w:r>
        <w:rPr>
          <w:color w:val="000000"/>
        </w:rPr>
        <w:t xml:space="preserve"> as the </w:t>
      </w:r>
      <w:proofErr w:type="spellStart"/>
      <w:r>
        <w:rPr>
          <w:color w:val="000000"/>
        </w:rPr>
        <w:t>exercise</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violence</w:t>
      </w:r>
      <w:proofErr w:type="spellEnd"/>
      <w:r>
        <w:rPr>
          <w:color w:val="000000"/>
        </w:rPr>
        <w:t xml:space="preserve"> </w:t>
      </w:r>
      <w:proofErr w:type="spellStart"/>
      <w:r>
        <w:rPr>
          <w:color w:val="000000"/>
        </w:rPr>
        <w:t>by</w:t>
      </w:r>
      <w:proofErr w:type="spellEnd"/>
      <w:r>
        <w:rPr>
          <w:color w:val="000000"/>
        </w:rPr>
        <w:t xml:space="preserve"> </w:t>
      </w:r>
      <w:proofErr w:type="spellStart"/>
      <w:r>
        <w:rPr>
          <w:color w:val="000000"/>
        </w:rPr>
        <w:t>men</w:t>
      </w:r>
      <w:proofErr w:type="spellEnd"/>
      <w:r>
        <w:rPr>
          <w:color w:val="000000"/>
        </w:rPr>
        <w:t xml:space="preserve"> </w:t>
      </w:r>
      <w:proofErr w:type="spellStart"/>
      <w:r>
        <w:rPr>
          <w:color w:val="000000"/>
        </w:rPr>
        <w:t>against</w:t>
      </w:r>
      <w:proofErr w:type="spellEnd"/>
      <w:r>
        <w:rPr>
          <w:color w:val="000000"/>
        </w:rPr>
        <w:t xml:space="preserve"> </w:t>
      </w:r>
      <w:proofErr w:type="spellStart"/>
      <w:r>
        <w:rPr>
          <w:color w:val="000000"/>
        </w:rPr>
        <w:t>women</w:t>
      </w:r>
      <w:proofErr w:type="spellEnd"/>
      <w:r>
        <w:rPr>
          <w:color w:val="000000"/>
        </w:rPr>
        <w:t xml:space="preserve"> </w:t>
      </w:r>
      <w:proofErr w:type="spellStart"/>
      <w:r>
        <w:rPr>
          <w:color w:val="000000"/>
        </w:rPr>
        <w:t>based</w:t>
      </w:r>
      <w:proofErr w:type="spellEnd"/>
      <w:r>
        <w:rPr>
          <w:color w:val="000000"/>
        </w:rPr>
        <w:t xml:space="preserve"> </w:t>
      </w:r>
      <w:proofErr w:type="spellStart"/>
      <w:r>
        <w:rPr>
          <w:color w:val="000000"/>
        </w:rPr>
        <w:t>on</w:t>
      </w:r>
      <w:proofErr w:type="spellEnd"/>
      <w:r>
        <w:rPr>
          <w:color w:val="000000"/>
        </w:rPr>
        <w:t xml:space="preserve"> </w:t>
      </w:r>
      <w:proofErr w:type="spellStart"/>
      <w:r>
        <w:rPr>
          <w:color w:val="000000"/>
        </w:rPr>
        <w:t>gender</w:t>
      </w:r>
      <w:proofErr w:type="spellEnd"/>
      <w:r>
        <w:rPr>
          <w:color w:val="000000"/>
        </w:rPr>
        <w:t xml:space="preserve">, </w:t>
      </w:r>
      <w:proofErr w:type="spellStart"/>
      <w:r>
        <w:rPr>
          <w:color w:val="000000"/>
        </w:rPr>
        <w:t>manifesting</w:t>
      </w:r>
      <w:proofErr w:type="spellEnd"/>
      <w:r>
        <w:rPr>
          <w:color w:val="000000"/>
        </w:rPr>
        <w:t xml:space="preserve"> </w:t>
      </w:r>
      <w:proofErr w:type="spellStart"/>
      <w:r>
        <w:rPr>
          <w:color w:val="000000"/>
        </w:rPr>
        <w:t>through</w:t>
      </w:r>
      <w:proofErr w:type="spellEnd"/>
      <w:r>
        <w:rPr>
          <w:color w:val="000000"/>
        </w:rPr>
        <w:t xml:space="preserve"> </w:t>
      </w:r>
      <w:proofErr w:type="spellStart"/>
      <w:r>
        <w:rPr>
          <w:color w:val="000000"/>
        </w:rPr>
        <w:t>behaviors</w:t>
      </w:r>
      <w:proofErr w:type="spellEnd"/>
      <w:r>
        <w:rPr>
          <w:color w:val="000000"/>
        </w:rPr>
        <w:t xml:space="preserve"> </w:t>
      </w:r>
      <w:proofErr w:type="spellStart"/>
      <w:r>
        <w:rPr>
          <w:color w:val="000000"/>
        </w:rPr>
        <w:t>of</w:t>
      </w:r>
      <w:proofErr w:type="spellEnd"/>
      <w:r>
        <w:rPr>
          <w:color w:val="000000"/>
        </w:rPr>
        <w:t xml:space="preserve"> control, </w:t>
      </w:r>
      <w:proofErr w:type="spellStart"/>
      <w:r>
        <w:rPr>
          <w:color w:val="000000"/>
        </w:rPr>
        <w:t>intimidation</w:t>
      </w:r>
      <w:proofErr w:type="spellEnd"/>
      <w:r>
        <w:rPr>
          <w:color w:val="000000"/>
        </w:rPr>
        <w:t xml:space="preserve">, </w:t>
      </w:r>
      <w:proofErr w:type="spellStart"/>
      <w:r>
        <w:rPr>
          <w:color w:val="000000"/>
        </w:rPr>
        <w:t>manipulation</w:t>
      </w:r>
      <w:proofErr w:type="spellEnd"/>
      <w:r>
        <w:rPr>
          <w:color w:val="000000"/>
        </w:rPr>
        <w:t xml:space="preserve">, and </w:t>
      </w:r>
      <w:proofErr w:type="spellStart"/>
      <w:r>
        <w:rPr>
          <w:color w:val="000000"/>
        </w:rPr>
        <w:t>coercion</w:t>
      </w:r>
      <w:proofErr w:type="spellEnd"/>
      <w:r>
        <w:rPr>
          <w:color w:val="000000"/>
        </w:rPr>
        <w:t xml:space="preserve">, </w:t>
      </w:r>
      <w:proofErr w:type="spellStart"/>
      <w:r>
        <w:rPr>
          <w:color w:val="000000"/>
        </w:rPr>
        <w:t>with</w:t>
      </w:r>
      <w:proofErr w:type="spellEnd"/>
      <w:r>
        <w:rPr>
          <w:color w:val="000000"/>
        </w:rPr>
        <w:t xml:space="preserve"> </w:t>
      </w:r>
      <w:proofErr w:type="spellStart"/>
      <w:r>
        <w:rPr>
          <w:color w:val="000000"/>
        </w:rPr>
        <w:t>attention</w:t>
      </w:r>
      <w:proofErr w:type="spellEnd"/>
      <w:r>
        <w:rPr>
          <w:color w:val="000000"/>
        </w:rPr>
        <w:t xml:space="preserve"> </w:t>
      </w:r>
      <w:proofErr w:type="spellStart"/>
      <w:r>
        <w:rPr>
          <w:color w:val="000000"/>
        </w:rPr>
        <w:t>primarily</w:t>
      </w:r>
      <w:proofErr w:type="spellEnd"/>
      <w:r>
        <w:rPr>
          <w:color w:val="000000"/>
        </w:rPr>
        <w:t xml:space="preserve"> </w:t>
      </w:r>
      <w:proofErr w:type="spellStart"/>
      <w:r>
        <w:rPr>
          <w:color w:val="000000"/>
        </w:rPr>
        <w:t>focused</w:t>
      </w:r>
      <w:proofErr w:type="spellEnd"/>
      <w:r>
        <w:rPr>
          <w:color w:val="000000"/>
        </w:rPr>
        <w:t xml:space="preserve"> </w:t>
      </w:r>
      <w:proofErr w:type="spellStart"/>
      <w:r>
        <w:rPr>
          <w:color w:val="000000"/>
        </w:rPr>
        <w:t>on</w:t>
      </w:r>
      <w:proofErr w:type="spellEnd"/>
      <w:r>
        <w:rPr>
          <w:color w:val="000000"/>
        </w:rPr>
        <w:t xml:space="preserve"> </w:t>
      </w:r>
      <w:proofErr w:type="spellStart"/>
      <w:r>
        <w:rPr>
          <w:color w:val="000000"/>
        </w:rPr>
        <w:t>women</w:t>
      </w:r>
      <w:proofErr w:type="spellEnd"/>
      <w:r>
        <w:rPr>
          <w:color w:val="000000"/>
        </w:rPr>
        <w:t xml:space="preserve"> as </w:t>
      </w:r>
      <w:proofErr w:type="spellStart"/>
      <w:r>
        <w:rPr>
          <w:color w:val="000000"/>
        </w:rPr>
        <w:t>direct</w:t>
      </w:r>
      <w:proofErr w:type="spellEnd"/>
      <w:r>
        <w:rPr>
          <w:color w:val="000000"/>
        </w:rPr>
        <w:t xml:space="preserve"> </w:t>
      </w:r>
      <w:proofErr w:type="spellStart"/>
      <w:r>
        <w:rPr>
          <w:color w:val="000000"/>
        </w:rPr>
        <w:t>victims</w:t>
      </w:r>
      <w:proofErr w:type="spellEnd"/>
      <w:r>
        <w:rPr>
          <w:color w:val="000000"/>
        </w:rPr>
        <w:t>.</w:t>
      </w:r>
    </w:p>
    <w:p w14:paraId="197B06E8" w14:textId="77777777" w:rsidR="006377E9" w:rsidRDefault="006377E9" w:rsidP="006377E9">
      <w:pPr>
        <w:pStyle w:val="NormalWeb"/>
        <w:spacing w:before="0" w:beforeAutospacing="0" w:after="0" w:afterAutospacing="0" w:line="360" w:lineRule="auto"/>
        <w:ind w:firstLine="708"/>
        <w:jc w:val="both"/>
        <w:rPr>
          <w:color w:val="000000"/>
        </w:rPr>
      </w:pPr>
      <w:proofErr w:type="spellStart"/>
      <w:r>
        <w:rPr>
          <w:color w:val="000000"/>
        </w:rPr>
        <w:t>However</w:t>
      </w:r>
      <w:proofErr w:type="spellEnd"/>
      <w:r>
        <w:rPr>
          <w:color w:val="000000"/>
        </w:rPr>
        <w:t xml:space="preserve">, </w:t>
      </w:r>
      <w:proofErr w:type="spellStart"/>
      <w:r>
        <w:rPr>
          <w:color w:val="000000"/>
        </w:rPr>
        <w:t>this</w:t>
      </w:r>
      <w:proofErr w:type="spellEnd"/>
      <w:r>
        <w:rPr>
          <w:color w:val="000000"/>
        </w:rPr>
        <w:t xml:space="preserve"> </w:t>
      </w:r>
      <w:proofErr w:type="spellStart"/>
      <w:r>
        <w:rPr>
          <w:color w:val="000000"/>
        </w:rPr>
        <w:t>form</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violence</w:t>
      </w:r>
      <w:proofErr w:type="spellEnd"/>
      <w:r>
        <w:rPr>
          <w:color w:val="000000"/>
        </w:rPr>
        <w:t xml:space="preserve"> </w:t>
      </w:r>
      <w:proofErr w:type="spellStart"/>
      <w:r>
        <w:rPr>
          <w:color w:val="000000"/>
        </w:rPr>
        <w:t>is</w:t>
      </w:r>
      <w:proofErr w:type="spellEnd"/>
      <w:r>
        <w:rPr>
          <w:color w:val="000000"/>
        </w:rPr>
        <w:t xml:space="preserve"> </w:t>
      </w:r>
      <w:proofErr w:type="spellStart"/>
      <w:r>
        <w:rPr>
          <w:color w:val="000000"/>
        </w:rPr>
        <w:t>not</w:t>
      </w:r>
      <w:proofErr w:type="spellEnd"/>
      <w:r>
        <w:rPr>
          <w:color w:val="000000"/>
        </w:rPr>
        <w:t xml:space="preserve"> </w:t>
      </w:r>
      <w:proofErr w:type="spellStart"/>
      <w:r>
        <w:rPr>
          <w:color w:val="000000"/>
        </w:rPr>
        <w:t>limited</w:t>
      </w:r>
      <w:proofErr w:type="spellEnd"/>
      <w:r>
        <w:rPr>
          <w:color w:val="000000"/>
        </w:rPr>
        <w:t xml:space="preserve"> </w:t>
      </w:r>
      <w:proofErr w:type="spellStart"/>
      <w:r>
        <w:rPr>
          <w:color w:val="000000"/>
        </w:rPr>
        <w:t>to</w:t>
      </w:r>
      <w:proofErr w:type="spellEnd"/>
      <w:r>
        <w:rPr>
          <w:color w:val="000000"/>
        </w:rPr>
        <w:t xml:space="preserve"> </w:t>
      </w:r>
      <w:proofErr w:type="spellStart"/>
      <w:r>
        <w:rPr>
          <w:color w:val="000000"/>
        </w:rPr>
        <w:t>women</w:t>
      </w:r>
      <w:proofErr w:type="spellEnd"/>
      <w:r>
        <w:rPr>
          <w:color w:val="000000"/>
        </w:rPr>
        <w:t xml:space="preserve">; </w:t>
      </w:r>
      <w:proofErr w:type="spellStart"/>
      <w:r>
        <w:rPr>
          <w:color w:val="000000"/>
        </w:rPr>
        <w:t>it</w:t>
      </w:r>
      <w:proofErr w:type="spellEnd"/>
      <w:r>
        <w:rPr>
          <w:color w:val="000000"/>
        </w:rPr>
        <w:t xml:space="preserve"> </w:t>
      </w:r>
      <w:proofErr w:type="spellStart"/>
      <w:r>
        <w:rPr>
          <w:color w:val="000000"/>
        </w:rPr>
        <w:t>also</w:t>
      </w:r>
      <w:proofErr w:type="spellEnd"/>
      <w:r>
        <w:rPr>
          <w:color w:val="000000"/>
        </w:rPr>
        <w:t xml:space="preserve"> </w:t>
      </w:r>
      <w:proofErr w:type="spellStart"/>
      <w:r>
        <w:rPr>
          <w:color w:val="000000"/>
        </w:rPr>
        <w:t>significantly</w:t>
      </w:r>
      <w:proofErr w:type="spellEnd"/>
      <w:r>
        <w:rPr>
          <w:color w:val="000000"/>
        </w:rPr>
        <w:t xml:space="preserve"> </w:t>
      </w:r>
      <w:proofErr w:type="spellStart"/>
      <w:r>
        <w:rPr>
          <w:color w:val="000000"/>
        </w:rPr>
        <w:t>affects</w:t>
      </w:r>
      <w:proofErr w:type="spellEnd"/>
      <w:r>
        <w:rPr>
          <w:color w:val="000000"/>
        </w:rPr>
        <w:t xml:space="preserve"> </w:t>
      </w:r>
      <w:proofErr w:type="spellStart"/>
      <w:r>
        <w:rPr>
          <w:color w:val="000000"/>
        </w:rPr>
        <w:t>children</w:t>
      </w:r>
      <w:proofErr w:type="spellEnd"/>
      <w:r>
        <w:rPr>
          <w:color w:val="000000"/>
        </w:rPr>
        <w:t xml:space="preserve"> </w:t>
      </w:r>
      <w:proofErr w:type="gramStart"/>
      <w:r>
        <w:rPr>
          <w:color w:val="000000"/>
        </w:rPr>
        <w:t>living</w:t>
      </w:r>
      <w:proofErr w:type="gramEnd"/>
      <w:r>
        <w:rPr>
          <w:color w:val="000000"/>
        </w:rPr>
        <w:t xml:space="preserve"> </w:t>
      </w:r>
      <w:proofErr w:type="spellStart"/>
      <w:r>
        <w:rPr>
          <w:color w:val="000000"/>
        </w:rPr>
        <w:t>within</w:t>
      </w:r>
      <w:proofErr w:type="spellEnd"/>
      <w:r>
        <w:rPr>
          <w:color w:val="000000"/>
        </w:rPr>
        <w:t xml:space="preserve"> the </w:t>
      </w:r>
      <w:proofErr w:type="spellStart"/>
      <w:r>
        <w:rPr>
          <w:color w:val="000000"/>
        </w:rPr>
        <w:t>same</w:t>
      </w:r>
      <w:proofErr w:type="spellEnd"/>
      <w:r>
        <w:rPr>
          <w:color w:val="000000"/>
        </w:rPr>
        <w:t xml:space="preserve"> </w:t>
      </w:r>
      <w:proofErr w:type="spellStart"/>
      <w:r>
        <w:rPr>
          <w:color w:val="000000"/>
        </w:rPr>
        <w:t>family</w:t>
      </w:r>
      <w:proofErr w:type="spellEnd"/>
      <w:r>
        <w:rPr>
          <w:color w:val="000000"/>
        </w:rPr>
        <w:t xml:space="preserve"> </w:t>
      </w:r>
      <w:proofErr w:type="spellStart"/>
      <w:r>
        <w:rPr>
          <w:color w:val="000000"/>
        </w:rPr>
        <w:t>unit</w:t>
      </w:r>
      <w:proofErr w:type="spellEnd"/>
      <w:r>
        <w:rPr>
          <w:color w:val="000000"/>
        </w:rPr>
        <w:t xml:space="preserve">. </w:t>
      </w:r>
      <w:proofErr w:type="spellStart"/>
      <w:r>
        <w:rPr>
          <w:color w:val="000000"/>
        </w:rPr>
        <w:t>These</w:t>
      </w:r>
      <w:proofErr w:type="spellEnd"/>
      <w:r>
        <w:rPr>
          <w:color w:val="000000"/>
        </w:rPr>
        <w:t xml:space="preserve"> </w:t>
      </w:r>
      <w:proofErr w:type="spellStart"/>
      <w:r>
        <w:rPr>
          <w:color w:val="000000"/>
        </w:rPr>
        <w:t>children</w:t>
      </w:r>
      <w:proofErr w:type="spellEnd"/>
      <w:r>
        <w:rPr>
          <w:color w:val="000000"/>
        </w:rPr>
        <w:t xml:space="preserve"> </w:t>
      </w:r>
      <w:proofErr w:type="spellStart"/>
      <w:r>
        <w:rPr>
          <w:color w:val="000000"/>
        </w:rPr>
        <w:t>constitute</w:t>
      </w:r>
      <w:proofErr w:type="spellEnd"/>
      <w:r>
        <w:rPr>
          <w:color w:val="000000"/>
        </w:rPr>
        <w:t xml:space="preserve"> </w:t>
      </w:r>
      <w:proofErr w:type="spellStart"/>
      <w:r>
        <w:rPr>
          <w:color w:val="000000"/>
        </w:rPr>
        <w:t>one</w:t>
      </w:r>
      <w:proofErr w:type="spellEnd"/>
      <w:r>
        <w:rPr>
          <w:color w:val="000000"/>
        </w:rPr>
        <w:t xml:space="preserve"> </w:t>
      </w:r>
      <w:proofErr w:type="spellStart"/>
      <w:r>
        <w:rPr>
          <w:color w:val="000000"/>
        </w:rPr>
        <w:t>of</w:t>
      </w:r>
      <w:proofErr w:type="spellEnd"/>
      <w:r>
        <w:rPr>
          <w:color w:val="000000"/>
        </w:rPr>
        <w:t xml:space="preserve"> the </w:t>
      </w:r>
      <w:proofErr w:type="spellStart"/>
      <w:r>
        <w:rPr>
          <w:color w:val="000000"/>
        </w:rPr>
        <w:t>most</w:t>
      </w:r>
      <w:proofErr w:type="spellEnd"/>
      <w:r>
        <w:rPr>
          <w:color w:val="000000"/>
        </w:rPr>
        <w:t xml:space="preserve"> vulnerable </w:t>
      </w:r>
      <w:proofErr w:type="spellStart"/>
      <w:r>
        <w:rPr>
          <w:color w:val="000000"/>
        </w:rPr>
        <w:t>groups</w:t>
      </w:r>
      <w:proofErr w:type="spellEnd"/>
      <w:r>
        <w:rPr>
          <w:color w:val="000000"/>
        </w:rPr>
        <w:t xml:space="preserve"> and </w:t>
      </w:r>
      <w:proofErr w:type="spellStart"/>
      <w:r>
        <w:rPr>
          <w:color w:val="000000"/>
        </w:rPr>
        <w:t>have</w:t>
      </w:r>
      <w:proofErr w:type="spellEnd"/>
      <w:r>
        <w:rPr>
          <w:color w:val="000000"/>
        </w:rPr>
        <w:t xml:space="preserve"> </w:t>
      </w:r>
      <w:proofErr w:type="spellStart"/>
      <w:r>
        <w:rPr>
          <w:color w:val="000000"/>
        </w:rPr>
        <w:t>often</w:t>
      </w:r>
      <w:proofErr w:type="spellEnd"/>
      <w:r>
        <w:rPr>
          <w:color w:val="000000"/>
        </w:rPr>
        <w:t xml:space="preserve"> </w:t>
      </w:r>
      <w:proofErr w:type="spellStart"/>
      <w:r>
        <w:rPr>
          <w:color w:val="000000"/>
        </w:rPr>
        <w:t>been</w:t>
      </w:r>
      <w:proofErr w:type="spellEnd"/>
      <w:r>
        <w:rPr>
          <w:color w:val="000000"/>
        </w:rPr>
        <w:t xml:space="preserve"> </w:t>
      </w:r>
      <w:proofErr w:type="spellStart"/>
      <w:r>
        <w:rPr>
          <w:color w:val="000000"/>
        </w:rPr>
        <w:t>described</w:t>
      </w:r>
      <w:proofErr w:type="spellEnd"/>
      <w:r>
        <w:rPr>
          <w:color w:val="000000"/>
        </w:rPr>
        <w:t xml:space="preserve"> as “invisible </w:t>
      </w:r>
      <w:proofErr w:type="spellStart"/>
      <w:r>
        <w:rPr>
          <w:color w:val="000000"/>
        </w:rPr>
        <w:t>victims</w:t>
      </w:r>
      <w:proofErr w:type="spellEnd"/>
      <w:r>
        <w:rPr>
          <w:color w:val="000000"/>
        </w:rPr>
        <w:t xml:space="preserve">,” as </w:t>
      </w:r>
      <w:proofErr w:type="spellStart"/>
      <w:r>
        <w:rPr>
          <w:color w:val="000000"/>
        </w:rPr>
        <w:t>their</w:t>
      </w:r>
      <w:proofErr w:type="spellEnd"/>
      <w:r>
        <w:rPr>
          <w:color w:val="000000"/>
        </w:rPr>
        <w:t xml:space="preserve"> </w:t>
      </w:r>
      <w:proofErr w:type="spellStart"/>
      <w:r>
        <w:rPr>
          <w:color w:val="000000"/>
        </w:rPr>
        <w:t>situation</w:t>
      </w:r>
      <w:proofErr w:type="spellEnd"/>
      <w:r>
        <w:rPr>
          <w:color w:val="000000"/>
        </w:rPr>
        <w:t xml:space="preserve"> </w:t>
      </w:r>
      <w:proofErr w:type="spellStart"/>
      <w:r>
        <w:rPr>
          <w:color w:val="000000"/>
        </w:rPr>
        <w:t>frequently</w:t>
      </w:r>
      <w:proofErr w:type="spellEnd"/>
      <w:r>
        <w:rPr>
          <w:color w:val="000000"/>
        </w:rPr>
        <w:t xml:space="preserve"> </w:t>
      </w:r>
      <w:proofErr w:type="spellStart"/>
      <w:r>
        <w:rPr>
          <w:color w:val="000000"/>
        </w:rPr>
        <w:t>goes</w:t>
      </w:r>
      <w:proofErr w:type="spellEnd"/>
      <w:r>
        <w:rPr>
          <w:color w:val="000000"/>
        </w:rPr>
        <w:t xml:space="preserve"> </w:t>
      </w:r>
      <w:proofErr w:type="spellStart"/>
      <w:r>
        <w:rPr>
          <w:color w:val="000000"/>
        </w:rPr>
        <w:t>unnoticed</w:t>
      </w:r>
      <w:proofErr w:type="spellEnd"/>
      <w:r>
        <w:rPr>
          <w:color w:val="000000"/>
        </w:rPr>
        <w:t xml:space="preserve"> </w:t>
      </w:r>
      <w:proofErr w:type="spellStart"/>
      <w:r>
        <w:rPr>
          <w:color w:val="000000"/>
        </w:rPr>
        <w:t>by</w:t>
      </w:r>
      <w:proofErr w:type="spellEnd"/>
      <w:r>
        <w:rPr>
          <w:color w:val="000000"/>
        </w:rPr>
        <w:t xml:space="preserve"> </w:t>
      </w:r>
      <w:proofErr w:type="spellStart"/>
      <w:r>
        <w:rPr>
          <w:color w:val="000000"/>
        </w:rPr>
        <w:t>society</w:t>
      </w:r>
      <w:proofErr w:type="spellEnd"/>
      <w:r>
        <w:rPr>
          <w:color w:val="000000"/>
        </w:rPr>
        <w:t xml:space="preserve">. </w:t>
      </w:r>
      <w:proofErr w:type="spellStart"/>
      <w:r>
        <w:rPr>
          <w:color w:val="000000"/>
        </w:rPr>
        <w:t>Moreover</w:t>
      </w:r>
      <w:proofErr w:type="spellEnd"/>
      <w:r>
        <w:rPr>
          <w:color w:val="000000"/>
        </w:rPr>
        <w:t xml:space="preserve">, </w:t>
      </w:r>
      <w:proofErr w:type="spellStart"/>
      <w:r>
        <w:rPr>
          <w:color w:val="000000"/>
        </w:rPr>
        <w:t>from</w:t>
      </w:r>
      <w:proofErr w:type="spellEnd"/>
      <w:r>
        <w:rPr>
          <w:color w:val="000000"/>
        </w:rPr>
        <w:t xml:space="preserve"> a legal </w:t>
      </w:r>
      <w:proofErr w:type="spellStart"/>
      <w:r>
        <w:rPr>
          <w:color w:val="000000"/>
        </w:rPr>
        <w:t>perspective</w:t>
      </w:r>
      <w:proofErr w:type="spellEnd"/>
      <w:r>
        <w:rPr>
          <w:color w:val="000000"/>
        </w:rPr>
        <w:t xml:space="preserve">, </w:t>
      </w:r>
      <w:proofErr w:type="spellStart"/>
      <w:r>
        <w:rPr>
          <w:color w:val="000000"/>
        </w:rPr>
        <w:t>they</w:t>
      </w:r>
      <w:proofErr w:type="spellEnd"/>
      <w:r>
        <w:rPr>
          <w:color w:val="000000"/>
        </w:rPr>
        <w:t xml:space="preserve"> are </w:t>
      </w:r>
      <w:proofErr w:type="spellStart"/>
      <w:r>
        <w:rPr>
          <w:color w:val="000000"/>
        </w:rPr>
        <w:t>recognized</w:t>
      </w:r>
      <w:proofErr w:type="spellEnd"/>
      <w:r>
        <w:rPr>
          <w:color w:val="000000"/>
        </w:rPr>
        <w:t xml:space="preserve"> as </w:t>
      </w:r>
      <w:proofErr w:type="spellStart"/>
      <w:r>
        <w:rPr>
          <w:color w:val="000000"/>
        </w:rPr>
        <w:t>direct</w:t>
      </w:r>
      <w:proofErr w:type="spellEnd"/>
      <w:r>
        <w:rPr>
          <w:color w:val="000000"/>
        </w:rPr>
        <w:t xml:space="preserve"> </w:t>
      </w:r>
      <w:proofErr w:type="spellStart"/>
      <w:r>
        <w:rPr>
          <w:color w:val="000000"/>
        </w:rPr>
        <w:t>victims</w:t>
      </w:r>
      <w:proofErr w:type="spellEnd"/>
      <w:r>
        <w:rPr>
          <w:color w:val="000000"/>
        </w:rPr>
        <w:t xml:space="preserve"> </w:t>
      </w:r>
      <w:proofErr w:type="spellStart"/>
      <w:r>
        <w:rPr>
          <w:color w:val="000000"/>
        </w:rPr>
        <w:t>both</w:t>
      </w:r>
      <w:proofErr w:type="spellEnd"/>
      <w:r>
        <w:rPr>
          <w:color w:val="000000"/>
        </w:rPr>
        <w:t xml:space="preserve"> </w:t>
      </w:r>
      <w:proofErr w:type="spellStart"/>
      <w:r>
        <w:rPr>
          <w:color w:val="000000"/>
        </w:rPr>
        <w:t>for</w:t>
      </w:r>
      <w:proofErr w:type="spellEnd"/>
      <w:r>
        <w:rPr>
          <w:color w:val="000000"/>
        </w:rPr>
        <w:t xml:space="preserve"> the abuse </w:t>
      </w:r>
      <w:proofErr w:type="spellStart"/>
      <w:r>
        <w:rPr>
          <w:color w:val="000000"/>
        </w:rPr>
        <w:t>they</w:t>
      </w:r>
      <w:proofErr w:type="spellEnd"/>
      <w:r>
        <w:rPr>
          <w:color w:val="000000"/>
        </w:rPr>
        <w:t xml:space="preserve"> </w:t>
      </w:r>
      <w:proofErr w:type="spellStart"/>
      <w:r>
        <w:rPr>
          <w:color w:val="000000"/>
        </w:rPr>
        <w:t>suffer</w:t>
      </w:r>
      <w:proofErr w:type="spellEnd"/>
      <w:r>
        <w:rPr>
          <w:color w:val="000000"/>
        </w:rPr>
        <w:t xml:space="preserve"> and </w:t>
      </w:r>
      <w:proofErr w:type="spellStart"/>
      <w:r>
        <w:rPr>
          <w:color w:val="000000"/>
        </w:rPr>
        <w:t>for</w:t>
      </w:r>
      <w:proofErr w:type="spellEnd"/>
      <w:r>
        <w:rPr>
          <w:color w:val="000000"/>
        </w:rPr>
        <w:t xml:space="preserve"> </w:t>
      </w:r>
      <w:proofErr w:type="spellStart"/>
      <w:r>
        <w:rPr>
          <w:color w:val="000000"/>
        </w:rPr>
        <w:t>being</w:t>
      </w:r>
      <w:proofErr w:type="spellEnd"/>
      <w:r>
        <w:rPr>
          <w:color w:val="000000"/>
        </w:rPr>
        <w:t xml:space="preserve"> </w:t>
      </w:r>
      <w:proofErr w:type="spellStart"/>
      <w:r>
        <w:rPr>
          <w:color w:val="000000"/>
        </w:rPr>
        <w:t>witnesses</w:t>
      </w:r>
      <w:proofErr w:type="spellEnd"/>
      <w:r>
        <w:rPr>
          <w:color w:val="000000"/>
        </w:rPr>
        <w:t xml:space="preserve"> </w:t>
      </w:r>
      <w:proofErr w:type="spellStart"/>
      <w:r>
        <w:rPr>
          <w:color w:val="000000"/>
        </w:rPr>
        <w:t>within</w:t>
      </w:r>
      <w:proofErr w:type="spellEnd"/>
      <w:r>
        <w:rPr>
          <w:color w:val="000000"/>
        </w:rPr>
        <w:t xml:space="preserve"> </w:t>
      </w:r>
      <w:proofErr w:type="spellStart"/>
      <w:r>
        <w:rPr>
          <w:color w:val="000000"/>
        </w:rPr>
        <w:t>their</w:t>
      </w:r>
      <w:proofErr w:type="spellEnd"/>
      <w:r>
        <w:rPr>
          <w:color w:val="000000"/>
        </w:rPr>
        <w:t xml:space="preserve"> home, </w:t>
      </w:r>
      <w:proofErr w:type="spellStart"/>
      <w:r>
        <w:rPr>
          <w:color w:val="000000"/>
        </w:rPr>
        <w:t>which</w:t>
      </w:r>
      <w:proofErr w:type="spellEnd"/>
      <w:r>
        <w:rPr>
          <w:color w:val="000000"/>
        </w:rPr>
        <w:t xml:space="preserve"> </w:t>
      </w:r>
      <w:proofErr w:type="spellStart"/>
      <w:r>
        <w:rPr>
          <w:color w:val="000000"/>
        </w:rPr>
        <w:t>entails</w:t>
      </w:r>
      <w:proofErr w:type="spellEnd"/>
      <w:r>
        <w:rPr>
          <w:color w:val="000000"/>
        </w:rPr>
        <w:t xml:space="preserve"> </w:t>
      </w:r>
      <w:proofErr w:type="spellStart"/>
      <w:r>
        <w:rPr>
          <w:color w:val="000000"/>
        </w:rPr>
        <w:t>specific</w:t>
      </w:r>
      <w:proofErr w:type="spellEnd"/>
      <w:r>
        <w:rPr>
          <w:color w:val="000000"/>
        </w:rPr>
        <w:t xml:space="preserve"> </w:t>
      </w:r>
      <w:proofErr w:type="spellStart"/>
      <w:r>
        <w:rPr>
          <w:color w:val="000000"/>
        </w:rPr>
        <w:t>protection</w:t>
      </w:r>
      <w:proofErr w:type="spellEnd"/>
      <w:r>
        <w:rPr>
          <w:color w:val="000000"/>
        </w:rPr>
        <w:t xml:space="preserve"> </w:t>
      </w:r>
      <w:proofErr w:type="spellStart"/>
      <w:r>
        <w:rPr>
          <w:color w:val="000000"/>
        </w:rPr>
        <w:t>under</w:t>
      </w:r>
      <w:proofErr w:type="spellEnd"/>
      <w:r>
        <w:rPr>
          <w:color w:val="000000"/>
        </w:rPr>
        <w:t xml:space="preserve"> </w:t>
      </w:r>
      <w:proofErr w:type="spellStart"/>
      <w:r>
        <w:rPr>
          <w:color w:val="000000"/>
        </w:rPr>
        <w:t>current</w:t>
      </w:r>
      <w:proofErr w:type="spellEnd"/>
      <w:r>
        <w:rPr>
          <w:color w:val="000000"/>
        </w:rPr>
        <w:t xml:space="preserve"> </w:t>
      </w:r>
      <w:proofErr w:type="spellStart"/>
      <w:r>
        <w:rPr>
          <w:color w:val="000000"/>
        </w:rPr>
        <w:t>legislation</w:t>
      </w:r>
      <w:proofErr w:type="spellEnd"/>
      <w:r>
        <w:rPr>
          <w:color w:val="000000"/>
        </w:rPr>
        <w:t xml:space="preserve">, </w:t>
      </w:r>
      <w:proofErr w:type="spellStart"/>
      <w:r>
        <w:rPr>
          <w:color w:val="000000"/>
        </w:rPr>
        <w:t>since</w:t>
      </w:r>
      <w:proofErr w:type="spellEnd"/>
      <w:r>
        <w:rPr>
          <w:color w:val="000000"/>
        </w:rPr>
        <w:t xml:space="preserve"> </w:t>
      </w:r>
      <w:proofErr w:type="spellStart"/>
      <w:r>
        <w:rPr>
          <w:color w:val="000000"/>
        </w:rPr>
        <w:t>prolonged</w:t>
      </w:r>
      <w:proofErr w:type="spellEnd"/>
      <w:r>
        <w:rPr>
          <w:color w:val="000000"/>
        </w:rPr>
        <w:t xml:space="preserve"> </w:t>
      </w:r>
      <w:proofErr w:type="spellStart"/>
      <w:r>
        <w:rPr>
          <w:color w:val="000000"/>
        </w:rPr>
        <w:t>exposure</w:t>
      </w:r>
      <w:proofErr w:type="spellEnd"/>
      <w:r>
        <w:rPr>
          <w:color w:val="000000"/>
        </w:rPr>
        <w:t xml:space="preserve"> </w:t>
      </w:r>
      <w:proofErr w:type="spellStart"/>
      <w:r>
        <w:rPr>
          <w:color w:val="000000"/>
        </w:rPr>
        <w:t>to</w:t>
      </w:r>
      <w:proofErr w:type="spellEnd"/>
      <w:r>
        <w:rPr>
          <w:color w:val="000000"/>
        </w:rPr>
        <w:t xml:space="preserve"> </w:t>
      </w:r>
      <w:proofErr w:type="spellStart"/>
      <w:r>
        <w:rPr>
          <w:color w:val="000000"/>
        </w:rPr>
        <w:t>these</w:t>
      </w:r>
      <w:proofErr w:type="spellEnd"/>
      <w:r>
        <w:rPr>
          <w:color w:val="000000"/>
        </w:rPr>
        <w:t xml:space="preserve"> </w:t>
      </w:r>
      <w:proofErr w:type="spellStart"/>
      <w:r>
        <w:rPr>
          <w:color w:val="000000"/>
        </w:rPr>
        <w:t>dynamics</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violence</w:t>
      </w:r>
      <w:proofErr w:type="spellEnd"/>
      <w:r>
        <w:rPr>
          <w:color w:val="000000"/>
        </w:rPr>
        <w:t xml:space="preserve">, </w:t>
      </w:r>
      <w:proofErr w:type="spellStart"/>
      <w:r>
        <w:rPr>
          <w:color w:val="000000"/>
        </w:rPr>
        <w:t>rooted</w:t>
      </w:r>
      <w:proofErr w:type="spellEnd"/>
      <w:r>
        <w:rPr>
          <w:color w:val="000000"/>
        </w:rPr>
        <w:t xml:space="preserve"> in </w:t>
      </w:r>
      <w:proofErr w:type="spellStart"/>
      <w:r>
        <w:rPr>
          <w:color w:val="000000"/>
        </w:rPr>
        <w:t>inequality</w:t>
      </w:r>
      <w:proofErr w:type="spellEnd"/>
      <w:r>
        <w:rPr>
          <w:color w:val="000000"/>
        </w:rPr>
        <w:t xml:space="preserve">, </w:t>
      </w:r>
      <w:proofErr w:type="spellStart"/>
      <w:r>
        <w:rPr>
          <w:color w:val="000000"/>
        </w:rPr>
        <w:t>negatively</w:t>
      </w:r>
      <w:proofErr w:type="spellEnd"/>
      <w:r>
        <w:rPr>
          <w:color w:val="000000"/>
        </w:rPr>
        <w:t xml:space="preserve"> </w:t>
      </w:r>
      <w:proofErr w:type="spellStart"/>
      <w:r>
        <w:rPr>
          <w:color w:val="000000"/>
        </w:rPr>
        <w:t>impacts</w:t>
      </w:r>
      <w:proofErr w:type="spellEnd"/>
      <w:r>
        <w:rPr>
          <w:color w:val="000000"/>
        </w:rPr>
        <w:t xml:space="preserve"> </w:t>
      </w:r>
      <w:proofErr w:type="spellStart"/>
      <w:r>
        <w:rPr>
          <w:color w:val="000000"/>
        </w:rPr>
        <w:t>their</w:t>
      </w:r>
      <w:proofErr w:type="spellEnd"/>
      <w:r>
        <w:rPr>
          <w:color w:val="000000"/>
        </w:rPr>
        <w:t xml:space="preserve"> </w:t>
      </w:r>
      <w:proofErr w:type="spellStart"/>
      <w:r>
        <w:rPr>
          <w:color w:val="000000"/>
        </w:rPr>
        <w:t>overall</w:t>
      </w:r>
      <w:proofErr w:type="spellEnd"/>
      <w:r>
        <w:rPr>
          <w:color w:val="000000"/>
        </w:rPr>
        <w:t xml:space="preserve"> </w:t>
      </w:r>
      <w:proofErr w:type="spellStart"/>
      <w:r>
        <w:rPr>
          <w:color w:val="000000"/>
        </w:rPr>
        <w:t>development</w:t>
      </w:r>
      <w:proofErr w:type="spellEnd"/>
      <w:r>
        <w:rPr>
          <w:color w:val="000000"/>
        </w:rPr>
        <w:t>.</w:t>
      </w:r>
    </w:p>
    <w:p w14:paraId="1FC4A0D0" w14:textId="60964DF5" w:rsidR="006377E9" w:rsidRDefault="006377E9" w:rsidP="006377E9">
      <w:pPr>
        <w:pStyle w:val="NormalWeb"/>
        <w:spacing w:before="0" w:beforeAutospacing="0" w:after="0" w:afterAutospacing="0" w:line="360" w:lineRule="auto"/>
        <w:ind w:firstLine="708"/>
        <w:jc w:val="both"/>
        <w:rPr>
          <w:color w:val="000000"/>
        </w:rPr>
      </w:pPr>
      <w:proofErr w:type="spellStart"/>
      <w:r>
        <w:rPr>
          <w:color w:val="000000"/>
        </w:rPr>
        <w:t>This</w:t>
      </w:r>
      <w:proofErr w:type="spellEnd"/>
      <w:r>
        <w:rPr>
          <w:color w:val="000000"/>
        </w:rPr>
        <w:t xml:space="preserve"> </w:t>
      </w:r>
      <w:proofErr w:type="spellStart"/>
      <w:proofErr w:type="gramStart"/>
      <w:r>
        <w:rPr>
          <w:color w:val="000000"/>
        </w:rPr>
        <w:t>reality</w:t>
      </w:r>
      <w:proofErr w:type="spellEnd"/>
      <w:proofErr w:type="gramEnd"/>
      <w:r>
        <w:rPr>
          <w:color w:val="000000"/>
        </w:rPr>
        <w:t xml:space="preserve"> </w:t>
      </w:r>
      <w:proofErr w:type="spellStart"/>
      <w:r>
        <w:rPr>
          <w:color w:val="000000"/>
        </w:rPr>
        <w:t>is</w:t>
      </w:r>
      <w:proofErr w:type="spellEnd"/>
      <w:r>
        <w:rPr>
          <w:color w:val="000000"/>
        </w:rPr>
        <w:t xml:space="preserve"> </w:t>
      </w:r>
      <w:proofErr w:type="spellStart"/>
      <w:r>
        <w:rPr>
          <w:color w:val="000000"/>
        </w:rPr>
        <w:t>framed</w:t>
      </w:r>
      <w:proofErr w:type="spellEnd"/>
      <w:r>
        <w:rPr>
          <w:color w:val="000000"/>
        </w:rPr>
        <w:t xml:space="preserve"> </w:t>
      </w:r>
      <w:proofErr w:type="spellStart"/>
      <w:r>
        <w:rPr>
          <w:color w:val="000000"/>
        </w:rPr>
        <w:t>under</w:t>
      </w:r>
      <w:proofErr w:type="spellEnd"/>
      <w:r>
        <w:rPr>
          <w:color w:val="000000"/>
        </w:rPr>
        <w:t xml:space="preserve"> the </w:t>
      </w:r>
      <w:proofErr w:type="spellStart"/>
      <w:r>
        <w:rPr>
          <w:color w:val="000000"/>
        </w:rPr>
        <w:t>motto</w:t>
      </w:r>
      <w:proofErr w:type="spellEnd"/>
      <w:r>
        <w:rPr>
          <w:color w:val="000000"/>
        </w:rPr>
        <w:t xml:space="preserve"> “IN GENDER-BASED VIOLENCE, THERE IS NOT JUST ONE VICTIM,” as </w:t>
      </w:r>
      <w:proofErr w:type="spellStart"/>
      <w:r>
        <w:rPr>
          <w:color w:val="000000"/>
        </w:rPr>
        <w:t>highlighted</w:t>
      </w:r>
      <w:proofErr w:type="spellEnd"/>
      <w:r>
        <w:rPr>
          <w:color w:val="000000"/>
        </w:rPr>
        <w:t xml:space="preserve"> </w:t>
      </w:r>
      <w:proofErr w:type="spellStart"/>
      <w:r>
        <w:rPr>
          <w:color w:val="000000"/>
        </w:rPr>
        <w:t>by</w:t>
      </w:r>
      <w:proofErr w:type="spellEnd"/>
      <w:r>
        <w:rPr>
          <w:color w:val="000000"/>
        </w:rPr>
        <w:t xml:space="preserve"> the </w:t>
      </w:r>
      <w:proofErr w:type="spellStart"/>
      <w:r>
        <w:rPr>
          <w:color w:val="000000"/>
        </w:rPr>
        <w:t>organization</w:t>
      </w:r>
      <w:proofErr w:type="spellEnd"/>
      <w:r>
        <w:rPr>
          <w:color w:val="000000"/>
        </w:rPr>
        <w:t xml:space="preserve"> Save the Children (2022).</w:t>
      </w:r>
    </w:p>
    <w:p w14:paraId="555A1DAF" w14:textId="77777777" w:rsidR="006377E9" w:rsidRDefault="006377E9" w:rsidP="006377E9">
      <w:pPr>
        <w:pStyle w:val="NormalWeb"/>
        <w:spacing w:before="0" w:beforeAutospacing="0" w:after="0" w:afterAutospacing="0" w:line="360" w:lineRule="auto"/>
        <w:ind w:firstLine="708"/>
        <w:jc w:val="both"/>
        <w:rPr>
          <w:color w:val="000000"/>
        </w:rPr>
      </w:pPr>
      <w:r>
        <w:rPr>
          <w:color w:val="000000"/>
        </w:rPr>
        <w:t xml:space="preserve">The </w:t>
      </w:r>
      <w:proofErr w:type="spellStart"/>
      <w:r>
        <w:rPr>
          <w:color w:val="000000"/>
        </w:rPr>
        <w:t>aim</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this</w:t>
      </w:r>
      <w:proofErr w:type="spellEnd"/>
      <w:r>
        <w:rPr>
          <w:color w:val="000000"/>
        </w:rPr>
        <w:t xml:space="preserve"> </w:t>
      </w:r>
      <w:proofErr w:type="spellStart"/>
      <w:r>
        <w:rPr>
          <w:color w:val="000000"/>
        </w:rPr>
        <w:t>work</w:t>
      </w:r>
      <w:proofErr w:type="spellEnd"/>
      <w:r>
        <w:rPr>
          <w:color w:val="000000"/>
        </w:rPr>
        <w:t xml:space="preserve"> </w:t>
      </w:r>
      <w:proofErr w:type="spellStart"/>
      <w:r>
        <w:rPr>
          <w:color w:val="000000"/>
        </w:rPr>
        <w:t>is</w:t>
      </w:r>
      <w:proofErr w:type="spellEnd"/>
      <w:r>
        <w:rPr>
          <w:color w:val="000000"/>
        </w:rPr>
        <w:t xml:space="preserve"> </w:t>
      </w:r>
      <w:proofErr w:type="spellStart"/>
      <w:r>
        <w:rPr>
          <w:color w:val="000000"/>
        </w:rPr>
        <w:t>to</w:t>
      </w:r>
      <w:proofErr w:type="spellEnd"/>
      <w:r>
        <w:rPr>
          <w:color w:val="000000"/>
        </w:rPr>
        <w:t xml:space="preserve"> </w:t>
      </w:r>
      <w:proofErr w:type="spellStart"/>
      <w:r>
        <w:rPr>
          <w:color w:val="000000"/>
        </w:rPr>
        <w:t>raise</w:t>
      </w:r>
      <w:proofErr w:type="spellEnd"/>
      <w:r>
        <w:rPr>
          <w:color w:val="000000"/>
        </w:rPr>
        <w:t xml:space="preserve"> </w:t>
      </w:r>
      <w:proofErr w:type="spellStart"/>
      <w:r>
        <w:rPr>
          <w:color w:val="000000"/>
        </w:rPr>
        <w:t>awareness</w:t>
      </w:r>
      <w:proofErr w:type="spellEnd"/>
      <w:r>
        <w:rPr>
          <w:color w:val="000000"/>
        </w:rPr>
        <w:t xml:space="preserve"> </w:t>
      </w:r>
      <w:proofErr w:type="spellStart"/>
      <w:r>
        <w:rPr>
          <w:color w:val="000000"/>
        </w:rPr>
        <w:t>about</w:t>
      </w:r>
      <w:proofErr w:type="spellEnd"/>
      <w:r>
        <w:rPr>
          <w:color w:val="000000"/>
        </w:rPr>
        <w:t xml:space="preserve"> the </w:t>
      </w:r>
      <w:proofErr w:type="spellStart"/>
      <w:r>
        <w:rPr>
          <w:color w:val="000000"/>
        </w:rPr>
        <w:t>problem</w:t>
      </w:r>
      <w:proofErr w:type="spellEnd"/>
      <w:r>
        <w:rPr>
          <w:color w:val="000000"/>
        </w:rPr>
        <w:t xml:space="preserve"> </w:t>
      </w:r>
      <w:proofErr w:type="spellStart"/>
      <w:r>
        <w:rPr>
          <w:color w:val="000000"/>
        </w:rPr>
        <w:t>affecting</w:t>
      </w:r>
      <w:proofErr w:type="spellEnd"/>
      <w:r>
        <w:rPr>
          <w:color w:val="000000"/>
        </w:rPr>
        <w:t xml:space="preserve"> the </w:t>
      </w:r>
      <w:proofErr w:type="spellStart"/>
      <w:r>
        <w:rPr>
          <w:color w:val="000000"/>
        </w:rPr>
        <w:t>youngest</w:t>
      </w:r>
      <w:proofErr w:type="spellEnd"/>
      <w:r>
        <w:rPr>
          <w:color w:val="000000"/>
        </w:rPr>
        <w:t xml:space="preserve"> </w:t>
      </w:r>
      <w:proofErr w:type="spellStart"/>
      <w:r>
        <w:rPr>
          <w:color w:val="000000"/>
        </w:rPr>
        <w:t>members</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society</w:t>
      </w:r>
      <w:proofErr w:type="spellEnd"/>
      <w:r>
        <w:rPr>
          <w:color w:val="000000"/>
        </w:rPr>
        <w:t xml:space="preserve">, </w:t>
      </w:r>
      <w:proofErr w:type="spellStart"/>
      <w:r>
        <w:rPr>
          <w:color w:val="000000"/>
        </w:rPr>
        <w:t>analyze</w:t>
      </w:r>
      <w:proofErr w:type="spellEnd"/>
      <w:r>
        <w:rPr>
          <w:color w:val="000000"/>
        </w:rPr>
        <w:t xml:space="preserve"> abusive roles and </w:t>
      </w:r>
      <w:proofErr w:type="spellStart"/>
      <w:r>
        <w:rPr>
          <w:color w:val="000000"/>
        </w:rPr>
        <w:t>behaviors</w:t>
      </w:r>
      <w:proofErr w:type="spellEnd"/>
      <w:r>
        <w:rPr>
          <w:color w:val="000000"/>
        </w:rPr>
        <w:t xml:space="preserve"> </w:t>
      </w:r>
      <w:proofErr w:type="spellStart"/>
      <w:r>
        <w:rPr>
          <w:color w:val="000000"/>
        </w:rPr>
        <w:t>within</w:t>
      </w:r>
      <w:proofErr w:type="spellEnd"/>
      <w:r>
        <w:rPr>
          <w:color w:val="000000"/>
        </w:rPr>
        <w:t xml:space="preserve"> the </w:t>
      </w:r>
      <w:proofErr w:type="spellStart"/>
      <w:r>
        <w:rPr>
          <w:color w:val="000000"/>
        </w:rPr>
        <w:t>family</w:t>
      </w:r>
      <w:proofErr w:type="spellEnd"/>
      <w:r>
        <w:rPr>
          <w:color w:val="000000"/>
        </w:rPr>
        <w:t xml:space="preserve"> </w:t>
      </w:r>
      <w:proofErr w:type="spellStart"/>
      <w:r>
        <w:rPr>
          <w:color w:val="000000"/>
        </w:rPr>
        <w:t>environment</w:t>
      </w:r>
      <w:proofErr w:type="spellEnd"/>
      <w:r>
        <w:rPr>
          <w:color w:val="000000"/>
        </w:rPr>
        <w:t xml:space="preserve">, </w:t>
      </w:r>
      <w:proofErr w:type="spellStart"/>
      <w:r>
        <w:rPr>
          <w:color w:val="000000"/>
        </w:rPr>
        <w:t>their</w:t>
      </w:r>
      <w:proofErr w:type="spellEnd"/>
      <w:r>
        <w:rPr>
          <w:color w:val="000000"/>
        </w:rPr>
        <w:t xml:space="preserve"> </w:t>
      </w:r>
      <w:proofErr w:type="spellStart"/>
      <w:r>
        <w:rPr>
          <w:color w:val="000000"/>
        </w:rPr>
        <w:t>classification</w:t>
      </w:r>
      <w:proofErr w:type="spellEnd"/>
      <w:r>
        <w:rPr>
          <w:color w:val="000000"/>
        </w:rPr>
        <w:t xml:space="preserve"> and </w:t>
      </w:r>
      <w:proofErr w:type="spellStart"/>
      <w:r>
        <w:rPr>
          <w:color w:val="000000"/>
        </w:rPr>
        <w:t>sanction</w:t>
      </w:r>
      <w:proofErr w:type="spellEnd"/>
      <w:r>
        <w:rPr>
          <w:color w:val="000000"/>
        </w:rPr>
        <w:t xml:space="preserve"> </w:t>
      </w:r>
      <w:proofErr w:type="spellStart"/>
      <w:r>
        <w:rPr>
          <w:color w:val="000000"/>
        </w:rPr>
        <w:t>under</w:t>
      </w:r>
      <w:proofErr w:type="spellEnd"/>
      <w:r>
        <w:rPr>
          <w:color w:val="000000"/>
        </w:rPr>
        <w:t xml:space="preserve"> the Penal </w:t>
      </w:r>
      <w:proofErr w:type="spellStart"/>
      <w:r>
        <w:rPr>
          <w:color w:val="000000"/>
        </w:rPr>
        <w:t>Code</w:t>
      </w:r>
      <w:proofErr w:type="spellEnd"/>
      <w:r>
        <w:rPr>
          <w:color w:val="000000"/>
        </w:rPr>
        <w:t xml:space="preserve">, examine </w:t>
      </w:r>
      <w:proofErr w:type="spellStart"/>
      <w:r>
        <w:rPr>
          <w:color w:val="000000"/>
        </w:rPr>
        <w:t>how</w:t>
      </w:r>
      <w:proofErr w:type="spellEnd"/>
      <w:r>
        <w:rPr>
          <w:color w:val="000000"/>
        </w:rPr>
        <w:t xml:space="preserve"> the legal </w:t>
      </w:r>
      <w:proofErr w:type="spellStart"/>
      <w:r>
        <w:rPr>
          <w:color w:val="000000"/>
        </w:rPr>
        <w:t>procedure</w:t>
      </w:r>
      <w:proofErr w:type="spellEnd"/>
      <w:r>
        <w:rPr>
          <w:color w:val="000000"/>
        </w:rPr>
        <w:t xml:space="preserve"> </w:t>
      </w:r>
      <w:proofErr w:type="spellStart"/>
      <w:r>
        <w:rPr>
          <w:color w:val="000000"/>
        </w:rPr>
        <w:t>is</w:t>
      </w:r>
      <w:proofErr w:type="spellEnd"/>
      <w:r>
        <w:rPr>
          <w:color w:val="000000"/>
        </w:rPr>
        <w:t xml:space="preserve"> </w:t>
      </w:r>
      <w:proofErr w:type="spellStart"/>
      <w:r>
        <w:rPr>
          <w:color w:val="000000"/>
        </w:rPr>
        <w:t>carried</w:t>
      </w:r>
      <w:proofErr w:type="spellEnd"/>
      <w:r>
        <w:rPr>
          <w:color w:val="000000"/>
        </w:rPr>
        <w:t xml:space="preserve"> </w:t>
      </w:r>
      <w:proofErr w:type="spellStart"/>
      <w:r>
        <w:rPr>
          <w:color w:val="000000"/>
        </w:rPr>
        <w:t>out</w:t>
      </w:r>
      <w:proofErr w:type="spellEnd"/>
      <w:r>
        <w:rPr>
          <w:color w:val="000000"/>
        </w:rPr>
        <w:t xml:space="preserve"> in cases </w:t>
      </w:r>
      <w:proofErr w:type="spellStart"/>
      <w:r>
        <w:rPr>
          <w:color w:val="000000"/>
        </w:rPr>
        <w:t>of</w:t>
      </w:r>
      <w:proofErr w:type="spellEnd"/>
      <w:r>
        <w:rPr>
          <w:color w:val="000000"/>
        </w:rPr>
        <w:t xml:space="preserve"> extreme </w:t>
      </w:r>
      <w:proofErr w:type="spellStart"/>
      <w:r>
        <w:rPr>
          <w:color w:val="000000"/>
        </w:rPr>
        <w:t>severity</w:t>
      </w:r>
      <w:proofErr w:type="spellEnd"/>
      <w:r>
        <w:rPr>
          <w:color w:val="000000"/>
        </w:rPr>
        <w:t xml:space="preserve">, and </w:t>
      </w:r>
      <w:proofErr w:type="spellStart"/>
      <w:r>
        <w:rPr>
          <w:color w:val="000000"/>
        </w:rPr>
        <w:t>develop</w:t>
      </w:r>
      <w:proofErr w:type="spellEnd"/>
      <w:r>
        <w:rPr>
          <w:color w:val="000000"/>
        </w:rPr>
        <w:t xml:space="preserve"> a criminal </w:t>
      </w:r>
      <w:proofErr w:type="spellStart"/>
      <w:r>
        <w:rPr>
          <w:color w:val="000000"/>
        </w:rPr>
        <w:t>profile</w:t>
      </w:r>
      <w:proofErr w:type="spellEnd"/>
      <w:r>
        <w:rPr>
          <w:color w:val="000000"/>
        </w:rPr>
        <w:t xml:space="preserve"> </w:t>
      </w:r>
      <w:proofErr w:type="spellStart"/>
      <w:r>
        <w:rPr>
          <w:color w:val="000000"/>
        </w:rPr>
        <w:t>of</w:t>
      </w:r>
      <w:proofErr w:type="spellEnd"/>
      <w:r>
        <w:rPr>
          <w:color w:val="000000"/>
        </w:rPr>
        <w:t xml:space="preserve"> the </w:t>
      </w:r>
      <w:proofErr w:type="spellStart"/>
      <w:r>
        <w:rPr>
          <w:color w:val="000000"/>
        </w:rPr>
        <w:t>perpetrator</w:t>
      </w:r>
      <w:proofErr w:type="spellEnd"/>
      <w:r>
        <w:rPr>
          <w:color w:val="000000"/>
        </w:rPr>
        <w:t>.</w:t>
      </w:r>
    </w:p>
    <w:p w14:paraId="7D319F68" w14:textId="77777777" w:rsidR="006377E9" w:rsidRDefault="006377E9" w:rsidP="006377E9">
      <w:pPr>
        <w:pStyle w:val="NormalWeb"/>
        <w:spacing w:before="0" w:beforeAutospacing="0" w:line="360" w:lineRule="auto"/>
        <w:ind w:firstLine="708"/>
        <w:jc w:val="both"/>
        <w:rPr>
          <w:color w:val="000000"/>
        </w:rPr>
      </w:pPr>
      <w:proofErr w:type="spellStart"/>
      <w:r w:rsidRPr="006377E9">
        <w:rPr>
          <w:rStyle w:val="Fuerte"/>
          <w:rFonts w:eastAsiaTheme="majorEastAsia"/>
          <w:b w:val="0"/>
          <w:bCs w:val="0"/>
          <w:i/>
          <w:iCs/>
          <w:color w:val="000000"/>
        </w:rPr>
        <w:t>Keywords</w:t>
      </w:r>
      <w:proofErr w:type="spellEnd"/>
      <w:r w:rsidRPr="006377E9">
        <w:rPr>
          <w:rStyle w:val="Fuerte"/>
          <w:rFonts w:eastAsiaTheme="majorEastAsia"/>
          <w:b w:val="0"/>
          <w:bCs w:val="0"/>
          <w:i/>
          <w:iCs/>
          <w:color w:val="000000"/>
        </w:rPr>
        <w:t>:</w:t>
      </w:r>
      <w:r>
        <w:rPr>
          <w:rStyle w:val="apple-converted-space"/>
          <w:rFonts w:eastAsiaTheme="majorEastAsia"/>
          <w:color w:val="000000"/>
        </w:rPr>
        <w:t> </w:t>
      </w:r>
      <w:proofErr w:type="spellStart"/>
      <w:r>
        <w:rPr>
          <w:color w:val="000000"/>
        </w:rPr>
        <w:t>gender-based</w:t>
      </w:r>
      <w:proofErr w:type="spellEnd"/>
      <w:r>
        <w:rPr>
          <w:color w:val="000000"/>
        </w:rPr>
        <w:t xml:space="preserve"> </w:t>
      </w:r>
      <w:proofErr w:type="spellStart"/>
      <w:r>
        <w:rPr>
          <w:color w:val="000000"/>
        </w:rPr>
        <w:t>violence</w:t>
      </w:r>
      <w:proofErr w:type="spellEnd"/>
      <w:r>
        <w:rPr>
          <w:color w:val="000000"/>
        </w:rPr>
        <w:t xml:space="preserve">, </w:t>
      </w:r>
      <w:proofErr w:type="spellStart"/>
      <w:r>
        <w:rPr>
          <w:color w:val="000000"/>
        </w:rPr>
        <w:t>child</w:t>
      </w:r>
      <w:proofErr w:type="spellEnd"/>
      <w:r>
        <w:rPr>
          <w:color w:val="000000"/>
        </w:rPr>
        <w:t xml:space="preserve"> abuse, at-</w:t>
      </w:r>
      <w:proofErr w:type="spellStart"/>
      <w:r>
        <w:rPr>
          <w:color w:val="000000"/>
        </w:rPr>
        <w:t>risk</w:t>
      </w:r>
      <w:proofErr w:type="spellEnd"/>
      <w:r>
        <w:rPr>
          <w:color w:val="000000"/>
        </w:rPr>
        <w:t xml:space="preserve"> </w:t>
      </w:r>
      <w:proofErr w:type="spellStart"/>
      <w:r>
        <w:rPr>
          <w:color w:val="000000"/>
        </w:rPr>
        <w:t>childhood</w:t>
      </w:r>
      <w:proofErr w:type="spellEnd"/>
      <w:r>
        <w:rPr>
          <w:color w:val="000000"/>
        </w:rPr>
        <w:t xml:space="preserve">, </w:t>
      </w:r>
      <w:proofErr w:type="spellStart"/>
      <w:r>
        <w:rPr>
          <w:color w:val="000000"/>
        </w:rPr>
        <w:t>child</w:t>
      </w:r>
      <w:proofErr w:type="spellEnd"/>
      <w:r>
        <w:rPr>
          <w:color w:val="000000"/>
        </w:rPr>
        <w:t xml:space="preserve"> </w:t>
      </w:r>
      <w:proofErr w:type="spellStart"/>
      <w:r>
        <w:rPr>
          <w:color w:val="000000"/>
        </w:rPr>
        <w:t>protection</w:t>
      </w:r>
      <w:proofErr w:type="spellEnd"/>
      <w:r>
        <w:rPr>
          <w:color w:val="000000"/>
        </w:rPr>
        <w:t xml:space="preserve">, </w:t>
      </w:r>
      <w:proofErr w:type="spellStart"/>
      <w:r>
        <w:rPr>
          <w:color w:val="000000"/>
        </w:rPr>
        <w:t>intimate</w:t>
      </w:r>
      <w:proofErr w:type="spellEnd"/>
      <w:r>
        <w:rPr>
          <w:color w:val="000000"/>
        </w:rPr>
        <w:t xml:space="preserve"> </w:t>
      </w:r>
      <w:proofErr w:type="spellStart"/>
      <w:r>
        <w:rPr>
          <w:color w:val="000000"/>
        </w:rPr>
        <w:t>partner</w:t>
      </w:r>
      <w:proofErr w:type="spellEnd"/>
      <w:r>
        <w:rPr>
          <w:color w:val="000000"/>
        </w:rPr>
        <w:t xml:space="preserve"> </w:t>
      </w:r>
      <w:proofErr w:type="spellStart"/>
      <w:r>
        <w:rPr>
          <w:color w:val="000000"/>
        </w:rPr>
        <w:t>violence</w:t>
      </w:r>
      <w:proofErr w:type="spellEnd"/>
      <w:r>
        <w:rPr>
          <w:color w:val="000000"/>
        </w:rPr>
        <w:t xml:space="preserve">, </w:t>
      </w:r>
      <w:proofErr w:type="spellStart"/>
      <w:r>
        <w:rPr>
          <w:color w:val="000000"/>
        </w:rPr>
        <w:t>victimization</w:t>
      </w:r>
      <w:proofErr w:type="spellEnd"/>
      <w:r>
        <w:rPr>
          <w:color w:val="000000"/>
        </w:rPr>
        <w:t xml:space="preserve">, social </w:t>
      </w:r>
      <w:proofErr w:type="spellStart"/>
      <w:r>
        <w:rPr>
          <w:color w:val="000000"/>
        </w:rPr>
        <w:t>determinants</w:t>
      </w:r>
      <w:proofErr w:type="spellEnd"/>
      <w:r>
        <w:rPr>
          <w:color w:val="000000"/>
        </w:rPr>
        <w:t>.</w:t>
      </w:r>
    </w:p>
    <w:p w14:paraId="35ED4B8F" w14:textId="77777777" w:rsidR="00745653" w:rsidRPr="000A00D6" w:rsidRDefault="00745653" w:rsidP="006377E9">
      <w:pPr>
        <w:pStyle w:val="p1"/>
        <w:spacing w:line="360" w:lineRule="auto"/>
        <w:jc w:val="both"/>
        <w:rPr>
          <w:sz w:val="24"/>
          <w:szCs w:val="24"/>
        </w:rPr>
      </w:pPr>
    </w:p>
    <w:p w14:paraId="4668CF2D" w14:textId="6A4A2EA4" w:rsidR="00675064" w:rsidRDefault="00675064" w:rsidP="006377E9">
      <w:pPr>
        <w:spacing w:line="360" w:lineRule="auto"/>
        <w:jc w:val="both"/>
      </w:pPr>
    </w:p>
    <w:p w14:paraId="7144E01C" w14:textId="77777777" w:rsidR="00675064" w:rsidRDefault="00675064" w:rsidP="006377E9">
      <w:pPr>
        <w:spacing w:line="360" w:lineRule="auto"/>
      </w:pPr>
    </w:p>
    <w:p w14:paraId="65B60492" w14:textId="77777777" w:rsidR="00675064" w:rsidRDefault="00675064" w:rsidP="006377E9">
      <w:pPr>
        <w:spacing w:line="360" w:lineRule="auto"/>
      </w:pPr>
    </w:p>
    <w:p w14:paraId="57EBF7E8" w14:textId="77777777" w:rsidR="00675064" w:rsidRDefault="00675064" w:rsidP="006377E9">
      <w:pPr>
        <w:spacing w:line="360" w:lineRule="auto"/>
      </w:pPr>
    </w:p>
    <w:p w14:paraId="17CD19C2" w14:textId="77777777" w:rsidR="00675064" w:rsidRDefault="00675064" w:rsidP="006377E9">
      <w:pPr>
        <w:spacing w:line="360" w:lineRule="auto"/>
      </w:pPr>
    </w:p>
    <w:p w14:paraId="70DFBFE0" w14:textId="77777777" w:rsidR="00675064" w:rsidRDefault="00675064" w:rsidP="006377E9">
      <w:pPr>
        <w:spacing w:line="360" w:lineRule="auto"/>
      </w:pPr>
    </w:p>
    <w:p w14:paraId="355AA27B" w14:textId="77777777" w:rsidR="00675064" w:rsidRPr="00675064" w:rsidRDefault="00675064" w:rsidP="006377E9">
      <w:pPr>
        <w:spacing w:line="360" w:lineRule="auto"/>
      </w:pPr>
    </w:p>
    <w:p w14:paraId="50FE4572" w14:textId="77777777" w:rsidR="00EC2F9E" w:rsidRPr="00CB55D3" w:rsidRDefault="00EC2F9E" w:rsidP="006377E9">
      <w:pPr>
        <w:spacing w:line="360" w:lineRule="auto"/>
        <w:jc w:val="both"/>
        <w:rPr>
          <w:b/>
          <w:bCs/>
          <w:color w:val="000000" w:themeColor="text1"/>
        </w:rPr>
      </w:pPr>
    </w:p>
    <w:p w14:paraId="2A5590EE" w14:textId="77777777" w:rsidR="0049106E" w:rsidRDefault="0049106E" w:rsidP="00266DCD">
      <w:pPr>
        <w:spacing w:line="360" w:lineRule="auto"/>
        <w:jc w:val="both"/>
        <w:rPr>
          <w:b/>
          <w:bCs/>
        </w:rPr>
      </w:pPr>
    </w:p>
    <w:p w14:paraId="46123B47" w14:textId="1FB22CB7" w:rsidR="00266DCD" w:rsidRPr="00675064" w:rsidRDefault="000D7054" w:rsidP="00266DCD">
      <w:pPr>
        <w:spacing w:line="360" w:lineRule="auto"/>
        <w:jc w:val="both"/>
        <w:rPr>
          <w:b/>
          <w:bCs/>
        </w:rPr>
      </w:pPr>
      <w:r w:rsidRPr="0051219B">
        <w:rPr>
          <w:b/>
          <w:bCs/>
        </w:rPr>
        <w:t>Índice:</w:t>
      </w:r>
    </w:p>
    <w:p w14:paraId="2D9AFF33" w14:textId="2D215057" w:rsidR="007F681A" w:rsidRDefault="0051219B" w:rsidP="00EF3EC6">
      <w:pPr>
        <w:pStyle w:val="Prrafodelista"/>
        <w:numPr>
          <w:ilvl w:val="0"/>
          <w:numId w:val="1"/>
        </w:numPr>
        <w:spacing w:after="240" w:line="360" w:lineRule="auto"/>
      </w:pPr>
      <w:r>
        <w:t xml:space="preserve">Introducción. </w:t>
      </w:r>
    </w:p>
    <w:p w14:paraId="60559729" w14:textId="7DF67AD1" w:rsidR="00A90A92" w:rsidRDefault="00A90A92" w:rsidP="00A90A92">
      <w:pPr>
        <w:pStyle w:val="Prrafodelista"/>
        <w:numPr>
          <w:ilvl w:val="0"/>
          <w:numId w:val="1"/>
        </w:numPr>
        <w:spacing w:line="360" w:lineRule="auto"/>
      </w:pPr>
      <w:r>
        <w:t xml:space="preserve">Objetivos y metodología. </w:t>
      </w:r>
    </w:p>
    <w:p w14:paraId="298F47BB" w14:textId="6D04C41B" w:rsidR="0051219B" w:rsidRDefault="0051219B" w:rsidP="00EF3EC6">
      <w:pPr>
        <w:pStyle w:val="Prrafodelista"/>
        <w:numPr>
          <w:ilvl w:val="0"/>
          <w:numId w:val="1"/>
        </w:numPr>
        <w:spacing w:line="360" w:lineRule="auto"/>
      </w:pPr>
      <w:r>
        <w:t>Marco teórico</w:t>
      </w:r>
      <w:r w:rsidR="00266DCD">
        <w:t xml:space="preserve">. </w:t>
      </w:r>
    </w:p>
    <w:p w14:paraId="7A940D80" w14:textId="33C53038" w:rsidR="004E3BF8" w:rsidRDefault="004E3BF8" w:rsidP="004E3BF8">
      <w:pPr>
        <w:pStyle w:val="Prrafodelista"/>
        <w:numPr>
          <w:ilvl w:val="1"/>
          <w:numId w:val="1"/>
        </w:numPr>
        <w:spacing w:line="360" w:lineRule="auto"/>
      </w:pPr>
      <w:r>
        <w:t xml:space="preserve">Perspectiva histórica de la violencia de género. </w:t>
      </w:r>
    </w:p>
    <w:p w14:paraId="2ED62536" w14:textId="0FF4B794" w:rsidR="004E3BF8" w:rsidRDefault="004E3BF8" w:rsidP="004E3BF8">
      <w:pPr>
        <w:pStyle w:val="Prrafodelista"/>
        <w:numPr>
          <w:ilvl w:val="1"/>
          <w:numId w:val="1"/>
        </w:numPr>
        <w:spacing w:line="360" w:lineRule="auto"/>
      </w:pPr>
      <w:r>
        <w:t xml:space="preserve">Conceptualización de la violencia de género. </w:t>
      </w:r>
    </w:p>
    <w:p w14:paraId="5DC89AD1" w14:textId="5A5B9E71" w:rsidR="004E3BF8" w:rsidRDefault="004E3BF8" w:rsidP="004E3BF8">
      <w:pPr>
        <w:pStyle w:val="Prrafodelista"/>
        <w:numPr>
          <w:ilvl w:val="1"/>
          <w:numId w:val="1"/>
        </w:numPr>
        <w:spacing w:line="360" w:lineRule="auto"/>
      </w:pPr>
      <w:r>
        <w:t xml:space="preserve">Víctimas de violencia de género y perfiles afectados. </w:t>
      </w:r>
    </w:p>
    <w:p w14:paraId="59C6E12B" w14:textId="0BEA43B2" w:rsidR="004E3BF8" w:rsidRDefault="004E3BF8" w:rsidP="004E3BF8">
      <w:pPr>
        <w:pStyle w:val="Prrafodelista"/>
        <w:numPr>
          <w:ilvl w:val="2"/>
          <w:numId w:val="1"/>
        </w:numPr>
        <w:spacing w:line="360" w:lineRule="auto"/>
      </w:pPr>
      <w:r>
        <w:t xml:space="preserve">La mujer, protagonista histórica en la violencia de género. </w:t>
      </w:r>
    </w:p>
    <w:p w14:paraId="1A36E693" w14:textId="5112C397" w:rsidR="004E3BF8" w:rsidRDefault="004E3BF8" w:rsidP="004E3BF8">
      <w:pPr>
        <w:pStyle w:val="Prrafodelista"/>
        <w:numPr>
          <w:ilvl w:val="2"/>
          <w:numId w:val="1"/>
        </w:numPr>
        <w:spacing w:line="360" w:lineRule="auto"/>
      </w:pPr>
      <w:r>
        <w:t xml:space="preserve">El menor, victima silenciosa e invisibilidad. </w:t>
      </w:r>
    </w:p>
    <w:p w14:paraId="39766412" w14:textId="77777777" w:rsidR="004E3BF8" w:rsidRDefault="004E3BF8" w:rsidP="004E3BF8">
      <w:pPr>
        <w:pStyle w:val="Prrafodelista"/>
        <w:spacing w:line="360" w:lineRule="auto"/>
        <w:ind w:left="360"/>
      </w:pPr>
    </w:p>
    <w:p w14:paraId="032CA206" w14:textId="77777777" w:rsidR="004E3BF8" w:rsidRDefault="004E3BF8" w:rsidP="004E3BF8">
      <w:pPr>
        <w:pStyle w:val="Prrafodelista"/>
        <w:numPr>
          <w:ilvl w:val="0"/>
          <w:numId w:val="1"/>
        </w:numPr>
        <w:spacing w:line="360" w:lineRule="auto"/>
      </w:pPr>
      <w:r>
        <w:t xml:space="preserve">Capítulos de contenido. </w:t>
      </w:r>
    </w:p>
    <w:p w14:paraId="0F97A3D3" w14:textId="77777777" w:rsidR="004E3BF8" w:rsidRDefault="00EA2B63" w:rsidP="004E3BF8">
      <w:pPr>
        <w:pStyle w:val="Prrafodelista"/>
        <w:numPr>
          <w:ilvl w:val="1"/>
          <w:numId w:val="1"/>
        </w:numPr>
        <w:spacing w:line="360" w:lineRule="auto"/>
      </w:pPr>
      <w:r>
        <w:t>Taxonomía de exposición según Holden (2003) y Aguilar. D. (200</w:t>
      </w:r>
      <w:r w:rsidR="006E7109">
        <w:t>9</w:t>
      </w:r>
      <w:r>
        <w:t xml:space="preserve">). </w:t>
      </w:r>
    </w:p>
    <w:p w14:paraId="32102D09" w14:textId="77777777" w:rsidR="004E3BF8" w:rsidRDefault="006E7109" w:rsidP="004E3BF8">
      <w:pPr>
        <w:pStyle w:val="Prrafodelista"/>
        <w:numPr>
          <w:ilvl w:val="1"/>
          <w:numId w:val="1"/>
        </w:numPr>
        <w:spacing w:line="360" w:lineRule="auto"/>
      </w:pPr>
      <w:r>
        <w:t>Efectos de l</w:t>
      </w:r>
      <w:r w:rsidR="004E3BF8">
        <w:t xml:space="preserve">a VG según su desarrollo evolutivo. </w:t>
      </w:r>
    </w:p>
    <w:p w14:paraId="5ED30575" w14:textId="77777777" w:rsidR="00B63DF4" w:rsidRDefault="00B63DF4" w:rsidP="00B63DF4">
      <w:pPr>
        <w:pStyle w:val="Prrafodelista"/>
        <w:numPr>
          <w:ilvl w:val="1"/>
          <w:numId w:val="1"/>
        </w:numPr>
        <w:spacing w:line="360" w:lineRule="auto"/>
      </w:pPr>
      <w:r>
        <w:t>Patrones de respuesta ante la violencia de género: internalización</w:t>
      </w:r>
    </w:p>
    <w:p w14:paraId="2E01B730" w14:textId="4937054C" w:rsidR="00B63DF4" w:rsidRDefault="00B63DF4" w:rsidP="00B63DF4">
      <w:pPr>
        <w:pStyle w:val="Prrafodelista"/>
        <w:spacing w:line="360" w:lineRule="auto"/>
        <w:ind w:left="792" w:firstLine="624"/>
      </w:pPr>
      <w:r>
        <w:t xml:space="preserve"> y externalización. </w:t>
      </w:r>
    </w:p>
    <w:p w14:paraId="0E24AEEB" w14:textId="002E31DF" w:rsidR="00155C9A" w:rsidRDefault="00155C9A" w:rsidP="00B63DF4">
      <w:pPr>
        <w:pStyle w:val="Prrafodelista"/>
        <w:spacing w:line="360" w:lineRule="auto"/>
        <w:ind w:left="792" w:firstLine="624"/>
      </w:pPr>
      <w:r>
        <w:t xml:space="preserve">Repercusiones clínicas y emocionales en el desarrollo infantil. </w:t>
      </w:r>
    </w:p>
    <w:p w14:paraId="545BADDC" w14:textId="47AA9F5B" w:rsidR="003937B9" w:rsidRDefault="003937B9" w:rsidP="004E3BF8">
      <w:pPr>
        <w:pStyle w:val="Prrafodelista"/>
        <w:numPr>
          <w:ilvl w:val="1"/>
          <w:numId w:val="1"/>
        </w:numPr>
        <w:spacing w:line="360" w:lineRule="auto"/>
      </w:pPr>
      <w:r>
        <w:t xml:space="preserve">Teorías </w:t>
      </w:r>
      <w:r w:rsidR="00901170">
        <w:t xml:space="preserve">criminologías </w:t>
      </w:r>
      <w:r>
        <w:t xml:space="preserve">y conceptos relevantes. </w:t>
      </w:r>
    </w:p>
    <w:p w14:paraId="3D1321B1" w14:textId="4C8834AD" w:rsidR="00091078" w:rsidRPr="00091078" w:rsidRDefault="004E720F" w:rsidP="00091078">
      <w:pPr>
        <w:pStyle w:val="p1"/>
        <w:numPr>
          <w:ilvl w:val="2"/>
          <w:numId w:val="3"/>
        </w:numPr>
        <w:spacing w:line="360" w:lineRule="auto"/>
        <w:jc w:val="both"/>
        <w:rPr>
          <w:sz w:val="24"/>
          <w:szCs w:val="24"/>
        </w:rPr>
      </w:pPr>
      <w:r w:rsidRPr="002A2335">
        <w:rPr>
          <w:sz w:val="24"/>
          <w:szCs w:val="24"/>
        </w:rPr>
        <w:t xml:space="preserve">Clasificación de tres </w:t>
      </w:r>
      <w:r w:rsidR="002A2335" w:rsidRPr="002A2335">
        <w:rPr>
          <w:sz w:val="24"/>
          <w:szCs w:val="24"/>
        </w:rPr>
        <w:t xml:space="preserve">tipológicas de victimización </w:t>
      </w:r>
      <w:r w:rsidR="002A2335">
        <w:rPr>
          <w:sz w:val="24"/>
          <w:szCs w:val="24"/>
        </w:rPr>
        <w:t>(</w:t>
      </w:r>
      <w:r w:rsidR="002A2335" w:rsidRPr="002A2335">
        <w:rPr>
          <w:sz w:val="24"/>
          <w:szCs w:val="24"/>
        </w:rPr>
        <w:t xml:space="preserve">Hernández et al., 2020; Soria, </w:t>
      </w:r>
      <w:r w:rsidR="002A2335" w:rsidRPr="002A2335">
        <w:rPr>
          <w:sz w:val="24"/>
          <w:szCs w:val="24"/>
        </w:rPr>
        <w:t>2006; Tamarit</w:t>
      </w:r>
      <w:r w:rsidR="002A2335" w:rsidRPr="002A2335">
        <w:rPr>
          <w:sz w:val="24"/>
          <w:szCs w:val="24"/>
        </w:rPr>
        <w:t>, 2006)</w:t>
      </w:r>
      <w:r w:rsidR="00091078">
        <w:rPr>
          <w:sz w:val="24"/>
          <w:szCs w:val="24"/>
        </w:rPr>
        <w:t xml:space="preserve">. </w:t>
      </w:r>
    </w:p>
    <w:p w14:paraId="4D756ACB" w14:textId="7CC63FAF" w:rsidR="00091078" w:rsidRDefault="00091078" w:rsidP="00091078">
      <w:pPr>
        <w:pStyle w:val="Prrafodelista"/>
        <w:numPr>
          <w:ilvl w:val="1"/>
          <w:numId w:val="1"/>
        </w:numPr>
        <w:spacing w:line="360" w:lineRule="auto"/>
      </w:pPr>
      <w:r>
        <w:t xml:space="preserve">Perfil criminal del agresor. </w:t>
      </w:r>
    </w:p>
    <w:p w14:paraId="1EBD5F0B" w14:textId="16AE06E3" w:rsidR="00091078" w:rsidRDefault="00091078" w:rsidP="00091078">
      <w:pPr>
        <w:pStyle w:val="Prrafodelista"/>
        <w:numPr>
          <w:ilvl w:val="1"/>
          <w:numId w:val="1"/>
        </w:numPr>
        <w:spacing w:line="360" w:lineRule="auto"/>
      </w:pPr>
      <w:r>
        <w:t xml:space="preserve">Marco legal y legislación </w:t>
      </w:r>
      <w:r w:rsidR="00731791">
        <w:t xml:space="preserve">española en materia de violencia de género. </w:t>
      </w:r>
    </w:p>
    <w:p w14:paraId="0EF61750" w14:textId="42F63A6C" w:rsidR="00A4061B" w:rsidRDefault="00A4061B" w:rsidP="00731791">
      <w:pPr>
        <w:pStyle w:val="Prrafodelista"/>
        <w:numPr>
          <w:ilvl w:val="1"/>
          <w:numId w:val="1"/>
        </w:numPr>
        <w:spacing w:line="360" w:lineRule="auto"/>
      </w:pPr>
      <w:r>
        <w:t xml:space="preserve">Procedimiento jurídico en con un menor implicado. </w:t>
      </w:r>
    </w:p>
    <w:p w14:paraId="64AD49DE" w14:textId="77777777" w:rsidR="00731791" w:rsidRDefault="00731791" w:rsidP="00731791">
      <w:pPr>
        <w:pStyle w:val="Prrafodelista"/>
        <w:spacing w:line="360" w:lineRule="auto"/>
        <w:ind w:left="792"/>
      </w:pPr>
    </w:p>
    <w:p w14:paraId="732A589C" w14:textId="42B8DC45" w:rsidR="00014A4C" w:rsidRDefault="00014A4C" w:rsidP="00EF3EC6">
      <w:pPr>
        <w:pStyle w:val="Prrafodelista"/>
        <w:numPr>
          <w:ilvl w:val="0"/>
          <w:numId w:val="1"/>
        </w:numPr>
        <w:spacing w:line="360" w:lineRule="auto"/>
        <w:ind w:left="426"/>
      </w:pPr>
      <w:r>
        <w:t xml:space="preserve">Discusión. </w:t>
      </w:r>
    </w:p>
    <w:p w14:paraId="63BE1A0F" w14:textId="24836495" w:rsidR="00014A4C" w:rsidRDefault="00014A4C" w:rsidP="00EF3EC6">
      <w:pPr>
        <w:pStyle w:val="Prrafodelista"/>
        <w:numPr>
          <w:ilvl w:val="0"/>
          <w:numId w:val="1"/>
        </w:numPr>
        <w:spacing w:line="360" w:lineRule="auto"/>
        <w:ind w:left="567" w:hanging="501"/>
      </w:pPr>
      <w:r>
        <w:t xml:space="preserve">Conclusión. </w:t>
      </w:r>
    </w:p>
    <w:p w14:paraId="78DD4064" w14:textId="4C4D32C0" w:rsidR="00014A4C" w:rsidRDefault="00014A4C" w:rsidP="00EF3EC6">
      <w:pPr>
        <w:pStyle w:val="Prrafodelista"/>
        <w:numPr>
          <w:ilvl w:val="0"/>
          <w:numId w:val="1"/>
        </w:numPr>
        <w:spacing w:line="360" w:lineRule="auto"/>
        <w:ind w:left="567" w:hanging="567"/>
      </w:pPr>
      <w:r>
        <w:t xml:space="preserve">Referencias bibliográficas. </w:t>
      </w:r>
    </w:p>
    <w:p w14:paraId="6F7A7BD3" w14:textId="3F2405E4" w:rsidR="00A90186" w:rsidRDefault="00A90186" w:rsidP="00544853">
      <w:pPr>
        <w:pStyle w:val="Ttulo1"/>
        <w:spacing w:line="360" w:lineRule="auto"/>
      </w:pPr>
    </w:p>
    <w:p w14:paraId="430A8562" w14:textId="77777777" w:rsidR="00206745" w:rsidRDefault="00206745" w:rsidP="00544853">
      <w:pPr>
        <w:spacing w:line="360" w:lineRule="auto"/>
      </w:pPr>
    </w:p>
    <w:p w14:paraId="2AB1C334" w14:textId="77777777" w:rsidR="00206745" w:rsidRDefault="00206745" w:rsidP="00206745"/>
    <w:p w14:paraId="34B55834" w14:textId="77777777" w:rsidR="00C3147C" w:rsidRDefault="00C3147C" w:rsidP="007E39C8">
      <w:pPr>
        <w:spacing w:line="360" w:lineRule="auto"/>
      </w:pPr>
      <w:bookmarkStart w:id="10" w:name="_Toc213615898"/>
      <w:bookmarkStart w:id="11" w:name="_Toc213615931"/>
      <w:bookmarkStart w:id="12" w:name="_Toc213615946"/>
      <w:bookmarkStart w:id="13" w:name="_Toc213616431"/>
      <w:bookmarkStart w:id="14" w:name="_Toc213662147"/>
    </w:p>
    <w:p w14:paraId="6F96B561" w14:textId="77777777" w:rsidR="00C3147C" w:rsidRDefault="00C3147C" w:rsidP="007E39C8">
      <w:pPr>
        <w:spacing w:line="360" w:lineRule="auto"/>
      </w:pPr>
    </w:p>
    <w:p w14:paraId="4B5C0A34" w14:textId="0CA4DD61" w:rsidR="00BC717E" w:rsidRPr="0007741D" w:rsidRDefault="00CC27B9" w:rsidP="00BC717E">
      <w:pPr>
        <w:pStyle w:val="Ttulo2"/>
        <w:numPr>
          <w:ilvl w:val="0"/>
          <w:numId w:val="2"/>
        </w:numPr>
        <w:spacing w:line="360" w:lineRule="auto"/>
        <w:jc w:val="both"/>
        <w:rPr>
          <w:rFonts w:ascii="Times New Roman" w:hAnsi="Times New Roman" w:cs="Times New Roman"/>
          <w:b/>
          <w:bCs/>
          <w:color w:val="000000" w:themeColor="text1"/>
          <w:sz w:val="24"/>
          <w:szCs w:val="24"/>
        </w:rPr>
      </w:pPr>
      <w:r w:rsidRPr="00BC4CAB">
        <w:rPr>
          <w:rFonts w:ascii="Times New Roman" w:hAnsi="Times New Roman" w:cs="Times New Roman"/>
          <w:b/>
          <w:bCs/>
          <w:color w:val="000000" w:themeColor="text1"/>
          <w:sz w:val="24"/>
          <w:szCs w:val="24"/>
        </w:rPr>
        <w:lastRenderedPageBreak/>
        <w:t>Introducción</w:t>
      </w:r>
      <w:r w:rsidR="0007741D" w:rsidRPr="00BC4CAB">
        <w:rPr>
          <w:rFonts w:ascii="Times New Roman" w:hAnsi="Times New Roman" w:cs="Times New Roman"/>
          <w:b/>
          <w:bCs/>
          <w:color w:val="000000" w:themeColor="text1"/>
          <w:sz w:val="24"/>
          <w:szCs w:val="24"/>
        </w:rPr>
        <w:t xml:space="preserve"> </w:t>
      </w:r>
      <w:r w:rsidR="0007741D" w:rsidRPr="0007741D">
        <w:rPr>
          <w:rFonts w:ascii="Times New Roman" w:hAnsi="Times New Roman" w:cs="Times New Roman"/>
          <w:b/>
          <w:bCs/>
          <w:color w:val="000000" w:themeColor="text1"/>
          <w:sz w:val="24"/>
          <w:szCs w:val="24"/>
        </w:rPr>
        <w:t>(completar)</w:t>
      </w:r>
    </w:p>
    <w:p w14:paraId="6D047E2B" w14:textId="44595C20" w:rsidR="00A17511" w:rsidRDefault="00DE56DB" w:rsidP="009944F7">
      <w:pPr>
        <w:pStyle w:val="NormalWeb"/>
        <w:spacing w:before="0" w:beforeAutospacing="0" w:after="240" w:afterAutospacing="0" w:line="360" w:lineRule="auto"/>
        <w:jc w:val="both"/>
        <w:rPr>
          <w:color w:val="000000"/>
          <w:shd w:val="clear" w:color="auto" w:fill="FFFFFF"/>
        </w:rPr>
      </w:pPr>
      <w:r w:rsidRPr="00DE56DB">
        <w:rPr>
          <w:color w:val="000000"/>
        </w:rPr>
        <w:t>“Cuando una mujer acude a un juzgado a denunciar un caso de violencia de genero con sus hijos, nadie atiende a los niños”</w:t>
      </w:r>
      <w:r>
        <w:rPr>
          <w:color w:val="000000"/>
        </w:rPr>
        <w:t xml:space="preserve"> </w:t>
      </w:r>
      <w:r w:rsidR="00FD71D5">
        <w:rPr>
          <w:color w:val="000000"/>
        </w:rPr>
        <w:t xml:space="preserve">(Save the Children, 2011). </w:t>
      </w:r>
    </w:p>
    <w:p w14:paraId="17E699A3" w14:textId="77777777" w:rsidR="001268E3" w:rsidRDefault="001268E3" w:rsidP="00BE2904">
      <w:pPr>
        <w:pStyle w:val="NormalWeb"/>
        <w:spacing w:before="0" w:beforeAutospacing="0" w:after="0" w:afterAutospacing="0" w:line="360" w:lineRule="auto"/>
        <w:jc w:val="both"/>
        <w:rPr>
          <w:color w:val="000000"/>
        </w:rPr>
      </w:pPr>
    </w:p>
    <w:p w14:paraId="098D9688" w14:textId="77777777" w:rsidR="00AF16E7" w:rsidRDefault="00AF16E7" w:rsidP="00BE2904">
      <w:pPr>
        <w:pStyle w:val="NormalWeb"/>
        <w:spacing w:before="0" w:beforeAutospacing="0" w:after="0" w:afterAutospacing="0" w:line="360" w:lineRule="auto"/>
        <w:jc w:val="both"/>
        <w:rPr>
          <w:color w:val="000000"/>
        </w:rPr>
      </w:pPr>
    </w:p>
    <w:p w14:paraId="521C2DE0" w14:textId="77777777" w:rsidR="00AF16E7" w:rsidRDefault="00AF16E7" w:rsidP="00BE2904">
      <w:pPr>
        <w:pStyle w:val="NormalWeb"/>
        <w:spacing w:before="0" w:beforeAutospacing="0" w:after="0" w:afterAutospacing="0" w:line="360" w:lineRule="auto"/>
        <w:jc w:val="both"/>
        <w:rPr>
          <w:color w:val="000000"/>
        </w:rPr>
      </w:pPr>
    </w:p>
    <w:p w14:paraId="37C77CAB" w14:textId="77777777" w:rsidR="00AF16E7" w:rsidRDefault="00AF16E7" w:rsidP="00BE2904">
      <w:pPr>
        <w:pStyle w:val="NormalWeb"/>
        <w:spacing w:before="0" w:beforeAutospacing="0" w:after="0" w:afterAutospacing="0" w:line="360" w:lineRule="auto"/>
        <w:jc w:val="both"/>
        <w:rPr>
          <w:color w:val="000000"/>
        </w:rPr>
      </w:pPr>
    </w:p>
    <w:p w14:paraId="4561F3A0" w14:textId="77777777" w:rsidR="00AF16E7" w:rsidRDefault="00AF16E7" w:rsidP="00BE2904">
      <w:pPr>
        <w:pStyle w:val="NormalWeb"/>
        <w:spacing w:before="0" w:beforeAutospacing="0" w:after="0" w:afterAutospacing="0" w:line="360" w:lineRule="auto"/>
        <w:jc w:val="both"/>
        <w:rPr>
          <w:color w:val="000000"/>
        </w:rPr>
      </w:pPr>
    </w:p>
    <w:p w14:paraId="04561CE0" w14:textId="77777777" w:rsidR="00AF16E7" w:rsidRDefault="00AF16E7" w:rsidP="00BE2904">
      <w:pPr>
        <w:pStyle w:val="NormalWeb"/>
        <w:spacing w:before="0" w:beforeAutospacing="0" w:after="0" w:afterAutospacing="0" w:line="360" w:lineRule="auto"/>
        <w:jc w:val="both"/>
        <w:rPr>
          <w:color w:val="000000"/>
        </w:rPr>
      </w:pPr>
    </w:p>
    <w:p w14:paraId="3653B8C4" w14:textId="77777777" w:rsidR="00AF16E7" w:rsidRDefault="00AF16E7" w:rsidP="00BE2904">
      <w:pPr>
        <w:pStyle w:val="NormalWeb"/>
        <w:spacing w:before="0" w:beforeAutospacing="0" w:after="0" w:afterAutospacing="0" w:line="360" w:lineRule="auto"/>
        <w:jc w:val="both"/>
        <w:rPr>
          <w:color w:val="000000"/>
        </w:rPr>
      </w:pPr>
    </w:p>
    <w:p w14:paraId="7BB0ED33" w14:textId="77777777" w:rsidR="00AF16E7" w:rsidRDefault="00AF16E7" w:rsidP="00BE2904">
      <w:pPr>
        <w:pStyle w:val="NormalWeb"/>
        <w:spacing w:before="0" w:beforeAutospacing="0" w:after="0" w:afterAutospacing="0" w:line="360" w:lineRule="auto"/>
        <w:jc w:val="both"/>
        <w:rPr>
          <w:color w:val="000000"/>
        </w:rPr>
      </w:pPr>
    </w:p>
    <w:p w14:paraId="12567B83" w14:textId="77777777" w:rsidR="00AF16E7" w:rsidRDefault="00AF16E7" w:rsidP="00BE2904">
      <w:pPr>
        <w:pStyle w:val="NormalWeb"/>
        <w:spacing w:before="0" w:beforeAutospacing="0" w:after="0" w:afterAutospacing="0" w:line="360" w:lineRule="auto"/>
        <w:jc w:val="both"/>
        <w:rPr>
          <w:color w:val="000000"/>
        </w:rPr>
      </w:pPr>
    </w:p>
    <w:p w14:paraId="4566FA41" w14:textId="77777777" w:rsidR="00AF16E7" w:rsidRDefault="00AF16E7" w:rsidP="00BE2904">
      <w:pPr>
        <w:pStyle w:val="NormalWeb"/>
        <w:spacing w:before="0" w:beforeAutospacing="0" w:after="0" w:afterAutospacing="0" w:line="360" w:lineRule="auto"/>
        <w:jc w:val="both"/>
        <w:rPr>
          <w:color w:val="000000"/>
        </w:rPr>
      </w:pPr>
    </w:p>
    <w:p w14:paraId="56FE3AC0" w14:textId="77777777" w:rsidR="00AF16E7" w:rsidRDefault="00AF16E7" w:rsidP="00BE2904">
      <w:pPr>
        <w:pStyle w:val="NormalWeb"/>
        <w:spacing w:before="0" w:beforeAutospacing="0" w:after="0" w:afterAutospacing="0" w:line="360" w:lineRule="auto"/>
        <w:jc w:val="both"/>
        <w:rPr>
          <w:color w:val="000000"/>
        </w:rPr>
      </w:pPr>
    </w:p>
    <w:p w14:paraId="6EBC37D2" w14:textId="77777777" w:rsidR="00AF16E7" w:rsidRDefault="00AF16E7" w:rsidP="00BE2904">
      <w:pPr>
        <w:pStyle w:val="NormalWeb"/>
        <w:spacing w:before="0" w:beforeAutospacing="0" w:after="0" w:afterAutospacing="0" w:line="360" w:lineRule="auto"/>
        <w:jc w:val="both"/>
        <w:rPr>
          <w:color w:val="000000"/>
        </w:rPr>
      </w:pPr>
    </w:p>
    <w:p w14:paraId="038AB9C0" w14:textId="77777777" w:rsidR="00AF16E7" w:rsidRDefault="00AF16E7" w:rsidP="00BE2904">
      <w:pPr>
        <w:pStyle w:val="NormalWeb"/>
        <w:spacing w:before="0" w:beforeAutospacing="0" w:after="0" w:afterAutospacing="0" w:line="360" w:lineRule="auto"/>
        <w:jc w:val="both"/>
        <w:rPr>
          <w:color w:val="000000"/>
        </w:rPr>
      </w:pPr>
    </w:p>
    <w:p w14:paraId="57E2382B" w14:textId="77777777" w:rsidR="00AF16E7" w:rsidRDefault="00AF16E7" w:rsidP="00BE2904">
      <w:pPr>
        <w:pStyle w:val="NormalWeb"/>
        <w:spacing w:before="0" w:beforeAutospacing="0" w:after="0" w:afterAutospacing="0" w:line="360" w:lineRule="auto"/>
        <w:jc w:val="both"/>
        <w:rPr>
          <w:color w:val="000000"/>
        </w:rPr>
      </w:pPr>
    </w:p>
    <w:p w14:paraId="1AC2B155" w14:textId="77777777" w:rsidR="00AF16E7" w:rsidRDefault="00AF16E7" w:rsidP="00BE2904">
      <w:pPr>
        <w:pStyle w:val="NormalWeb"/>
        <w:spacing w:before="0" w:beforeAutospacing="0" w:after="0" w:afterAutospacing="0" w:line="360" w:lineRule="auto"/>
        <w:jc w:val="both"/>
        <w:rPr>
          <w:color w:val="000000"/>
        </w:rPr>
      </w:pPr>
    </w:p>
    <w:p w14:paraId="0D4AA6A4" w14:textId="77777777" w:rsidR="00AF16E7" w:rsidRDefault="00AF16E7" w:rsidP="00BE2904">
      <w:pPr>
        <w:pStyle w:val="NormalWeb"/>
        <w:spacing w:before="0" w:beforeAutospacing="0" w:after="0" w:afterAutospacing="0" w:line="360" w:lineRule="auto"/>
        <w:jc w:val="both"/>
        <w:rPr>
          <w:color w:val="000000"/>
        </w:rPr>
      </w:pPr>
    </w:p>
    <w:p w14:paraId="679B7CC1" w14:textId="77777777" w:rsidR="00AF16E7" w:rsidRDefault="00AF16E7" w:rsidP="00BE2904">
      <w:pPr>
        <w:pStyle w:val="NormalWeb"/>
        <w:spacing w:before="0" w:beforeAutospacing="0" w:after="0" w:afterAutospacing="0" w:line="360" w:lineRule="auto"/>
        <w:jc w:val="both"/>
        <w:rPr>
          <w:color w:val="000000"/>
        </w:rPr>
      </w:pPr>
    </w:p>
    <w:p w14:paraId="57446C65" w14:textId="77777777" w:rsidR="00AF16E7" w:rsidRPr="00DE56DB" w:rsidRDefault="00AF16E7" w:rsidP="00BE2904">
      <w:pPr>
        <w:pStyle w:val="NormalWeb"/>
        <w:spacing w:before="0" w:beforeAutospacing="0" w:after="0" w:afterAutospacing="0" w:line="360" w:lineRule="auto"/>
        <w:jc w:val="both"/>
        <w:rPr>
          <w:color w:val="000000"/>
        </w:rPr>
      </w:pPr>
    </w:p>
    <w:p w14:paraId="31B075CB" w14:textId="77777777" w:rsidR="006377E9" w:rsidRDefault="006377E9" w:rsidP="00E6464B">
      <w:pPr>
        <w:pStyle w:val="NormalWeb"/>
        <w:spacing w:before="0" w:beforeAutospacing="0" w:after="240" w:afterAutospacing="0" w:line="360" w:lineRule="auto"/>
        <w:jc w:val="both"/>
        <w:rPr>
          <w:color w:val="000000"/>
        </w:rPr>
      </w:pPr>
    </w:p>
    <w:p w14:paraId="7A204482" w14:textId="77777777" w:rsidR="006377E9" w:rsidRDefault="006377E9" w:rsidP="00E6464B">
      <w:pPr>
        <w:pStyle w:val="NormalWeb"/>
        <w:spacing w:before="0" w:beforeAutospacing="0" w:after="240" w:afterAutospacing="0" w:line="360" w:lineRule="auto"/>
        <w:jc w:val="both"/>
        <w:rPr>
          <w:color w:val="000000"/>
        </w:rPr>
      </w:pPr>
    </w:p>
    <w:p w14:paraId="374E3C62" w14:textId="77777777" w:rsidR="006377E9" w:rsidRDefault="006377E9" w:rsidP="00E6464B">
      <w:pPr>
        <w:pStyle w:val="NormalWeb"/>
        <w:spacing w:before="0" w:beforeAutospacing="0" w:after="240" w:afterAutospacing="0" w:line="360" w:lineRule="auto"/>
        <w:jc w:val="both"/>
        <w:rPr>
          <w:color w:val="000000"/>
        </w:rPr>
      </w:pPr>
    </w:p>
    <w:p w14:paraId="7E16773E" w14:textId="77777777" w:rsidR="006377E9" w:rsidRDefault="006377E9" w:rsidP="00E6464B">
      <w:pPr>
        <w:pStyle w:val="NormalWeb"/>
        <w:spacing w:before="0" w:beforeAutospacing="0" w:after="240" w:afterAutospacing="0" w:line="360" w:lineRule="auto"/>
        <w:jc w:val="both"/>
        <w:rPr>
          <w:color w:val="000000"/>
        </w:rPr>
      </w:pPr>
    </w:p>
    <w:p w14:paraId="21628F3C" w14:textId="77777777" w:rsidR="006377E9" w:rsidRDefault="006377E9" w:rsidP="00E6464B">
      <w:pPr>
        <w:pStyle w:val="NormalWeb"/>
        <w:spacing w:before="0" w:beforeAutospacing="0" w:after="240" w:afterAutospacing="0" w:line="360" w:lineRule="auto"/>
        <w:jc w:val="both"/>
        <w:rPr>
          <w:color w:val="000000"/>
        </w:rPr>
      </w:pPr>
    </w:p>
    <w:p w14:paraId="5656360A" w14:textId="77777777" w:rsidR="006377E9" w:rsidRDefault="006377E9" w:rsidP="00E6464B">
      <w:pPr>
        <w:pStyle w:val="NormalWeb"/>
        <w:spacing w:before="0" w:beforeAutospacing="0" w:after="240" w:afterAutospacing="0" w:line="360" w:lineRule="auto"/>
        <w:jc w:val="both"/>
        <w:rPr>
          <w:color w:val="000000"/>
        </w:rPr>
      </w:pPr>
    </w:p>
    <w:p w14:paraId="7D2A4444" w14:textId="7DBD94FD" w:rsidR="00AF7A3B" w:rsidRDefault="00E6464B" w:rsidP="00BE2904">
      <w:pPr>
        <w:pStyle w:val="NormalWeb"/>
        <w:spacing w:before="0" w:beforeAutospacing="0" w:after="0" w:afterAutospacing="0" w:line="360" w:lineRule="auto"/>
        <w:jc w:val="both"/>
        <w:rPr>
          <w:color w:val="000000"/>
        </w:rPr>
      </w:pPr>
      <w:r w:rsidRPr="00DE56DB">
        <w:rPr>
          <w:color w:val="000000"/>
        </w:rPr>
        <w:t xml:space="preserve">. </w:t>
      </w:r>
    </w:p>
    <w:p w14:paraId="24F0FCBC" w14:textId="77777777" w:rsidR="00E154EC" w:rsidRDefault="00E154EC" w:rsidP="00BE2904">
      <w:pPr>
        <w:pStyle w:val="NormalWeb"/>
        <w:spacing w:before="0" w:beforeAutospacing="0" w:after="0" w:afterAutospacing="0" w:line="360" w:lineRule="auto"/>
        <w:jc w:val="both"/>
        <w:rPr>
          <w:color w:val="000000"/>
        </w:rPr>
      </w:pPr>
    </w:p>
    <w:p w14:paraId="3A990056" w14:textId="77777777" w:rsidR="00A90A92" w:rsidRPr="00AF7A3B" w:rsidRDefault="00A90A92" w:rsidP="00271F16">
      <w:pPr>
        <w:pStyle w:val="Prrafodelista"/>
        <w:numPr>
          <w:ilvl w:val="0"/>
          <w:numId w:val="2"/>
        </w:numPr>
        <w:spacing w:line="360" w:lineRule="auto"/>
        <w:jc w:val="both"/>
        <w:rPr>
          <w:b/>
          <w:bCs/>
        </w:rPr>
      </w:pPr>
      <w:r w:rsidRPr="00AF7A3B">
        <w:rPr>
          <w:b/>
          <w:bCs/>
        </w:rPr>
        <w:lastRenderedPageBreak/>
        <w:t xml:space="preserve">Objetivos y metodología. </w:t>
      </w:r>
    </w:p>
    <w:p w14:paraId="3B6093DC" w14:textId="77777777" w:rsidR="00AF7A3B" w:rsidRDefault="00AF7A3B" w:rsidP="00AF7A3B">
      <w:pPr>
        <w:spacing w:line="360" w:lineRule="auto"/>
        <w:ind w:left="360"/>
        <w:jc w:val="both"/>
      </w:pPr>
    </w:p>
    <w:p w14:paraId="414135BF" w14:textId="77777777" w:rsidR="00A90A92" w:rsidRPr="00AF7A3B" w:rsidRDefault="00A90A92" w:rsidP="00AF7A3B">
      <w:pPr>
        <w:spacing w:line="360" w:lineRule="auto"/>
        <w:ind w:firstLine="360"/>
        <w:jc w:val="both"/>
        <w:rPr>
          <w:color w:val="000000"/>
        </w:rPr>
      </w:pPr>
      <w:r w:rsidRPr="00AF7A3B">
        <w:rPr>
          <w:color w:val="000000"/>
        </w:rPr>
        <w:t xml:space="preserve">La búsqueda de información se realizó a través de la base de datos de Google </w:t>
      </w:r>
      <w:proofErr w:type="spellStart"/>
      <w:r w:rsidRPr="00AF7A3B">
        <w:rPr>
          <w:color w:val="000000"/>
        </w:rPr>
        <w:t>Scholar</w:t>
      </w:r>
      <w:proofErr w:type="spellEnd"/>
      <w:r w:rsidRPr="00AF7A3B">
        <w:rPr>
          <w:color w:val="000000"/>
        </w:rPr>
        <w:t xml:space="preserve">, seleccionando revisiones sistemáticas, así como investigaciones y estudios de casos a partir del año 2000. Para completar la búsqueda se utilizaron las siguientes palabras clave en inglés: </w:t>
      </w:r>
      <w:r w:rsidRPr="00D05742">
        <w:t>“</w:t>
      </w:r>
      <w:proofErr w:type="spellStart"/>
      <w:r w:rsidRPr="00AF7A3B">
        <w:rPr>
          <w:color w:val="000000" w:themeColor="text1"/>
        </w:rPr>
        <w:t>gender-based</w:t>
      </w:r>
      <w:proofErr w:type="spellEnd"/>
      <w:r w:rsidRPr="00AF7A3B">
        <w:rPr>
          <w:color w:val="000000" w:themeColor="text1"/>
        </w:rPr>
        <w:t xml:space="preserve"> </w:t>
      </w:r>
      <w:proofErr w:type="spellStart"/>
      <w:r w:rsidRPr="00AF7A3B">
        <w:rPr>
          <w:color w:val="000000" w:themeColor="text1"/>
        </w:rPr>
        <w:t>violence</w:t>
      </w:r>
      <w:proofErr w:type="spellEnd"/>
      <w:r w:rsidRPr="00AF7A3B">
        <w:rPr>
          <w:color w:val="000000" w:themeColor="text1"/>
        </w:rPr>
        <w:t xml:space="preserve">, </w:t>
      </w:r>
      <w:proofErr w:type="spellStart"/>
      <w:r w:rsidRPr="00AF7A3B">
        <w:rPr>
          <w:color w:val="000000" w:themeColor="text1"/>
        </w:rPr>
        <w:t>child</w:t>
      </w:r>
      <w:proofErr w:type="spellEnd"/>
      <w:r w:rsidRPr="00AF7A3B">
        <w:rPr>
          <w:color w:val="000000" w:themeColor="text1"/>
        </w:rPr>
        <w:t xml:space="preserve"> abuse, </w:t>
      </w:r>
      <w:proofErr w:type="spellStart"/>
      <w:r w:rsidRPr="00AF7A3B">
        <w:rPr>
          <w:color w:val="000000" w:themeColor="text1"/>
        </w:rPr>
        <w:t>children</w:t>
      </w:r>
      <w:proofErr w:type="spellEnd"/>
      <w:r w:rsidRPr="00AF7A3B">
        <w:rPr>
          <w:color w:val="000000" w:themeColor="text1"/>
        </w:rPr>
        <w:t xml:space="preserve"> at </w:t>
      </w:r>
      <w:proofErr w:type="spellStart"/>
      <w:r w:rsidRPr="00AF7A3B">
        <w:rPr>
          <w:color w:val="000000" w:themeColor="text1"/>
        </w:rPr>
        <w:t>risk</w:t>
      </w:r>
      <w:proofErr w:type="spellEnd"/>
      <w:r w:rsidRPr="00AF7A3B">
        <w:rPr>
          <w:color w:val="000000" w:themeColor="text1"/>
        </w:rPr>
        <w:t xml:space="preserve">, </w:t>
      </w:r>
      <w:proofErr w:type="spellStart"/>
      <w:r w:rsidRPr="00AF7A3B">
        <w:rPr>
          <w:color w:val="000000" w:themeColor="text1"/>
        </w:rPr>
        <w:t>child</w:t>
      </w:r>
      <w:proofErr w:type="spellEnd"/>
      <w:r w:rsidRPr="00AF7A3B">
        <w:rPr>
          <w:color w:val="000000" w:themeColor="text1"/>
        </w:rPr>
        <w:t xml:space="preserve"> </w:t>
      </w:r>
      <w:proofErr w:type="spellStart"/>
      <w:r w:rsidRPr="00AF7A3B">
        <w:rPr>
          <w:color w:val="000000" w:themeColor="text1"/>
        </w:rPr>
        <w:t>protection</w:t>
      </w:r>
      <w:proofErr w:type="spellEnd"/>
      <w:r w:rsidRPr="00AF7A3B">
        <w:rPr>
          <w:color w:val="000000" w:themeColor="text1"/>
        </w:rPr>
        <w:t xml:space="preserve">, </w:t>
      </w:r>
      <w:proofErr w:type="spellStart"/>
      <w:r w:rsidRPr="00AF7A3B">
        <w:rPr>
          <w:color w:val="000000" w:themeColor="text1"/>
        </w:rPr>
        <w:t>intimate</w:t>
      </w:r>
      <w:proofErr w:type="spellEnd"/>
      <w:r w:rsidRPr="00AF7A3B">
        <w:rPr>
          <w:color w:val="000000" w:themeColor="text1"/>
        </w:rPr>
        <w:t xml:space="preserve"> </w:t>
      </w:r>
      <w:proofErr w:type="spellStart"/>
      <w:r w:rsidRPr="00AF7A3B">
        <w:rPr>
          <w:color w:val="000000" w:themeColor="text1"/>
        </w:rPr>
        <w:t>partner</w:t>
      </w:r>
      <w:proofErr w:type="spellEnd"/>
      <w:r w:rsidRPr="00AF7A3B">
        <w:rPr>
          <w:color w:val="000000" w:themeColor="text1"/>
        </w:rPr>
        <w:t xml:space="preserve"> </w:t>
      </w:r>
      <w:proofErr w:type="spellStart"/>
      <w:r w:rsidRPr="00AF7A3B">
        <w:rPr>
          <w:color w:val="000000" w:themeColor="text1"/>
        </w:rPr>
        <w:t>violence</w:t>
      </w:r>
      <w:proofErr w:type="spellEnd"/>
      <w:r w:rsidRPr="00AF7A3B">
        <w:rPr>
          <w:color w:val="000000" w:themeColor="text1"/>
        </w:rPr>
        <w:t xml:space="preserve">, </w:t>
      </w:r>
      <w:proofErr w:type="spellStart"/>
      <w:r w:rsidRPr="00AF7A3B">
        <w:rPr>
          <w:color w:val="000000" w:themeColor="text1"/>
        </w:rPr>
        <w:t>victimization</w:t>
      </w:r>
      <w:proofErr w:type="spellEnd"/>
      <w:r w:rsidRPr="00AF7A3B">
        <w:rPr>
          <w:color w:val="000000" w:themeColor="text1"/>
        </w:rPr>
        <w:t xml:space="preserve">, </w:t>
      </w:r>
      <w:r w:rsidRPr="00AF7A3B">
        <w:rPr>
          <w:color w:val="000000"/>
        </w:rPr>
        <w:t>y sus equivalentes en español: “</w:t>
      </w:r>
      <w:r w:rsidRPr="00D05742">
        <w:t xml:space="preserve">violencia de género, maltrato infantil, infancia en riesgo, protección del menor, violencia de género en la pareja, victimización”. </w:t>
      </w:r>
    </w:p>
    <w:p w14:paraId="2B28B9BF" w14:textId="77777777" w:rsidR="00A90A92" w:rsidRDefault="00A90A92" w:rsidP="00A90A92">
      <w:pPr>
        <w:spacing w:line="360" w:lineRule="auto"/>
        <w:ind w:left="360"/>
        <w:jc w:val="both"/>
      </w:pPr>
    </w:p>
    <w:p w14:paraId="3C1FE5BC" w14:textId="77777777" w:rsidR="00A90A92" w:rsidRDefault="00A90A92" w:rsidP="00A90A92">
      <w:pPr>
        <w:spacing w:line="360" w:lineRule="auto"/>
        <w:jc w:val="both"/>
      </w:pPr>
    </w:p>
    <w:p w14:paraId="78A74E90" w14:textId="77777777" w:rsidR="00A90A92" w:rsidRDefault="00A90A92" w:rsidP="00A90A92">
      <w:pPr>
        <w:spacing w:line="360" w:lineRule="auto"/>
        <w:jc w:val="both"/>
      </w:pPr>
    </w:p>
    <w:p w14:paraId="0AE55857" w14:textId="77777777" w:rsidR="00A90A92" w:rsidRDefault="00A90A92" w:rsidP="00A90A92">
      <w:pPr>
        <w:spacing w:line="360" w:lineRule="auto"/>
        <w:jc w:val="both"/>
      </w:pPr>
    </w:p>
    <w:p w14:paraId="4FAC7F57" w14:textId="77777777" w:rsidR="00A90A92" w:rsidRDefault="00A90A92" w:rsidP="00A90A92">
      <w:pPr>
        <w:spacing w:line="360" w:lineRule="auto"/>
        <w:jc w:val="both"/>
      </w:pPr>
    </w:p>
    <w:p w14:paraId="75E2A424" w14:textId="77777777" w:rsidR="00A90A92" w:rsidRDefault="00A90A92" w:rsidP="00A90A92">
      <w:pPr>
        <w:spacing w:line="360" w:lineRule="auto"/>
        <w:jc w:val="both"/>
      </w:pPr>
    </w:p>
    <w:p w14:paraId="694F7663" w14:textId="77777777" w:rsidR="00A90A92" w:rsidRDefault="00A90A92" w:rsidP="00A90A92">
      <w:pPr>
        <w:spacing w:line="360" w:lineRule="auto"/>
        <w:jc w:val="both"/>
      </w:pPr>
    </w:p>
    <w:p w14:paraId="7733E149" w14:textId="77777777" w:rsidR="00A90A92" w:rsidRDefault="00A90A92" w:rsidP="00A90A92">
      <w:pPr>
        <w:spacing w:line="360" w:lineRule="auto"/>
        <w:jc w:val="both"/>
      </w:pPr>
    </w:p>
    <w:p w14:paraId="41E95FAF" w14:textId="77777777" w:rsidR="00A90A92" w:rsidRDefault="00A90A92" w:rsidP="00A90A92">
      <w:pPr>
        <w:spacing w:line="360" w:lineRule="auto"/>
        <w:jc w:val="both"/>
      </w:pPr>
    </w:p>
    <w:p w14:paraId="31FACC9F" w14:textId="77777777" w:rsidR="00A90A92" w:rsidRDefault="00A90A92" w:rsidP="00A90A92">
      <w:pPr>
        <w:spacing w:line="360" w:lineRule="auto"/>
        <w:jc w:val="both"/>
      </w:pPr>
    </w:p>
    <w:p w14:paraId="000A7465" w14:textId="77777777" w:rsidR="00A90A92" w:rsidRDefault="00A90A92" w:rsidP="00A90A92">
      <w:pPr>
        <w:spacing w:line="360" w:lineRule="auto"/>
        <w:jc w:val="both"/>
      </w:pPr>
    </w:p>
    <w:p w14:paraId="600129FC" w14:textId="77777777" w:rsidR="00A90A92" w:rsidRDefault="00A90A92" w:rsidP="00A90A92">
      <w:pPr>
        <w:spacing w:line="360" w:lineRule="auto"/>
        <w:jc w:val="both"/>
      </w:pPr>
    </w:p>
    <w:p w14:paraId="5608BE76" w14:textId="77777777" w:rsidR="00A90A92" w:rsidRDefault="00A90A92" w:rsidP="00A90A92">
      <w:pPr>
        <w:spacing w:line="360" w:lineRule="auto"/>
        <w:jc w:val="both"/>
      </w:pPr>
    </w:p>
    <w:p w14:paraId="3F3F56B0" w14:textId="77777777" w:rsidR="00A90A92" w:rsidRDefault="00A90A92" w:rsidP="00A90A92">
      <w:pPr>
        <w:spacing w:line="360" w:lineRule="auto"/>
        <w:jc w:val="both"/>
      </w:pPr>
    </w:p>
    <w:p w14:paraId="5E2A7535" w14:textId="77777777" w:rsidR="00A90A92" w:rsidRDefault="00A90A92" w:rsidP="00A90A92">
      <w:pPr>
        <w:spacing w:line="360" w:lineRule="auto"/>
        <w:jc w:val="both"/>
      </w:pPr>
    </w:p>
    <w:p w14:paraId="1D23279D" w14:textId="77777777" w:rsidR="00A90A92" w:rsidRDefault="00A90A92" w:rsidP="00A90A92">
      <w:pPr>
        <w:spacing w:line="360" w:lineRule="auto"/>
        <w:jc w:val="both"/>
      </w:pPr>
    </w:p>
    <w:p w14:paraId="47B70854" w14:textId="77777777" w:rsidR="00A90A92" w:rsidRDefault="00A90A92" w:rsidP="00A90A92">
      <w:pPr>
        <w:spacing w:line="360" w:lineRule="auto"/>
        <w:jc w:val="both"/>
      </w:pPr>
    </w:p>
    <w:p w14:paraId="20593AF5" w14:textId="77777777" w:rsidR="00A90A92" w:rsidRDefault="00A90A92" w:rsidP="00A90A92">
      <w:pPr>
        <w:spacing w:line="360" w:lineRule="auto"/>
        <w:jc w:val="both"/>
      </w:pPr>
    </w:p>
    <w:p w14:paraId="624F9712" w14:textId="77777777" w:rsidR="00A90A92" w:rsidRDefault="00A90A92" w:rsidP="00A90A92">
      <w:pPr>
        <w:spacing w:line="360" w:lineRule="auto"/>
        <w:jc w:val="both"/>
      </w:pPr>
    </w:p>
    <w:p w14:paraId="5EB4D58A" w14:textId="77777777" w:rsidR="00A90A92" w:rsidRDefault="00A90A92" w:rsidP="00A90A92">
      <w:pPr>
        <w:spacing w:line="360" w:lineRule="auto"/>
        <w:jc w:val="both"/>
      </w:pPr>
    </w:p>
    <w:p w14:paraId="3D523454" w14:textId="77777777" w:rsidR="00A90A92" w:rsidRDefault="00A90A92" w:rsidP="00A90A92">
      <w:pPr>
        <w:spacing w:line="360" w:lineRule="auto"/>
        <w:jc w:val="both"/>
      </w:pPr>
    </w:p>
    <w:p w14:paraId="5DA1A4D0" w14:textId="77777777" w:rsidR="00A90A92" w:rsidRDefault="00A90A92" w:rsidP="00A90A92">
      <w:pPr>
        <w:spacing w:line="360" w:lineRule="auto"/>
        <w:jc w:val="both"/>
      </w:pPr>
    </w:p>
    <w:p w14:paraId="3B65389B" w14:textId="77777777" w:rsidR="00A90A92" w:rsidRDefault="00A90A92" w:rsidP="00A90A92">
      <w:pPr>
        <w:spacing w:line="360" w:lineRule="auto"/>
        <w:jc w:val="both"/>
      </w:pPr>
    </w:p>
    <w:p w14:paraId="741120D7" w14:textId="77777777" w:rsidR="00A90A92" w:rsidRDefault="00A90A92" w:rsidP="00A90A92">
      <w:pPr>
        <w:spacing w:line="360" w:lineRule="auto"/>
        <w:jc w:val="both"/>
      </w:pPr>
    </w:p>
    <w:p w14:paraId="15CE17BF" w14:textId="77777777" w:rsidR="00A90A92" w:rsidRDefault="00A90A92" w:rsidP="00A90A92">
      <w:pPr>
        <w:spacing w:line="360" w:lineRule="auto"/>
        <w:jc w:val="both"/>
      </w:pPr>
    </w:p>
    <w:p w14:paraId="70D7B663" w14:textId="29E54268" w:rsidR="00E6464B" w:rsidRPr="00AF7A3B" w:rsidRDefault="0088700D" w:rsidP="004B5AB0">
      <w:pPr>
        <w:pStyle w:val="Prrafodelista"/>
        <w:numPr>
          <w:ilvl w:val="0"/>
          <w:numId w:val="2"/>
        </w:numPr>
        <w:spacing w:line="360" w:lineRule="auto"/>
        <w:jc w:val="both"/>
        <w:rPr>
          <w:b/>
          <w:bCs/>
        </w:rPr>
      </w:pPr>
      <w:r w:rsidRPr="00AF7A3B">
        <w:rPr>
          <w:b/>
          <w:bCs/>
        </w:rPr>
        <w:lastRenderedPageBreak/>
        <w:t>Marco teórico</w:t>
      </w:r>
      <w:r w:rsidR="00AF7A3B">
        <w:rPr>
          <w:b/>
          <w:bCs/>
        </w:rPr>
        <w:t xml:space="preserve">. </w:t>
      </w:r>
    </w:p>
    <w:p w14:paraId="3B735E93" w14:textId="77777777" w:rsidR="00E6464B" w:rsidRDefault="00E6464B" w:rsidP="004B5AB0">
      <w:pPr>
        <w:spacing w:line="360" w:lineRule="auto"/>
        <w:jc w:val="both"/>
      </w:pPr>
    </w:p>
    <w:p w14:paraId="316CEC68" w14:textId="77777777" w:rsidR="00484FCF" w:rsidRDefault="00484FCF" w:rsidP="00484FCF">
      <w:pPr>
        <w:pStyle w:val="Prrafodelista"/>
        <w:numPr>
          <w:ilvl w:val="0"/>
          <w:numId w:val="4"/>
        </w:numPr>
        <w:spacing w:line="360" w:lineRule="auto"/>
        <w:rPr>
          <w:b/>
          <w:bCs/>
          <w:u w:val="single"/>
        </w:rPr>
      </w:pPr>
      <w:r w:rsidRPr="00267702">
        <w:rPr>
          <w:b/>
          <w:bCs/>
          <w:u w:val="single"/>
        </w:rPr>
        <w:t xml:space="preserve">Perspectiva histórica de la violencia de género. </w:t>
      </w:r>
    </w:p>
    <w:p w14:paraId="3AB62819" w14:textId="77777777" w:rsidR="00484FCF" w:rsidRDefault="00484FCF" w:rsidP="00484FCF">
      <w:pPr>
        <w:spacing w:line="360" w:lineRule="auto"/>
        <w:rPr>
          <w:b/>
          <w:bCs/>
          <w:u w:val="single"/>
        </w:rPr>
      </w:pPr>
    </w:p>
    <w:p w14:paraId="1D365275" w14:textId="77777777" w:rsidR="001B17D8" w:rsidRDefault="00484FCF" w:rsidP="001B17D8">
      <w:pPr>
        <w:pStyle w:val="NormalWeb"/>
        <w:spacing w:before="0" w:beforeAutospacing="0" w:after="240" w:afterAutospacing="0" w:line="360" w:lineRule="auto"/>
        <w:ind w:firstLine="360"/>
        <w:jc w:val="both"/>
        <w:rPr>
          <w:color w:val="000000"/>
        </w:rPr>
      </w:pPr>
      <w:r>
        <w:rPr>
          <w:color w:val="000000"/>
        </w:rPr>
        <w:t xml:space="preserve">Para </w:t>
      </w:r>
      <w:r w:rsidR="00E27631">
        <w:rPr>
          <w:color w:val="000000"/>
        </w:rPr>
        <w:t xml:space="preserve">introducir </w:t>
      </w:r>
      <w:r>
        <w:rPr>
          <w:color w:val="000000"/>
        </w:rPr>
        <w:t>la violencia de género</w:t>
      </w:r>
      <w:r w:rsidR="00E27631">
        <w:rPr>
          <w:color w:val="000000"/>
        </w:rPr>
        <w:t xml:space="preserve">, </w:t>
      </w:r>
      <w:r>
        <w:rPr>
          <w:color w:val="000000"/>
        </w:rPr>
        <w:t>es necesario situarla en una perspectiva histórica que permita observar cómo ha evolucionado el</w:t>
      </w:r>
      <w:r w:rsidR="000E7E9E">
        <w:rPr>
          <w:color w:val="000000"/>
        </w:rPr>
        <w:t xml:space="preserve"> concepto </w:t>
      </w:r>
      <w:r>
        <w:rPr>
          <w:color w:val="000000"/>
        </w:rPr>
        <w:t xml:space="preserve">hasta la actualidad, así como conocer sus antecedentes. Esto implica retroceder en el tiempo para analizar cómo se han construido históricamente las relaciones sociales entre hombres y mujeres. </w:t>
      </w:r>
    </w:p>
    <w:p w14:paraId="792D2A82" w14:textId="07FA0249" w:rsidR="00484FCF" w:rsidRDefault="00484FCF" w:rsidP="001B17D8">
      <w:pPr>
        <w:pStyle w:val="NormalWeb"/>
        <w:spacing w:before="0" w:beforeAutospacing="0" w:after="240" w:afterAutospacing="0" w:line="360" w:lineRule="auto"/>
        <w:ind w:firstLine="360"/>
        <w:jc w:val="both"/>
        <w:rPr>
          <w:color w:val="000000"/>
        </w:rPr>
      </w:pPr>
      <w:r w:rsidRPr="004A44AE">
        <w:rPr>
          <w:color w:val="000000"/>
        </w:rPr>
        <w:t>En este contexto, el concepto de “género” comenzó a adquirir relevancia a partir de la década de 1970. Joan Scott, una de las historiadoras</w:t>
      </w:r>
      <w:r>
        <w:rPr>
          <w:color w:val="000000"/>
        </w:rPr>
        <w:t xml:space="preserve"> estadunidenses </w:t>
      </w:r>
      <w:r w:rsidRPr="004A44AE">
        <w:rPr>
          <w:color w:val="000000"/>
        </w:rPr>
        <w:t>más influyentes en e</w:t>
      </w:r>
      <w:r>
        <w:rPr>
          <w:color w:val="000000"/>
        </w:rPr>
        <w:t xml:space="preserve">ste campo, destacó la importancia de diferenciar el género del sexo: mientras que el sexo hace referencia a una </w:t>
      </w:r>
      <w:r w:rsidRPr="004A44AE">
        <w:rPr>
          <w:color w:val="000000"/>
        </w:rPr>
        <w:t>clasificación biológica asignada al nacer,</w:t>
      </w:r>
      <w:r>
        <w:rPr>
          <w:color w:val="000000"/>
        </w:rPr>
        <w:t xml:space="preserve"> el género alude a los roles, </w:t>
      </w:r>
      <w:r w:rsidRPr="00963576">
        <w:rPr>
          <w:color w:val="000000"/>
        </w:rPr>
        <w:t>normas y expectativas sociales que se atribuyen a las personas en función de dicha diferencia (</w:t>
      </w:r>
      <w:proofErr w:type="spellStart"/>
      <w:r w:rsidRPr="00963576">
        <w:rPr>
          <w:color w:val="000000"/>
        </w:rPr>
        <w:t>Emakunde</w:t>
      </w:r>
      <w:proofErr w:type="spellEnd"/>
      <w:r w:rsidRPr="00963576">
        <w:rPr>
          <w:color w:val="000000"/>
        </w:rPr>
        <w:t>, s.f.)</w:t>
      </w:r>
      <w:r>
        <w:rPr>
          <w:color w:val="000000"/>
        </w:rPr>
        <w:t>.</w:t>
      </w:r>
      <w:r w:rsidRPr="00963576">
        <w:rPr>
          <w:color w:val="000000"/>
        </w:rPr>
        <w:t xml:space="preserve"> De</w:t>
      </w:r>
      <w:r>
        <w:rPr>
          <w:color w:val="000000"/>
        </w:rPr>
        <w:t xml:space="preserve"> este modo, no es el sexo por sí mismo el </w:t>
      </w:r>
      <w:r w:rsidRPr="004A44AE">
        <w:rPr>
          <w:color w:val="000000"/>
        </w:rPr>
        <w:t xml:space="preserve">que determina </w:t>
      </w:r>
      <w:r>
        <w:rPr>
          <w:color w:val="000000"/>
        </w:rPr>
        <w:t xml:space="preserve">cómo es una persona ni cómo debe ser tratada, sino las construcciones sociales asociadas a cada sujeto. </w:t>
      </w:r>
    </w:p>
    <w:p w14:paraId="54C4BEDA" w14:textId="02E2AF3A" w:rsidR="00484FCF" w:rsidRPr="009622EE" w:rsidRDefault="00484FCF" w:rsidP="00484FCF">
      <w:pPr>
        <w:pStyle w:val="NormalWeb"/>
        <w:spacing w:before="0" w:beforeAutospacing="0" w:after="240" w:afterAutospacing="0" w:line="360" w:lineRule="auto"/>
        <w:ind w:firstLine="360"/>
        <w:jc w:val="both"/>
        <w:rPr>
          <w:rFonts w:eastAsiaTheme="minorHAnsi"/>
          <w:lang w:val="es-ES_tradnl" w:eastAsia="en-US"/>
          <w14:ligatures w14:val="standardContextual"/>
        </w:rPr>
      </w:pPr>
      <w:r>
        <w:rPr>
          <w:color w:val="000000"/>
        </w:rPr>
        <w:t xml:space="preserve">Durante este periodo, se consolidaron diferencias sociales y culturales entre la figura masculina y femenina, que históricamente se tradujeron en una jerárquica social. </w:t>
      </w:r>
      <w:r w:rsidRPr="00B50B39">
        <w:rPr>
          <w:rFonts w:eastAsiaTheme="minorHAnsi"/>
          <w:lang w:val="es-ES_tradnl" w:eastAsia="en-US"/>
          <w14:ligatures w14:val="standardContextual"/>
        </w:rPr>
        <w:t>(Hirigoyen, 2006; Rojas-Marcos, 1995)</w:t>
      </w:r>
      <w:r>
        <w:rPr>
          <w:rFonts w:eastAsiaTheme="minorHAnsi"/>
          <w:lang w:val="es-ES_tradnl" w:eastAsia="en-US"/>
          <w14:ligatures w14:val="standardContextual"/>
        </w:rPr>
        <w:t xml:space="preserve">. Dentro de esta jerarquía, el hombre se sitúa en la cúspide de la pirámide, asociado al </w:t>
      </w:r>
      <w:r w:rsidRPr="002800C9">
        <w:rPr>
          <w:rFonts w:eastAsiaTheme="minorHAnsi"/>
          <w:lang w:val="es-ES_tradnl" w:eastAsia="en-US"/>
          <w14:ligatures w14:val="standardContextual"/>
        </w:rPr>
        <w:t xml:space="preserve">binomio </w:t>
      </w:r>
      <w:r w:rsidRPr="002800C9">
        <w:rPr>
          <w:color w:val="000000"/>
        </w:rPr>
        <w:t>hombre-masculino,</w:t>
      </w:r>
      <w:r>
        <w:rPr>
          <w:color w:val="000000"/>
        </w:rPr>
        <w:t xml:space="preserve"> históricamente vinculado al </w:t>
      </w:r>
      <w:r w:rsidRPr="00B254CE">
        <w:rPr>
          <w:color w:val="000000"/>
        </w:rPr>
        <w:t xml:space="preserve">desarrollo social, </w:t>
      </w:r>
      <w:r>
        <w:rPr>
          <w:color w:val="000000"/>
        </w:rPr>
        <w:t xml:space="preserve">la </w:t>
      </w:r>
      <w:r w:rsidRPr="00B254CE">
        <w:rPr>
          <w:color w:val="000000"/>
        </w:rPr>
        <w:t xml:space="preserve">racionalidad, </w:t>
      </w:r>
      <w:r>
        <w:rPr>
          <w:color w:val="000000"/>
        </w:rPr>
        <w:t xml:space="preserve">la </w:t>
      </w:r>
      <w:r w:rsidRPr="00B254CE">
        <w:rPr>
          <w:color w:val="000000"/>
        </w:rPr>
        <w:t>fuerza e independencia,</w:t>
      </w:r>
      <w:r>
        <w:rPr>
          <w:color w:val="000000"/>
        </w:rPr>
        <w:t xml:space="preserve"> y </w:t>
      </w:r>
      <w:r>
        <w:rPr>
          <w:rFonts w:eastAsiaTheme="minorHAnsi"/>
          <w:lang w:val="es-ES_tradnl" w:eastAsia="en-US"/>
          <w14:ligatures w14:val="standardContextual"/>
        </w:rPr>
        <w:t xml:space="preserve">a cualidades como liderazgo y capacidad para ocupar puestos de relevancia en ámbitos </w:t>
      </w:r>
      <w:r>
        <w:rPr>
          <w:color w:val="000000"/>
        </w:rPr>
        <w:t xml:space="preserve">laborales y políticos. En comparación, </w:t>
      </w:r>
      <w:r>
        <w:rPr>
          <w:rFonts w:eastAsiaTheme="minorHAnsi"/>
          <w:lang w:val="es-ES_tradnl" w:eastAsia="en-US"/>
          <w14:ligatures w14:val="standardContextual"/>
        </w:rPr>
        <w:t xml:space="preserve">la mujer se encuentra en la base de la pirámide, asociada al </w:t>
      </w:r>
      <w:r w:rsidRPr="00B254CE">
        <w:rPr>
          <w:color w:val="000000"/>
        </w:rPr>
        <w:t>binomio mujer-femenina</w:t>
      </w:r>
      <w:r>
        <w:rPr>
          <w:color w:val="000000"/>
        </w:rPr>
        <w:t xml:space="preserve">, tradicionalmente infravalorada y vinculada a la </w:t>
      </w:r>
      <w:r w:rsidRPr="00B254CE">
        <w:rPr>
          <w:color w:val="000000"/>
        </w:rPr>
        <w:t xml:space="preserve">reproducción, </w:t>
      </w:r>
      <w:r>
        <w:rPr>
          <w:color w:val="000000"/>
        </w:rPr>
        <w:t xml:space="preserve">la </w:t>
      </w:r>
      <w:r w:rsidRPr="00B254CE">
        <w:rPr>
          <w:color w:val="000000"/>
        </w:rPr>
        <w:t>emocionalidad y</w:t>
      </w:r>
      <w:r>
        <w:rPr>
          <w:color w:val="000000"/>
        </w:rPr>
        <w:t xml:space="preserve"> la</w:t>
      </w:r>
      <w:r w:rsidRPr="00B254CE">
        <w:rPr>
          <w:color w:val="000000"/>
        </w:rPr>
        <w:t xml:space="preserve"> dependencia</w:t>
      </w:r>
      <w:r>
        <w:rPr>
          <w:color w:val="000000"/>
        </w:rPr>
        <w:t xml:space="preserve">, </w:t>
      </w:r>
      <w:r>
        <w:rPr>
          <w:rFonts w:eastAsiaTheme="minorHAnsi"/>
          <w:lang w:val="es-ES_tradnl" w:eastAsia="en-US"/>
          <w14:ligatures w14:val="standardContextual"/>
        </w:rPr>
        <w:t>considerándola un sujeto secundario sin agencia ni identidad propia, destinada principalmente al cuidado y servicio de los demás</w:t>
      </w:r>
      <w:r w:rsidRPr="00B254CE">
        <w:rPr>
          <w:color w:val="000000"/>
        </w:rPr>
        <w:t xml:space="preserve"> (Bosch et al., 2013; Carmona, 2023; </w:t>
      </w:r>
      <w:proofErr w:type="spellStart"/>
      <w:r w:rsidRPr="00B254CE">
        <w:rPr>
          <w:color w:val="000000"/>
        </w:rPr>
        <w:t>Comins</w:t>
      </w:r>
      <w:proofErr w:type="spellEnd"/>
      <w:r w:rsidRPr="00B254CE">
        <w:rPr>
          <w:color w:val="000000"/>
        </w:rPr>
        <w:t>, 2023).</w:t>
      </w:r>
    </w:p>
    <w:p w14:paraId="1ADA942E" w14:textId="77777777" w:rsidR="00484FCF" w:rsidRPr="009622EE" w:rsidRDefault="00484FCF" w:rsidP="00484FCF">
      <w:pPr>
        <w:pStyle w:val="NormalWeb"/>
        <w:spacing w:before="0" w:beforeAutospacing="0" w:after="240" w:afterAutospacing="0" w:line="360" w:lineRule="auto"/>
        <w:ind w:firstLine="360"/>
        <w:jc w:val="both"/>
        <w:rPr>
          <w:rFonts w:eastAsiaTheme="minorHAnsi"/>
          <w:lang w:val="es-ES_tradnl" w:eastAsia="en-US"/>
          <w14:ligatures w14:val="standardContextual"/>
        </w:rPr>
      </w:pPr>
      <w:r>
        <w:rPr>
          <w:rFonts w:eastAsiaTheme="minorHAnsi"/>
          <w:lang w:val="es-ES_tradnl" w:eastAsia="en-US"/>
          <w14:ligatures w14:val="standardContextual"/>
        </w:rPr>
        <w:t xml:space="preserve">Esta falta de protagonismo y subordinación tiene raíces históricas profundas. </w:t>
      </w:r>
      <w:r>
        <w:rPr>
          <w:color w:val="000000"/>
        </w:rPr>
        <w:t xml:space="preserve">Por ejemplo, desde la antigüedad, filósofos como Aristóteles sostenían una mirada discriminatoria hacia la mujer, afirmando que “el macho es por naturaleza superior y la hembra inferior; uno gobierna y la otra es </w:t>
      </w:r>
      <w:r w:rsidRPr="009913E1">
        <w:rPr>
          <w:color w:val="000000"/>
        </w:rPr>
        <w:t>gobernada” (Aristóteles, ca. siglo IV a. C./1998).</w:t>
      </w:r>
      <w:r>
        <w:rPr>
          <w:color w:val="000000"/>
        </w:rPr>
        <w:t xml:space="preserve"> </w:t>
      </w:r>
    </w:p>
    <w:p w14:paraId="4E735A2A" w14:textId="57F182A4" w:rsidR="00484FCF" w:rsidRDefault="00484FCF" w:rsidP="00484FCF">
      <w:pPr>
        <w:pStyle w:val="NormalWeb"/>
        <w:spacing w:before="0" w:beforeAutospacing="0" w:after="240" w:afterAutospacing="0" w:line="360" w:lineRule="auto"/>
        <w:ind w:firstLine="360"/>
        <w:jc w:val="both"/>
        <w:rPr>
          <w:color w:val="000000"/>
        </w:rPr>
      </w:pPr>
      <w:r>
        <w:rPr>
          <w:color w:val="000000"/>
          <w:shd w:val="clear" w:color="auto" w:fill="FFFFFF"/>
        </w:rPr>
        <w:lastRenderedPageBreak/>
        <w:t xml:space="preserve">Profundizando en la historia, el origen de esta clasificación social basada en la desigualdad </w:t>
      </w:r>
      <w:r>
        <w:rPr>
          <w:color w:val="000000"/>
        </w:rPr>
        <w:t>se remonta al primer periodo de la prehistoria, conocido como el Paleolítico. Esta época se caracteriza por la aparición de los primeros seres humanos que habitaban en pueblos primitivos. En estas</w:t>
      </w:r>
      <w:r w:rsidR="006B0023">
        <w:rPr>
          <w:color w:val="000000"/>
        </w:rPr>
        <w:t xml:space="preserve"> comunidades</w:t>
      </w:r>
      <w:r>
        <w:rPr>
          <w:color w:val="000000"/>
        </w:rPr>
        <w:t xml:space="preserve">, debido a las condiciones adversas de la naturaleza y a la precariedad de recursos, los hombres se encargaban predominantemente de actividades de caza y recolección para garantizar la supervivencia, mientras que las mujeres cuidaban de los hijos y se ocupaban de preparar utensilios. Esta división de roles consolidó la percepción de la mujer como pacífica y sumisa, y del hombre como dominante y </w:t>
      </w:r>
      <w:r w:rsidRPr="00221368">
        <w:rPr>
          <w:color w:val="000000"/>
        </w:rPr>
        <w:t>poderoso (Arriazu, 2000, pp. 310–312)</w:t>
      </w:r>
      <w:r>
        <w:rPr>
          <w:color w:val="000000"/>
        </w:rPr>
        <w:t xml:space="preserve">. </w:t>
      </w:r>
    </w:p>
    <w:p w14:paraId="3A56D29A" w14:textId="77777777" w:rsidR="00484FCF" w:rsidRDefault="00484FCF" w:rsidP="00484FCF">
      <w:pPr>
        <w:pStyle w:val="NormalWeb"/>
        <w:spacing w:before="0" w:beforeAutospacing="0" w:after="240" w:afterAutospacing="0" w:line="360" w:lineRule="auto"/>
        <w:ind w:firstLine="360"/>
        <w:jc w:val="both"/>
        <w:rPr>
          <w:color w:val="000000"/>
        </w:rPr>
      </w:pPr>
      <w:r>
        <w:rPr>
          <w:color w:val="000000"/>
        </w:rPr>
        <w:t xml:space="preserve">Además de las desigualdades históricas ya mencionadas, es importante considerar otros factores que contribuyen a la comprensión de la violencia de género, como las diferencias físicas y los estereotipos asociados a la masculinidad. De esta forma, surge la reflexión sobre por qué la violencia de género se entiende como un fenómeno unidireccional, ejercida mayoritariamente del sexo masculino hacia el femenino, y no a la inversa. </w:t>
      </w:r>
    </w:p>
    <w:p w14:paraId="2FDA3384" w14:textId="7F3CEABD" w:rsidR="00484FCF" w:rsidRPr="001E1746" w:rsidRDefault="00484FCF" w:rsidP="00484FCF">
      <w:pPr>
        <w:pStyle w:val="NormalWeb"/>
        <w:spacing w:before="0" w:beforeAutospacing="0" w:after="240" w:afterAutospacing="0" w:line="360" w:lineRule="auto"/>
        <w:ind w:firstLine="360"/>
        <w:jc w:val="both"/>
        <w:rPr>
          <w:color w:val="000000"/>
        </w:rPr>
      </w:pPr>
      <w:r>
        <w:rPr>
          <w:color w:val="000000"/>
        </w:rPr>
        <w:t xml:space="preserve">Desde un enfoque biológico, la fuerza </w:t>
      </w:r>
      <w:r w:rsidRPr="00FA552C">
        <w:rPr>
          <w:color w:val="000000"/>
        </w:rPr>
        <w:t>física tiende a estar más ligada a</w:t>
      </w:r>
      <w:r>
        <w:rPr>
          <w:color w:val="000000"/>
        </w:rPr>
        <w:t xml:space="preserve">l sexo masculino </w:t>
      </w:r>
      <w:r w:rsidRPr="00FA552C">
        <w:rPr>
          <w:color w:val="000000"/>
        </w:rPr>
        <w:t>debido a los niveles más altos de testosterona, lo que favorece un mayor desarrollo de masa muscular y densidad ósea (</w:t>
      </w:r>
      <w:proofErr w:type="spellStart"/>
      <w:r w:rsidRPr="00FA552C">
        <w:rPr>
          <w:color w:val="000000"/>
        </w:rPr>
        <w:t>Geniole</w:t>
      </w:r>
      <w:proofErr w:type="spellEnd"/>
      <w:r w:rsidRPr="00FA552C">
        <w:rPr>
          <w:color w:val="000000"/>
        </w:rPr>
        <w:t xml:space="preserve"> et al., 2019; </w:t>
      </w:r>
      <w:proofErr w:type="spellStart"/>
      <w:r w:rsidRPr="00FA552C">
        <w:rPr>
          <w:color w:val="000000"/>
        </w:rPr>
        <w:t>Archer</w:t>
      </w:r>
      <w:proofErr w:type="spellEnd"/>
      <w:r w:rsidRPr="00FA552C">
        <w:rPr>
          <w:color w:val="000000"/>
        </w:rPr>
        <w:t xml:space="preserve"> et al., 2022).</w:t>
      </w:r>
      <w:r w:rsidRPr="00FA552C">
        <w:rPr>
          <w:rStyle w:val="apple-converted-space"/>
          <w:rFonts w:eastAsiaTheme="majorEastAsia"/>
          <w:color w:val="000000"/>
        </w:rPr>
        <w:t xml:space="preserve"> Asimismo, </w:t>
      </w:r>
      <w:r>
        <w:rPr>
          <w:rStyle w:val="apple-converted-space"/>
          <w:rFonts w:eastAsiaTheme="majorEastAsia"/>
          <w:color w:val="000000"/>
        </w:rPr>
        <w:t xml:space="preserve">según el Instituto Nacional de Estadísticas (INE), en 2024 el 79,9% de las personas condenadas por todo tipo de delitos eran varones, mientras que el 20,1% mujeres. Estos datos muestran que, en mayor proporción, los hombres </w:t>
      </w:r>
      <w:r w:rsidRPr="00FA552C">
        <w:rPr>
          <w:color w:val="000000"/>
        </w:rPr>
        <w:t>cometen un número significativamente mayor de delitos</w:t>
      </w:r>
      <w:r>
        <w:rPr>
          <w:color w:val="000000"/>
        </w:rPr>
        <w:t xml:space="preserve">, </w:t>
      </w:r>
      <w:r w:rsidRPr="00FA552C">
        <w:rPr>
          <w:color w:val="000000"/>
        </w:rPr>
        <w:t>y de mayor gravedad, lo que evidencia que</w:t>
      </w:r>
      <w:r>
        <w:rPr>
          <w:color w:val="000000"/>
        </w:rPr>
        <w:t xml:space="preserve">, </w:t>
      </w:r>
      <w:r w:rsidRPr="00FA552C">
        <w:rPr>
          <w:color w:val="000000"/>
        </w:rPr>
        <w:t>estadísticamente</w:t>
      </w:r>
      <w:r>
        <w:rPr>
          <w:color w:val="000000"/>
        </w:rPr>
        <w:t xml:space="preserve">, la violencia está </w:t>
      </w:r>
      <w:r w:rsidRPr="00FA552C">
        <w:rPr>
          <w:color w:val="000000"/>
        </w:rPr>
        <w:t>más asociada a</w:t>
      </w:r>
      <w:r>
        <w:rPr>
          <w:color w:val="000000"/>
        </w:rPr>
        <w:t xml:space="preserve">l sexo masculino. No obstante, esto no </w:t>
      </w:r>
      <w:r w:rsidRPr="00FA552C">
        <w:rPr>
          <w:color w:val="000000"/>
        </w:rPr>
        <w:t xml:space="preserve">implica que todos los hombros sean violentos ni que ninguna mujer lo sea, sino que </w:t>
      </w:r>
      <w:r>
        <w:rPr>
          <w:color w:val="000000"/>
        </w:rPr>
        <w:t xml:space="preserve">refleja una </w:t>
      </w:r>
      <w:r w:rsidRPr="00FA552C">
        <w:rPr>
          <w:color w:val="000000"/>
        </w:rPr>
        <w:t>tendencia general.</w:t>
      </w:r>
      <w:r>
        <w:rPr>
          <w:color w:val="000000"/>
        </w:rPr>
        <w:t> </w:t>
      </w:r>
    </w:p>
    <w:p w14:paraId="60F71310" w14:textId="77777777" w:rsidR="00484FCF" w:rsidRDefault="00484FCF" w:rsidP="00484FCF">
      <w:pPr>
        <w:pStyle w:val="NormalWeb"/>
        <w:spacing w:before="0" w:beforeAutospacing="0" w:after="240" w:afterAutospacing="0" w:line="360" w:lineRule="auto"/>
        <w:ind w:firstLine="360"/>
        <w:jc w:val="both"/>
        <w:rPr>
          <w:color w:val="000000" w:themeColor="text1"/>
        </w:rPr>
      </w:pPr>
      <w:r>
        <w:rPr>
          <w:color w:val="000000"/>
        </w:rPr>
        <w:t xml:space="preserve">A su vez, los estereotipos sociales refuerzan estas diferencias. Desde edades tempranas, a los hombres se les socializa en un modelo de masculinidad que valora el control, el poder, la competencia y la dominación como indicadores de valía personal. Según </w:t>
      </w:r>
      <w:r w:rsidRPr="007749AE">
        <w:rPr>
          <w:rStyle w:val="Fuerte"/>
          <w:rFonts w:eastAsiaTheme="majorEastAsia"/>
          <w:b w:val="0"/>
          <w:bCs w:val="0"/>
          <w:color w:val="000000"/>
        </w:rPr>
        <w:t>R. W. Connell</w:t>
      </w:r>
      <w:r>
        <w:rPr>
          <w:color w:val="000000"/>
        </w:rPr>
        <w:t xml:space="preserve">, sociólogo australiano e investigador en relaciones de género, dentro del </w:t>
      </w:r>
      <w:r w:rsidRPr="00317F4D">
        <w:rPr>
          <w:color w:val="000000"/>
        </w:rPr>
        <w:t xml:space="preserve">marco de las relaciones de catexis, los hombres tienden a suprimir una amplia gama de emociones y expresiones afectivas </w:t>
      </w:r>
      <w:r w:rsidRPr="006F36C3">
        <w:rPr>
          <w:color w:val="000000" w:themeColor="text1"/>
        </w:rPr>
        <w:t>(Connell, 1987, como se citó en Valdés y Olavarría, 1997).</w:t>
      </w:r>
      <w:r>
        <w:rPr>
          <w:color w:val="000000" w:themeColor="text1"/>
        </w:rPr>
        <w:t xml:space="preserve"> </w:t>
      </w:r>
    </w:p>
    <w:p w14:paraId="24DE2DCA" w14:textId="2563CCCF" w:rsidR="0005060D" w:rsidRPr="00484FCF" w:rsidRDefault="00484FCF" w:rsidP="00484FCF">
      <w:pPr>
        <w:pStyle w:val="NormalWeb"/>
        <w:spacing w:before="0" w:beforeAutospacing="0" w:after="240" w:afterAutospacing="0" w:line="360" w:lineRule="auto"/>
        <w:ind w:firstLine="360"/>
        <w:jc w:val="both"/>
        <w:rPr>
          <w:color w:val="000000"/>
        </w:rPr>
      </w:pPr>
      <w:r>
        <w:rPr>
          <w:color w:val="000000" w:themeColor="text1"/>
        </w:rPr>
        <w:lastRenderedPageBreak/>
        <w:t>Esta supresión del plano emocional no ocurre de manera arbitraria, sino que las emociones se han vinculado tradicionalmente con la debilidad</w:t>
      </w:r>
      <w:r>
        <w:rPr>
          <w:color w:val="000000"/>
        </w:rPr>
        <w:t xml:space="preserve"> y la feminidad, características que los hombres buscan rechazar en la construcción de la masculinidad hegemónica. Para mantener esta construcción, adoptan una especie de “barrera emocional” que les permite contener </w:t>
      </w:r>
      <w:r w:rsidR="00F13B41">
        <w:rPr>
          <w:color w:val="000000"/>
        </w:rPr>
        <w:t xml:space="preserve">sus </w:t>
      </w:r>
      <w:r>
        <w:rPr>
          <w:color w:val="000000"/>
        </w:rPr>
        <w:t xml:space="preserve">emociones y preservar el control y la autoridad sobre su entorno. De manera similar, Jeff Hearn (citado en </w:t>
      </w:r>
      <w:r w:rsidRPr="006F36C3">
        <w:rPr>
          <w:color w:val="000000" w:themeColor="text1"/>
        </w:rPr>
        <w:t>Valdés y Olavarría, 1997</w:t>
      </w:r>
      <w:r>
        <w:rPr>
          <w:color w:val="000000" w:themeColor="text1"/>
        </w:rPr>
        <w:t xml:space="preserve">), </w:t>
      </w:r>
      <w:r>
        <w:rPr>
          <w:color w:val="000000"/>
        </w:rPr>
        <w:t xml:space="preserve">en su libro </w:t>
      </w:r>
      <w:r w:rsidRPr="00DE6E2B">
        <w:rPr>
          <w:i/>
          <w:iCs/>
          <w:color w:val="000000"/>
        </w:rPr>
        <w:t xml:space="preserve">The </w:t>
      </w:r>
      <w:proofErr w:type="spellStart"/>
      <w:r w:rsidRPr="00DE6E2B">
        <w:rPr>
          <w:i/>
          <w:iCs/>
          <w:color w:val="000000"/>
        </w:rPr>
        <w:t>Gender</w:t>
      </w:r>
      <w:proofErr w:type="spellEnd"/>
      <w:r w:rsidRPr="00DE6E2B">
        <w:rPr>
          <w:i/>
          <w:iCs/>
          <w:color w:val="000000"/>
        </w:rPr>
        <w:t xml:space="preserve"> </w:t>
      </w:r>
      <w:proofErr w:type="spellStart"/>
      <w:r w:rsidRPr="00DE6E2B">
        <w:rPr>
          <w:i/>
          <w:iCs/>
          <w:color w:val="000000"/>
        </w:rPr>
        <w:t>of</w:t>
      </w:r>
      <w:proofErr w:type="spellEnd"/>
      <w:r w:rsidRPr="00DE6E2B">
        <w:rPr>
          <w:i/>
          <w:iCs/>
          <w:color w:val="000000"/>
        </w:rPr>
        <w:t xml:space="preserve"> </w:t>
      </w:r>
      <w:proofErr w:type="spellStart"/>
      <w:r w:rsidRPr="00DE6E2B">
        <w:rPr>
          <w:i/>
          <w:iCs/>
          <w:color w:val="000000"/>
        </w:rPr>
        <w:t>Oppression</w:t>
      </w:r>
      <w:proofErr w:type="spellEnd"/>
      <w:r w:rsidRPr="00DE6E2B">
        <w:rPr>
          <w:i/>
          <w:iCs/>
          <w:color w:val="000000"/>
        </w:rPr>
        <w:t>,</w:t>
      </w:r>
      <w:r>
        <w:rPr>
          <w:color w:val="000000"/>
        </w:rPr>
        <w:t xml:space="preserve"> señala que “la capacidad de ejercer poder implica, en gran medida, “la capacidad de ser distante”. </w:t>
      </w:r>
    </w:p>
    <w:p w14:paraId="593B0A15" w14:textId="5F216ECB" w:rsidR="0005060D" w:rsidRDefault="00464023" w:rsidP="00BA6273">
      <w:pPr>
        <w:pStyle w:val="Prrafodelista"/>
        <w:numPr>
          <w:ilvl w:val="0"/>
          <w:numId w:val="4"/>
        </w:numPr>
        <w:spacing w:line="360" w:lineRule="auto"/>
        <w:jc w:val="both"/>
        <w:rPr>
          <w:b/>
          <w:bCs/>
          <w:u w:val="single"/>
        </w:rPr>
      </w:pPr>
      <w:r w:rsidRPr="002944B5">
        <w:rPr>
          <w:b/>
          <w:bCs/>
          <w:u w:val="single"/>
        </w:rPr>
        <w:t>Conceptualización de la violencia de género</w:t>
      </w:r>
      <w:r w:rsidR="00286C9C">
        <w:rPr>
          <w:b/>
          <w:bCs/>
          <w:u w:val="single"/>
        </w:rPr>
        <w:t xml:space="preserve">: </w:t>
      </w:r>
    </w:p>
    <w:p w14:paraId="580A559A" w14:textId="77777777" w:rsidR="00BA6273" w:rsidRPr="00BA6273" w:rsidRDefault="00BA6273" w:rsidP="00BA6273">
      <w:pPr>
        <w:spacing w:line="360" w:lineRule="auto"/>
        <w:ind w:left="360"/>
        <w:jc w:val="both"/>
        <w:rPr>
          <w:b/>
          <w:bCs/>
          <w:u w:val="single"/>
        </w:rPr>
      </w:pPr>
    </w:p>
    <w:p w14:paraId="74B7A061" w14:textId="6A6CBA3D" w:rsidR="00E14C6A" w:rsidRDefault="003A3184" w:rsidP="006D0968">
      <w:pPr>
        <w:spacing w:line="360" w:lineRule="auto"/>
        <w:ind w:firstLine="360"/>
        <w:jc w:val="both"/>
        <w:rPr>
          <w:color w:val="000000"/>
        </w:rPr>
      </w:pPr>
      <w:r>
        <w:rPr>
          <w:color w:val="000000"/>
        </w:rPr>
        <w:t>A partir del Analís histórico</w:t>
      </w:r>
      <w:r w:rsidR="00BA6273">
        <w:rPr>
          <w:color w:val="000000"/>
        </w:rPr>
        <w:t xml:space="preserve">, podemos definir la violencia de </w:t>
      </w:r>
      <w:r w:rsidR="00472AA5">
        <w:rPr>
          <w:color w:val="000000"/>
        </w:rPr>
        <w:t>género</w:t>
      </w:r>
      <w:r w:rsidR="00BA6273">
        <w:rPr>
          <w:color w:val="000000"/>
        </w:rPr>
        <w:t xml:space="preserve"> </w:t>
      </w:r>
      <w:r w:rsidR="00472AA5">
        <w:rPr>
          <w:color w:val="000000"/>
        </w:rPr>
        <w:t>como un</w:t>
      </w:r>
      <w:r w:rsidR="00BA6273">
        <w:rPr>
          <w:color w:val="000000"/>
        </w:rPr>
        <w:t xml:space="preserve"> </w:t>
      </w:r>
      <w:r w:rsidR="004B5AB0" w:rsidRPr="004B5AB0">
        <w:rPr>
          <w:color w:val="000000"/>
        </w:rPr>
        <w:t xml:space="preserve">fenómeno social complejo que, para </w:t>
      </w:r>
      <w:r w:rsidR="00AC0981">
        <w:rPr>
          <w:color w:val="000000"/>
        </w:rPr>
        <w:t xml:space="preserve">su adecuada comprensión, </w:t>
      </w:r>
      <w:r w:rsidR="004B5AB0" w:rsidRPr="00963E97">
        <w:rPr>
          <w:color w:val="000000"/>
        </w:rPr>
        <w:t>requiere analizar primero los dos atributos que lo conforman: “violencia” y “género”.</w:t>
      </w:r>
      <w:r w:rsidR="000E5470">
        <w:rPr>
          <w:color w:val="000000"/>
        </w:rPr>
        <w:t xml:space="preserve"> </w:t>
      </w:r>
      <w:r w:rsidR="004B5AB0" w:rsidRPr="00963E97">
        <w:rPr>
          <w:color w:val="000000"/>
        </w:rPr>
        <w:t>Según la Real Academia Española (RAE), la violencia se define</w:t>
      </w:r>
      <w:r w:rsidR="00A63A35">
        <w:rPr>
          <w:color w:val="000000"/>
        </w:rPr>
        <w:t>, en su primera acepción</w:t>
      </w:r>
      <w:r w:rsidR="005000A1">
        <w:rPr>
          <w:color w:val="000000"/>
        </w:rPr>
        <w:t xml:space="preserve">, </w:t>
      </w:r>
      <w:r w:rsidR="004B5AB0" w:rsidRPr="00963E97">
        <w:rPr>
          <w:color w:val="000000"/>
        </w:rPr>
        <w:t xml:space="preserve">como la </w:t>
      </w:r>
      <w:r w:rsidR="004B5AB0" w:rsidRPr="00472AA5">
        <w:rPr>
          <w:i/>
          <w:iCs/>
          <w:color w:val="000000"/>
        </w:rPr>
        <w:t>“cualidad de violento”</w:t>
      </w:r>
      <w:r w:rsidR="005000A1">
        <w:rPr>
          <w:color w:val="000000"/>
        </w:rPr>
        <w:t xml:space="preserve"> y, en una</w:t>
      </w:r>
      <w:r w:rsidR="00AE64D7">
        <w:rPr>
          <w:color w:val="000000"/>
        </w:rPr>
        <w:t xml:space="preserve"> definición secundaria</w:t>
      </w:r>
      <w:r w:rsidR="005000A1">
        <w:rPr>
          <w:color w:val="000000"/>
        </w:rPr>
        <w:t xml:space="preserve">, como </w:t>
      </w:r>
      <w:r w:rsidR="004B5AB0" w:rsidRPr="00963E97">
        <w:rPr>
          <w:color w:val="000000"/>
        </w:rPr>
        <w:t xml:space="preserve">la </w:t>
      </w:r>
      <w:r w:rsidR="004B5AB0" w:rsidRPr="00472AA5">
        <w:rPr>
          <w:i/>
          <w:iCs/>
          <w:color w:val="000000"/>
        </w:rPr>
        <w:t>“acción y efecto de violentar o violentarse”.</w:t>
      </w:r>
      <w:r w:rsidR="004B5AB0" w:rsidRPr="00963E97">
        <w:rPr>
          <w:color w:val="000000"/>
        </w:rPr>
        <w:t xml:space="preserve"> Por su parte, el </w:t>
      </w:r>
      <w:r w:rsidR="00BF3671">
        <w:rPr>
          <w:color w:val="000000"/>
        </w:rPr>
        <w:t xml:space="preserve">concepto de género hace referencia </w:t>
      </w:r>
      <w:r w:rsidR="003D048D">
        <w:rPr>
          <w:color w:val="000000"/>
        </w:rPr>
        <w:t xml:space="preserve">al </w:t>
      </w:r>
      <w:r w:rsidR="003D048D" w:rsidRPr="00472AA5">
        <w:rPr>
          <w:i/>
          <w:iCs/>
          <w:color w:val="000000"/>
        </w:rPr>
        <w:t>“</w:t>
      </w:r>
      <w:r w:rsidR="004B5AB0" w:rsidRPr="00472AA5">
        <w:rPr>
          <w:i/>
          <w:iCs/>
          <w:color w:val="000000"/>
        </w:rPr>
        <w:t>grupo que pertenecen los seres humanos de cada sexo, entendido este desde un punto de vista sociocultural en lugar de exclusivamente biológico”.</w:t>
      </w:r>
      <w:r w:rsidR="004B5AB0" w:rsidRPr="00963E97">
        <w:rPr>
          <w:color w:val="000000"/>
        </w:rPr>
        <w:t xml:space="preserve"> De este modo, al </w:t>
      </w:r>
      <w:r w:rsidR="004A5BC0">
        <w:rPr>
          <w:color w:val="000000"/>
        </w:rPr>
        <w:t xml:space="preserve">articular ambos términos, </w:t>
      </w:r>
      <w:r w:rsidR="00AC0981">
        <w:rPr>
          <w:color w:val="000000"/>
        </w:rPr>
        <w:t xml:space="preserve">la violencia de género puede entenderse como </w:t>
      </w:r>
      <w:r w:rsidR="00D66424">
        <w:rPr>
          <w:color w:val="000000"/>
        </w:rPr>
        <w:t xml:space="preserve">toda </w:t>
      </w:r>
      <w:r w:rsidR="004B5AB0" w:rsidRPr="00963E97">
        <w:rPr>
          <w:color w:val="000000"/>
        </w:rPr>
        <w:t xml:space="preserve">conducta </w:t>
      </w:r>
      <w:r w:rsidR="004503DF">
        <w:rPr>
          <w:color w:val="000000"/>
        </w:rPr>
        <w:t xml:space="preserve">o acción </w:t>
      </w:r>
      <w:r w:rsidR="004B5AB0" w:rsidRPr="00963E97">
        <w:rPr>
          <w:color w:val="000000"/>
        </w:rPr>
        <w:t xml:space="preserve">violenta ejercida </w:t>
      </w:r>
      <w:r w:rsidR="00AC0981">
        <w:rPr>
          <w:color w:val="000000"/>
        </w:rPr>
        <w:t xml:space="preserve">contra </w:t>
      </w:r>
      <w:r w:rsidR="004B5AB0" w:rsidRPr="00963E97">
        <w:rPr>
          <w:color w:val="000000"/>
        </w:rPr>
        <w:t xml:space="preserve">una persona por </w:t>
      </w:r>
      <w:r w:rsidR="0048655E">
        <w:rPr>
          <w:color w:val="000000"/>
        </w:rPr>
        <w:t xml:space="preserve">razón </w:t>
      </w:r>
      <w:r w:rsidR="004B5AB0" w:rsidRPr="00963E97">
        <w:rPr>
          <w:color w:val="000000"/>
        </w:rPr>
        <w:t>de su género. </w:t>
      </w:r>
    </w:p>
    <w:p w14:paraId="538BCDD2" w14:textId="77777777" w:rsidR="006D0968" w:rsidRDefault="006D0968" w:rsidP="006D0968">
      <w:pPr>
        <w:spacing w:line="360" w:lineRule="auto"/>
        <w:ind w:firstLine="360"/>
        <w:jc w:val="both"/>
        <w:rPr>
          <w:color w:val="000000"/>
        </w:rPr>
      </w:pPr>
    </w:p>
    <w:p w14:paraId="5C0D6D22" w14:textId="71FD60DA" w:rsidR="0098210A" w:rsidRDefault="006D4A7F" w:rsidP="00B20773">
      <w:pPr>
        <w:pStyle w:val="NormalWeb"/>
        <w:spacing w:before="0" w:beforeAutospacing="0" w:after="240" w:afterAutospacing="0" w:line="360" w:lineRule="auto"/>
        <w:ind w:firstLine="360"/>
        <w:jc w:val="both"/>
        <w:rPr>
          <w:color w:val="000000"/>
        </w:rPr>
      </w:pPr>
      <w:r>
        <w:rPr>
          <w:color w:val="000000"/>
        </w:rPr>
        <w:t xml:space="preserve">El </w:t>
      </w:r>
      <w:r w:rsidR="00E14C6A">
        <w:rPr>
          <w:color w:val="000000"/>
          <w:shd w:val="clear" w:color="auto" w:fill="FFFFFF"/>
        </w:rPr>
        <w:t xml:space="preserve">Ministerio de Sanidad, Servicios Sociales e Igualdad, señala que la violencia de genero ha sido y continúa siendo una de las manifestaciones </w:t>
      </w:r>
      <w:r w:rsidR="006D0968">
        <w:rPr>
          <w:color w:val="000000"/>
          <w:shd w:val="clear" w:color="auto" w:fill="FFFFFF"/>
        </w:rPr>
        <w:t xml:space="preserve">más </w:t>
      </w:r>
      <w:r w:rsidR="00E14C6A">
        <w:rPr>
          <w:color w:val="000000"/>
          <w:shd w:val="clear" w:color="auto" w:fill="FFFFFF"/>
        </w:rPr>
        <w:t>brutal</w:t>
      </w:r>
      <w:r w:rsidR="006D0968">
        <w:rPr>
          <w:color w:val="000000"/>
          <w:shd w:val="clear" w:color="auto" w:fill="FFFFFF"/>
        </w:rPr>
        <w:t xml:space="preserve">es </w:t>
      </w:r>
      <w:r w:rsidR="00E14C6A">
        <w:rPr>
          <w:color w:val="000000"/>
          <w:shd w:val="clear" w:color="auto" w:fill="FFFFFF"/>
        </w:rPr>
        <w:t xml:space="preserve">de la desigualad existente en nuestra sociedad, </w:t>
      </w:r>
      <w:r w:rsidR="00E660E4">
        <w:rPr>
          <w:color w:val="000000"/>
          <w:shd w:val="clear" w:color="auto" w:fill="FFFFFF"/>
        </w:rPr>
        <w:t xml:space="preserve">reflejando subordinación y </w:t>
      </w:r>
      <w:r w:rsidR="00E14C6A">
        <w:rPr>
          <w:color w:val="000000"/>
          <w:shd w:val="clear" w:color="auto" w:fill="FFFFFF"/>
        </w:rPr>
        <w:t>relaciones de poder de los hombres sobre las mujeres. Esta realidad se enmarca históricamente en lo que se ha denominado</w:t>
      </w:r>
      <w:r w:rsidR="00633E1F">
        <w:rPr>
          <w:color w:val="000000"/>
          <w:shd w:val="clear" w:color="auto" w:fill="FFFFFF"/>
        </w:rPr>
        <w:t xml:space="preserve">, </w:t>
      </w:r>
      <w:r w:rsidR="00E660E4">
        <w:rPr>
          <w:color w:val="000000"/>
          <w:shd w:val="clear" w:color="auto" w:fill="FFFFFF"/>
        </w:rPr>
        <w:t xml:space="preserve">anteriormente conocido como </w:t>
      </w:r>
      <w:r w:rsidR="00E14C6A">
        <w:rPr>
          <w:color w:val="000000"/>
          <w:shd w:val="clear" w:color="auto" w:fill="FFFFFF"/>
        </w:rPr>
        <w:t>sistema</w:t>
      </w:r>
      <w:r w:rsidR="00EC1D91">
        <w:rPr>
          <w:color w:val="000000"/>
          <w:shd w:val="clear" w:color="auto" w:fill="FFFFFF"/>
        </w:rPr>
        <w:t xml:space="preserve"> patriarcal</w:t>
      </w:r>
      <w:r w:rsidR="00E14C6A">
        <w:rPr>
          <w:color w:val="000000"/>
        </w:rPr>
        <w:t xml:space="preserve">, en el que los hombres ocupan posiciones de poder y se consideran legitimados para dominar a </w:t>
      </w:r>
      <w:r w:rsidR="00EC1D91">
        <w:rPr>
          <w:color w:val="000000"/>
        </w:rPr>
        <w:t xml:space="preserve">quienes perciben </w:t>
      </w:r>
      <w:r w:rsidR="00B20773">
        <w:rPr>
          <w:color w:val="000000"/>
        </w:rPr>
        <w:t>como socialmente menos poderosos</w:t>
      </w:r>
      <w:r w:rsidR="00E14C6A">
        <w:rPr>
          <w:color w:val="000000"/>
        </w:rPr>
        <w:t xml:space="preserve"> </w:t>
      </w:r>
      <w:r w:rsidR="00E14C6A" w:rsidRPr="00232D00">
        <w:rPr>
          <w:color w:val="000000"/>
        </w:rPr>
        <w:t>(Arriazu, 2000, p. 31</w:t>
      </w:r>
      <w:r w:rsidR="00E14C6A">
        <w:rPr>
          <w:color w:val="000000"/>
        </w:rPr>
        <w:t>0; Expósito &amp; Moya, 2011, p.22). En este contexto, la violencia se concibe como una herramienta para mantener dicha jerarquía social, en la que la mujer ocupa una posición subordinada</w:t>
      </w:r>
      <w:r w:rsidR="0098210A">
        <w:rPr>
          <w:color w:val="000000"/>
        </w:rPr>
        <w:t xml:space="preserve">, mientras que el hombre utiliza la violencia para afirmar su autoridad y superioridad. </w:t>
      </w:r>
    </w:p>
    <w:p w14:paraId="1B7D4DD4" w14:textId="77777777" w:rsidR="0098210A" w:rsidRDefault="0098210A" w:rsidP="00B20773">
      <w:pPr>
        <w:pStyle w:val="NormalWeb"/>
        <w:spacing w:before="0" w:beforeAutospacing="0" w:after="240" w:afterAutospacing="0" w:line="360" w:lineRule="auto"/>
        <w:ind w:firstLine="360"/>
        <w:jc w:val="both"/>
        <w:rPr>
          <w:color w:val="000000"/>
        </w:rPr>
      </w:pPr>
    </w:p>
    <w:p w14:paraId="1BE2B641" w14:textId="4CAEEA58" w:rsidR="0098210A" w:rsidRPr="007738CC" w:rsidRDefault="0098210A" w:rsidP="007738CC">
      <w:pPr>
        <w:pStyle w:val="NormalWeb"/>
        <w:spacing w:before="0" w:beforeAutospacing="0" w:after="240" w:afterAutospacing="0" w:line="360" w:lineRule="auto"/>
        <w:ind w:firstLine="360"/>
        <w:jc w:val="both"/>
      </w:pPr>
      <w:r>
        <w:rPr>
          <w:color w:val="000000"/>
        </w:rPr>
        <w:lastRenderedPageBreak/>
        <w:t xml:space="preserve">Existen numerosas definiciones sobre este fenómeno; </w:t>
      </w:r>
      <w:r w:rsidR="00E1159E">
        <w:rPr>
          <w:color w:val="000000"/>
        </w:rPr>
        <w:t xml:space="preserve">no obstante, </w:t>
      </w:r>
      <w:r>
        <w:rPr>
          <w:color w:val="000000"/>
        </w:rPr>
        <w:t xml:space="preserve">dos de las </w:t>
      </w:r>
      <w:r w:rsidR="00A86914">
        <w:rPr>
          <w:color w:val="000000"/>
        </w:rPr>
        <w:t>más</w:t>
      </w:r>
      <w:r>
        <w:rPr>
          <w:color w:val="000000"/>
        </w:rPr>
        <w:t xml:space="preserve"> reconocidas son </w:t>
      </w:r>
      <w:r w:rsidR="00A86914">
        <w:rPr>
          <w:color w:val="000000"/>
        </w:rPr>
        <w:t xml:space="preserve">reconocidas, </w:t>
      </w:r>
      <w:r>
        <w:rPr>
          <w:color w:val="000000"/>
        </w:rPr>
        <w:t xml:space="preserve">en primer </w:t>
      </w:r>
      <w:r w:rsidR="00A86914">
        <w:rPr>
          <w:color w:val="000000"/>
        </w:rPr>
        <w:t xml:space="preserve">lugar, la elaborada por la </w:t>
      </w:r>
      <w:r w:rsidR="005A7C30">
        <w:rPr>
          <w:color w:val="000000"/>
        </w:rPr>
        <w:t>Organización de las Naciones Unidas</w:t>
      </w:r>
      <w:r w:rsidR="00ED58B4">
        <w:rPr>
          <w:color w:val="000000"/>
        </w:rPr>
        <w:t xml:space="preserve"> </w:t>
      </w:r>
      <w:r w:rsidR="00A86914">
        <w:rPr>
          <w:color w:val="000000"/>
        </w:rPr>
        <w:t xml:space="preserve">(ONU) </w:t>
      </w:r>
      <w:r w:rsidR="00ED58B4">
        <w:rPr>
          <w:color w:val="000000"/>
        </w:rPr>
        <w:t xml:space="preserve">en 1995 sobre la Declaración sobre la </w:t>
      </w:r>
      <w:r w:rsidR="00A86914">
        <w:rPr>
          <w:color w:val="000000"/>
        </w:rPr>
        <w:t>E</w:t>
      </w:r>
      <w:r w:rsidR="00ED58B4">
        <w:rPr>
          <w:color w:val="000000"/>
        </w:rPr>
        <w:t xml:space="preserve">liminación de la </w:t>
      </w:r>
      <w:r w:rsidR="00A86914">
        <w:rPr>
          <w:color w:val="000000"/>
        </w:rPr>
        <w:t>V</w:t>
      </w:r>
      <w:r w:rsidR="00ED58B4">
        <w:rPr>
          <w:color w:val="000000"/>
        </w:rPr>
        <w:t xml:space="preserve">iolencia contra la </w:t>
      </w:r>
      <w:r w:rsidR="00A86914">
        <w:rPr>
          <w:color w:val="000000"/>
        </w:rPr>
        <w:t>M</w:t>
      </w:r>
      <w:r w:rsidR="00ED58B4">
        <w:rPr>
          <w:color w:val="000000"/>
        </w:rPr>
        <w:t>ujer</w:t>
      </w:r>
      <w:r w:rsidR="00A86914">
        <w:rPr>
          <w:color w:val="000000"/>
        </w:rPr>
        <w:t xml:space="preserve">, </w:t>
      </w:r>
      <w:r>
        <w:rPr>
          <w:color w:val="000000"/>
        </w:rPr>
        <w:t>y en segundo lugar</w:t>
      </w:r>
      <w:r w:rsidR="00A86914">
        <w:rPr>
          <w:color w:val="000000"/>
        </w:rPr>
        <w:t xml:space="preserve">, la establecida por la </w:t>
      </w:r>
      <w:r w:rsidRPr="007B6C79">
        <w:t>Ley Orgánica 1/2004 de Medidas de Protección Integral contra la Violencia de Género,</w:t>
      </w:r>
      <w:r>
        <w:t xml:space="preserve"> </w:t>
      </w:r>
      <w:r w:rsidR="007738CC">
        <w:t xml:space="preserve">una reforma legislativa que contribuyo significativamente a visibilizar la violencia de género y a reforzar los mecanismos de protección y apoyo a las mujeres que la sufren. </w:t>
      </w:r>
    </w:p>
    <w:p w14:paraId="20BB9837" w14:textId="56AAABB2" w:rsidR="00ED58B4" w:rsidRPr="007738CC" w:rsidRDefault="00ED58B4" w:rsidP="007738CC">
      <w:pPr>
        <w:pStyle w:val="NormalWeb"/>
        <w:spacing w:before="0" w:beforeAutospacing="0" w:after="240" w:afterAutospacing="0" w:line="360" w:lineRule="auto"/>
        <w:ind w:left="360"/>
        <w:jc w:val="both"/>
        <w:rPr>
          <w:color w:val="000000"/>
        </w:rPr>
      </w:pPr>
      <w:r w:rsidRPr="0005060D">
        <w:rPr>
          <w:i/>
          <w:iCs/>
          <w:color w:val="000000"/>
        </w:rPr>
        <w:t xml:space="preserve">“Todo acto de violencia basado en el género que tiene como </w:t>
      </w:r>
      <w:r w:rsidR="00F21661" w:rsidRPr="0005060D">
        <w:rPr>
          <w:i/>
          <w:iCs/>
          <w:color w:val="000000"/>
        </w:rPr>
        <w:t>resultado</w:t>
      </w:r>
      <w:r w:rsidRPr="0005060D">
        <w:rPr>
          <w:i/>
          <w:iCs/>
          <w:color w:val="000000"/>
        </w:rPr>
        <w:t xml:space="preserve"> posible o real daño físico, sexual, o psicológico</w:t>
      </w:r>
      <w:r w:rsidR="00F21661" w:rsidRPr="0005060D">
        <w:rPr>
          <w:i/>
          <w:iCs/>
          <w:color w:val="000000"/>
        </w:rPr>
        <w:t xml:space="preserve">, incluidas las amenazas, la coerción o la privación arbitraria de libertad, ya sea que ocurra en la vida pública o en la vida </w:t>
      </w:r>
      <w:r w:rsidR="00F21661" w:rsidRPr="007738CC">
        <w:rPr>
          <w:color w:val="000000"/>
        </w:rPr>
        <w:t>privada”</w:t>
      </w:r>
      <w:r w:rsidR="007738CC" w:rsidRPr="007738CC">
        <w:rPr>
          <w:color w:val="000000"/>
        </w:rPr>
        <w:t xml:space="preserve"> (ONU</w:t>
      </w:r>
      <w:r w:rsidR="00227EB1">
        <w:rPr>
          <w:color w:val="000000"/>
        </w:rPr>
        <w:t xml:space="preserve">, 1995). </w:t>
      </w:r>
    </w:p>
    <w:p w14:paraId="73D52FC3" w14:textId="4ABECBD3" w:rsidR="00F21661" w:rsidRDefault="00F21661" w:rsidP="001A6179">
      <w:pPr>
        <w:pStyle w:val="p1"/>
        <w:spacing w:line="360" w:lineRule="auto"/>
        <w:ind w:left="360"/>
        <w:jc w:val="both"/>
        <w:rPr>
          <w:color w:val="000000" w:themeColor="text1"/>
          <w:sz w:val="24"/>
          <w:szCs w:val="24"/>
        </w:rPr>
      </w:pPr>
      <w:r w:rsidRPr="007738CC">
        <w:rPr>
          <w:i/>
          <w:iCs/>
          <w:color w:val="000000" w:themeColor="text1"/>
          <w:sz w:val="24"/>
          <w:szCs w:val="24"/>
        </w:rPr>
        <w:t>“Todo acto de violencia (…) que, como manifestación de la discriminación, la situación de desigualdad y las relaciones de poder de los hombres sobre las mujeres, se ejerce sobre éstas por parte de quienes sean o hayan sido sus cónyuges o de quienes estén o hayan estado ligados a ellas por relaciones similares de afectividad, aun sin convivencia. (…) que tenga o pueda tener como resultado un daño o sufrimiento físico, sexual o psicológico para la mujer, así como las amenazas de tales actos, la coacción o la privación arbitraria de la libertad, tanto si se producen en la vida pública como en la vida privada</w:t>
      </w:r>
      <w:r w:rsidRPr="00A801CA">
        <w:rPr>
          <w:color w:val="000000" w:themeColor="text1"/>
          <w:sz w:val="24"/>
          <w:szCs w:val="24"/>
        </w:rPr>
        <w:t>”</w:t>
      </w:r>
      <w:r w:rsidR="00A801CA" w:rsidRPr="00A801CA">
        <w:rPr>
          <w:color w:val="000000" w:themeColor="text1"/>
          <w:sz w:val="24"/>
          <w:szCs w:val="24"/>
        </w:rPr>
        <w:t xml:space="preserve"> (BOE, 2004</w:t>
      </w:r>
      <w:r w:rsidR="00A801CA">
        <w:rPr>
          <w:color w:val="000000" w:themeColor="text1"/>
          <w:sz w:val="24"/>
          <w:szCs w:val="24"/>
        </w:rPr>
        <w:t xml:space="preserve">). </w:t>
      </w:r>
    </w:p>
    <w:p w14:paraId="15C942AE" w14:textId="77777777" w:rsidR="001A6179" w:rsidRPr="001A6179" w:rsidRDefault="001A6179" w:rsidP="001A6179">
      <w:pPr>
        <w:pStyle w:val="p1"/>
        <w:spacing w:line="360" w:lineRule="auto"/>
        <w:jc w:val="both"/>
        <w:rPr>
          <w:color w:val="000000" w:themeColor="text1"/>
          <w:sz w:val="24"/>
          <w:szCs w:val="24"/>
        </w:rPr>
      </w:pPr>
    </w:p>
    <w:p w14:paraId="25141AD2" w14:textId="2F9CEC62" w:rsidR="007B6C79" w:rsidRDefault="008A126A" w:rsidP="000C2AA7">
      <w:pPr>
        <w:spacing w:after="240" w:line="360" w:lineRule="auto"/>
        <w:ind w:firstLine="360"/>
        <w:jc w:val="both"/>
        <w:rPr>
          <w:color w:val="000000"/>
        </w:rPr>
      </w:pPr>
      <w:r>
        <w:rPr>
          <w:color w:val="000000"/>
        </w:rPr>
        <w:t xml:space="preserve">Debido a </w:t>
      </w:r>
      <w:r w:rsidR="00FD2985">
        <w:rPr>
          <w:color w:val="000000"/>
        </w:rPr>
        <w:t xml:space="preserve">su elevada prevalencia y magnitud, y considerando que </w:t>
      </w:r>
      <w:r w:rsidR="002627B4">
        <w:rPr>
          <w:color w:val="000000"/>
        </w:rPr>
        <w:t xml:space="preserve">afecta de manera heterogenia a mujeres de todo el mundo, </w:t>
      </w:r>
      <w:r w:rsidR="00FD2985">
        <w:rPr>
          <w:color w:val="000000"/>
        </w:rPr>
        <w:t xml:space="preserve">la violencia de </w:t>
      </w:r>
      <w:r w:rsidR="000C2AA7">
        <w:rPr>
          <w:color w:val="000000"/>
        </w:rPr>
        <w:t xml:space="preserve">género ha sido, como consecuencia, </w:t>
      </w:r>
      <w:r w:rsidR="00FD2985">
        <w:rPr>
          <w:color w:val="000000"/>
        </w:rPr>
        <w:t xml:space="preserve">reconocida internacionalmente como un </w:t>
      </w:r>
      <w:r w:rsidR="000C2AA7">
        <w:rPr>
          <w:color w:val="000000"/>
        </w:rPr>
        <w:t>grave</w:t>
      </w:r>
      <w:r w:rsidR="00FD2985">
        <w:rPr>
          <w:color w:val="000000"/>
        </w:rPr>
        <w:t xml:space="preserve"> problema de derechos humanos y salud </w:t>
      </w:r>
      <w:r w:rsidR="00605D2A">
        <w:rPr>
          <w:color w:val="000000"/>
        </w:rPr>
        <w:t>pública (</w:t>
      </w:r>
      <w:r w:rsidR="007B6C79" w:rsidRPr="002259DE">
        <w:rPr>
          <w:color w:val="000000"/>
        </w:rPr>
        <w:t>Worth Health Organization, 2005). Por ejemplo, la Asamblea</w:t>
      </w:r>
      <w:r w:rsidR="007B6C79">
        <w:rPr>
          <w:color w:val="000000"/>
        </w:rPr>
        <w:t xml:space="preserve"> General de Naciones Unidas, el 20 de diciembre de 1993, introdujo el concepto de “violencia sobre la mujer” en la Resolución 48/104, que establece la Declaración sobre la Eliminación de la Violencia contra la Mujer, definiéndola como: </w:t>
      </w:r>
    </w:p>
    <w:p w14:paraId="587DC375" w14:textId="7A16CF3C" w:rsidR="00A245EF" w:rsidRPr="00A05ACB" w:rsidRDefault="007B6C79" w:rsidP="00A05ACB">
      <w:pPr>
        <w:spacing w:after="240" w:line="360" w:lineRule="auto"/>
        <w:ind w:left="360"/>
        <w:jc w:val="both"/>
        <w:rPr>
          <w:color w:val="000000"/>
        </w:rPr>
      </w:pPr>
      <w:r>
        <w:rPr>
          <w:i/>
          <w:iCs/>
          <w:color w:val="000000"/>
        </w:rPr>
        <w:t>“T</w:t>
      </w:r>
      <w:r w:rsidRPr="00A8208F">
        <w:rPr>
          <w:i/>
          <w:iCs/>
          <w:color w:val="000000"/>
        </w:rPr>
        <w:t>odo acto de violencia basado en la pertenencia al sexo femenino que tenga o pueda tener como resultado un daño físico, sexual o psicológico, así como las amenazas de tales actos, la coacción o la privación arbitraria de libertad, tanto si se producen en la vida pública como en la vida privada</w:t>
      </w:r>
      <w:r w:rsidRPr="00F4397D">
        <w:rPr>
          <w:color w:val="000000"/>
        </w:rPr>
        <w:t>” (</w:t>
      </w:r>
      <w:r w:rsidR="00F4397D" w:rsidRPr="00F4397D">
        <w:rPr>
          <w:color w:val="000000"/>
        </w:rPr>
        <w:t>Asamblea General de las Naciones Unidas, 1993, art.1)</w:t>
      </w:r>
      <w:r w:rsidR="00F4397D">
        <w:rPr>
          <w:color w:val="000000"/>
        </w:rPr>
        <w:t>.</w:t>
      </w:r>
    </w:p>
    <w:p w14:paraId="4DF41065" w14:textId="77777777" w:rsidR="009B623D" w:rsidRDefault="00464023" w:rsidP="007038A7">
      <w:pPr>
        <w:pStyle w:val="Prrafodelista"/>
        <w:numPr>
          <w:ilvl w:val="0"/>
          <w:numId w:val="3"/>
        </w:numPr>
        <w:spacing w:line="360" w:lineRule="auto"/>
        <w:jc w:val="both"/>
        <w:rPr>
          <w:b/>
          <w:bCs/>
          <w:u w:val="single"/>
        </w:rPr>
      </w:pPr>
      <w:r w:rsidRPr="00622BCB">
        <w:rPr>
          <w:b/>
          <w:bCs/>
          <w:u w:val="single"/>
        </w:rPr>
        <w:lastRenderedPageBreak/>
        <w:t xml:space="preserve">Víctimas de violencia de género y </w:t>
      </w:r>
      <w:r w:rsidR="009B623D">
        <w:rPr>
          <w:b/>
          <w:bCs/>
          <w:u w:val="single"/>
        </w:rPr>
        <w:t>perfiles afectados:</w:t>
      </w:r>
    </w:p>
    <w:p w14:paraId="6EAE4794" w14:textId="5ACD642E" w:rsidR="00DD2C59" w:rsidRDefault="00E40C3A" w:rsidP="00AF7A3B">
      <w:pPr>
        <w:pStyle w:val="Prrafodelista"/>
        <w:numPr>
          <w:ilvl w:val="1"/>
          <w:numId w:val="3"/>
        </w:numPr>
        <w:spacing w:line="360" w:lineRule="auto"/>
        <w:rPr>
          <w:b/>
          <w:bCs/>
        </w:rPr>
      </w:pPr>
      <w:r w:rsidRPr="005510D9">
        <w:rPr>
          <w:b/>
          <w:bCs/>
        </w:rPr>
        <w:t xml:space="preserve">La mujer, protagonista histórica en la </w:t>
      </w:r>
      <w:r w:rsidR="005510D9">
        <w:rPr>
          <w:b/>
          <w:bCs/>
        </w:rPr>
        <w:t xml:space="preserve">VG: </w:t>
      </w:r>
    </w:p>
    <w:p w14:paraId="6365AAF5" w14:textId="77777777" w:rsidR="00083E81" w:rsidRPr="00083E81" w:rsidRDefault="00083E81" w:rsidP="00083E81">
      <w:pPr>
        <w:spacing w:line="360" w:lineRule="auto"/>
        <w:ind w:left="1080"/>
        <w:rPr>
          <w:b/>
          <w:bCs/>
        </w:rPr>
      </w:pPr>
    </w:p>
    <w:p w14:paraId="4C337FD6" w14:textId="4220DAC9" w:rsidR="00CA6256" w:rsidRDefault="00104456" w:rsidP="00D42ED9">
      <w:pPr>
        <w:pStyle w:val="NormalWeb"/>
        <w:spacing w:before="0" w:beforeAutospacing="0" w:after="0" w:afterAutospacing="0" w:line="360" w:lineRule="auto"/>
        <w:ind w:firstLine="708"/>
        <w:jc w:val="both"/>
        <w:rPr>
          <w:color w:val="000000"/>
        </w:rPr>
      </w:pPr>
      <w:r>
        <w:rPr>
          <w:color w:val="000000"/>
        </w:rPr>
        <w:t xml:space="preserve">Dentro del ámbito de la violencia </w:t>
      </w:r>
      <w:r w:rsidR="0009303F">
        <w:rPr>
          <w:color w:val="000000"/>
        </w:rPr>
        <w:t xml:space="preserve">por </w:t>
      </w:r>
      <w:r w:rsidR="00763823">
        <w:rPr>
          <w:color w:val="000000"/>
        </w:rPr>
        <w:t xml:space="preserve">razón </w:t>
      </w:r>
      <w:r w:rsidR="0009303F">
        <w:rPr>
          <w:color w:val="000000"/>
        </w:rPr>
        <w:t xml:space="preserve">de género, la mujer </w:t>
      </w:r>
      <w:r w:rsidR="00EF650B">
        <w:rPr>
          <w:color w:val="000000"/>
        </w:rPr>
        <w:t xml:space="preserve">ha sido tradicionalmente </w:t>
      </w:r>
      <w:r w:rsidR="0009303F">
        <w:rPr>
          <w:color w:val="000000"/>
        </w:rPr>
        <w:t xml:space="preserve">considerada </w:t>
      </w:r>
      <w:r w:rsidR="00593812">
        <w:rPr>
          <w:color w:val="000000"/>
        </w:rPr>
        <w:t xml:space="preserve">la figura </w:t>
      </w:r>
      <w:r w:rsidR="0018033B">
        <w:rPr>
          <w:color w:val="000000"/>
        </w:rPr>
        <w:t xml:space="preserve">central, al ser reconocida como </w:t>
      </w:r>
      <w:r w:rsidR="00BC4CAB">
        <w:rPr>
          <w:color w:val="000000"/>
        </w:rPr>
        <w:t>víctima</w:t>
      </w:r>
      <w:r w:rsidR="0018033B">
        <w:rPr>
          <w:color w:val="000000"/>
        </w:rPr>
        <w:t xml:space="preserve"> directa y principal</w:t>
      </w:r>
      <w:r w:rsidR="002E0A9A">
        <w:rPr>
          <w:color w:val="000000"/>
        </w:rPr>
        <w:t xml:space="preserve">. </w:t>
      </w:r>
      <w:r w:rsidR="00A33172">
        <w:rPr>
          <w:color w:val="000000"/>
        </w:rPr>
        <w:t>Durante años, numeros</w:t>
      </w:r>
      <w:r w:rsidR="00B4518A">
        <w:rPr>
          <w:color w:val="000000"/>
        </w:rPr>
        <w:t xml:space="preserve">os estudios han intentado identificar </w:t>
      </w:r>
      <w:r w:rsidR="00BE73B7" w:rsidRPr="00DF3ED1">
        <w:rPr>
          <w:color w:val="000000"/>
        </w:rPr>
        <w:t>qué c</w:t>
      </w:r>
      <w:r w:rsidR="002412B8" w:rsidRPr="00DF3ED1">
        <w:rPr>
          <w:color w:val="000000"/>
        </w:rPr>
        <w:t>ondiciones</w:t>
      </w:r>
      <w:r w:rsidR="0060154E" w:rsidRPr="00DF3ED1">
        <w:rPr>
          <w:color w:val="000000"/>
        </w:rPr>
        <w:t xml:space="preserve"> personales, sociales </w:t>
      </w:r>
      <w:r w:rsidR="00B4518A">
        <w:rPr>
          <w:color w:val="000000"/>
        </w:rPr>
        <w:t xml:space="preserve">o </w:t>
      </w:r>
      <w:r w:rsidR="0060154E" w:rsidRPr="00DF3ED1">
        <w:rPr>
          <w:color w:val="000000"/>
        </w:rPr>
        <w:t xml:space="preserve">psicológicas podrían </w:t>
      </w:r>
      <w:r w:rsidR="00B4518A">
        <w:rPr>
          <w:color w:val="000000"/>
        </w:rPr>
        <w:t xml:space="preserve">incrementar </w:t>
      </w:r>
      <w:r w:rsidR="00A21B80">
        <w:rPr>
          <w:color w:val="000000"/>
        </w:rPr>
        <w:t>la vulnerabilidad de una mujer a sufrir est</w:t>
      </w:r>
      <w:r w:rsidR="005B0388">
        <w:rPr>
          <w:color w:val="000000"/>
        </w:rPr>
        <w:t xml:space="preserve">a tipología </w:t>
      </w:r>
      <w:r w:rsidR="00A21B80">
        <w:rPr>
          <w:color w:val="000000"/>
        </w:rPr>
        <w:t xml:space="preserve">de violencia. Sin embargo, </w:t>
      </w:r>
      <w:r w:rsidR="00222136" w:rsidRPr="00DF3ED1">
        <w:rPr>
          <w:color w:val="000000"/>
        </w:rPr>
        <w:t xml:space="preserve">la evidencia científica ha demostrado que </w:t>
      </w:r>
      <w:r w:rsidR="00F4740E" w:rsidRPr="00DF3ED1">
        <w:rPr>
          <w:color w:val="000000"/>
        </w:rPr>
        <w:t xml:space="preserve">no </w:t>
      </w:r>
      <w:r w:rsidR="005B2822">
        <w:rPr>
          <w:color w:val="000000"/>
        </w:rPr>
        <w:t xml:space="preserve">existe </w:t>
      </w:r>
      <w:r w:rsidR="00BC2F03" w:rsidRPr="00DF3ED1">
        <w:rPr>
          <w:color w:val="000000"/>
        </w:rPr>
        <w:t>un</w:t>
      </w:r>
      <w:r w:rsidR="00E7453F">
        <w:rPr>
          <w:color w:val="000000"/>
        </w:rPr>
        <w:t xml:space="preserve"> perfil único </w:t>
      </w:r>
      <w:r w:rsidR="00BC2F03" w:rsidRPr="00DF3ED1">
        <w:rPr>
          <w:color w:val="000000"/>
        </w:rPr>
        <w:t xml:space="preserve">de </w:t>
      </w:r>
      <w:r w:rsidR="005E34AA" w:rsidRPr="00DF3ED1">
        <w:rPr>
          <w:color w:val="000000"/>
        </w:rPr>
        <w:t>víctima</w:t>
      </w:r>
      <w:r w:rsidR="00C52F29">
        <w:rPr>
          <w:color w:val="000000"/>
        </w:rPr>
        <w:t xml:space="preserve">, ya que </w:t>
      </w:r>
      <w:r w:rsidR="00A04D0A">
        <w:rPr>
          <w:color w:val="000000"/>
        </w:rPr>
        <w:t>l</w:t>
      </w:r>
      <w:r w:rsidR="00A21B80">
        <w:rPr>
          <w:color w:val="000000"/>
        </w:rPr>
        <w:t>a violencia de géner</w:t>
      </w:r>
      <w:r w:rsidR="002318C9">
        <w:rPr>
          <w:color w:val="000000"/>
        </w:rPr>
        <w:t xml:space="preserve">o </w:t>
      </w:r>
      <w:r w:rsidR="00A21B80">
        <w:rPr>
          <w:color w:val="000000"/>
        </w:rPr>
        <w:t xml:space="preserve">puede </w:t>
      </w:r>
      <w:r w:rsidR="002318C9">
        <w:rPr>
          <w:color w:val="000000"/>
        </w:rPr>
        <w:t>afectar</w:t>
      </w:r>
      <w:r w:rsidR="00A21B80">
        <w:rPr>
          <w:color w:val="000000"/>
        </w:rPr>
        <w:t xml:space="preserve"> a mujeres muy </w:t>
      </w:r>
      <w:r w:rsidR="00A04D0A">
        <w:rPr>
          <w:color w:val="000000"/>
        </w:rPr>
        <w:t xml:space="preserve">diversas </w:t>
      </w:r>
      <w:r w:rsidR="00BC2F03" w:rsidRPr="00DF3ED1">
        <w:rPr>
          <w:color w:val="000000"/>
        </w:rPr>
        <w:t xml:space="preserve">entre </w:t>
      </w:r>
      <w:r w:rsidR="005E34AA" w:rsidRPr="00DF3ED1">
        <w:rPr>
          <w:color w:val="000000"/>
        </w:rPr>
        <w:t>sí; e</w:t>
      </w:r>
      <w:r w:rsidR="00931461" w:rsidRPr="00DF3ED1">
        <w:rPr>
          <w:color w:val="000000"/>
        </w:rPr>
        <w:t xml:space="preserve">s decir, </w:t>
      </w:r>
      <w:r w:rsidR="005E34AA" w:rsidRPr="00DF3ED1">
        <w:rPr>
          <w:color w:val="000000"/>
        </w:rPr>
        <w:t xml:space="preserve">puede </w:t>
      </w:r>
      <w:r w:rsidR="00806C0A">
        <w:rPr>
          <w:color w:val="000000"/>
        </w:rPr>
        <w:t xml:space="preserve">impactar </w:t>
      </w:r>
      <w:r w:rsidR="005E34AA" w:rsidRPr="00DF3ED1">
        <w:rPr>
          <w:color w:val="000000"/>
        </w:rPr>
        <w:t>a cualquier mujer</w:t>
      </w:r>
      <w:r w:rsidR="0095023C" w:rsidRPr="00DF3ED1">
        <w:rPr>
          <w:color w:val="000000"/>
        </w:rPr>
        <w:t xml:space="preserve">, independientemente de su </w:t>
      </w:r>
      <w:r w:rsidR="00931461" w:rsidRPr="00DF3ED1">
        <w:rPr>
          <w:color w:val="000000"/>
        </w:rPr>
        <w:t xml:space="preserve">edad, </w:t>
      </w:r>
      <w:r w:rsidR="00017122">
        <w:rPr>
          <w:color w:val="000000"/>
        </w:rPr>
        <w:t xml:space="preserve">raza, etnia, </w:t>
      </w:r>
      <w:r w:rsidR="008E1E8C" w:rsidRPr="00DF3ED1">
        <w:rPr>
          <w:color w:val="000000"/>
        </w:rPr>
        <w:t>clase social, nivel educativo</w:t>
      </w:r>
      <w:r w:rsidR="0095023C" w:rsidRPr="00DF3ED1">
        <w:rPr>
          <w:color w:val="000000"/>
        </w:rPr>
        <w:t xml:space="preserve"> o contexto cultural</w:t>
      </w:r>
      <w:r w:rsidR="0043130A">
        <w:rPr>
          <w:color w:val="000000"/>
        </w:rPr>
        <w:t xml:space="preserve">. Además, se trata de un fenómeno presente a nivel internacional, manifestándose en todas las partes del </w:t>
      </w:r>
      <w:r w:rsidR="00806C0A">
        <w:rPr>
          <w:color w:val="000000"/>
        </w:rPr>
        <w:t xml:space="preserve">mundo </w:t>
      </w:r>
      <w:r w:rsidR="00806C0A" w:rsidRPr="00DF3ED1">
        <w:rPr>
          <w:color w:val="000000"/>
        </w:rPr>
        <w:t>(</w:t>
      </w:r>
      <w:r w:rsidR="00DF3ED1" w:rsidRPr="00DF3ED1">
        <w:t>Menéndez, Pérez y Lorente, 2013;</w:t>
      </w:r>
      <w:r w:rsidR="00DF3ED1">
        <w:t xml:space="preserve"> </w:t>
      </w:r>
      <w:proofErr w:type="spellStart"/>
      <w:r w:rsidR="00DF3ED1" w:rsidRPr="00DF3ED1">
        <w:rPr>
          <w:color w:val="000000"/>
        </w:rPr>
        <w:t>Nabors</w:t>
      </w:r>
      <w:proofErr w:type="spellEnd"/>
      <w:r w:rsidR="00DF3ED1" w:rsidRPr="00DF3ED1">
        <w:rPr>
          <w:color w:val="000000"/>
        </w:rPr>
        <w:t xml:space="preserve">, </w:t>
      </w:r>
      <w:proofErr w:type="spellStart"/>
      <w:r w:rsidR="00DF3ED1" w:rsidRPr="00DF3ED1">
        <w:rPr>
          <w:color w:val="000000"/>
        </w:rPr>
        <w:t>Dietz</w:t>
      </w:r>
      <w:proofErr w:type="spellEnd"/>
      <w:r w:rsidR="00DF3ED1" w:rsidRPr="00DF3ED1">
        <w:rPr>
          <w:color w:val="000000"/>
        </w:rPr>
        <w:t xml:space="preserve"> y </w:t>
      </w:r>
      <w:proofErr w:type="spellStart"/>
      <w:r w:rsidR="00DF3ED1" w:rsidRPr="00DF3ED1">
        <w:rPr>
          <w:color w:val="000000"/>
        </w:rPr>
        <w:t>Jasinski</w:t>
      </w:r>
      <w:proofErr w:type="spellEnd"/>
      <w:r w:rsidR="00DF3ED1" w:rsidRPr="00DF3ED1">
        <w:rPr>
          <w:color w:val="000000"/>
        </w:rPr>
        <w:t xml:space="preserve">, 2006; Oliver y Valls, 2004; </w:t>
      </w:r>
      <w:proofErr w:type="spellStart"/>
      <w:r w:rsidR="00DF3ED1" w:rsidRPr="00DF3ED1">
        <w:rPr>
          <w:color w:val="000000"/>
        </w:rPr>
        <w:t>Sanmar-tín</w:t>
      </w:r>
      <w:proofErr w:type="spellEnd"/>
      <w:r w:rsidR="00DF3ED1" w:rsidRPr="00DF3ED1">
        <w:rPr>
          <w:color w:val="000000"/>
        </w:rPr>
        <w:t>, Iborra, García y Martínez, 2010). </w:t>
      </w:r>
    </w:p>
    <w:p w14:paraId="3E7FC7B3" w14:textId="77777777" w:rsidR="00CA6256" w:rsidRDefault="00CA6256" w:rsidP="00C16CEC">
      <w:pPr>
        <w:pStyle w:val="NormalWeb"/>
        <w:spacing w:before="0" w:beforeAutospacing="0" w:after="0" w:afterAutospacing="0" w:line="360" w:lineRule="auto"/>
        <w:jc w:val="both"/>
        <w:rPr>
          <w:color w:val="000000"/>
        </w:rPr>
      </w:pPr>
    </w:p>
    <w:p w14:paraId="6F4CE473" w14:textId="0B826E91" w:rsidR="00340489" w:rsidRDefault="00C72A51" w:rsidP="00C87566">
      <w:pPr>
        <w:pStyle w:val="NormalWeb"/>
        <w:spacing w:before="0" w:beforeAutospacing="0" w:after="0" w:afterAutospacing="0" w:line="360" w:lineRule="auto"/>
        <w:ind w:firstLine="360"/>
        <w:jc w:val="both"/>
        <w:rPr>
          <w:color w:val="000000"/>
        </w:rPr>
      </w:pPr>
      <w:r>
        <w:rPr>
          <w:color w:val="000000"/>
        </w:rPr>
        <w:t xml:space="preserve">Por </w:t>
      </w:r>
      <w:r w:rsidR="00806C0A">
        <w:rPr>
          <w:color w:val="000000"/>
        </w:rPr>
        <w:t xml:space="preserve">ello, </w:t>
      </w:r>
      <w:r w:rsidR="00DE393A">
        <w:rPr>
          <w:color w:val="000000"/>
        </w:rPr>
        <w:t xml:space="preserve">al abordar </w:t>
      </w:r>
      <w:r w:rsidR="00F1185F">
        <w:rPr>
          <w:color w:val="000000"/>
        </w:rPr>
        <w:t xml:space="preserve">esta realidad, es </w:t>
      </w:r>
      <w:r w:rsidR="00D7675C">
        <w:rPr>
          <w:color w:val="000000"/>
        </w:rPr>
        <w:t xml:space="preserve">necesario </w:t>
      </w:r>
      <w:r w:rsidR="00CA6256">
        <w:rPr>
          <w:color w:val="000000"/>
        </w:rPr>
        <w:t>comprender que no se refiere a un grupo homogéneo de mujer</w:t>
      </w:r>
      <w:r w:rsidR="00CD61EB">
        <w:rPr>
          <w:color w:val="000000"/>
        </w:rPr>
        <w:t>es</w:t>
      </w:r>
      <w:r w:rsidR="00CA6256">
        <w:rPr>
          <w:color w:val="000000"/>
        </w:rPr>
        <w:t xml:space="preserve">, sino a una </w:t>
      </w:r>
      <w:r w:rsidR="00F1185F">
        <w:rPr>
          <w:color w:val="000000"/>
        </w:rPr>
        <w:t xml:space="preserve">problemática </w:t>
      </w:r>
      <w:r w:rsidR="00CA6256">
        <w:rPr>
          <w:color w:val="000000"/>
        </w:rPr>
        <w:t xml:space="preserve">compleja que atraviesa diferentes perfiles y contextos sociales. </w:t>
      </w:r>
      <w:r w:rsidR="00F1185F">
        <w:rPr>
          <w:color w:val="000000"/>
        </w:rPr>
        <w:t xml:space="preserve">Asimismo, </w:t>
      </w:r>
      <w:r w:rsidR="00B53C1E">
        <w:rPr>
          <w:color w:val="000000"/>
        </w:rPr>
        <w:t xml:space="preserve">según la ministra de Igualdad, Ana Redondo, y la </w:t>
      </w:r>
      <w:r w:rsidR="00B53C1E" w:rsidRPr="00984484">
        <w:rPr>
          <w:color w:val="000000"/>
        </w:rPr>
        <w:t xml:space="preserve">delegada del Gobierno contra la Violencia de Género, Carmen Martínez Perza, una de cada tres mujeres ha sufrido violencia en algún momento de su vida. </w:t>
      </w:r>
    </w:p>
    <w:p w14:paraId="3EB49C18" w14:textId="77777777" w:rsidR="00340489" w:rsidRDefault="00340489" w:rsidP="00C87566">
      <w:pPr>
        <w:pStyle w:val="NormalWeb"/>
        <w:spacing w:before="0" w:beforeAutospacing="0" w:after="0" w:afterAutospacing="0" w:line="360" w:lineRule="auto"/>
        <w:ind w:firstLine="360"/>
        <w:jc w:val="both"/>
        <w:rPr>
          <w:color w:val="000000"/>
        </w:rPr>
      </w:pPr>
    </w:p>
    <w:p w14:paraId="6A708123" w14:textId="77777777" w:rsidR="005021FA" w:rsidRDefault="00340489" w:rsidP="005021FA">
      <w:pPr>
        <w:pStyle w:val="NormalWeb"/>
        <w:spacing w:before="0" w:beforeAutospacing="0" w:after="0" w:afterAutospacing="0" w:line="360" w:lineRule="auto"/>
        <w:ind w:firstLine="360"/>
        <w:jc w:val="both"/>
        <w:rPr>
          <w:color w:val="000000"/>
        </w:rPr>
      </w:pPr>
      <w:r>
        <w:rPr>
          <w:color w:val="000000"/>
        </w:rPr>
        <w:t xml:space="preserve">Desde la psicología, se ha intentado profundizar en el análisis de los factores que estas mujeres podrían tener en común. </w:t>
      </w:r>
      <w:r w:rsidR="001C1C33">
        <w:rPr>
          <w:color w:val="000000"/>
        </w:rPr>
        <w:t xml:space="preserve">Tal y como </w:t>
      </w:r>
      <w:r w:rsidR="001C1C33">
        <w:rPr>
          <w:color w:val="000000"/>
        </w:rPr>
        <w:t xml:space="preserve">como señalan </w:t>
      </w:r>
      <w:r w:rsidR="001C1C33" w:rsidRPr="00984484">
        <w:t>Aedo y Gahona</w:t>
      </w:r>
      <w:r w:rsidR="001C1C33">
        <w:t xml:space="preserve"> (2019), </w:t>
      </w:r>
      <w:r w:rsidR="00984484">
        <w:t xml:space="preserve">más que identificar </w:t>
      </w:r>
      <w:r w:rsidR="00785FBC">
        <w:t>características</w:t>
      </w:r>
      <w:r>
        <w:t xml:space="preserve"> </w:t>
      </w:r>
      <w:r w:rsidR="00984484">
        <w:t xml:space="preserve">individuales compartidas por las </w:t>
      </w:r>
      <w:r>
        <w:t>víctimas</w:t>
      </w:r>
      <w:r w:rsidR="00984484">
        <w:t xml:space="preserve">, </w:t>
      </w:r>
      <w:r>
        <w:t xml:space="preserve">el verdadero elemento común </w:t>
      </w:r>
      <w:r w:rsidR="00984484">
        <w:t>reside en la</w:t>
      </w:r>
      <w:r w:rsidR="00131A58">
        <w:t xml:space="preserve">s dinámicas de desigualdad, control, y dominación que sostienen </w:t>
      </w:r>
      <w:r w:rsidR="00402F1D">
        <w:t xml:space="preserve">la violencia de género. </w:t>
      </w:r>
      <w:r w:rsidR="007C7C24">
        <w:t xml:space="preserve">Estas dinámicas </w:t>
      </w:r>
      <w:r w:rsidR="004D2A6B" w:rsidRPr="00C2380A">
        <w:rPr>
          <w:color w:val="000000"/>
        </w:rPr>
        <w:t xml:space="preserve">suelen manifestarse de manera inmediata, sino que se desarrollan de forma progresiva, aumentando en intensidad y frecuencia con el tiempo. En otras palabras, la violencia comienza de forma sutil y va escalando gradualmente. </w:t>
      </w:r>
    </w:p>
    <w:p w14:paraId="04E4CB93" w14:textId="77777777" w:rsidR="005021FA" w:rsidRDefault="005021FA" w:rsidP="005021FA">
      <w:pPr>
        <w:pStyle w:val="NormalWeb"/>
        <w:spacing w:before="0" w:beforeAutospacing="0" w:after="0" w:afterAutospacing="0" w:line="360" w:lineRule="auto"/>
        <w:ind w:firstLine="360"/>
        <w:jc w:val="both"/>
        <w:rPr>
          <w:color w:val="000000"/>
        </w:rPr>
      </w:pPr>
    </w:p>
    <w:p w14:paraId="31D5A966" w14:textId="3B5318AB" w:rsidR="00B1788A" w:rsidRPr="00B1788A" w:rsidRDefault="005021FA" w:rsidP="00442FB6">
      <w:pPr>
        <w:pStyle w:val="NormalWeb"/>
        <w:spacing w:before="0" w:beforeAutospacing="0" w:after="0" w:afterAutospacing="0" w:line="360" w:lineRule="auto"/>
        <w:ind w:firstLine="360"/>
        <w:jc w:val="both"/>
        <w:rPr>
          <w:color w:val="000000"/>
        </w:rPr>
      </w:pPr>
      <w:r>
        <w:rPr>
          <w:color w:val="000000"/>
        </w:rPr>
        <w:t xml:space="preserve">La </w:t>
      </w:r>
      <w:r w:rsidR="004D2A6B" w:rsidRPr="00C2380A">
        <w:rPr>
          <w:color w:val="000000"/>
        </w:rPr>
        <w:t>psicóloga norteamericana</w:t>
      </w:r>
      <w:r w:rsidR="004D2A6B" w:rsidRPr="00C2380A">
        <w:rPr>
          <w:rStyle w:val="apple-converted-space"/>
          <w:rFonts w:eastAsiaTheme="majorEastAsia"/>
          <w:color w:val="000000"/>
        </w:rPr>
        <w:t> </w:t>
      </w:r>
      <w:r w:rsidR="004D2A6B" w:rsidRPr="00C2380A">
        <w:rPr>
          <w:rStyle w:val="Fuerte"/>
          <w:rFonts w:eastAsiaTheme="majorEastAsia"/>
          <w:b w:val="0"/>
          <w:bCs w:val="0"/>
          <w:color w:val="000000"/>
        </w:rPr>
        <w:t>Lenore E. Walker</w:t>
      </w:r>
      <w:r w:rsidR="004D2A6B" w:rsidRPr="00C2380A">
        <w:rPr>
          <w:b/>
          <w:bCs/>
          <w:color w:val="000000"/>
        </w:rPr>
        <w:t>,</w:t>
      </w:r>
      <w:r w:rsidR="004D2A6B" w:rsidRPr="00C2380A">
        <w:rPr>
          <w:color w:val="000000"/>
        </w:rPr>
        <w:t xml:space="preserve"> en la década de 1970, describió este </w:t>
      </w:r>
      <w:r>
        <w:rPr>
          <w:color w:val="000000"/>
        </w:rPr>
        <w:t xml:space="preserve">patrón </w:t>
      </w:r>
      <w:r w:rsidR="004D2A6B" w:rsidRPr="00C2380A">
        <w:rPr>
          <w:color w:val="000000"/>
        </w:rPr>
        <w:t xml:space="preserve">mediante </w:t>
      </w:r>
      <w:r>
        <w:rPr>
          <w:color w:val="000000"/>
        </w:rPr>
        <w:t xml:space="preserve">la </w:t>
      </w:r>
      <w:r w:rsidR="004D2A6B" w:rsidRPr="009D1E6F">
        <w:rPr>
          <w:rStyle w:val="apple-converted-space"/>
          <w:rFonts w:eastAsiaTheme="majorEastAsia"/>
          <w:color w:val="000000"/>
          <w:u w:val="single"/>
        </w:rPr>
        <w:t xml:space="preserve">Teoría del </w:t>
      </w:r>
      <w:r w:rsidR="004D2A6B" w:rsidRPr="009D1E6F">
        <w:rPr>
          <w:rStyle w:val="Fuerte"/>
          <w:rFonts w:eastAsiaTheme="majorEastAsia"/>
          <w:b w:val="0"/>
          <w:bCs w:val="0"/>
          <w:color w:val="000000"/>
          <w:u w:val="single"/>
        </w:rPr>
        <w:t>ciclo</w:t>
      </w:r>
      <w:r w:rsidR="004D2A6B" w:rsidRPr="00C2380A">
        <w:rPr>
          <w:rStyle w:val="Fuerte"/>
          <w:rFonts w:eastAsiaTheme="majorEastAsia"/>
          <w:b w:val="0"/>
          <w:bCs w:val="0"/>
          <w:color w:val="000000"/>
          <w:u w:val="single"/>
        </w:rPr>
        <w:t xml:space="preserve"> de la </w:t>
      </w:r>
      <w:r w:rsidR="004D2A6B" w:rsidRPr="00B1788A">
        <w:rPr>
          <w:rStyle w:val="Fuerte"/>
          <w:rFonts w:eastAsiaTheme="majorEastAsia"/>
          <w:b w:val="0"/>
          <w:bCs w:val="0"/>
          <w:color w:val="000000"/>
          <w:u w:val="single"/>
        </w:rPr>
        <w:t>violencia</w:t>
      </w:r>
      <w:r w:rsidR="004D2A6B" w:rsidRPr="00B1788A">
        <w:rPr>
          <w:b/>
          <w:bCs/>
          <w:color w:val="000000"/>
          <w:u w:val="single"/>
        </w:rPr>
        <w:t>,</w:t>
      </w:r>
      <w:r w:rsidR="004D2A6B" w:rsidRPr="00B1788A">
        <w:rPr>
          <w:b/>
          <w:bCs/>
          <w:color w:val="000000"/>
        </w:rPr>
        <w:t xml:space="preserve"> </w:t>
      </w:r>
      <w:r w:rsidR="00B1788A" w:rsidRPr="00B1788A">
        <w:rPr>
          <w:color w:val="000000"/>
        </w:rPr>
        <w:t xml:space="preserve">un </w:t>
      </w:r>
      <w:r w:rsidR="00B1788A">
        <w:rPr>
          <w:color w:val="000000"/>
        </w:rPr>
        <w:t xml:space="preserve">proceso que se repite </w:t>
      </w:r>
      <w:r w:rsidR="00442FB6">
        <w:rPr>
          <w:color w:val="000000"/>
        </w:rPr>
        <w:t xml:space="preserve">continuamente y que puede entenderse como un ciclo compuesto por </w:t>
      </w:r>
      <w:r w:rsidR="00B1788A">
        <w:rPr>
          <w:color w:val="000000"/>
        </w:rPr>
        <w:t xml:space="preserve">tres fases: primero, </w:t>
      </w:r>
      <w:r w:rsidR="00B1788A">
        <w:rPr>
          <w:color w:val="000000"/>
        </w:rPr>
        <w:lastRenderedPageBreak/>
        <w:t xml:space="preserve">la </w:t>
      </w:r>
      <w:r w:rsidR="00785913" w:rsidRPr="00F273FE">
        <w:rPr>
          <w:color w:val="000000"/>
        </w:rPr>
        <w:t>acumulación</w:t>
      </w:r>
      <w:r w:rsidR="00B1788A" w:rsidRPr="00F273FE">
        <w:rPr>
          <w:color w:val="000000"/>
        </w:rPr>
        <w:t xml:space="preserve"> de tensión; después, la explosión o agresión; y finalmente, la reconcili</w:t>
      </w:r>
      <w:r w:rsidR="00785913" w:rsidRPr="00F273FE">
        <w:rPr>
          <w:color w:val="000000"/>
        </w:rPr>
        <w:t xml:space="preserve">ación o “luna de miel” </w:t>
      </w:r>
      <w:r w:rsidR="00785913" w:rsidRPr="00F273FE">
        <w:rPr>
          <w:color w:val="000000"/>
        </w:rPr>
        <w:t>(Walker, 1979; Unobravo, s.f.).</w:t>
      </w:r>
    </w:p>
    <w:p w14:paraId="558EFAD7" w14:textId="77777777" w:rsidR="002F77AE" w:rsidRDefault="007F0D16" w:rsidP="00CF7069">
      <w:pPr>
        <w:pStyle w:val="NormalWeb"/>
        <w:spacing w:line="360" w:lineRule="auto"/>
        <w:ind w:firstLine="360"/>
        <w:jc w:val="both"/>
        <w:rPr>
          <w:color w:val="000000"/>
        </w:rPr>
      </w:pPr>
      <w:r>
        <w:rPr>
          <w:color w:val="000000"/>
        </w:rPr>
        <w:t xml:space="preserve">Durante </w:t>
      </w:r>
      <w:r w:rsidR="00785913">
        <w:rPr>
          <w:color w:val="000000"/>
        </w:rPr>
        <w:t>la fase inicial, la acumulación de tensión, los episodios de violencia s</w:t>
      </w:r>
      <w:r w:rsidR="00970A93">
        <w:rPr>
          <w:color w:val="000000"/>
        </w:rPr>
        <w:t>e</w:t>
      </w:r>
      <w:r w:rsidR="00785913">
        <w:rPr>
          <w:color w:val="000000"/>
        </w:rPr>
        <w:t xml:space="preserve"> caracterizan por ser de </w:t>
      </w:r>
      <w:r w:rsidR="004D2A6B" w:rsidRPr="009D1E6F">
        <w:rPr>
          <w:color w:val="000000"/>
        </w:rPr>
        <w:t>menor gravedad</w:t>
      </w:r>
      <w:r w:rsidR="004B33C6">
        <w:rPr>
          <w:color w:val="000000"/>
        </w:rPr>
        <w:t xml:space="preserve">, </w:t>
      </w:r>
      <w:r w:rsidR="00970A93">
        <w:rPr>
          <w:color w:val="000000"/>
        </w:rPr>
        <w:t xml:space="preserve">aunque </w:t>
      </w:r>
      <w:r w:rsidR="004B33C6">
        <w:rPr>
          <w:color w:val="000000"/>
        </w:rPr>
        <w:t xml:space="preserve">constantes. </w:t>
      </w:r>
      <w:r w:rsidR="00970A93">
        <w:rPr>
          <w:color w:val="000000"/>
        </w:rPr>
        <w:t xml:space="preserve">Se manifiestan </w:t>
      </w:r>
      <w:r w:rsidR="004B33C6">
        <w:rPr>
          <w:color w:val="000000"/>
        </w:rPr>
        <w:t xml:space="preserve">a través de </w:t>
      </w:r>
      <w:r w:rsidR="004D2A6B" w:rsidRPr="009D1E6F">
        <w:rPr>
          <w:color w:val="000000"/>
        </w:rPr>
        <w:t>gritos, humillaciones, discusiones leves</w:t>
      </w:r>
      <w:r w:rsidR="004B33C6">
        <w:rPr>
          <w:color w:val="000000"/>
        </w:rPr>
        <w:t xml:space="preserve"> y </w:t>
      </w:r>
      <w:r w:rsidR="004B33C6" w:rsidRPr="009D1E6F">
        <w:rPr>
          <w:color w:val="000000"/>
        </w:rPr>
        <w:t>control emociona</w:t>
      </w:r>
      <w:r w:rsidR="004B33C6">
        <w:rPr>
          <w:color w:val="000000"/>
        </w:rPr>
        <w:t xml:space="preserve">l. Además, </w:t>
      </w:r>
      <w:r w:rsidR="00970A93">
        <w:rPr>
          <w:color w:val="000000"/>
        </w:rPr>
        <w:t xml:space="preserve">es frecuente que aparezcan </w:t>
      </w:r>
      <w:r w:rsidR="004D2A6B" w:rsidRPr="009D1E6F">
        <w:rPr>
          <w:color w:val="000000"/>
        </w:rPr>
        <w:t>comentarios despectivos, la imposición de restricciones sobre la vestimenta o las amistades</w:t>
      </w:r>
      <w:r w:rsidR="004B33C6">
        <w:rPr>
          <w:color w:val="000000"/>
        </w:rPr>
        <w:t xml:space="preserve"> u otras áreas de la vida de la víctima. </w:t>
      </w:r>
      <w:r w:rsidR="007C7E51">
        <w:rPr>
          <w:color w:val="000000"/>
        </w:rPr>
        <w:t>Estas conductas generan</w:t>
      </w:r>
      <w:r w:rsidR="004B33C6">
        <w:rPr>
          <w:color w:val="000000"/>
        </w:rPr>
        <w:t xml:space="preserve"> confusión</w:t>
      </w:r>
      <w:r w:rsidR="007C7E51">
        <w:rPr>
          <w:color w:val="000000"/>
        </w:rPr>
        <w:t xml:space="preserve"> y culpabilidad, haciendo que la mujer, al percibir que su vida está completamente controlada por otra persona, llegue a atribuirse la responsabilidad de lo que ocurre, aumentando su sensación de inseguridad y desprotección.</w:t>
      </w:r>
    </w:p>
    <w:p w14:paraId="05C774A3" w14:textId="5677966D" w:rsidR="00B22722" w:rsidRDefault="002F77AE" w:rsidP="0031716B">
      <w:pPr>
        <w:pStyle w:val="NormalWeb"/>
        <w:spacing w:before="0" w:beforeAutospacing="0" w:after="0" w:afterAutospacing="0" w:line="360" w:lineRule="auto"/>
        <w:ind w:firstLine="360"/>
        <w:jc w:val="both"/>
      </w:pPr>
      <w:r w:rsidRPr="00CF7069">
        <w:rPr>
          <w:color w:val="000000"/>
        </w:rPr>
        <w:t xml:space="preserve">En </w:t>
      </w:r>
      <w:r w:rsidR="00CF7069">
        <w:rPr>
          <w:color w:val="000000"/>
        </w:rPr>
        <w:t xml:space="preserve">la segunda fase, conocida como explosión o agresión, la tensión acumulada se traduce en actos de violencia física, sexual o psicológica de mayor intensidad. </w:t>
      </w:r>
      <w:r w:rsidR="0031716B">
        <w:rPr>
          <w:color w:val="000000"/>
        </w:rPr>
        <w:t xml:space="preserve">Poco a poco, el umbral de agresividad aumenta y la mujer, al estar posicionada estructuralmente en una situación de inferioridad, percibe que no puede defenderse ni controlar la situación. En este contexto pueden surgir </w:t>
      </w:r>
      <w:r w:rsidR="00CB0C8C">
        <w:t xml:space="preserve">consecuencias psicológicas profundas, como </w:t>
      </w:r>
      <w:r w:rsidR="00CB0C8C" w:rsidRPr="00402F1D">
        <w:rPr>
          <w:u w:val="single"/>
        </w:rPr>
        <w:t>la indefensión aprendida,</w:t>
      </w:r>
      <w:r w:rsidR="00CB0C8C">
        <w:t xml:space="preserve"> concepto desarrollo por el psicólogo</w:t>
      </w:r>
      <w:r w:rsidR="00B22722">
        <w:t xml:space="preserve"> y </w:t>
      </w:r>
      <w:r w:rsidR="00CB0C8C">
        <w:t xml:space="preserve">escritor </w:t>
      </w:r>
      <w:r w:rsidR="00B22722">
        <w:t>norteamericano</w:t>
      </w:r>
      <w:r w:rsidR="00CB0C8C">
        <w:t xml:space="preserve"> Martin Seligman en 1967 junto con sus </w:t>
      </w:r>
      <w:r w:rsidR="00FC1A76">
        <w:t xml:space="preserve">colaboradore, </w:t>
      </w:r>
      <w:r w:rsidR="001C478E">
        <w:t xml:space="preserve">que define como: </w:t>
      </w:r>
      <w:r w:rsidR="00FC1A76">
        <w:t xml:space="preserve"> </w:t>
      </w:r>
    </w:p>
    <w:p w14:paraId="237FA606" w14:textId="77777777" w:rsidR="00FC1A76" w:rsidRDefault="00FC1A76" w:rsidP="0031716B">
      <w:pPr>
        <w:pStyle w:val="NormalWeb"/>
        <w:spacing w:before="0" w:beforeAutospacing="0" w:after="0" w:afterAutospacing="0" w:line="360" w:lineRule="auto"/>
        <w:ind w:firstLine="360"/>
        <w:jc w:val="both"/>
      </w:pPr>
    </w:p>
    <w:p w14:paraId="43E856B5" w14:textId="13426E69" w:rsidR="001C478E" w:rsidRDefault="00FC1A76" w:rsidP="001C478E">
      <w:pPr>
        <w:pStyle w:val="NormalWeb"/>
        <w:spacing w:before="0" w:beforeAutospacing="0" w:after="0" w:afterAutospacing="0" w:line="360" w:lineRule="auto"/>
        <w:ind w:left="360"/>
        <w:jc w:val="both"/>
        <w:rPr>
          <w:i/>
          <w:iCs/>
        </w:rPr>
      </w:pPr>
      <w:r>
        <w:rPr>
          <w:i/>
          <w:iCs/>
        </w:rPr>
        <w:t>“U</w:t>
      </w:r>
      <w:r w:rsidRPr="00FC1A76">
        <w:rPr>
          <w:i/>
          <w:iCs/>
        </w:rPr>
        <w:t xml:space="preserve">n estado psicológico en el que un ser humano o </w:t>
      </w:r>
      <w:r w:rsidRPr="00F273FE">
        <w:rPr>
          <w:i/>
          <w:iCs/>
        </w:rPr>
        <w:t>animal aprende a comportarse</w:t>
      </w:r>
      <w:r w:rsidRPr="00FC1A76">
        <w:rPr>
          <w:i/>
          <w:iCs/>
        </w:rPr>
        <w:t xml:space="preserve"> de manera pasiva, sintiéndose incapaz de cambiar una situación adversa, incluso cuando existen oportunidades reales de escapar o evitar el dolor”. </w:t>
      </w:r>
    </w:p>
    <w:p w14:paraId="69DE3018" w14:textId="061AA41D" w:rsidR="001C478E" w:rsidRDefault="001C478E" w:rsidP="001C478E">
      <w:pPr>
        <w:pStyle w:val="NormalWeb"/>
        <w:spacing w:before="0" w:beforeAutospacing="0" w:after="0" w:afterAutospacing="0" w:line="360" w:lineRule="auto"/>
        <w:jc w:val="both"/>
        <w:rPr>
          <w:i/>
          <w:iCs/>
        </w:rPr>
      </w:pPr>
    </w:p>
    <w:p w14:paraId="6708AF5A" w14:textId="7EA94C6A" w:rsidR="00CB0C8C" w:rsidRPr="00750E7F" w:rsidRDefault="001C478E" w:rsidP="00C058BD">
      <w:pPr>
        <w:pStyle w:val="NormalWeb"/>
        <w:spacing w:before="0" w:beforeAutospacing="0" w:after="0" w:afterAutospacing="0" w:line="360" w:lineRule="auto"/>
        <w:jc w:val="both"/>
      </w:pPr>
      <w:r>
        <w:rPr>
          <w:i/>
          <w:iCs/>
        </w:rPr>
        <w:tab/>
      </w:r>
      <w:r w:rsidRPr="001C478E">
        <w:t xml:space="preserve">Este concepto </w:t>
      </w:r>
      <w:r w:rsidR="00C058BD">
        <w:t xml:space="preserve">refleja cómo las personas </w:t>
      </w:r>
      <w:r w:rsidR="00CB0C8C">
        <w:t xml:space="preserve">responden ante situaciones aversivas en las que perciben que no </w:t>
      </w:r>
      <w:r w:rsidR="00C058BD">
        <w:t xml:space="preserve">tienen control </w:t>
      </w:r>
      <w:r w:rsidR="00CB0C8C">
        <w:t xml:space="preserve">sobre su entorno, viéndose obligadas a soportar circunstancias que no </w:t>
      </w:r>
      <w:r w:rsidR="00C058BD">
        <w:t xml:space="preserve">enfrentarían </w:t>
      </w:r>
      <w:r w:rsidR="00CB0C8C">
        <w:t xml:space="preserve">voluntariamente. </w:t>
      </w:r>
      <w:r w:rsidR="00CB0C8C" w:rsidRPr="00633FF7">
        <w:t>Miguel Lorente Acosta, delegado del Gobierno para la Violencia de Genero</w:t>
      </w:r>
      <w:r>
        <w:t xml:space="preserve">, </w:t>
      </w:r>
      <w:r w:rsidR="004A1F81">
        <w:t xml:space="preserve">señala </w:t>
      </w:r>
      <w:r w:rsidR="006F0DF2">
        <w:t>que en</w:t>
      </w:r>
      <w:r w:rsidR="00BD43D2">
        <w:t xml:space="preserve"> est</w:t>
      </w:r>
      <w:r w:rsidR="006F0DF2">
        <w:t xml:space="preserve">as circunstancias </w:t>
      </w:r>
      <w:r w:rsidR="00BD43D2">
        <w:t>las mujeres pueden ser constantemente tratadas como torpes, descuidades o ignorantes, lo que contribuye a un deterioro psicológico progresivo</w:t>
      </w:r>
      <w:r w:rsidR="00D94DAB">
        <w:t xml:space="preserve">, dejándolas anuladas, incapaces de reaccionar y con la sensación de que no existe salida a la situación que viven. </w:t>
      </w:r>
      <w:r w:rsidR="00CB0C8C">
        <w:t>De este modo, la indefensión aprendida permite explicar por qué muchas mujeres en contextos vulnerables, sometidas de forma prolongada a vínculos de maltrato y control, p</w:t>
      </w:r>
      <w:r w:rsidR="006F0DF2">
        <w:t xml:space="preserve">ierden </w:t>
      </w:r>
      <w:r w:rsidR="006F0DF2">
        <w:lastRenderedPageBreak/>
        <w:t xml:space="preserve">progresivamente la capacidad de </w:t>
      </w:r>
      <w:r w:rsidR="00CB0C8C">
        <w:t xml:space="preserve">actuar con resiliencia o de revertir la situación de violencia en la que viven </w:t>
      </w:r>
      <w:r w:rsidR="00CB0C8C" w:rsidRPr="00750E7F">
        <w:rPr>
          <w:color w:val="000000"/>
        </w:rPr>
        <w:t>(Barreto, 2020).</w:t>
      </w:r>
    </w:p>
    <w:p w14:paraId="755C2789" w14:textId="7390A984" w:rsidR="005F759E" w:rsidRDefault="004D2A6B" w:rsidP="005F759E">
      <w:pPr>
        <w:pStyle w:val="NormalWeb"/>
        <w:spacing w:line="360" w:lineRule="auto"/>
        <w:ind w:firstLine="708"/>
        <w:jc w:val="both"/>
        <w:rPr>
          <w:color w:val="000000"/>
        </w:rPr>
      </w:pPr>
      <w:r w:rsidRPr="009D1E6F">
        <w:rPr>
          <w:color w:val="000000"/>
        </w:rPr>
        <w:t>Finalmente</w:t>
      </w:r>
      <w:r w:rsidRPr="00E231BC">
        <w:rPr>
          <w:color w:val="000000"/>
        </w:rPr>
        <w:t>, la</w:t>
      </w:r>
      <w:r w:rsidRPr="00E231BC">
        <w:rPr>
          <w:rStyle w:val="apple-converted-space"/>
          <w:rFonts w:eastAsiaTheme="majorEastAsia"/>
          <w:color w:val="000000"/>
        </w:rPr>
        <w:t> </w:t>
      </w:r>
      <w:r w:rsidRPr="00E231BC">
        <w:rPr>
          <w:rStyle w:val="Fuerte"/>
          <w:rFonts w:eastAsiaTheme="majorEastAsia"/>
          <w:b w:val="0"/>
          <w:bCs w:val="0"/>
          <w:color w:val="000000"/>
        </w:rPr>
        <w:t>fase de reconciliación o “luna de miel”</w:t>
      </w:r>
      <w:r w:rsidRPr="00E231BC">
        <w:rPr>
          <w:rStyle w:val="apple-converted-space"/>
          <w:rFonts w:eastAsiaTheme="majorEastAsia"/>
          <w:color w:val="000000"/>
        </w:rPr>
        <w:t> </w:t>
      </w:r>
      <w:r w:rsidRPr="00E231BC">
        <w:rPr>
          <w:color w:val="000000"/>
        </w:rPr>
        <w:t>se caracteriza</w:t>
      </w:r>
      <w:r w:rsidRPr="009D1E6F">
        <w:rPr>
          <w:color w:val="000000"/>
        </w:rPr>
        <w:t xml:space="preserve"> por gestos de arrepentimiento, disculpas y promesas de cambio por parte del agresor. Esta</w:t>
      </w:r>
      <w:r w:rsidR="00931148">
        <w:rPr>
          <w:color w:val="000000"/>
        </w:rPr>
        <w:t>s</w:t>
      </w:r>
      <w:r w:rsidRPr="009D1E6F">
        <w:rPr>
          <w:color w:val="000000"/>
        </w:rPr>
        <w:t xml:space="preserve"> </w:t>
      </w:r>
      <w:r w:rsidR="00C576CE">
        <w:rPr>
          <w:color w:val="000000"/>
        </w:rPr>
        <w:t xml:space="preserve">actitudes funcionan como una </w:t>
      </w:r>
      <w:r w:rsidRPr="009D1E6F">
        <w:rPr>
          <w:color w:val="000000"/>
        </w:rPr>
        <w:t>estrategia de manipulació</w:t>
      </w:r>
      <w:r w:rsidR="00931148">
        <w:rPr>
          <w:color w:val="000000"/>
        </w:rPr>
        <w:t xml:space="preserve">n, reforzando la esperanza </w:t>
      </w:r>
      <w:r w:rsidRPr="009D1E6F">
        <w:rPr>
          <w:color w:val="000000"/>
        </w:rPr>
        <w:t xml:space="preserve">de la </w:t>
      </w:r>
      <w:r w:rsidR="00931148">
        <w:rPr>
          <w:color w:val="000000"/>
        </w:rPr>
        <w:t xml:space="preserve">mujer </w:t>
      </w:r>
      <w:r w:rsidRPr="009D1E6F">
        <w:rPr>
          <w:color w:val="000000"/>
        </w:rPr>
        <w:t xml:space="preserve">en la </w:t>
      </w:r>
      <w:r w:rsidR="00931148">
        <w:rPr>
          <w:color w:val="000000"/>
        </w:rPr>
        <w:t>relación puede mejorar</w:t>
      </w:r>
      <w:r w:rsidR="00B33E80">
        <w:rPr>
          <w:color w:val="000000"/>
        </w:rPr>
        <w:t xml:space="preserve">, </w:t>
      </w:r>
      <w:r w:rsidR="00734376">
        <w:rPr>
          <w:color w:val="000000"/>
        </w:rPr>
        <w:t>como si volvie</w:t>
      </w:r>
      <w:r w:rsidR="00B33E80">
        <w:rPr>
          <w:color w:val="000000"/>
        </w:rPr>
        <w:t xml:space="preserve">ra al punto de partida, cuando aún no existía violencia. </w:t>
      </w:r>
      <w:r w:rsidR="004B61ED">
        <w:rPr>
          <w:color w:val="000000"/>
        </w:rPr>
        <w:t>Sin embargo, estas expectativas de una relación idílica son ilusorias, ya que, como señala Alonso</w:t>
      </w:r>
      <w:r w:rsidR="00734376">
        <w:rPr>
          <w:color w:val="000000"/>
        </w:rPr>
        <w:t xml:space="preserve"> (2007)</w:t>
      </w:r>
      <w:r w:rsidR="004B61ED">
        <w:rPr>
          <w:color w:val="000000"/>
        </w:rPr>
        <w:t>, el patrón de maltrato suele repetirse, manteniendo a la víctima atrapada en el ciclo de violencia, como si</w:t>
      </w:r>
      <w:r w:rsidR="00C10A1A">
        <w:rPr>
          <w:color w:val="000000"/>
        </w:rPr>
        <w:t xml:space="preserve"> se tratara de un bucle. </w:t>
      </w:r>
      <w:r w:rsidR="005F759E">
        <w:rPr>
          <w:color w:val="000000"/>
        </w:rPr>
        <w:t xml:space="preserve">De manera similar, </w:t>
      </w:r>
      <w:r w:rsidR="00620C71">
        <w:rPr>
          <w:color w:val="000000"/>
        </w:rPr>
        <w:t xml:space="preserve">Montero et al., (2001) </w:t>
      </w:r>
      <w:r w:rsidR="005F759E">
        <w:rPr>
          <w:color w:val="000000"/>
        </w:rPr>
        <w:t xml:space="preserve">describe este fenómeno como </w:t>
      </w:r>
      <w:r w:rsidR="005F759E">
        <w:rPr>
          <w:color w:val="000000"/>
        </w:rPr>
        <w:t xml:space="preserve">el </w:t>
      </w:r>
      <w:r w:rsidR="00E037BB">
        <w:rPr>
          <w:color w:val="000000"/>
        </w:rPr>
        <w:t>“</w:t>
      </w:r>
      <w:r w:rsidR="005F759E">
        <w:rPr>
          <w:color w:val="000000"/>
        </w:rPr>
        <w:t xml:space="preserve">síndrome de adaptación </w:t>
      </w:r>
      <w:r w:rsidR="005F759E">
        <w:rPr>
          <w:color w:val="000000"/>
        </w:rPr>
        <w:t>paradójica</w:t>
      </w:r>
      <w:r w:rsidR="00E037BB">
        <w:rPr>
          <w:color w:val="000000"/>
        </w:rPr>
        <w:t>”</w:t>
      </w:r>
      <w:r w:rsidR="005F759E">
        <w:rPr>
          <w:color w:val="000000"/>
        </w:rPr>
        <w:t xml:space="preserve">, que consiste en que la </w:t>
      </w:r>
      <w:r w:rsidR="00E037BB">
        <w:rPr>
          <w:color w:val="000000"/>
        </w:rPr>
        <w:t>víctima</w:t>
      </w:r>
      <w:r w:rsidR="005F759E">
        <w:rPr>
          <w:color w:val="000000"/>
        </w:rPr>
        <w:t xml:space="preserve"> acepta las excusas y</w:t>
      </w:r>
      <w:r w:rsidR="002E4C2E">
        <w:rPr>
          <w:color w:val="000000"/>
        </w:rPr>
        <w:t xml:space="preserve"> el </w:t>
      </w:r>
      <w:r w:rsidR="00E037BB">
        <w:rPr>
          <w:color w:val="000000"/>
        </w:rPr>
        <w:t>arrepentimiento</w:t>
      </w:r>
      <w:r w:rsidR="002E4C2E">
        <w:rPr>
          <w:color w:val="000000"/>
        </w:rPr>
        <w:t xml:space="preserve"> del agresor, dando paso </w:t>
      </w:r>
      <w:r w:rsidR="00E037BB">
        <w:rPr>
          <w:color w:val="000000"/>
        </w:rPr>
        <w:t>así</w:t>
      </w:r>
      <w:r w:rsidR="002E4C2E">
        <w:rPr>
          <w:color w:val="000000"/>
        </w:rPr>
        <w:t xml:space="preserve"> a un “nuevo” comienzo en la relación. </w:t>
      </w:r>
    </w:p>
    <w:p w14:paraId="4C03B13E" w14:textId="3125C5C6" w:rsidR="00AF7A3B" w:rsidRDefault="009E3AEE" w:rsidP="000F34C0">
      <w:pPr>
        <w:pStyle w:val="NormalWeb"/>
        <w:spacing w:line="360" w:lineRule="auto"/>
        <w:ind w:firstLine="708"/>
        <w:jc w:val="both"/>
        <w:rPr>
          <w:color w:val="000000"/>
        </w:rPr>
      </w:pPr>
      <w:r>
        <w:rPr>
          <w:color w:val="000000"/>
        </w:rPr>
        <w:t xml:space="preserve">Por esta </w:t>
      </w:r>
      <w:r w:rsidR="006963FE">
        <w:rPr>
          <w:color w:val="000000"/>
        </w:rPr>
        <w:t>razón, muchas</w:t>
      </w:r>
      <w:r>
        <w:rPr>
          <w:color w:val="000000"/>
        </w:rPr>
        <w:t xml:space="preserve"> de las cifras </w:t>
      </w:r>
      <w:r w:rsidR="006963FE">
        <w:rPr>
          <w:color w:val="000000"/>
        </w:rPr>
        <w:t xml:space="preserve">registradas no reflejan la verdadera magnitud del problema, </w:t>
      </w:r>
      <w:r w:rsidR="005914A7">
        <w:rPr>
          <w:color w:val="000000"/>
        </w:rPr>
        <w:t xml:space="preserve">dado que un gran número de casos no suele ser formalmente denunciado. </w:t>
      </w:r>
      <w:r w:rsidR="006963FE">
        <w:rPr>
          <w:color w:val="000000"/>
        </w:rPr>
        <w:t xml:space="preserve">Por ejemplo, </w:t>
      </w:r>
      <w:r w:rsidR="00F273FE" w:rsidRPr="00C2380A">
        <w:rPr>
          <w:color w:val="000000"/>
        </w:rPr>
        <w:t xml:space="preserve">en 2024, el Consejo General del Órgano Judicial registró casi 200,000 denuncias recibidas por violencia contra la mujer en los juzgados. Sin embargo, sólo el 16,8% de las víctimas llegó a formalizar la denuncia, mientras que un 71,7% permaneció en la fase previa, limitándose a relatar sus experiencias a personas de su entorno. Estos datos reflejan </w:t>
      </w:r>
      <w:r w:rsidR="000D6875">
        <w:rPr>
          <w:color w:val="000000"/>
        </w:rPr>
        <w:t xml:space="preserve">lo que se conoce </w:t>
      </w:r>
      <w:r w:rsidR="000D6875" w:rsidRPr="00EE50AD">
        <w:rPr>
          <w:color w:val="000000"/>
          <w:u w:val="single"/>
        </w:rPr>
        <w:t>como cifra negra</w:t>
      </w:r>
      <w:r w:rsidR="002F65E3" w:rsidRPr="00EE50AD">
        <w:rPr>
          <w:color w:val="000000"/>
          <w:u w:val="single"/>
        </w:rPr>
        <w:t>,</w:t>
      </w:r>
      <w:r w:rsidR="002F65E3">
        <w:rPr>
          <w:color w:val="000000"/>
        </w:rPr>
        <w:t xml:space="preserve"> </w:t>
      </w:r>
      <w:r w:rsidR="00EE50AD">
        <w:rPr>
          <w:color w:val="000000"/>
        </w:rPr>
        <w:t xml:space="preserve">fenómeno </w:t>
      </w:r>
      <w:r w:rsidR="002F65E3">
        <w:rPr>
          <w:color w:val="000000"/>
        </w:rPr>
        <w:t xml:space="preserve">que evidencia que, a pesar de la elevada incidencia de la violencia, gran parte de las </w:t>
      </w:r>
      <w:r w:rsidR="00EE50AD">
        <w:rPr>
          <w:color w:val="000000"/>
        </w:rPr>
        <w:t>víctimas</w:t>
      </w:r>
      <w:r w:rsidR="002F65E3">
        <w:rPr>
          <w:color w:val="000000"/>
        </w:rPr>
        <w:t xml:space="preserve"> no inicia un proceso judicial</w:t>
      </w:r>
      <w:r w:rsidR="00EE50AD">
        <w:rPr>
          <w:color w:val="000000"/>
        </w:rPr>
        <w:t xml:space="preserve">. </w:t>
      </w:r>
      <w:r w:rsidR="002F65E3">
        <w:rPr>
          <w:color w:val="000000"/>
        </w:rPr>
        <w:t xml:space="preserve">Esta falta de registro impide conocer con </w:t>
      </w:r>
      <w:r w:rsidR="00EE50AD">
        <w:rPr>
          <w:color w:val="000000"/>
        </w:rPr>
        <w:t>exactitud</w:t>
      </w:r>
      <w:r w:rsidR="002F65E3">
        <w:rPr>
          <w:color w:val="000000"/>
        </w:rPr>
        <w:t xml:space="preserve"> el </w:t>
      </w:r>
      <w:r w:rsidR="00EE50AD">
        <w:rPr>
          <w:color w:val="000000"/>
        </w:rPr>
        <w:t>número</w:t>
      </w:r>
      <w:r w:rsidR="002F65E3">
        <w:rPr>
          <w:color w:val="000000"/>
        </w:rPr>
        <w:t xml:space="preserve"> total de mujeres </w:t>
      </w:r>
      <w:r w:rsidR="00EE50AD">
        <w:rPr>
          <w:color w:val="000000"/>
        </w:rPr>
        <w:t>afectadas</w:t>
      </w:r>
      <w:r w:rsidR="002F65E3">
        <w:rPr>
          <w:color w:val="000000"/>
        </w:rPr>
        <w:t xml:space="preserve"> por esta lacra social. </w:t>
      </w:r>
    </w:p>
    <w:p w14:paraId="40188086" w14:textId="2C31D1A2" w:rsidR="00DD2C59" w:rsidRDefault="00DD2C59" w:rsidP="00AF7A3B">
      <w:pPr>
        <w:pStyle w:val="NormalWeb"/>
        <w:numPr>
          <w:ilvl w:val="1"/>
          <w:numId w:val="3"/>
        </w:numPr>
        <w:spacing w:before="0" w:beforeAutospacing="0" w:after="0" w:afterAutospacing="0" w:line="360" w:lineRule="auto"/>
        <w:jc w:val="both"/>
        <w:rPr>
          <w:b/>
          <w:bCs/>
          <w:color w:val="000000"/>
        </w:rPr>
      </w:pPr>
      <w:r w:rsidRPr="00F93632">
        <w:rPr>
          <w:b/>
          <w:bCs/>
          <w:color w:val="000000"/>
        </w:rPr>
        <w:t>El menor como víctima de VG:</w:t>
      </w:r>
    </w:p>
    <w:p w14:paraId="58F110B3" w14:textId="77777777" w:rsidR="00865341" w:rsidRDefault="00865341" w:rsidP="00865341">
      <w:pPr>
        <w:pStyle w:val="NormalWeb"/>
        <w:spacing w:before="0" w:beforeAutospacing="0" w:after="0" w:afterAutospacing="0" w:line="360" w:lineRule="auto"/>
        <w:ind w:left="1080"/>
        <w:jc w:val="both"/>
        <w:rPr>
          <w:b/>
          <w:bCs/>
          <w:color w:val="000000"/>
        </w:rPr>
      </w:pPr>
    </w:p>
    <w:p w14:paraId="56517E60" w14:textId="3E39F4E5" w:rsidR="002B771F" w:rsidRDefault="004A603A" w:rsidP="002B771F">
      <w:pPr>
        <w:pStyle w:val="NormalWeb"/>
        <w:spacing w:before="0" w:beforeAutospacing="0" w:after="0" w:afterAutospacing="0" w:line="360" w:lineRule="auto"/>
        <w:ind w:firstLine="708"/>
        <w:jc w:val="both"/>
      </w:pPr>
      <w:r w:rsidRPr="004A603A">
        <w:rPr>
          <w:color w:val="000000"/>
        </w:rPr>
        <w:t xml:space="preserve">La exposición </w:t>
      </w:r>
      <w:r>
        <w:rPr>
          <w:color w:val="000000"/>
        </w:rPr>
        <w:t xml:space="preserve">a la violencia de género en la infancia es un fenómeno que, durante los primeros años de investigación, recibió poca atención y se profundizó de manera limitada. Fue en </w:t>
      </w:r>
      <w:r w:rsidRPr="009671B6">
        <w:rPr>
          <w:color w:val="000000"/>
        </w:rPr>
        <w:t>1975</w:t>
      </w:r>
      <w:r>
        <w:rPr>
          <w:color w:val="000000"/>
        </w:rPr>
        <w:t xml:space="preserve"> cuando </w:t>
      </w:r>
      <w:r w:rsidRPr="009671B6">
        <w:rPr>
          <w:color w:val="000000"/>
        </w:rPr>
        <w:t>Levine</w:t>
      </w:r>
      <w:r>
        <w:rPr>
          <w:color w:val="000000"/>
        </w:rPr>
        <w:t xml:space="preserve"> publicó el primer estudio de caso sobre el impacto negativa </w:t>
      </w:r>
      <w:r w:rsidR="00E00EF4">
        <w:rPr>
          <w:color w:val="000000"/>
        </w:rPr>
        <w:t xml:space="preserve">que la violencia puede ocasionar en los menores. Sin embargo, no fue hasta comienzos de los años 80 cuando empezaron a aparecer los primeros estudios con una base empírica sólida. Esta “primera generación” de investigación, </w:t>
      </w:r>
      <w:r w:rsidR="002B771F">
        <w:rPr>
          <w:color w:val="000000"/>
        </w:rPr>
        <w:t xml:space="preserve">publicada entre principios de los 80 y principios de los 90, se centró en analizar la asociación entre la </w:t>
      </w:r>
      <w:r w:rsidR="002B771F">
        <w:rPr>
          <w:color w:val="000000"/>
        </w:rPr>
        <w:lastRenderedPageBreak/>
        <w:t xml:space="preserve">violencia de los hombres hacia las mujeres y distintos tipos de sintomatología en los niño/as expuestos a ella </w:t>
      </w:r>
      <w:r w:rsidR="002B771F" w:rsidRPr="009671B6">
        <w:t>(Graham-Bergmann, 2001). </w:t>
      </w:r>
    </w:p>
    <w:p w14:paraId="3296B958" w14:textId="23473B10" w:rsidR="002B771F" w:rsidRPr="002B771F" w:rsidRDefault="002B771F" w:rsidP="008F6ACF">
      <w:pPr>
        <w:pStyle w:val="p1"/>
        <w:spacing w:line="360" w:lineRule="auto"/>
        <w:ind w:firstLine="708"/>
        <w:jc w:val="both"/>
        <w:rPr>
          <w:color w:val="000000" w:themeColor="text1"/>
          <w:sz w:val="24"/>
          <w:szCs w:val="24"/>
          <w:shd w:val="clear" w:color="auto" w:fill="FFFFFF"/>
        </w:rPr>
      </w:pPr>
      <w:r w:rsidRPr="002B771F">
        <w:rPr>
          <w:sz w:val="24"/>
          <w:szCs w:val="24"/>
        </w:rPr>
        <w:t xml:space="preserve">A pesar de haber sido durante mucho tiempo un término poco visible, existe consenso en que la exposición de la violencia de genero ocurre cuando “los niños ven, oyen y directamente intervienen, o experimentan las consecuencias de abuso físico o sexual que ocurre entre sus figuras parentales” </w:t>
      </w:r>
      <w:r w:rsidRPr="002B771F">
        <w:rPr>
          <w:sz w:val="24"/>
          <w:szCs w:val="24"/>
        </w:rPr>
        <w:t>(Edleson,</w:t>
      </w:r>
      <w:r w:rsidRPr="009671B6">
        <w:rPr>
          <w:sz w:val="24"/>
          <w:szCs w:val="24"/>
        </w:rPr>
        <w:t>1999). </w:t>
      </w:r>
      <w:r w:rsidRPr="002B771F">
        <w:rPr>
          <w:sz w:val="24"/>
          <w:szCs w:val="24"/>
        </w:rPr>
        <w:t xml:space="preserve"> En este contexto, la Ley Orgánica </w:t>
      </w:r>
      <w:r w:rsidRPr="002B771F">
        <w:rPr>
          <w:color w:val="000000" w:themeColor="text1"/>
          <w:sz w:val="24"/>
          <w:szCs w:val="24"/>
          <w:shd w:val="clear" w:color="auto" w:fill="FFFFFF"/>
        </w:rPr>
        <w:t xml:space="preserve">8/2015 </w:t>
      </w:r>
      <w:r>
        <w:rPr>
          <w:color w:val="000000" w:themeColor="text1"/>
          <w:sz w:val="24"/>
          <w:szCs w:val="24"/>
          <w:shd w:val="clear" w:color="auto" w:fill="FFFFFF"/>
        </w:rPr>
        <w:t>(EDL 2015/125943) señala al especto</w:t>
      </w:r>
      <w:r w:rsidR="003360F9">
        <w:rPr>
          <w:color w:val="000000" w:themeColor="text1"/>
          <w:sz w:val="24"/>
          <w:szCs w:val="24"/>
          <w:shd w:val="clear" w:color="auto" w:fill="FFFFFF"/>
        </w:rPr>
        <w:t xml:space="preserve">: </w:t>
      </w:r>
    </w:p>
    <w:p w14:paraId="3AF40027" w14:textId="18F687C4" w:rsidR="002B771F" w:rsidRDefault="002B771F" w:rsidP="003360F9">
      <w:pPr>
        <w:pStyle w:val="NormalWeb"/>
        <w:spacing w:before="0" w:beforeAutospacing="0" w:after="0" w:afterAutospacing="0" w:line="360" w:lineRule="auto"/>
        <w:jc w:val="both"/>
      </w:pPr>
    </w:p>
    <w:p w14:paraId="458453E7" w14:textId="5E28696A" w:rsidR="009671B6" w:rsidRPr="003360F9" w:rsidRDefault="003360F9" w:rsidP="00150B50">
      <w:pPr>
        <w:pStyle w:val="p1"/>
        <w:spacing w:line="360" w:lineRule="auto"/>
        <w:ind w:left="708"/>
        <w:jc w:val="both"/>
        <w:rPr>
          <w:color w:val="000000" w:themeColor="text1"/>
          <w:sz w:val="24"/>
          <w:szCs w:val="24"/>
        </w:rPr>
      </w:pPr>
      <w:r w:rsidRPr="00150B50">
        <w:rPr>
          <w:rStyle w:val="nfasis"/>
          <w:rFonts w:eastAsiaTheme="majorEastAsia"/>
          <w:color w:val="000000" w:themeColor="text1"/>
          <w:sz w:val="24"/>
          <w:szCs w:val="24"/>
        </w:rPr>
        <w:t>“</w:t>
      </w:r>
      <w:r w:rsidR="00AC25C8" w:rsidRPr="00150B50">
        <w:rPr>
          <w:rStyle w:val="nfasis"/>
          <w:rFonts w:eastAsiaTheme="majorEastAsia"/>
          <w:color w:val="000000" w:themeColor="text1"/>
          <w:sz w:val="24"/>
          <w:szCs w:val="24"/>
        </w:rPr>
        <w:t>La exposición de los menores a esta forma de violencia en el hogar, lugar en el que precisamente deberían estar más protegidos, los convierte también en víctimas de la mism</w:t>
      </w:r>
      <w:r w:rsidRPr="00150B50">
        <w:rPr>
          <w:rStyle w:val="nfasis"/>
          <w:rFonts w:eastAsiaTheme="majorEastAsia"/>
          <w:color w:val="000000" w:themeColor="text1"/>
          <w:sz w:val="24"/>
          <w:szCs w:val="24"/>
        </w:rPr>
        <w:t xml:space="preserve">a” </w:t>
      </w:r>
      <w:r w:rsidR="00AC25C8" w:rsidRPr="00150B50">
        <w:rPr>
          <w:color w:val="000000" w:themeColor="text1"/>
          <w:sz w:val="24"/>
          <w:szCs w:val="24"/>
          <w:shd w:val="clear" w:color="auto" w:fill="FFFFFF"/>
        </w:rPr>
        <w:t>(</w:t>
      </w:r>
      <w:r w:rsidR="00150B50" w:rsidRPr="00150B50">
        <w:rPr>
          <w:color w:val="000000" w:themeColor="text1"/>
          <w:sz w:val="24"/>
          <w:szCs w:val="24"/>
          <w:shd w:val="clear" w:color="auto" w:fill="FFFFFF"/>
        </w:rPr>
        <w:t xml:space="preserve">Ley Orgánica 8/2015, </w:t>
      </w:r>
      <w:r w:rsidR="00AC25C8" w:rsidRPr="00150B50">
        <w:rPr>
          <w:color w:val="000000" w:themeColor="text1"/>
          <w:sz w:val="24"/>
          <w:szCs w:val="24"/>
          <w:shd w:val="clear" w:color="auto" w:fill="FFFFFF"/>
        </w:rPr>
        <w:t>Preámbulo apdo. VI).</w:t>
      </w:r>
      <w:r w:rsidR="00AC25C8" w:rsidRPr="003360F9">
        <w:rPr>
          <w:rStyle w:val="apple-converted-space"/>
          <w:rFonts w:eastAsiaTheme="majorEastAsia"/>
          <w:color w:val="000000" w:themeColor="text1"/>
          <w:sz w:val="24"/>
          <w:szCs w:val="24"/>
          <w:shd w:val="clear" w:color="auto" w:fill="FFFFFF"/>
        </w:rPr>
        <w:t> </w:t>
      </w:r>
    </w:p>
    <w:p w14:paraId="629AF3D0" w14:textId="77777777" w:rsidR="00134E26" w:rsidRDefault="00134E26" w:rsidP="009671B6">
      <w:pPr>
        <w:pStyle w:val="p1"/>
        <w:spacing w:line="360" w:lineRule="auto"/>
        <w:jc w:val="both"/>
        <w:rPr>
          <w:sz w:val="24"/>
          <w:szCs w:val="24"/>
        </w:rPr>
      </w:pPr>
    </w:p>
    <w:p w14:paraId="2CF19761" w14:textId="77777777" w:rsidR="00FF0C5E" w:rsidRDefault="00134E26" w:rsidP="008F6ACF">
      <w:pPr>
        <w:pStyle w:val="p1"/>
        <w:spacing w:line="360" w:lineRule="auto"/>
        <w:jc w:val="both"/>
        <w:rPr>
          <w:sz w:val="24"/>
          <w:szCs w:val="24"/>
        </w:rPr>
      </w:pPr>
      <w:r w:rsidRPr="00D85795">
        <w:rPr>
          <w:sz w:val="24"/>
          <w:szCs w:val="24"/>
        </w:rPr>
        <w:t xml:space="preserve">Aunque </w:t>
      </w:r>
      <w:r w:rsidR="008F6ACF">
        <w:rPr>
          <w:sz w:val="24"/>
          <w:szCs w:val="24"/>
        </w:rPr>
        <w:t>todavía existen limitaciones conceptuales asociadas al fenómeno</w:t>
      </w:r>
      <w:r w:rsidR="00266F78">
        <w:rPr>
          <w:sz w:val="24"/>
          <w:szCs w:val="24"/>
        </w:rPr>
        <w:t xml:space="preserve"> al expandir</w:t>
      </w:r>
      <w:r w:rsidR="00FF0C5E">
        <w:rPr>
          <w:sz w:val="24"/>
          <w:szCs w:val="24"/>
        </w:rPr>
        <w:t>lo</w:t>
      </w:r>
    </w:p>
    <w:p w14:paraId="75D248D8" w14:textId="3D77E3C8" w:rsidR="00FF0C5E" w:rsidRDefault="00266F78" w:rsidP="008F6ACF">
      <w:pPr>
        <w:pStyle w:val="p1"/>
        <w:spacing w:line="360" w:lineRule="auto"/>
        <w:jc w:val="both"/>
        <w:rPr>
          <w:color w:val="141413"/>
          <w:sz w:val="24"/>
          <w:szCs w:val="24"/>
        </w:rPr>
      </w:pPr>
      <w:r>
        <w:rPr>
          <w:sz w:val="24"/>
          <w:szCs w:val="24"/>
        </w:rPr>
        <w:t xml:space="preserve">al ámbito infantil e infantojuvenil, </w:t>
      </w:r>
      <w:r w:rsidR="008F6ACF">
        <w:rPr>
          <w:sz w:val="24"/>
          <w:szCs w:val="24"/>
        </w:rPr>
        <w:t xml:space="preserve">cada vez son más </w:t>
      </w:r>
      <w:r w:rsidR="00E93C7A">
        <w:rPr>
          <w:sz w:val="24"/>
          <w:szCs w:val="24"/>
        </w:rPr>
        <w:t xml:space="preserve">los </w:t>
      </w:r>
      <w:r w:rsidR="008F6ACF">
        <w:rPr>
          <w:sz w:val="24"/>
          <w:szCs w:val="24"/>
        </w:rPr>
        <w:t xml:space="preserve">autores que estudian esta problemática social y familiar </w:t>
      </w:r>
      <w:r w:rsidR="008F6ACF" w:rsidRPr="00F86314">
        <w:rPr>
          <w:color w:val="141413"/>
          <w:sz w:val="24"/>
          <w:szCs w:val="24"/>
        </w:rPr>
        <w:t>(Fernández &amp; Pérez, 2018; Rosser, 2016;</w:t>
      </w:r>
      <w:r w:rsidR="008F6ACF">
        <w:rPr>
          <w:color w:val="141413"/>
          <w:sz w:val="24"/>
          <w:szCs w:val="24"/>
        </w:rPr>
        <w:t xml:space="preserve"> </w:t>
      </w:r>
      <w:r w:rsidR="008F6ACF" w:rsidRPr="00F86314">
        <w:rPr>
          <w:color w:val="141413"/>
          <w:sz w:val="24"/>
          <w:szCs w:val="24"/>
        </w:rPr>
        <w:t>2017; San Martín &amp; Carrera 2019</w:t>
      </w:r>
      <w:r w:rsidR="008F6ACF">
        <w:rPr>
          <w:color w:val="141413"/>
          <w:sz w:val="24"/>
          <w:szCs w:val="24"/>
        </w:rPr>
        <w:t xml:space="preserve">). </w:t>
      </w:r>
      <w:r w:rsidR="00FF0C5E">
        <w:rPr>
          <w:color w:val="141413"/>
          <w:sz w:val="24"/>
          <w:szCs w:val="24"/>
        </w:rPr>
        <w:t xml:space="preserve">Un ejemplo de estas confesiones terminológicas se observa dentro del </w:t>
      </w:r>
    </w:p>
    <w:p w14:paraId="1B7E68F7" w14:textId="57562776" w:rsidR="008F6ACF" w:rsidRPr="00FF0C5E" w:rsidRDefault="002D6E16" w:rsidP="008D04EC">
      <w:pPr>
        <w:pStyle w:val="p1"/>
        <w:spacing w:line="360" w:lineRule="auto"/>
        <w:jc w:val="both"/>
        <w:rPr>
          <w:color w:val="141413"/>
          <w:sz w:val="24"/>
          <w:szCs w:val="24"/>
        </w:rPr>
      </w:pPr>
      <w:r>
        <w:rPr>
          <w:color w:val="141413"/>
          <w:sz w:val="24"/>
          <w:szCs w:val="24"/>
        </w:rPr>
        <w:t xml:space="preserve">del marco de la victimización del menor, </w:t>
      </w:r>
      <w:r w:rsidR="00FF0C5E">
        <w:rPr>
          <w:color w:val="141413"/>
          <w:sz w:val="24"/>
          <w:szCs w:val="24"/>
        </w:rPr>
        <w:t xml:space="preserve">donde algunos autores utilizan </w:t>
      </w:r>
      <w:r>
        <w:rPr>
          <w:color w:val="141413"/>
          <w:sz w:val="24"/>
          <w:szCs w:val="24"/>
        </w:rPr>
        <w:t xml:space="preserve">diferentes términos: </w:t>
      </w:r>
      <w:r w:rsidRPr="00B373CD">
        <w:rPr>
          <w:i/>
          <w:iCs/>
          <w:color w:val="141413"/>
          <w:sz w:val="24"/>
          <w:szCs w:val="24"/>
        </w:rPr>
        <w:t>“victima directa”</w:t>
      </w:r>
      <w:r>
        <w:rPr>
          <w:color w:val="141413"/>
          <w:sz w:val="24"/>
          <w:szCs w:val="24"/>
        </w:rPr>
        <w:t xml:space="preserve"> para referirse a los menores </w:t>
      </w:r>
      <w:r w:rsidR="007B0C19">
        <w:rPr>
          <w:color w:val="141413"/>
          <w:sz w:val="24"/>
          <w:szCs w:val="24"/>
        </w:rPr>
        <w:t xml:space="preserve">que sufren </w:t>
      </w:r>
      <w:r w:rsidR="004B42A8">
        <w:rPr>
          <w:color w:val="141413"/>
          <w:sz w:val="24"/>
          <w:szCs w:val="24"/>
        </w:rPr>
        <w:t xml:space="preserve">abuso, y </w:t>
      </w:r>
      <w:r w:rsidR="004B42A8" w:rsidRPr="00B373CD">
        <w:rPr>
          <w:i/>
          <w:iCs/>
          <w:color w:val="141413"/>
          <w:sz w:val="24"/>
          <w:szCs w:val="24"/>
        </w:rPr>
        <w:t>“</w:t>
      </w:r>
      <w:r w:rsidR="00B373CD">
        <w:rPr>
          <w:i/>
          <w:iCs/>
          <w:color w:val="141413"/>
          <w:sz w:val="24"/>
          <w:szCs w:val="24"/>
        </w:rPr>
        <w:t xml:space="preserve">víctima </w:t>
      </w:r>
      <w:r w:rsidR="004B42A8" w:rsidRPr="00B373CD">
        <w:rPr>
          <w:i/>
          <w:iCs/>
          <w:color w:val="141413"/>
          <w:sz w:val="24"/>
          <w:szCs w:val="24"/>
        </w:rPr>
        <w:t>indirecta”</w:t>
      </w:r>
      <w:r w:rsidR="004B42A8">
        <w:rPr>
          <w:color w:val="141413"/>
          <w:sz w:val="24"/>
          <w:szCs w:val="24"/>
        </w:rPr>
        <w:t xml:space="preserve"> para aquellos que no son conscientes de la violencia entre sus cuidadores </w:t>
      </w:r>
      <w:r w:rsidR="004B42A8" w:rsidRPr="00F80FCC">
        <w:rPr>
          <w:sz w:val="24"/>
          <w:szCs w:val="24"/>
        </w:rPr>
        <w:t>(Orue y Calvete, 2012).</w:t>
      </w:r>
      <w:r w:rsidR="004B42A8">
        <w:rPr>
          <w:sz w:val="24"/>
          <w:szCs w:val="24"/>
        </w:rPr>
        <w:t xml:space="preserve"> No obstante, la realidad es que todos estos menores, independientemente de si son consciente o no del suceso </w:t>
      </w:r>
      <w:r w:rsidR="007B0C19">
        <w:rPr>
          <w:sz w:val="24"/>
          <w:szCs w:val="24"/>
        </w:rPr>
        <w:t>traumático</w:t>
      </w:r>
      <w:r w:rsidR="004B42A8">
        <w:rPr>
          <w:sz w:val="24"/>
          <w:szCs w:val="24"/>
        </w:rPr>
        <w:t xml:space="preserve">, se consideran </w:t>
      </w:r>
      <w:r w:rsidR="007B0C19">
        <w:rPr>
          <w:sz w:val="24"/>
          <w:szCs w:val="24"/>
        </w:rPr>
        <w:t>víctimas</w:t>
      </w:r>
      <w:r w:rsidR="004B42A8">
        <w:rPr>
          <w:sz w:val="24"/>
          <w:szCs w:val="24"/>
        </w:rPr>
        <w:t xml:space="preserve"> directas, tal y como recoge la </w:t>
      </w:r>
      <w:r w:rsidR="004B42A8">
        <w:rPr>
          <w:sz w:val="24"/>
          <w:szCs w:val="24"/>
        </w:rPr>
        <w:t xml:space="preserve">Ley </w:t>
      </w:r>
      <w:r w:rsidR="007B0C19">
        <w:rPr>
          <w:sz w:val="24"/>
          <w:szCs w:val="24"/>
        </w:rPr>
        <w:t>Orgánica</w:t>
      </w:r>
      <w:r w:rsidR="004B42A8">
        <w:rPr>
          <w:sz w:val="24"/>
          <w:szCs w:val="24"/>
        </w:rPr>
        <w:t xml:space="preserve"> 8/2021</w:t>
      </w:r>
      <w:r w:rsidR="004B42A8">
        <w:rPr>
          <w:sz w:val="24"/>
          <w:szCs w:val="24"/>
        </w:rPr>
        <w:t xml:space="preserve"> de Protección </w:t>
      </w:r>
      <w:r w:rsidR="007B0C19">
        <w:rPr>
          <w:sz w:val="24"/>
          <w:szCs w:val="24"/>
        </w:rPr>
        <w:t xml:space="preserve">Integral a la Infancia y Adolescencia frente a la Violencia, y la Ley Orgánica 1/2004 de Medidas de Protección Integral contra la Violencia de Género. </w:t>
      </w:r>
    </w:p>
    <w:p w14:paraId="37E24C85" w14:textId="5B8D9276" w:rsidR="008F6ACF" w:rsidRDefault="008F6ACF" w:rsidP="008D04EC">
      <w:pPr>
        <w:pStyle w:val="p1"/>
        <w:spacing w:line="360" w:lineRule="auto"/>
        <w:ind w:firstLine="708"/>
        <w:jc w:val="both"/>
        <w:rPr>
          <w:sz w:val="24"/>
          <w:szCs w:val="24"/>
        </w:rPr>
      </w:pPr>
    </w:p>
    <w:p w14:paraId="1EAA1109" w14:textId="5F2939EA" w:rsidR="001A5D8A" w:rsidRDefault="00461D9A" w:rsidP="008D04EC">
      <w:pPr>
        <w:pStyle w:val="p1"/>
        <w:spacing w:line="360" w:lineRule="auto"/>
        <w:jc w:val="both"/>
        <w:rPr>
          <w:sz w:val="24"/>
          <w:szCs w:val="24"/>
        </w:rPr>
      </w:pPr>
      <w:r>
        <w:rPr>
          <w:sz w:val="24"/>
          <w:szCs w:val="24"/>
        </w:rPr>
        <w:tab/>
      </w:r>
      <w:r w:rsidR="007577B4">
        <w:rPr>
          <w:sz w:val="24"/>
          <w:szCs w:val="24"/>
        </w:rPr>
        <w:t>En este sentido, d</w:t>
      </w:r>
      <w:r>
        <w:rPr>
          <w:sz w:val="24"/>
          <w:szCs w:val="24"/>
        </w:rPr>
        <w:t xml:space="preserve">e manera complementaria, el efecto de exposición a la violencia de genero perpetrada en el hogar no parece estar modulado por la edad o el </w:t>
      </w:r>
      <w:r w:rsidR="008D04EC">
        <w:rPr>
          <w:sz w:val="24"/>
          <w:szCs w:val="24"/>
        </w:rPr>
        <w:t>género</w:t>
      </w:r>
      <w:r>
        <w:rPr>
          <w:sz w:val="24"/>
          <w:szCs w:val="24"/>
        </w:rPr>
        <w:t xml:space="preserve"> de los menores. </w:t>
      </w:r>
      <w:r w:rsidR="008D04EC">
        <w:rPr>
          <w:sz w:val="24"/>
          <w:szCs w:val="24"/>
        </w:rPr>
        <w:t xml:space="preserve">Diversos estudios han demostrado que las consecuencias se manifiestan tanto en niños como en niñas y en todos los rangos de edad, afectando su desarrollo emocional, conductual y social </w:t>
      </w:r>
      <w:r w:rsidR="008D04EC" w:rsidRPr="001A5D8A">
        <w:rPr>
          <w:color w:val="141413"/>
          <w:sz w:val="24"/>
          <w:szCs w:val="24"/>
        </w:rPr>
        <w:t>(</w:t>
      </w:r>
      <w:proofErr w:type="spellStart"/>
      <w:r w:rsidR="008D04EC" w:rsidRPr="001A5D8A">
        <w:rPr>
          <w:color w:val="141413"/>
          <w:sz w:val="24"/>
          <w:szCs w:val="24"/>
        </w:rPr>
        <w:t>Bayarry</w:t>
      </w:r>
      <w:proofErr w:type="spellEnd"/>
      <w:r w:rsidR="008D04EC" w:rsidRPr="001A5D8A">
        <w:rPr>
          <w:color w:val="141413"/>
          <w:sz w:val="24"/>
          <w:szCs w:val="24"/>
        </w:rPr>
        <w:t xml:space="preserve">, Ezpeleta y Granero, 2011; </w:t>
      </w:r>
      <w:proofErr w:type="spellStart"/>
      <w:r w:rsidR="008D04EC" w:rsidRPr="001A5D8A">
        <w:rPr>
          <w:color w:val="141413"/>
          <w:sz w:val="24"/>
          <w:szCs w:val="24"/>
        </w:rPr>
        <w:t>Peek</w:t>
      </w:r>
      <w:proofErr w:type="spellEnd"/>
      <w:r w:rsidR="008D04EC" w:rsidRPr="001A5D8A">
        <w:rPr>
          <w:color w:val="141413"/>
          <w:sz w:val="24"/>
          <w:szCs w:val="24"/>
        </w:rPr>
        <w:t>-Asa et al., 2007).</w:t>
      </w:r>
    </w:p>
    <w:p w14:paraId="7AC49855" w14:textId="77777777" w:rsidR="0080647C" w:rsidRDefault="0080647C" w:rsidP="0080647C">
      <w:pPr>
        <w:pStyle w:val="NormalWeb"/>
        <w:spacing w:before="0" w:beforeAutospacing="0" w:after="0" w:afterAutospacing="0" w:line="360" w:lineRule="auto"/>
        <w:jc w:val="both"/>
        <w:rPr>
          <w:b/>
          <w:bCs/>
          <w:color w:val="000000"/>
        </w:rPr>
      </w:pPr>
    </w:p>
    <w:p w14:paraId="544E7A78" w14:textId="4BCA188A" w:rsidR="004411AA" w:rsidRDefault="007577B4" w:rsidP="00AB0788">
      <w:pPr>
        <w:pStyle w:val="NormalWeb"/>
        <w:spacing w:before="0" w:beforeAutospacing="0" w:after="240" w:afterAutospacing="0" w:line="360" w:lineRule="auto"/>
        <w:ind w:firstLine="360"/>
        <w:jc w:val="both"/>
        <w:rPr>
          <w:color w:val="000000"/>
        </w:rPr>
      </w:pPr>
      <w:r>
        <w:rPr>
          <w:color w:val="000000"/>
        </w:rPr>
        <w:t>Asimismo, s</w:t>
      </w:r>
      <w:r w:rsidR="007465C3">
        <w:rPr>
          <w:color w:val="000000"/>
        </w:rPr>
        <w:t>e</w:t>
      </w:r>
      <w:r w:rsidR="00993F92">
        <w:rPr>
          <w:color w:val="000000"/>
        </w:rPr>
        <w:t xml:space="preserve">gún la Convención de los Derechos de los Niños </w:t>
      </w:r>
      <w:r w:rsidR="005D0205">
        <w:rPr>
          <w:color w:val="000000"/>
        </w:rPr>
        <w:t>(1</w:t>
      </w:r>
      <w:r w:rsidR="00993F92">
        <w:rPr>
          <w:color w:val="000000"/>
        </w:rPr>
        <w:t>989</w:t>
      </w:r>
      <w:r w:rsidR="005D0205">
        <w:rPr>
          <w:color w:val="000000"/>
        </w:rPr>
        <w:t>), se entiende por menor de edad a to</w:t>
      </w:r>
      <w:r w:rsidR="000E503A">
        <w:rPr>
          <w:color w:val="000000"/>
        </w:rPr>
        <w:t>da persona</w:t>
      </w:r>
      <w:r w:rsidR="005D0205">
        <w:rPr>
          <w:color w:val="000000"/>
        </w:rPr>
        <w:t xml:space="preserve"> desde su nacimiento </w:t>
      </w:r>
      <w:r w:rsidR="007465C3">
        <w:rPr>
          <w:color w:val="000000"/>
        </w:rPr>
        <w:t>hasta los 18 años</w:t>
      </w:r>
      <w:r w:rsidR="000E503A">
        <w:rPr>
          <w:color w:val="000000"/>
        </w:rPr>
        <w:t xml:space="preserve">. </w:t>
      </w:r>
      <w:r w:rsidR="009C2BD2">
        <w:rPr>
          <w:color w:val="000000"/>
        </w:rPr>
        <w:t xml:space="preserve">Dentro </w:t>
      </w:r>
      <w:r w:rsidR="009C2BD2" w:rsidRPr="00F93632">
        <w:rPr>
          <w:color w:val="000000"/>
        </w:rPr>
        <w:t xml:space="preserve">de la población infantil </w:t>
      </w:r>
      <w:r w:rsidR="009C2BD2">
        <w:rPr>
          <w:color w:val="000000"/>
        </w:rPr>
        <w:t xml:space="preserve">resulta esencial </w:t>
      </w:r>
      <w:r w:rsidR="00921F95" w:rsidRPr="00F93632">
        <w:rPr>
          <w:color w:val="000000"/>
        </w:rPr>
        <w:t>diferenciar</w:t>
      </w:r>
      <w:r w:rsidR="00AB46E5">
        <w:rPr>
          <w:color w:val="000000"/>
        </w:rPr>
        <w:t xml:space="preserve"> </w:t>
      </w:r>
      <w:r w:rsidR="0074227D">
        <w:rPr>
          <w:color w:val="000000"/>
        </w:rPr>
        <w:t>dos conceptos</w:t>
      </w:r>
      <w:r w:rsidR="001B73C3">
        <w:rPr>
          <w:color w:val="000000"/>
        </w:rPr>
        <w:t xml:space="preserve"> que a menudo se confunden</w:t>
      </w:r>
      <w:r w:rsidR="001B73C3" w:rsidRPr="008A541B">
        <w:rPr>
          <w:i/>
          <w:iCs/>
          <w:color w:val="000000"/>
        </w:rPr>
        <w:t>:</w:t>
      </w:r>
      <w:r w:rsidR="0074227D" w:rsidRPr="008A541B">
        <w:rPr>
          <w:i/>
          <w:iCs/>
          <w:color w:val="000000"/>
        </w:rPr>
        <w:t xml:space="preserve"> </w:t>
      </w:r>
      <w:r w:rsidR="00D9785F">
        <w:rPr>
          <w:i/>
          <w:iCs/>
          <w:color w:val="000000"/>
        </w:rPr>
        <w:lastRenderedPageBreak/>
        <w:t>“</w:t>
      </w:r>
      <w:r w:rsidR="0074227D" w:rsidRPr="008A541B">
        <w:rPr>
          <w:i/>
          <w:iCs/>
          <w:color w:val="000000"/>
        </w:rPr>
        <w:t>ser testigo</w:t>
      </w:r>
      <w:r w:rsidR="00D9785F">
        <w:rPr>
          <w:i/>
          <w:iCs/>
          <w:color w:val="000000"/>
        </w:rPr>
        <w:t xml:space="preserve"> de x”</w:t>
      </w:r>
      <w:r w:rsidR="0074227D">
        <w:rPr>
          <w:color w:val="000000"/>
        </w:rPr>
        <w:t xml:space="preserve"> y </w:t>
      </w:r>
      <w:r w:rsidR="00D9785F">
        <w:rPr>
          <w:color w:val="000000"/>
        </w:rPr>
        <w:t>“</w:t>
      </w:r>
      <w:r w:rsidR="0074227D" w:rsidRPr="008A541B">
        <w:rPr>
          <w:i/>
          <w:iCs/>
          <w:color w:val="000000"/>
        </w:rPr>
        <w:t>estar expuesto</w:t>
      </w:r>
      <w:r w:rsidR="00EE4418" w:rsidRPr="008A541B">
        <w:rPr>
          <w:i/>
          <w:iCs/>
          <w:color w:val="000000"/>
        </w:rPr>
        <w:t xml:space="preserve"> a </w:t>
      </w:r>
      <w:r w:rsidR="00D9785F">
        <w:rPr>
          <w:i/>
          <w:iCs/>
          <w:color w:val="000000"/>
        </w:rPr>
        <w:t>x</w:t>
      </w:r>
      <w:r w:rsidR="00D9785F">
        <w:rPr>
          <w:color w:val="000000"/>
        </w:rPr>
        <w:t xml:space="preserve">”. </w:t>
      </w:r>
      <w:r w:rsidR="001B73C3" w:rsidRPr="008A541B">
        <w:rPr>
          <w:color w:val="000000"/>
        </w:rPr>
        <w:t xml:space="preserve"> Ser </w:t>
      </w:r>
      <w:r w:rsidR="004411AA" w:rsidRPr="008A541B">
        <w:rPr>
          <w:color w:val="000000"/>
        </w:rPr>
        <w:t>testigo</w:t>
      </w:r>
      <w:r w:rsidR="004411AA">
        <w:rPr>
          <w:color w:val="000000"/>
        </w:rPr>
        <w:t xml:space="preserve"> implica </w:t>
      </w:r>
      <w:r w:rsidR="001B73C3">
        <w:rPr>
          <w:color w:val="000000"/>
        </w:rPr>
        <w:t xml:space="preserve">observar </w:t>
      </w:r>
      <w:r w:rsidR="004411AA">
        <w:rPr>
          <w:color w:val="000000"/>
        </w:rPr>
        <w:t xml:space="preserve">un hecho o acción sin que ello </w:t>
      </w:r>
      <w:r w:rsidR="001B73C3">
        <w:rPr>
          <w:color w:val="000000"/>
        </w:rPr>
        <w:t xml:space="preserve">genere un </w:t>
      </w:r>
      <w:r w:rsidR="004411AA">
        <w:rPr>
          <w:color w:val="000000"/>
        </w:rPr>
        <w:t>daño o efecto alguno en la persona observadora, mientras que estar expuesto implica experimentar uno o varios efectos negativos directamente de la violencia, siendo el más inmediato la afectación emocional</w:t>
      </w:r>
      <w:r w:rsidR="00AB46E5">
        <w:rPr>
          <w:color w:val="000000"/>
        </w:rPr>
        <w:t xml:space="preserve"> (Doménech &amp; Genovés, 2016, p. 4). </w:t>
      </w:r>
    </w:p>
    <w:p w14:paraId="2182BA49" w14:textId="27A690D5" w:rsidR="006D7D7F" w:rsidRDefault="006D7D7F" w:rsidP="00865341">
      <w:pPr>
        <w:pStyle w:val="Prrafodelista"/>
        <w:numPr>
          <w:ilvl w:val="2"/>
          <w:numId w:val="3"/>
        </w:numPr>
        <w:spacing w:line="360" w:lineRule="auto"/>
        <w:rPr>
          <w:b/>
          <w:bCs/>
          <w:u w:val="single"/>
        </w:rPr>
      </w:pPr>
      <w:r w:rsidRPr="006D7D7F">
        <w:rPr>
          <w:b/>
          <w:bCs/>
          <w:u w:val="single"/>
        </w:rPr>
        <w:t>Taxonomía de exposición</w:t>
      </w:r>
      <w:r w:rsidR="00EA4668">
        <w:rPr>
          <w:b/>
          <w:bCs/>
          <w:u w:val="single"/>
        </w:rPr>
        <w:t xml:space="preserve"> según Holden (2003) y Aguilar, D. (200</w:t>
      </w:r>
      <w:r w:rsidR="006E7109">
        <w:rPr>
          <w:b/>
          <w:bCs/>
          <w:u w:val="single"/>
        </w:rPr>
        <w:t xml:space="preserve">9). </w:t>
      </w:r>
    </w:p>
    <w:p w14:paraId="32AF7C23" w14:textId="77777777" w:rsidR="00315ADE" w:rsidRPr="00315ADE" w:rsidRDefault="00315ADE" w:rsidP="00315ADE">
      <w:pPr>
        <w:spacing w:line="360" w:lineRule="auto"/>
        <w:ind w:left="1080"/>
        <w:rPr>
          <w:b/>
          <w:bCs/>
          <w:u w:val="single"/>
        </w:rPr>
      </w:pPr>
    </w:p>
    <w:p w14:paraId="70F4101B" w14:textId="7042E649" w:rsidR="00CC4CAF" w:rsidRDefault="004411AA" w:rsidP="00BB264A">
      <w:pPr>
        <w:pStyle w:val="NormalWeb"/>
        <w:spacing w:before="0" w:beforeAutospacing="0" w:after="240" w:afterAutospacing="0" w:line="360" w:lineRule="auto"/>
        <w:ind w:firstLine="360"/>
        <w:jc w:val="both"/>
        <w:rPr>
          <w:color w:val="000000"/>
        </w:rPr>
      </w:pPr>
      <w:r>
        <w:rPr>
          <w:color w:val="000000"/>
        </w:rPr>
        <w:t>Una vez</w:t>
      </w:r>
      <w:r w:rsidR="00BB7CC9">
        <w:rPr>
          <w:color w:val="000000"/>
        </w:rPr>
        <w:t xml:space="preserve"> </w:t>
      </w:r>
      <w:r w:rsidR="007951A3">
        <w:rPr>
          <w:color w:val="000000"/>
        </w:rPr>
        <w:t xml:space="preserve">comprendidas estas diferencias, </w:t>
      </w:r>
      <w:r w:rsidR="00BB264A">
        <w:rPr>
          <w:color w:val="000000"/>
        </w:rPr>
        <w:t xml:space="preserve">en el contexto de los menores expuestos a violencia de género, existen </w:t>
      </w:r>
      <w:r w:rsidR="00921F95">
        <w:rPr>
          <w:color w:val="000000"/>
        </w:rPr>
        <w:t xml:space="preserve">distintas formas </w:t>
      </w:r>
      <w:r w:rsidR="00D87C7E">
        <w:rPr>
          <w:color w:val="000000"/>
        </w:rPr>
        <w:t xml:space="preserve">en </w:t>
      </w:r>
      <w:r w:rsidR="0054277F">
        <w:rPr>
          <w:color w:val="000000"/>
        </w:rPr>
        <w:t xml:space="preserve">las que </w:t>
      </w:r>
      <w:r w:rsidR="00D87C7E">
        <w:rPr>
          <w:color w:val="000000"/>
        </w:rPr>
        <w:t xml:space="preserve">pueden </w:t>
      </w:r>
      <w:r w:rsidR="009C2BD2" w:rsidRPr="00F93632">
        <w:rPr>
          <w:color w:val="000000"/>
        </w:rPr>
        <w:t xml:space="preserve">verse afectados al convivir en </w:t>
      </w:r>
      <w:r w:rsidR="00B5317A">
        <w:rPr>
          <w:color w:val="000000"/>
        </w:rPr>
        <w:t xml:space="preserve">un </w:t>
      </w:r>
      <w:r w:rsidR="009C2BD2" w:rsidRPr="00F93632">
        <w:rPr>
          <w:color w:val="000000"/>
        </w:rPr>
        <w:t>entorno</w:t>
      </w:r>
      <w:r w:rsidR="000E503A">
        <w:rPr>
          <w:color w:val="000000"/>
        </w:rPr>
        <w:t xml:space="preserve"> violento. </w:t>
      </w:r>
      <w:r w:rsidR="00D87C7E">
        <w:rPr>
          <w:color w:val="000000"/>
        </w:rPr>
        <w:t xml:space="preserve">En este sentido, </w:t>
      </w:r>
      <w:r w:rsidR="00E67C2C">
        <w:rPr>
          <w:color w:val="000000"/>
        </w:rPr>
        <w:t>Holden (2003)</w:t>
      </w:r>
      <w:r w:rsidR="00D87C7E">
        <w:rPr>
          <w:color w:val="000000"/>
        </w:rPr>
        <w:t>, j</w:t>
      </w:r>
      <w:r w:rsidR="00E67C2C">
        <w:rPr>
          <w:color w:val="000000"/>
        </w:rPr>
        <w:t xml:space="preserve">unto con </w:t>
      </w:r>
      <w:r w:rsidR="009C2BD2">
        <w:rPr>
          <w:color w:val="000000"/>
        </w:rPr>
        <w:t>A</w:t>
      </w:r>
      <w:r w:rsidR="009C2BD2" w:rsidRPr="00F93632">
        <w:rPr>
          <w:color w:val="000000"/>
        </w:rPr>
        <w:t>guilar, D. (2009</w:t>
      </w:r>
      <w:r w:rsidR="00E67C2C">
        <w:rPr>
          <w:color w:val="000000"/>
        </w:rPr>
        <w:t>)</w:t>
      </w:r>
      <w:r w:rsidR="00D87C7E">
        <w:rPr>
          <w:color w:val="000000"/>
        </w:rPr>
        <w:t xml:space="preserve">, </w:t>
      </w:r>
      <w:r w:rsidR="00E67C2C">
        <w:rPr>
          <w:color w:val="000000"/>
        </w:rPr>
        <w:t>proponen una</w:t>
      </w:r>
      <w:r w:rsidR="00FB098B">
        <w:rPr>
          <w:color w:val="000000"/>
        </w:rPr>
        <w:t xml:space="preserve"> taxonomía </w:t>
      </w:r>
      <w:r w:rsidR="00C55A2D">
        <w:rPr>
          <w:color w:val="000000"/>
        </w:rPr>
        <w:t xml:space="preserve">que </w:t>
      </w:r>
      <w:r w:rsidR="008070DD">
        <w:rPr>
          <w:color w:val="000000"/>
        </w:rPr>
        <w:t xml:space="preserve">distingue </w:t>
      </w:r>
      <w:r w:rsidR="00FB098B">
        <w:rPr>
          <w:color w:val="000000"/>
        </w:rPr>
        <w:t>tres perspectivas de exposició</w:t>
      </w:r>
      <w:r w:rsidR="008070DD">
        <w:rPr>
          <w:color w:val="000000"/>
        </w:rPr>
        <w:t>n</w:t>
      </w:r>
      <w:r w:rsidR="00C55A2D">
        <w:rPr>
          <w:color w:val="000000"/>
        </w:rPr>
        <w:t>, señalando que, a lo largo de la historia familiar</w:t>
      </w:r>
      <w:r w:rsidR="00384EAD">
        <w:rPr>
          <w:color w:val="000000"/>
        </w:rPr>
        <w:t>, la violencia tiende a intensificarse progresivamente</w:t>
      </w:r>
      <w:r w:rsidR="00AB46E5">
        <w:rPr>
          <w:color w:val="000000"/>
        </w:rPr>
        <w:t xml:space="preserve">. </w:t>
      </w:r>
    </w:p>
    <w:p w14:paraId="4860DF5A" w14:textId="52480276" w:rsidR="00953D22" w:rsidRDefault="005A6DDB" w:rsidP="00C40C91">
      <w:pPr>
        <w:pStyle w:val="NormalWeb"/>
        <w:spacing w:before="0" w:beforeAutospacing="0" w:after="240" w:afterAutospacing="0" w:line="360" w:lineRule="auto"/>
        <w:ind w:firstLine="360"/>
        <w:jc w:val="both"/>
        <w:rPr>
          <w:color w:val="000000"/>
        </w:rPr>
      </w:pPr>
      <w:r>
        <w:rPr>
          <w:color w:val="000000"/>
        </w:rPr>
        <w:t xml:space="preserve">La </w:t>
      </w:r>
      <w:r w:rsidR="00EE204A">
        <w:rPr>
          <w:color w:val="000000"/>
        </w:rPr>
        <w:t xml:space="preserve">primera perspectiva </w:t>
      </w:r>
      <w:r>
        <w:rPr>
          <w:color w:val="000000"/>
        </w:rPr>
        <w:t xml:space="preserve">se refiere a los inicios de la violencia, cuando </w:t>
      </w:r>
      <w:r w:rsidR="009C2BD2" w:rsidRPr="00600D07">
        <w:rPr>
          <w:b/>
          <w:bCs/>
          <w:color w:val="000000"/>
          <w:u w:val="single"/>
        </w:rPr>
        <w:t>el/la menor presencia</w:t>
      </w:r>
      <w:r w:rsidR="006F570D">
        <w:rPr>
          <w:b/>
          <w:bCs/>
          <w:color w:val="000000"/>
          <w:u w:val="single"/>
        </w:rPr>
        <w:t xml:space="preserve"> o escucha</w:t>
      </w:r>
      <w:r w:rsidR="009C2BD2" w:rsidRPr="00600D07">
        <w:rPr>
          <w:b/>
          <w:bCs/>
          <w:color w:val="000000"/>
          <w:u w:val="single"/>
        </w:rPr>
        <w:t xml:space="preserve"> las agresiones entre sus progenitores.</w:t>
      </w:r>
      <w:r w:rsidR="009C2BD2" w:rsidRPr="00600D07">
        <w:rPr>
          <w:b/>
          <w:bCs/>
          <w:color w:val="000000"/>
        </w:rPr>
        <w:t xml:space="preserve"> </w:t>
      </w:r>
      <w:r>
        <w:rPr>
          <w:color w:val="000000"/>
        </w:rPr>
        <w:t xml:space="preserve">En </w:t>
      </w:r>
      <w:r w:rsidR="002649AD">
        <w:rPr>
          <w:color w:val="000000"/>
        </w:rPr>
        <w:t xml:space="preserve">estas primeras manifestaciones, la violencia suele manifestarse con menor intensidad, por ejemplo, a través de discusiones, gritos o ruidos procedentes en el hogar. Este tipo de experiencia se denomina </w:t>
      </w:r>
      <w:r w:rsidR="002649AD" w:rsidRPr="0054277F">
        <w:rPr>
          <w:color w:val="000000"/>
          <w:u w:val="single"/>
        </w:rPr>
        <w:t>exposición a la escucha,</w:t>
      </w:r>
      <w:r w:rsidR="00CB4BC6">
        <w:rPr>
          <w:color w:val="000000"/>
          <w:u w:val="single"/>
        </w:rPr>
        <w:t xml:space="preserve"> </w:t>
      </w:r>
      <w:r w:rsidR="00C7705D" w:rsidRPr="00CB4BC6">
        <w:rPr>
          <w:color w:val="000000"/>
        </w:rPr>
        <w:t>q</w:t>
      </w:r>
      <w:r w:rsidR="00C7705D">
        <w:rPr>
          <w:color w:val="000000"/>
        </w:rPr>
        <w:t xml:space="preserve">ue consiste en percibir la violencia desde otra habitación o lugar cercano, </w:t>
      </w:r>
      <w:r w:rsidR="00953D22">
        <w:rPr>
          <w:color w:val="000000"/>
        </w:rPr>
        <w:t>d</w:t>
      </w:r>
      <w:r w:rsidR="00FC402E">
        <w:rPr>
          <w:color w:val="000000"/>
        </w:rPr>
        <w:t xml:space="preserve">e modo que el menor </w:t>
      </w:r>
      <w:r w:rsidR="00953D22">
        <w:rPr>
          <w:color w:val="000000"/>
        </w:rPr>
        <w:t>toma conciencia de lo que ocurre sin estar presente de forma directa</w:t>
      </w:r>
      <w:r w:rsidR="00C40C91">
        <w:rPr>
          <w:color w:val="000000"/>
        </w:rPr>
        <w:t xml:space="preserve"> (</w:t>
      </w:r>
      <w:r w:rsidR="00C40C91">
        <w:rPr>
          <w:color w:val="000000"/>
        </w:rPr>
        <w:t xml:space="preserve">Holden, 2003). </w:t>
      </w:r>
    </w:p>
    <w:p w14:paraId="31AD287D" w14:textId="334F5D4C" w:rsidR="007A5AB8" w:rsidRDefault="007A5AB8" w:rsidP="00CB4BC6">
      <w:pPr>
        <w:pStyle w:val="NormalWeb"/>
        <w:spacing w:before="0" w:beforeAutospacing="0" w:after="240" w:afterAutospacing="0" w:line="360" w:lineRule="auto"/>
        <w:ind w:firstLine="360"/>
        <w:jc w:val="both"/>
        <w:rPr>
          <w:color w:val="000000"/>
        </w:rPr>
      </w:pPr>
      <w:r>
        <w:rPr>
          <w:color w:val="000000"/>
        </w:rPr>
        <w:t xml:space="preserve">En estos momentos iniciales, es frecuente que el menor quede paralizado o confundido, sin comprender plenamente el origen del conflicto ni saber cómo reaccionar. </w:t>
      </w:r>
      <w:r w:rsidR="003C64D6">
        <w:rPr>
          <w:color w:val="000000"/>
        </w:rPr>
        <w:t xml:space="preserve">Además, al tratarse de sus primeras experiencias de este tipo, puede interprétalas como un hecho puntual, pensando que no volverá a repetirse. </w:t>
      </w:r>
    </w:p>
    <w:p w14:paraId="13869043" w14:textId="3EA31F9D" w:rsidR="00FA04B3" w:rsidRDefault="00B803F1" w:rsidP="0039660A">
      <w:pPr>
        <w:pStyle w:val="NormalWeb"/>
        <w:spacing w:before="0" w:beforeAutospacing="0" w:after="240" w:afterAutospacing="0" w:line="360" w:lineRule="auto"/>
        <w:ind w:firstLine="360"/>
        <w:jc w:val="both"/>
        <w:rPr>
          <w:color w:val="000000"/>
        </w:rPr>
      </w:pPr>
      <w:r>
        <w:rPr>
          <w:color w:val="000000"/>
        </w:rPr>
        <w:t xml:space="preserve">Dentro de este tipo de exposición también se incluye la </w:t>
      </w:r>
      <w:r w:rsidRPr="004E4AA7">
        <w:rPr>
          <w:color w:val="000000"/>
          <w:u w:val="single"/>
        </w:rPr>
        <w:t xml:space="preserve">exposición a la información de </w:t>
      </w:r>
      <w:r w:rsidR="00680394" w:rsidRPr="004E4AA7">
        <w:rPr>
          <w:color w:val="000000"/>
          <w:u w:val="single"/>
        </w:rPr>
        <w:t>lo sucedido,</w:t>
      </w:r>
      <w:r w:rsidR="00F61A64">
        <w:rPr>
          <w:color w:val="000000"/>
        </w:rPr>
        <w:t xml:space="preserve"> y la </w:t>
      </w:r>
      <w:r w:rsidR="00F61A64" w:rsidRPr="00F61A64">
        <w:rPr>
          <w:color w:val="000000"/>
          <w:u w:val="single"/>
        </w:rPr>
        <w:t>exposición de las consecuencias inmediatas</w:t>
      </w:r>
      <w:r w:rsidR="0039660A">
        <w:rPr>
          <w:color w:val="000000"/>
          <w:u w:val="single"/>
        </w:rPr>
        <w:t xml:space="preserve"> </w:t>
      </w:r>
      <w:r w:rsidR="0039660A">
        <w:rPr>
          <w:color w:val="000000"/>
        </w:rPr>
        <w:t xml:space="preserve">(Holden, 2003). </w:t>
      </w:r>
      <w:r w:rsidR="00F61A64">
        <w:rPr>
          <w:color w:val="000000"/>
        </w:rPr>
        <w:t>La primera ocurre cuando</w:t>
      </w:r>
      <w:r w:rsidR="00680394">
        <w:rPr>
          <w:color w:val="000000"/>
        </w:rPr>
        <w:t xml:space="preserve"> el menor, aun sin presenciar directamente la agresión</w:t>
      </w:r>
      <w:r w:rsidR="003A7606">
        <w:rPr>
          <w:color w:val="000000"/>
        </w:rPr>
        <w:t>, adquiere conocimiento de lo ocurrido a</w:t>
      </w:r>
      <w:r w:rsidR="00011436">
        <w:rPr>
          <w:color w:val="000000"/>
        </w:rPr>
        <w:t xml:space="preserve">l observar </w:t>
      </w:r>
      <w:r w:rsidR="008B5C22">
        <w:rPr>
          <w:color w:val="000000"/>
        </w:rPr>
        <w:t>la rección de la madre, como llanto, preocupación o miedo.</w:t>
      </w:r>
      <w:r w:rsidR="009B37C9">
        <w:rPr>
          <w:color w:val="000000"/>
        </w:rPr>
        <w:t xml:space="preserve"> </w:t>
      </w:r>
      <w:r w:rsidR="004933F2">
        <w:rPr>
          <w:color w:val="000000"/>
        </w:rPr>
        <w:t xml:space="preserve">Aunque en edades tempranas el menor no </w:t>
      </w:r>
      <w:r w:rsidR="008C2433">
        <w:rPr>
          <w:color w:val="000000"/>
        </w:rPr>
        <w:t xml:space="preserve">dispone </w:t>
      </w:r>
      <w:r w:rsidR="003A7C4E">
        <w:rPr>
          <w:color w:val="000000"/>
        </w:rPr>
        <w:t xml:space="preserve">del desarrollo cognitivo suficiente para comprender plenamente la situación, sí es capaz de retener </w:t>
      </w:r>
      <w:r w:rsidR="00FA04B3">
        <w:rPr>
          <w:color w:val="000000"/>
        </w:rPr>
        <w:t xml:space="preserve">de manera intensa la información emocional, como </w:t>
      </w:r>
      <w:r w:rsidR="00D462CD">
        <w:rPr>
          <w:color w:val="000000"/>
        </w:rPr>
        <w:t>si la “grabara”</w:t>
      </w:r>
      <w:r w:rsidR="00FA04B3">
        <w:rPr>
          <w:color w:val="000000"/>
        </w:rPr>
        <w:t xml:space="preserve"> en su memoria afectiva. De este </w:t>
      </w:r>
      <w:r w:rsidR="00FA04B3">
        <w:rPr>
          <w:color w:val="000000"/>
        </w:rPr>
        <w:lastRenderedPageBreak/>
        <w:t xml:space="preserve">modo, el </w:t>
      </w:r>
      <w:r w:rsidR="00707464">
        <w:rPr>
          <w:color w:val="000000"/>
        </w:rPr>
        <w:t xml:space="preserve">menor </w:t>
      </w:r>
      <w:r w:rsidR="00FA04B3">
        <w:rPr>
          <w:color w:val="000000"/>
        </w:rPr>
        <w:t xml:space="preserve">interioriza el miedo percibido en su figura de referencia, experimentando también sensaciones de amenaza e inseguridad. Esta transmisión emocional </w:t>
      </w:r>
      <w:r w:rsidR="00121195">
        <w:rPr>
          <w:color w:val="000000"/>
        </w:rPr>
        <w:t>afecta significativamente su desarrollo psicológico</w:t>
      </w:r>
      <w:r w:rsidR="00C6455B">
        <w:rPr>
          <w:color w:val="000000"/>
        </w:rPr>
        <w:t xml:space="preserve">. </w:t>
      </w:r>
    </w:p>
    <w:p w14:paraId="5A4005E3" w14:textId="3EA067CF" w:rsidR="00215582" w:rsidRDefault="00A072F8" w:rsidP="003C6AC6">
      <w:pPr>
        <w:pStyle w:val="NormalWeb"/>
        <w:spacing w:before="0" w:beforeAutospacing="0" w:after="240" w:afterAutospacing="0" w:line="360" w:lineRule="auto"/>
        <w:ind w:firstLine="360"/>
        <w:jc w:val="both"/>
        <w:rPr>
          <w:color w:val="000000"/>
        </w:rPr>
      </w:pPr>
      <w:r>
        <w:rPr>
          <w:color w:val="000000"/>
        </w:rPr>
        <w:t>Por otro lado, l</w:t>
      </w:r>
      <w:r w:rsidR="00213733">
        <w:rPr>
          <w:color w:val="000000"/>
        </w:rPr>
        <w:t xml:space="preserve">a exposición </w:t>
      </w:r>
      <w:r w:rsidR="004E4AA7">
        <w:rPr>
          <w:color w:val="000000"/>
        </w:rPr>
        <w:t>de las consecuencias inmediatas</w:t>
      </w:r>
      <w:r>
        <w:rPr>
          <w:color w:val="000000"/>
        </w:rPr>
        <w:t xml:space="preserve"> </w:t>
      </w:r>
      <w:r w:rsidR="00FE522F">
        <w:rPr>
          <w:color w:val="000000"/>
        </w:rPr>
        <w:t xml:space="preserve">tiene un impacto mayor sobre el menor, ya que se produce </w:t>
      </w:r>
      <w:r w:rsidR="003C6AC6">
        <w:rPr>
          <w:color w:val="000000"/>
        </w:rPr>
        <w:t xml:space="preserve">en situaciones de violencia extrema, cuando presencia </w:t>
      </w:r>
      <w:r w:rsidR="00FE522F">
        <w:rPr>
          <w:color w:val="000000"/>
        </w:rPr>
        <w:t>directamente objeto</w:t>
      </w:r>
      <w:r w:rsidR="00215582">
        <w:rPr>
          <w:color w:val="000000"/>
        </w:rPr>
        <w:t xml:space="preserve">s </w:t>
      </w:r>
      <w:r w:rsidR="009615E4">
        <w:rPr>
          <w:color w:val="000000"/>
        </w:rPr>
        <w:t xml:space="preserve">rotos, heridas o moratones en el cuerpo de la madre, </w:t>
      </w:r>
      <w:r w:rsidR="00215582">
        <w:rPr>
          <w:color w:val="000000"/>
        </w:rPr>
        <w:t>así como la intervenci</w:t>
      </w:r>
      <w:r w:rsidR="00FB2B81">
        <w:rPr>
          <w:color w:val="000000"/>
        </w:rPr>
        <w:t xml:space="preserve">ón </w:t>
      </w:r>
      <w:r w:rsidR="00215582">
        <w:rPr>
          <w:color w:val="000000"/>
        </w:rPr>
        <w:t>de ambulancias o policías en el hogar</w:t>
      </w:r>
      <w:r w:rsidR="00286F22">
        <w:rPr>
          <w:color w:val="000000"/>
        </w:rPr>
        <w:t xml:space="preserve"> como respuesta a estos episodios graves. </w:t>
      </w:r>
    </w:p>
    <w:p w14:paraId="1F01ECEC" w14:textId="32822A06" w:rsidR="00012308" w:rsidRPr="00C50CD7" w:rsidRDefault="00405E05" w:rsidP="002A28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highlight w:val="yellow"/>
        </w:rPr>
      </w:pPr>
      <w:r w:rsidRPr="002A2898">
        <w:rPr>
          <w:color w:val="000000"/>
        </w:rPr>
        <w:t xml:space="preserve">La segunda perspectiva abarca </w:t>
      </w:r>
      <w:r w:rsidR="00D800FB" w:rsidRPr="002A2898">
        <w:rPr>
          <w:color w:val="000000"/>
        </w:rPr>
        <w:t>casos en los que</w:t>
      </w:r>
      <w:r w:rsidR="00D800FB" w:rsidRPr="002A2898">
        <w:rPr>
          <w:color w:val="000000"/>
          <w:u w:val="single"/>
        </w:rPr>
        <w:t xml:space="preserve"> </w:t>
      </w:r>
      <w:r w:rsidR="00D800FB" w:rsidRPr="002A2898">
        <w:rPr>
          <w:b/>
          <w:bCs/>
          <w:color w:val="000000"/>
          <w:u w:val="single"/>
        </w:rPr>
        <w:t>el/la menor no solo presencia</w:t>
      </w:r>
      <w:r w:rsidR="000C3FA0" w:rsidRPr="002A2898">
        <w:rPr>
          <w:b/>
          <w:bCs/>
          <w:color w:val="000000"/>
          <w:u w:val="single"/>
        </w:rPr>
        <w:t xml:space="preserve"> </w:t>
      </w:r>
      <w:r w:rsidR="00D800FB" w:rsidRPr="002A2898">
        <w:rPr>
          <w:b/>
          <w:bCs/>
          <w:color w:val="000000"/>
          <w:u w:val="single"/>
        </w:rPr>
        <w:t xml:space="preserve">la violencia intrafamiliar, sino que también la sufre de manera directa. </w:t>
      </w:r>
      <w:r w:rsidRPr="002A2898">
        <w:rPr>
          <w:color w:val="000000"/>
        </w:rPr>
        <w:t xml:space="preserve">Este fenómeno ha sido </w:t>
      </w:r>
      <w:r w:rsidR="00673506" w:rsidRPr="002A2898">
        <w:rPr>
          <w:color w:val="000000"/>
        </w:rPr>
        <w:t>descrito</w:t>
      </w:r>
      <w:r w:rsidRPr="002A2898">
        <w:rPr>
          <w:color w:val="000000"/>
        </w:rPr>
        <w:t xml:space="preserve"> mediante </w:t>
      </w:r>
      <w:r w:rsidRPr="006A19F2">
        <w:rPr>
          <w:color w:val="000000"/>
        </w:rPr>
        <w:t xml:space="preserve">el término </w:t>
      </w:r>
      <w:r w:rsidRPr="00155C9A">
        <w:rPr>
          <w:color w:val="000000"/>
        </w:rPr>
        <w:t xml:space="preserve">anglosajón </w:t>
      </w:r>
      <w:r w:rsidR="000C1DC2" w:rsidRPr="00155C9A">
        <w:rPr>
          <w:color w:val="000000"/>
        </w:rPr>
        <w:t>“</w:t>
      </w:r>
      <w:proofErr w:type="spellStart"/>
      <w:r w:rsidR="006C7C4A" w:rsidRPr="00155C9A">
        <w:rPr>
          <w:color w:val="000000"/>
        </w:rPr>
        <w:t>d</w:t>
      </w:r>
      <w:r w:rsidRPr="00155C9A">
        <w:rPr>
          <w:color w:val="000000"/>
        </w:rPr>
        <w:t>ouble</w:t>
      </w:r>
      <w:proofErr w:type="spellEnd"/>
      <w:r w:rsidRPr="00155C9A">
        <w:rPr>
          <w:color w:val="000000"/>
        </w:rPr>
        <w:t xml:space="preserve"> </w:t>
      </w:r>
      <w:proofErr w:type="spellStart"/>
      <w:r w:rsidRPr="00155C9A">
        <w:rPr>
          <w:color w:val="000000"/>
        </w:rPr>
        <w:t>whammy</w:t>
      </w:r>
      <w:proofErr w:type="spellEnd"/>
      <w:r w:rsidRPr="00155C9A">
        <w:rPr>
          <w:color w:val="000000"/>
        </w:rPr>
        <w:t>”</w:t>
      </w:r>
      <w:r w:rsidR="00673506" w:rsidRPr="00155C9A">
        <w:rPr>
          <w:color w:val="000000"/>
        </w:rPr>
        <w:t xml:space="preserve"> (</w:t>
      </w:r>
      <w:r w:rsidR="00673506" w:rsidRPr="006A19F2">
        <w:rPr>
          <w:color w:val="000000"/>
        </w:rPr>
        <w:t>doble golpe o doble carga)</w:t>
      </w:r>
      <w:r w:rsidR="00DC7A72">
        <w:rPr>
          <w:color w:val="000000"/>
        </w:rPr>
        <w:t xml:space="preserve">, </w:t>
      </w:r>
      <w:r w:rsidR="00AC061B" w:rsidRPr="006A19F2">
        <w:rPr>
          <w:color w:val="000000"/>
        </w:rPr>
        <w:t xml:space="preserve">también </w:t>
      </w:r>
      <w:r w:rsidR="00DC7A72">
        <w:rPr>
          <w:color w:val="000000"/>
        </w:rPr>
        <w:t xml:space="preserve">denominado </w:t>
      </w:r>
      <w:r w:rsidR="00AC061B" w:rsidRPr="006A19F2">
        <w:rPr>
          <w:color w:val="000000"/>
        </w:rPr>
        <w:t>exposición dua</w:t>
      </w:r>
      <w:r w:rsidR="00EA018F" w:rsidRPr="006A19F2">
        <w:rPr>
          <w:color w:val="000000"/>
        </w:rPr>
        <w:t>l</w:t>
      </w:r>
      <w:r w:rsidR="0028186B" w:rsidRPr="006A19F2">
        <w:rPr>
          <w:color w:val="000000"/>
        </w:rPr>
        <w:t xml:space="preserve"> </w:t>
      </w:r>
      <w:r w:rsidR="00DC7686" w:rsidRPr="006A19F2">
        <w:rPr>
          <w:color w:val="000000"/>
        </w:rPr>
        <w:t>(Sousa et</w:t>
      </w:r>
      <w:r w:rsidR="006A19F2" w:rsidRPr="006A19F2">
        <w:rPr>
          <w:color w:val="000000"/>
        </w:rPr>
        <w:t xml:space="preserve"> al., 2011)</w:t>
      </w:r>
      <w:r w:rsidR="00DC7A72">
        <w:rPr>
          <w:color w:val="000000"/>
        </w:rPr>
        <w:t xml:space="preserve">.  Este concepto hace referencia </w:t>
      </w:r>
      <w:r w:rsidR="00673506" w:rsidRPr="002A2898">
        <w:rPr>
          <w:color w:val="000000"/>
        </w:rPr>
        <w:t xml:space="preserve">a situaciones en las que dos eventos negativos ocurren de manera simultánea o consecutiva, generando un impacto especialmente perjudicial en la víctima. </w:t>
      </w:r>
      <w:r w:rsidR="003237FB" w:rsidRPr="002A2898">
        <w:rPr>
          <w:color w:val="000000"/>
        </w:rPr>
        <w:t xml:space="preserve">En este nivel, la violencia se intensifica: el menor </w:t>
      </w:r>
      <w:r w:rsidR="009F1996" w:rsidRPr="002A2898">
        <w:rPr>
          <w:color w:val="000000"/>
        </w:rPr>
        <w:t xml:space="preserve">continúa siendo </w:t>
      </w:r>
      <w:r w:rsidR="00176A0B" w:rsidRPr="002A2898">
        <w:rPr>
          <w:color w:val="000000"/>
        </w:rPr>
        <w:t xml:space="preserve">expuesto a la </w:t>
      </w:r>
      <w:r w:rsidR="009F1996" w:rsidRPr="002A2898">
        <w:rPr>
          <w:color w:val="000000"/>
        </w:rPr>
        <w:t xml:space="preserve">violencia </w:t>
      </w:r>
      <w:r w:rsidR="00892679" w:rsidRPr="002A2898">
        <w:rPr>
          <w:color w:val="000000"/>
        </w:rPr>
        <w:t xml:space="preserve">ejercida </w:t>
      </w:r>
      <w:r w:rsidR="009F1996" w:rsidRPr="002A2898">
        <w:rPr>
          <w:color w:val="000000"/>
        </w:rPr>
        <w:t>contra</w:t>
      </w:r>
      <w:r w:rsidR="00892679" w:rsidRPr="002A2898">
        <w:rPr>
          <w:color w:val="000000"/>
        </w:rPr>
        <w:t xml:space="preserve"> su madre</w:t>
      </w:r>
      <w:r w:rsidR="00176A0B" w:rsidRPr="002A2898">
        <w:rPr>
          <w:color w:val="000000"/>
        </w:rPr>
        <w:t xml:space="preserve"> y, al mismo tiempo, </w:t>
      </w:r>
      <w:r w:rsidR="009F1996" w:rsidRPr="002A2898">
        <w:rPr>
          <w:color w:val="000000"/>
        </w:rPr>
        <w:t>recibe agresiones</w:t>
      </w:r>
      <w:r w:rsidR="00892679" w:rsidRPr="002A2898">
        <w:rPr>
          <w:color w:val="000000"/>
        </w:rPr>
        <w:t xml:space="preserve"> directas</w:t>
      </w:r>
      <w:r w:rsidR="009F1996" w:rsidRPr="002A2898">
        <w:rPr>
          <w:color w:val="000000"/>
        </w:rPr>
        <w:t xml:space="preserve">, </w:t>
      </w:r>
      <w:r w:rsidR="009A3831" w:rsidRPr="002A2898">
        <w:rPr>
          <w:color w:val="000000"/>
        </w:rPr>
        <w:t>ya sean físicas o amenazas por parte del</w:t>
      </w:r>
      <w:r w:rsidR="00285D00" w:rsidRPr="002A2898">
        <w:rPr>
          <w:color w:val="000000"/>
        </w:rPr>
        <w:t xml:space="preserve"> padre</w:t>
      </w:r>
      <w:r w:rsidR="009A3831" w:rsidRPr="002A2898">
        <w:rPr>
          <w:color w:val="000000"/>
        </w:rPr>
        <w:t xml:space="preserve">. </w:t>
      </w:r>
      <w:r w:rsidR="00EA018F" w:rsidRPr="002A2898">
        <w:rPr>
          <w:color w:val="000000"/>
        </w:rPr>
        <w:t xml:space="preserve">Una de las </w:t>
      </w:r>
      <w:r w:rsidR="006A19F2" w:rsidRPr="002A2898">
        <w:rPr>
          <w:color w:val="000000"/>
        </w:rPr>
        <w:t>hipótesis</w:t>
      </w:r>
      <w:r w:rsidR="00EA018F" w:rsidRPr="002A2898">
        <w:rPr>
          <w:color w:val="000000"/>
        </w:rPr>
        <w:t xml:space="preserve"> que </w:t>
      </w:r>
      <w:r w:rsidR="00BB6479">
        <w:rPr>
          <w:color w:val="000000"/>
        </w:rPr>
        <w:t xml:space="preserve">respalda </w:t>
      </w:r>
      <w:r w:rsidR="00EA018F" w:rsidRPr="002A2898">
        <w:rPr>
          <w:color w:val="000000"/>
        </w:rPr>
        <w:t xml:space="preserve">esta idea </w:t>
      </w:r>
      <w:r w:rsidR="00472990" w:rsidRPr="002A2898">
        <w:rPr>
          <w:color w:val="000000"/>
        </w:rPr>
        <w:t>es que esta doble victimización podría interferir en el apego con las figuras parentales, ocasionando déficits a nivel social y conductual</w:t>
      </w:r>
      <w:r w:rsidR="002A2898" w:rsidRPr="002A2898">
        <w:rPr>
          <w:color w:val="000000"/>
        </w:rPr>
        <w:t xml:space="preserve"> </w:t>
      </w:r>
      <w:r w:rsidR="002A2898" w:rsidRPr="002A2898">
        <w:rPr>
          <w:rFonts w:eastAsiaTheme="minorHAnsi"/>
          <w:lang w:val="es-ES_tradnl" w:eastAsia="en-US"/>
          <w14:ligatures w14:val="standardContextual"/>
        </w:rPr>
        <w:t>(</w:t>
      </w:r>
      <w:r w:rsidR="006A19F2" w:rsidRPr="006A19F2">
        <w:rPr>
          <w:color w:val="000000"/>
        </w:rPr>
        <w:t>Sousa et al., 2011</w:t>
      </w:r>
      <w:r w:rsidR="006A19F2">
        <w:rPr>
          <w:color w:val="000000"/>
        </w:rPr>
        <w:t xml:space="preserve">). </w:t>
      </w:r>
    </w:p>
    <w:p w14:paraId="472F9A3D" w14:textId="77777777" w:rsidR="002A2898" w:rsidRPr="002A2898" w:rsidRDefault="002A2898" w:rsidP="002A289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lang w:val="es-ES_tradnl" w:eastAsia="en-US"/>
          <w14:ligatures w14:val="standardContextual"/>
        </w:rPr>
      </w:pPr>
    </w:p>
    <w:p w14:paraId="4E102DED" w14:textId="751FF079" w:rsidR="009A3831" w:rsidRDefault="009A3831" w:rsidP="002269AE">
      <w:pPr>
        <w:pStyle w:val="NormalWeb"/>
        <w:spacing w:before="0" w:beforeAutospacing="0" w:after="240" w:afterAutospacing="0" w:line="360" w:lineRule="auto"/>
        <w:ind w:firstLine="360"/>
        <w:jc w:val="both"/>
        <w:rPr>
          <w:color w:val="000000"/>
        </w:rPr>
      </w:pPr>
      <w:r>
        <w:rPr>
          <w:color w:val="000000"/>
        </w:rPr>
        <w:t>Este doble efecto incrementa significativamente la sensación de vulnerabilidad del menor y puede provocar el desarrollo de sintomatología grave, así como una percepción alterada de sus progenitores</w:t>
      </w:r>
      <w:r w:rsidR="005F280B">
        <w:rPr>
          <w:color w:val="000000"/>
        </w:rPr>
        <w:t>: e</w:t>
      </w:r>
      <w:r>
        <w:rPr>
          <w:color w:val="000000"/>
        </w:rPr>
        <w:t>n lugar de ver a la madre como una figura protectora, la perciben como víctima, y en lugar de reconocer al padre como un referente de seguridad, lo identifican como agresor.</w:t>
      </w:r>
      <w:r w:rsidR="00E279C2">
        <w:rPr>
          <w:color w:val="000000"/>
        </w:rPr>
        <w:t xml:space="preserve"> Al percibir a su madre en situación en </w:t>
      </w:r>
      <w:r w:rsidR="0047074A">
        <w:rPr>
          <w:color w:val="000000"/>
        </w:rPr>
        <w:t>peligro</w:t>
      </w:r>
      <w:r w:rsidR="00E279C2">
        <w:rPr>
          <w:color w:val="000000"/>
        </w:rPr>
        <w:t xml:space="preserve">, el menor </w:t>
      </w:r>
      <w:r w:rsidR="002269AE">
        <w:rPr>
          <w:color w:val="000000"/>
        </w:rPr>
        <w:t xml:space="preserve">puede </w:t>
      </w:r>
      <w:r w:rsidR="0047074A">
        <w:rPr>
          <w:color w:val="000000"/>
        </w:rPr>
        <w:t xml:space="preserve">asumir una postura de defensa o protectora con la intención de cuidarla. Este tipo </w:t>
      </w:r>
      <w:r w:rsidR="00EB49B9">
        <w:rPr>
          <w:color w:val="000000"/>
        </w:rPr>
        <w:t xml:space="preserve">de respuesta </w:t>
      </w:r>
      <w:r w:rsidR="00AB339C">
        <w:rPr>
          <w:color w:val="000000"/>
        </w:rPr>
        <w:t xml:space="preserve">se conoce como </w:t>
      </w:r>
      <w:r w:rsidR="00AB339C" w:rsidRPr="009F1267">
        <w:rPr>
          <w:color w:val="000000"/>
          <w:u w:val="single"/>
        </w:rPr>
        <w:t>exposición a la intervención,</w:t>
      </w:r>
      <w:r w:rsidR="00AB339C">
        <w:rPr>
          <w:color w:val="000000"/>
        </w:rPr>
        <w:t xml:space="preserve"> </w:t>
      </w:r>
      <w:r w:rsidR="005F280B">
        <w:rPr>
          <w:color w:val="000000"/>
        </w:rPr>
        <w:t xml:space="preserve">e </w:t>
      </w:r>
      <w:r w:rsidR="008C0B25">
        <w:rPr>
          <w:color w:val="000000"/>
        </w:rPr>
        <w:t xml:space="preserve">incluye situaciones en las que el menor </w:t>
      </w:r>
      <w:r w:rsidR="005B1A7F">
        <w:rPr>
          <w:color w:val="000000"/>
        </w:rPr>
        <w:t xml:space="preserve">intenta hacer o decir algo </w:t>
      </w:r>
      <w:r w:rsidR="002269AE">
        <w:rPr>
          <w:color w:val="000000"/>
        </w:rPr>
        <w:t xml:space="preserve">con el objetivo de </w:t>
      </w:r>
      <w:r w:rsidR="003B05A4">
        <w:rPr>
          <w:color w:val="000000"/>
        </w:rPr>
        <w:t>“salvar” a su madre</w:t>
      </w:r>
      <w:r w:rsidR="006A19F2">
        <w:rPr>
          <w:color w:val="000000"/>
        </w:rPr>
        <w:t xml:space="preserve"> </w:t>
      </w:r>
      <w:r w:rsidR="00583BD7">
        <w:rPr>
          <w:color w:val="000000"/>
        </w:rPr>
        <w:t>(</w:t>
      </w:r>
      <w:r w:rsidR="006A19F2">
        <w:rPr>
          <w:color w:val="000000"/>
        </w:rPr>
        <w:t>Holden</w:t>
      </w:r>
      <w:r w:rsidR="00583BD7">
        <w:rPr>
          <w:color w:val="000000"/>
        </w:rPr>
        <w:t xml:space="preserve">, </w:t>
      </w:r>
      <w:r w:rsidR="006A19F2">
        <w:rPr>
          <w:color w:val="000000"/>
        </w:rPr>
        <w:t>200</w:t>
      </w:r>
      <w:r w:rsidR="006A19F2">
        <w:rPr>
          <w:color w:val="000000"/>
        </w:rPr>
        <w:t xml:space="preserve">3). </w:t>
      </w:r>
    </w:p>
    <w:p w14:paraId="77256F1A" w14:textId="24D1F4E1" w:rsidR="00F70D39" w:rsidRDefault="00F70D39" w:rsidP="002269AE">
      <w:pPr>
        <w:pStyle w:val="NormalWeb"/>
        <w:spacing w:before="0" w:beforeAutospacing="0" w:after="240" w:afterAutospacing="0" w:line="360" w:lineRule="auto"/>
        <w:ind w:firstLine="360"/>
        <w:jc w:val="both"/>
        <w:rPr>
          <w:color w:val="000000"/>
        </w:rPr>
      </w:pPr>
      <w:r>
        <w:rPr>
          <w:color w:val="000000"/>
        </w:rPr>
        <w:t>En estos casos, según</w:t>
      </w:r>
      <w:r w:rsidRPr="00F70D39">
        <w:rPr>
          <w:color w:val="000000"/>
        </w:rPr>
        <w:t xml:space="preserve"> San-</w:t>
      </w:r>
      <w:r w:rsidRPr="00F70D39">
        <w:rPr>
          <w:color w:val="000000"/>
        </w:rPr>
        <w:t>Martínez</w:t>
      </w:r>
      <w:r w:rsidRPr="00F70D39">
        <w:rPr>
          <w:color w:val="000000"/>
        </w:rPr>
        <w:t xml:space="preserve"> (2008),</w:t>
      </w:r>
      <w:r>
        <w:rPr>
          <w:color w:val="000000"/>
        </w:rPr>
        <w:t xml:space="preserve"> los menores pueden adoptar tres posturas diferentes: defender a la madre y atacar al padre para protegerla; defender a la madre, </w:t>
      </w:r>
      <w:r>
        <w:rPr>
          <w:color w:val="000000"/>
        </w:rPr>
        <w:lastRenderedPageBreak/>
        <w:t xml:space="preserve">pero de manera pasiva frente al padre; o aliarse con el padre dentro de la dinámica de violencia contra la madre. </w:t>
      </w:r>
    </w:p>
    <w:p w14:paraId="57DB4C70" w14:textId="039EB422" w:rsidR="00C52084" w:rsidRDefault="00D800FB" w:rsidP="00A6220A">
      <w:pPr>
        <w:pStyle w:val="NormalWeb"/>
        <w:spacing w:before="0" w:beforeAutospacing="0" w:after="240" w:afterAutospacing="0" w:line="360" w:lineRule="auto"/>
        <w:ind w:firstLine="360"/>
        <w:jc w:val="both"/>
        <w:rPr>
          <w:color w:val="000000"/>
        </w:rPr>
      </w:pPr>
      <w:r>
        <w:rPr>
          <w:color w:val="000000"/>
        </w:rPr>
        <w:t xml:space="preserve">Por </w:t>
      </w:r>
      <w:r w:rsidR="00B81216">
        <w:rPr>
          <w:color w:val="000000"/>
        </w:rPr>
        <w:t>último</w:t>
      </w:r>
      <w:r>
        <w:rPr>
          <w:color w:val="000000"/>
        </w:rPr>
        <w:t xml:space="preserve">, la tercera </w:t>
      </w:r>
      <w:r w:rsidR="009C2BD2" w:rsidRPr="00D469BD">
        <w:rPr>
          <w:color w:val="000000"/>
        </w:rPr>
        <w:t xml:space="preserve">perspectiva </w:t>
      </w:r>
      <w:r w:rsidR="004A5562">
        <w:rPr>
          <w:color w:val="000000"/>
        </w:rPr>
        <w:t xml:space="preserve">contempla situaciones en las que </w:t>
      </w:r>
      <w:r w:rsidR="009C2BD2" w:rsidRPr="00D469BD">
        <w:rPr>
          <w:b/>
          <w:bCs/>
          <w:color w:val="000000"/>
          <w:u w:val="single"/>
        </w:rPr>
        <w:t>el/la menor es agredido/a co</w:t>
      </w:r>
      <w:r w:rsidR="008500E2">
        <w:rPr>
          <w:b/>
          <w:bCs/>
          <w:color w:val="000000"/>
          <w:u w:val="single"/>
        </w:rPr>
        <w:t>n</w:t>
      </w:r>
      <w:r w:rsidR="009C2BD2" w:rsidRPr="00D469BD">
        <w:rPr>
          <w:b/>
          <w:bCs/>
          <w:color w:val="000000"/>
          <w:u w:val="single"/>
        </w:rPr>
        <w:t xml:space="preserve"> </w:t>
      </w:r>
      <w:r w:rsidR="00121114">
        <w:rPr>
          <w:b/>
          <w:bCs/>
          <w:color w:val="000000"/>
          <w:u w:val="single"/>
        </w:rPr>
        <w:t xml:space="preserve">el fin de infligir un daño </w:t>
      </w:r>
      <w:r w:rsidR="00A433DE">
        <w:rPr>
          <w:b/>
          <w:bCs/>
          <w:color w:val="000000"/>
          <w:u w:val="single"/>
        </w:rPr>
        <w:t xml:space="preserve">emocional adicional </w:t>
      </w:r>
      <w:r w:rsidR="00906A47">
        <w:rPr>
          <w:b/>
          <w:bCs/>
          <w:color w:val="000000"/>
          <w:u w:val="single"/>
        </w:rPr>
        <w:t xml:space="preserve">a la madre. </w:t>
      </w:r>
      <w:r w:rsidR="006E1A10">
        <w:rPr>
          <w:color w:val="000000"/>
        </w:rPr>
        <w:t>Est</w:t>
      </w:r>
      <w:r w:rsidR="00A433DE">
        <w:rPr>
          <w:color w:val="000000"/>
        </w:rPr>
        <w:t>e</w:t>
      </w:r>
      <w:r w:rsidR="006E1A10">
        <w:rPr>
          <w:color w:val="000000"/>
        </w:rPr>
        <w:t xml:space="preserve"> </w:t>
      </w:r>
      <w:r w:rsidR="005F5D10">
        <w:rPr>
          <w:color w:val="000000"/>
        </w:rPr>
        <w:t>fenómeno</w:t>
      </w:r>
      <w:r w:rsidR="006E1A10">
        <w:rPr>
          <w:color w:val="000000"/>
        </w:rPr>
        <w:t xml:space="preserve"> </w:t>
      </w:r>
      <w:r w:rsidR="005F5D10">
        <w:rPr>
          <w:color w:val="000000"/>
        </w:rPr>
        <w:t xml:space="preserve">se conoce como </w:t>
      </w:r>
      <w:r w:rsidR="00E91E98" w:rsidRPr="008500E2">
        <w:rPr>
          <w:i/>
          <w:iCs/>
          <w:color w:val="000000"/>
        </w:rPr>
        <w:t>instrumentalización,</w:t>
      </w:r>
      <w:r w:rsidR="00E91E98">
        <w:rPr>
          <w:color w:val="000000"/>
        </w:rPr>
        <w:t xml:space="preserve"> ya que el menor se convierte en un elemento </w:t>
      </w:r>
      <w:r w:rsidR="00B21A6E">
        <w:rPr>
          <w:color w:val="000000"/>
        </w:rPr>
        <w:t>dentro de la dinámica</w:t>
      </w:r>
      <w:r w:rsidR="005051C1">
        <w:rPr>
          <w:color w:val="000000"/>
        </w:rPr>
        <w:t xml:space="preserve"> familiar, </w:t>
      </w:r>
      <w:r w:rsidR="00B21A6E">
        <w:rPr>
          <w:color w:val="000000"/>
        </w:rPr>
        <w:t xml:space="preserve">utilizado </w:t>
      </w:r>
      <w:r w:rsidR="00F00731">
        <w:rPr>
          <w:color w:val="000000"/>
        </w:rPr>
        <w:t xml:space="preserve">para </w:t>
      </w:r>
      <w:r w:rsidR="00942715">
        <w:rPr>
          <w:color w:val="000000"/>
        </w:rPr>
        <w:t xml:space="preserve">intensificar </w:t>
      </w:r>
      <w:r w:rsidR="00FE031E">
        <w:rPr>
          <w:color w:val="000000"/>
        </w:rPr>
        <w:t xml:space="preserve">la carga emocional sobre </w:t>
      </w:r>
      <w:r w:rsidR="00942715">
        <w:rPr>
          <w:color w:val="000000"/>
        </w:rPr>
        <w:t xml:space="preserve">ella. </w:t>
      </w:r>
      <w:r w:rsidR="00F00731">
        <w:rPr>
          <w:color w:val="000000"/>
        </w:rPr>
        <w:t xml:space="preserve">En este contexto, la agresión </w:t>
      </w:r>
      <w:r w:rsidR="00FE031E">
        <w:rPr>
          <w:color w:val="000000"/>
        </w:rPr>
        <w:t xml:space="preserve">dirigida al menor </w:t>
      </w:r>
      <w:r w:rsidR="00F00731">
        <w:rPr>
          <w:color w:val="000000"/>
        </w:rPr>
        <w:t>funciona como un</w:t>
      </w:r>
      <w:r w:rsidR="00B37F9F">
        <w:rPr>
          <w:color w:val="000000"/>
        </w:rPr>
        <w:t xml:space="preserve"> ataque emocional: el agresor </w:t>
      </w:r>
      <w:r w:rsidR="00D57A8D">
        <w:rPr>
          <w:color w:val="000000"/>
        </w:rPr>
        <w:t xml:space="preserve">lo hiere, </w:t>
      </w:r>
      <w:r w:rsidR="007A4ED4">
        <w:rPr>
          <w:color w:val="000000"/>
        </w:rPr>
        <w:t xml:space="preserve">consciente de que ello </w:t>
      </w:r>
      <w:r w:rsidR="00D57A8D">
        <w:rPr>
          <w:color w:val="000000"/>
        </w:rPr>
        <w:t xml:space="preserve">tendrá un profundo efecto en el bienestar psicológico de la madre. </w:t>
      </w:r>
      <w:r w:rsidR="00C52084">
        <w:rPr>
          <w:color w:val="000000"/>
        </w:rPr>
        <w:t xml:space="preserve">De este modo, los niños pasan a ser considerados “una pieza más del entramado de la violencia de género”. </w:t>
      </w:r>
    </w:p>
    <w:p w14:paraId="15557C6F" w14:textId="55DD95F1" w:rsidR="00DE33E0" w:rsidRPr="00C52084" w:rsidRDefault="00C52084" w:rsidP="00C52084">
      <w:pPr>
        <w:pStyle w:val="NormalWeb"/>
        <w:spacing w:before="0" w:beforeAutospacing="0" w:after="240" w:afterAutospacing="0" w:line="360" w:lineRule="auto"/>
        <w:ind w:firstLine="360"/>
        <w:jc w:val="both"/>
        <w:rPr>
          <w:color w:val="000000"/>
        </w:rPr>
      </w:pPr>
      <w:r>
        <w:rPr>
          <w:color w:val="000000"/>
        </w:rPr>
        <w:t xml:space="preserve">De manera complementaria, Gómez Fernández señala que la violencia de género repercute en los menores porque “pueden ser utilizados como correa de transmisión de distintas formas de violencia”. </w:t>
      </w:r>
      <w:r w:rsidR="0093455F">
        <w:rPr>
          <w:color w:val="000000"/>
        </w:rPr>
        <w:t xml:space="preserve">Una forma relacionada con esta perspectiva es la </w:t>
      </w:r>
      <w:r w:rsidR="0093455F" w:rsidRPr="00884DEC">
        <w:rPr>
          <w:color w:val="000000"/>
          <w:u w:val="single"/>
        </w:rPr>
        <w:t xml:space="preserve">exposición participativa, </w:t>
      </w:r>
      <w:r w:rsidR="00C43A16">
        <w:rPr>
          <w:color w:val="000000"/>
          <w:u w:val="single"/>
        </w:rPr>
        <w:t xml:space="preserve">(Holden, 203), </w:t>
      </w:r>
      <w:r w:rsidR="0093455F">
        <w:rPr>
          <w:color w:val="000000"/>
        </w:rPr>
        <w:t xml:space="preserve">que ocurre cuando el menor adopta conductas a favor del agresor, como vigilar a la madre o colaborar en acciones destinadas a desvalorizarla. Este comportamiento se produce en el marco de la asimetría de poder entre adultos y menores, conocida como adultocentrismo, concepto recogido en la </w:t>
      </w:r>
      <w:r w:rsidR="0093455F" w:rsidRPr="00635BEF">
        <w:rPr>
          <w:rFonts w:eastAsiaTheme="minorHAnsi"/>
          <w:lang w:val="es-ES_tradnl" w:eastAsia="en-US"/>
          <w14:ligatures w14:val="standardContextual"/>
        </w:rPr>
        <w:t>Estrategia Vasca contra la Violencia hacia la Infancia y Adolescencia</w:t>
      </w:r>
      <w:r w:rsidR="00DE21C9">
        <w:rPr>
          <w:rFonts w:eastAsiaTheme="minorHAnsi"/>
          <w:lang w:val="es-ES_tradnl" w:eastAsia="en-US"/>
          <w14:ligatures w14:val="standardContextual"/>
        </w:rPr>
        <w:t xml:space="preserve">. En estos casos, el adulto se aprovecha de la inocencia del menor para manipularlo y </w:t>
      </w:r>
      <w:r w:rsidR="00D72EF3">
        <w:rPr>
          <w:rFonts w:eastAsiaTheme="minorHAnsi"/>
          <w:lang w:val="es-ES_tradnl" w:eastAsia="en-US"/>
          <w14:ligatures w14:val="standardContextual"/>
        </w:rPr>
        <w:t xml:space="preserve">atraerlo </w:t>
      </w:r>
      <w:r w:rsidR="00DE21C9">
        <w:rPr>
          <w:rFonts w:eastAsiaTheme="minorHAnsi"/>
          <w:lang w:val="es-ES_tradnl" w:eastAsia="en-US"/>
          <w14:ligatures w14:val="standardContextual"/>
        </w:rPr>
        <w:t>a su “bando”, de manera que cumpl</w:t>
      </w:r>
      <w:r w:rsidR="00AA007A">
        <w:rPr>
          <w:rFonts w:eastAsiaTheme="minorHAnsi"/>
          <w:lang w:val="es-ES_tradnl" w:eastAsia="en-US"/>
          <w14:ligatures w14:val="standardContextual"/>
        </w:rPr>
        <w:t>a</w:t>
      </w:r>
      <w:r w:rsidR="00DE21C9">
        <w:rPr>
          <w:rFonts w:eastAsiaTheme="minorHAnsi"/>
          <w:lang w:val="es-ES_tradnl" w:eastAsia="en-US"/>
          <w14:ligatures w14:val="standardContextual"/>
        </w:rPr>
        <w:t xml:space="preserve"> con las </w:t>
      </w:r>
      <w:r w:rsidR="00D9274C">
        <w:rPr>
          <w:rFonts w:eastAsiaTheme="minorHAnsi"/>
          <w:lang w:val="es-ES_tradnl" w:eastAsia="en-US"/>
          <w14:ligatures w14:val="standardContextual"/>
        </w:rPr>
        <w:t>órdenes</w:t>
      </w:r>
      <w:r w:rsidR="00DE21C9">
        <w:rPr>
          <w:rFonts w:eastAsiaTheme="minorHAnsi"/>
          <w:lang w:val="es-ES_tradnl" w:eastAsia="en-US"/>
          <w14:ligatures w14:val="standardContextual"/>
        </w:rPr>
        <w:t xml:space="preserve"> y peticiones sin ser plenamente consciente de</w:t>
      </w:r>
      <w:r w:rsidR="00D9274C">
        <w:rPr>
          <w:rFonts w:eastAsiaTheme="minorHAnsi"/>
          <w:lang w:val="es-ES_tradnl" w:eastAsia="en-US"/>
          <w14:ligatures w14:val="standardContextual"/>
        </w:rPr>
        <w:t xml:space="preserve"> su implicación en la dinámica de violencia. Esta estrategia refleja cómo la autoridad del adulto se utiliza para perpetuar el sometimiento familiar, utilizando al menor como instrumento de control emocional sobre la madre.</w:t>
      </w:r>
      <w:r w:rsidR="00DE33E0">
        <w:rPr>
          <w:rFonts w:eastAsiaTheme="minorHAnsi"/>
          <w:lang w:val="es-ES_tradnl" w:eastAsia="en-US"/>
          <w14:ligatures w14:val="standardContextual"/>
        </w:rPr>
        <w:tab/>
      </w:r>
    </w:p>
    <w:p w14:paraId="22D2A851" w14:textId="659242B9" w:rsidR="00315ADE" w:rsidRDefault="00DE33E0" w:rsidP="00BA2C7C">
      <w:pPr>
        <w:pStyle w:val="NormalWeb"/>
        <w:spacing w:before="0" w:beforeAutospacing="0" w:after="0" w:afterAutospacing="0" w:line="360" w:lineRule="auto"/>
        <w:jc w:val="both"/>
        <w:rPr>
          <w:rFonts w:eastAsiaTheme="minorHAnsi"/>
          <w:lang w:val="es-ES_tradnl" w:eastAsia="en-US"/>
          <w14:ligatures w14:val="standardContextual"/>
        </w:rPr>
      </w:pPr>
      <w:r>
        <w:rPr>
          <w:rFonts w:eastAsiaTheme="minorHAnsi"/>
          <w:lang w:val="es-ES_tradnl" w:eastAsia="en-US"/>
          <w14:ligatures w14:val="standardContextual"/>
        </w:rPr>
        <w:tab/>
      </w:r>
      <w:r w:rsidR="00AF085C">
        <w:rPr>
          <w:rFonts w:eastAsiaTheme="minorHAnsi"/>
          <w:lang w:val="es-ES_tradnl" w:eastAsia="en-US"/>
          <w14:ligatures w14:val="standardContextual"/>
        </w:rPr>
        <w:t xml:space="preserve">Cabe destacar que distintas formas de exposición pueden darse simultáneamente ante un mismo acontecimiento violento. </w:t>
      </w:r>
    </w:p>
    <w:p w14:paraId="7CB13787" w14:textId="77777777" w:rsidR="00315ADE" w:rsidRDefault="00315ADE" w:rsidP="00BA2C7C">
      <w:pPr>
        <w:pStyle w:val="NormalWeb"/>
        <w:spacing w:before="0" w:beforeAutospacing="0" w:after="0" w:afterAutospacing="0" w:line="360" w:lineRule="auto"/>
        <w:jc w:val="both"/>
        <w:rPr>
          <w:rFonts w:eastAsiaTheme="minorHAnsi"/>
          <w:lang w:val="es-ES_tradnl" w:eastAsia="en-US"/>
          <w14:ligatures w14:val="standardContextual"/>
        </w:rPr>
      </w:pPr>
    </w:p>
    <w:p w14:paraId="01559E28" w14:textId="199A242B" w:rsidR="00AF085C" w:rsidRDefault="003E2B9B" w:rsidP="00865341">
      <w:pPr>
        <w:pStyle w:val="NormalWeb"/>
        <w:numPr>
          <w:ilvl w:val="2"/>
          <w:numId w:val="3"/>
        </w:numPr>
        <w:spacing w:before="0" w:beforeAutospacing="0" w:after="0" w:afterAutospacing="0" w:line="360" w:lineRule="auto"/>
        <w:jc w:val="both"/>
        <w:rPr>
          <w:rFonts w:eastAsiaTheme="minorHAnsi"/>
          <w:b/>
          <w:bCs/>
          <w:u w:val="single"/>
          <w:lang w:val="es-ES_tradnl" w:eastAsia="en-US"/>
          <w14:ligatures w14:val="standardContextual"/>
        </w:rPr>
      </w:pPr>
      <w:r w:rsidRPr="00315ADE">
        <w:rPr>
          <w:rFonts w:eastAsiaTheme="minorHAnsi"/>
          <w:b/>
          <w:bCs/>
          <w:u w:val="single"/>
          <w:lang w:val="es-ES_tradnl" w:eastAsia="en-US"/>
          <w14:ligatures w14:val="standardContextual"/>
        </w:rPr>
        <w:t xml:space="preserve">Efectos de la </w:t>
      </w:r>
      <w:r w:rsidR="00315ADE" w:rsidRPr="00315ADE">
        <w:rPr>
          <w:rFonts w:eastAsiaTheme="minorHAnsi"/>
          <w:b/>
          <w:bCs/>
          <w:u w:val="single"/>
          <w:lang w:val="es-ES_tradnl" w:eastAsia="en-US"/>
          <w14:ligatures w14:val="standardContextual"/>
        </w:rPr>
        <w:t>violencia de género en menores según su desarrollo evolutivo</w:t>
      </w:r>
      <w:r w:rsidR="006E7109">
        <w:rPr>
          <w:rFonts w:eastAsiaTheme="minorHAnsi"/>
          <w:b/>
          <w:bCs/>
          <w:u w:val="single"/>
          <w:lang w:val="es-ES_tradnl" w:eastAsia="en-US"/>
          <w14:ligatures w14:val="standardContextual"/>
        </w:rPr>
        <w:t xml:space="preserve">. </w:t>
      </w:r>
    </w:p>
    <w:p w14:paraId="331BAC2D" w14:textId="77777777" w:rsidR="00315ADE" w:rsidRPr="00315ADE" w:rsidRDefault="00315ADE" w:rsidP="00315ADE">
      <w:pPr>
        <w:pStyle w:val="NormalWeb"/>
        <w:spacing w:before="0" w:beforeAutospacing="0" w:after="0" w:afterAutospacing="0" w:line="360" w:lineRule="auto"/>
        <w:ind w:left="360"/>
        <w:jc w:val="both"/>
        <w:rPr>
          <w:rFonts w:eastAsiaTheme="minorHAnsi"/>
          <w:b/>
          <w:bCs/>
          <w:u w:val="single"/>
          <w:lang w:val="es-ES_tradnl" w:eastAsia="en-US"/>
          <w14:ligatures w14:val="standardContextual"/>
        </w:rPr>
      </w:pPr>
    </w:p>
    <w:p w14:paraId="7D7D7CFB" w14:textId="109A0F9C" w:rsidR="00B0779A" w:rsidRDefault="00DE33E0" w:rsidP="00BA2C7C">
      <w:pPr>
        <w:pStyle w:val="NormalWeb"/>
        <w:spacing w:before="0" w:beforeAutospacing="0" w:after="0" w:afterAutospacing="0" w:line="360" w:lineRule="auto"/>
        <w:jc w:val="both"/>
        <w:rPr>
          <w:rFonts w:eastAsiaTheme="minorHAnsi"/>
          <w:lang w:val="es-ES_tradnl" w:eastAsia="en-US"/>
          <w14:ligatures w14:val="standardContextual"/>
        </w:rPr>
      </w:pPr>
      <w:r>
        <w:rPr>
          <w:rFonts w:eastAsiaTheme="minorHAnsi"/>
          <w:lang w:val="es-ES_tradnl" w:eastAsia="en-US"/>
          <w14:ligatures w14:val="standardContextual"/>
        </w:rPr>
        <w:t>Tras analizar las distintas perspectivas de exposición</w:t>
      </w:r>
      <w:r w:rsidR="008206D6">
        <w:rPr>
          <w:rFonts w:eastAsiaTheme="minorHAnsi"/>
          <w:lang w:val="es-ES_tradnl" w:eastAsia="en-US"/>
          <w14:ligatures w14:val="standardContextual"/>
        </w:rPr>
        <w:t xml:space="preserve">, </w:t>
      </w:r>
      <w:r w:rsidR="00EE069A">
        <w:rPr>
          <w:rFonts w:eastAsiaTheme="minorHAnsi"/>
          <w:lang w:val="es-ES_tradnl" w:eastAsia="en-US"/>
          <w14:ligatures w14:val="standardContextual"/>
        </w:rPr>
        <w:t xml:space="preserve">es importante </w:t>
      </w:r>
      <w:r w:rsidR="00D050A4">
        <w:rPr>
          <w:rFonts w:eastAsiaTheme="minorHAnsi"/>
          <w:lang w:val="es-ES_tradnl" w:eastAsia="en-US"/>
          <w14:ligatures w14:val="standardContextual"/>
        </w:rPr>
        <w:t xml:space="preserve">identificar cuándo los episodios de violencia empiezan a afectar </w:t>
      </w:r>
      <w:r>
        <w:rPr>
          <w:rFonts w:eastAsiaTheme="minorHAnsi"/>
          <w:lang w:val="es-ES_tradnl" w:eastAsia="en-US"/>
          <w14:ligatures w14:val="standardContextual"/>
        </w:rPr>
        <w:t xml:space="preserve">al niño/a. </w:t>
      </w:r>
      <w:r w:rsidR="00C90010">
        <w:rPr>
          <w:rFonts w:eastAsiaTheme="minorHAnsi"/>
          <w:lang w:val="es-ES_tradnl" w:eastAsia="en-US"/>
          <w14:ligatures w14:val="standardContextual"/>
        </w:rPr>
        <w:t>Aunque a menudo se piensa que los</w:t>
      </w:r>
      <w:r w:rsidR="00EE069A">
        <w:rPr>
          <w:rFonts w:eastAsiaTheme="minorHAnsi"/>
          <w:lang w:val="es-ES_tradnl" w:eastAsia="en-US"/>
          <w14:ligatures w14:val="standardContextual"/>
        </w:rPr>
        <w:t xml:space="preserve"> menores</w:t>
      </w:r>
      <w:r w:rsidR="00C90010">
        <w:rPr>
          <w:rFonts w:eastAsiaTheme="minorHAnsi"/>
          <w:lang w:val="es-ES_tradnl" w:eastAsia="en-US"/>
          <w14:ligatures w14:val="standardContextual"/>
        </w:rPr>
        <w:t>, por su edad, no comprenden ni perciben lo que ocurre a su alrededor</w:t>
      </w:r>
      <w:r w:rsidR="00BB6627">
        <w:rPr>
          <w:rFonts w:eastAsiaTheme="minorHAnsi"/>
          <w:lang w:val="es-ES_tradnl" w:eastAsia="en-US"/>
          <w14:ligatures w14:val="standardContextual"/>
        </w:rPr>
        <w:t xml:space="preserve">, esto </w:t>
      </w:r>
      <w:r w:rsidR="00464439">
        <w:rPr>
          <w:rFonts w:eastAsiaTheme="minorHAnsi"/>
          <w:lang w:val="es-ES_tradnl" w:eastAsia="en-US"/>
          <w14:ligatures w14:val="standardContextual"/>
        </w:rPr>
        <w:t xml:space="preserve">no es </w:t>
      </w:r>
      <w:r w:rsidR="00464439">
        <w:rPr>
          <w:rFonts w:eastAsiaTheme="minorHAnsi"/>
          <w:lang w:val="es-ES_tradnl" w:eastAsia="en-US"/>
          <w14:ligatures w14:val="standardContextual"/>
        </w:rPr>
        <w:lastRenderedPageBreak/>
        <w:t xml:space="preserve">cierto. </w:t>
      </w:r>
      <w:r w:rsidR="002710E9">
        <w:rPr>
          <w:rFonts w:eastAsiaTheme="minorHAnsi"/>
          <w:lang w:val="es-ES_tradnl" w:eastAsia="en-US"/>
          <w14:ligatures w14:val="standardContextual"/>
        </w:rPr>
        <w:t xml:space="preserve">Por esta razón, no es necesario </w:t>
      </w:r>
      <w:r w:rsidR="007C4909">
        <w:rPr>
          <w:rFonts w:eastAsiaTheme="minorHAnsi"/>
          <w:lang w:val="es-ES_tradnl" w:eastAsia="en-US"/>
          <w14:ligatures w14:val="standardContextual"/>
        </w:rPr>
        <w:t>esperar hasta la primera infancia</w:t>
      </w:r>
      <w:r w:rsidR="00C71162">
        <w:rPr>
          <w:rFonts w:eastAsiaTheme="minorHAnsi"/>
          <w:lang w:val="es-ES_tradnl" w:eastAsia="en-US"/>
          <w14:ligatures w14:val="standardContextual"/>
        </w:rPr>
        <w:t xml:space="preserve">, </w:t>
      </w:r>
      <w:r w:rsidR="00EB01D5">
        <w:rPr>
          <w:rFonts w:eastAsiaTheme="minorHAnsi"/>
          <w:lang w:val="es-ES_tradnl" w:eastAsia="en-US"/>
          <w14:ligatures w14:val="standardContextual"/>
        </w:rPr>
        <w:t xml:space="preserve">etapa </w:t>
      </w:r>
      <w:r w:rsidR="00627D28">
        <w:rPr>
          <w:rFonts w:eastAsiaTheme="minorHAnsi"/>
          <w:lang w:val="es-ES_tradnl" w:eastAsia="en-US"/>
          <w14:ligatures w14:val="standardContextual"/>
        </w:rPr>
        <w:t>definida</w:t>
      </w:r>
      <w:r w:rsidR="00EB01D5">
        <w:rPr>
          <w:rFonts w:eastAsiaTheme="minorHAnsi"/>
          <w:lang w:val="es-ES_tradnl" w:eastAsia="en-US"/>
          <w14:ligatures w14:val="standardContextual"/>
        </w:rPr>
        <w:t xml:space="preserve"> que abarca hasta los 8 </w:t>
      </w:r>
      <w:r w:rsidR="00217896">
        <w:rPr>
          <w:rFonts w:eastAsiaTheme="minorHAnsi"/>
          <w:lang w:val="es-ES_tradnl" w:eastAsia="en-US"/>
          <w14:ligatures w14:val="standardContextual"/>
        </w:rPr>
        <w:t>años</w:t>
      </w:r>
      <w:r w:rsidR="004E08E7">
        <w:rPr>
          <w:rFonts w:eastAsiaTheme="minorHAnsi"/>
          <w:lang w:val="es-ES_tradnl" w:eastAsia="en-US"/>
          <w14:ligatures w14:val="standardContextual"/>
        </w:rPr>
        <w:t xml:space="preserve"> </w:t>
      </w:r>
      <w:r w:rsidR="005C4036">
        <w:rPr>
          <w:rFonts w:eastAsiaTheme="minorHAnsi"/>
          <w:lang w:val="es-ES_tradnl" w:eastAsia="en-US"/>
          <w14:ligatures w14:val="standardContextual"/>
        </w:rPr>
        <w:t>(</w:t>
      </w:r>
      <w:r w:rsidR="003E1711">
        <w:rPr>
          <w:rFonts w:eastAsiaTheme="minorHAnsi"/>
          <w:lang w:val="es-ES_tradnl" w:eastAsia="en-US"/>
          <w14:ligatures w14:val="standardContextual"/>
        </w:rPr>
        <w:t xml:space="preserve">Cáceres, 2017, p. </w:t>
      </w:r>
      <w:r w:rsidR="00217896">
        <w:rPr>
          <w:rFonts w:eastAsiaTheme="minorHAnsi"/>
          <w:lang w:val="es-ES_tradnl" w:eastAsia="en-US"/>
          <w14:ligatures w14:val="standardContextual"/>
        </w:rPr>
        <w:t>7), para</w:t>
      </w:r>
      <w:r w:rsidR="007529B7">
        <w:rPr>
          <w:rFonts w:eastAsiaTheme="minorHAnsi"/>
          <w:lang w:val="es-ES_tradnl" w:eastAsia="en-US"/>
          <w14:ligatures w14:val="standardContextual"/>
        </w:rPr>
        <w:t xml:space="preserve"> </w:t>
      </w:r>
      <w:r w:rsidR="00EE069A">
        <w:rPr>
          <w:rFonts w:eastAsiaTheme="minorHAnsi"/>
          <w:lang w:val="es-ES_tradnl" w:eastAsia="en-US"/>
          <w14:ligatures w14:val="standardContextual"/>
        </w:rPr>
        <w:t xml:space="preserve">analizar </w:t>
      </w:r>
      <w:r w:rsidR="002710E9">
        <w:rPr>
          <w:rFonts w:eastAsiaTheme="minorHAnsi"/>
          <w:lang w:val="es-ES_tradnl" w:eastAsia="en-US"/>
          <w14:ligatures w14:val="standardContextual"/>
        </w:rPr>
        <w:t xml:space="preserve">los efectos que la exposición </w:t>
      </w:r>
      <w:r w:rsidR="00A03B6A">
        <w:rPr>
          <w:rFonts w:eastAsiaTheme="minorHAnsi"/>
          <w:lang w:val="es-ES_tradnl" w:eastAsia="en-US"/>
          <w14:ligatures w14:val="standardContextual"/>
        </w:rPr>
        <w:t xml:space="preserve">a </w:t>
      </w:r>
      <w:r w:rsidR="002710E9">
        <w:rPr>
          <w:rFonts w:eastAsiaTheme="minorHAnsi"/>
          <w:lang w:val="es-ES_tradnl" w:eastAsia="en-US"/>
          <w14:ligatures w14:val="standardContextual"/>
        </w:rPr>
        <w:t xml:space="preserve">la </w:t>
      </w:r>
      <w:r w:rsidR="00A03B6A">
        <w:rPr>
          <w:rFonts w:eastAsiaTheme="minorHAnsi"/>
          <w:lang w:val="es-ES_tradnl" w:eastAsia="en-US"/>
          <w14:ligatures w14:val="standardContextual"/>
        </w:rPr>
        <w:t>violencia</w:t>
      </w:r>
      <w:r w:rsidR="002710E9">
        <w:rPr>
          <w:rFonts w:eastAsiaTheme="minorHAnsi"/>
          <w:lang w:val="es-ES_tradnl" w:eastAsia="en-US"/>
          <w14:ligatures w14:val="standardContextual"/>
        </w:rPr>
        <w:t xml:space="preserve"> de género </w:t>
      </w:r>
      <w:r w:rsidR="00A03B6A">
        <w:rPr>
          <w:rFonts w:eastAsiaTheme="minorHAnsi"/>
          <w:lang w:val="es-ES_tradnl" w:eastAsia="en-US"/>
          <w14:ligatures w14:val="standardContextual"/>
        </w:rPr>
        <w:t xml:space="preserve">puede tener </w:t>
      </w:r>
      <w:r w:rsidR="002710E9">
        <w:rPr>
          <w:rFonts w:eastAsiaTheme="minorHAnsi"/>
          <w:lang w:val="es-ES_tradnl" w:eastAsia="en-US"/>
          <w14:ligatures w14:val="standardContextual"/>
        </w:rPr>
        <w:t xml:space="preserve">en </w:t>
      </w:r>
      <w:r w:rsidR="00A03B6A">
        <w:rPr>
          <w:rFonts w:eastAsiaTheme="minorHAnsi"/>
          <w:lang w:val="es-ES_tradnl" w:eastAsia="en-US"/>
          <w14:ligatures w14:val="standardContextual"/>
        </w:rPr>
        <w:t xml:space="preserve">los menores. </w:t>
      </w:r>
    </w:p>
    <w:p w14:paraId="30BC62AE" w14:textId="69DC876E" w:rsidR="00B0779A" w:rsidRDefault="00B0779A" w:rsidP="003E2B9B">
      <w:pPr>
        <w:pStyle w:val="NormalWeb"/>
        <w:spacing w:before="0" w:beforeAutospacing="0" w:after="0" w:afterAutospacing="0" w:line="360" w:lineRule="auto"/>
        <w:jc w:val="both"/>
        <w:rPr>
          <w:rFonts w:eastAsiaTheme="minorHAnsi"/>
          <w:lang w:val="es-ES_tradnl" w:eastAsia="en-US"/>
          <w14:ligatures w14:val="standardContextual"/>
        </w:rPr>
      </w:pPr>
    </w:p>
    <w:p w14:paraId="0812CC1F" w14:textId="759882FD" w:rsidR="00F04612" w:rsidRPr="003C0C7F" w:rsidRDefault="00B0779A" w:rsidP="006B70C2">
      <w:pPr>
        <w:pStyle w:val="NormalWeb"/>
        <w:spacing w:before="0" w:beforeAutospacing="0" w:after="0" w:afterAutospacing="0" w:line="360" w:lineRule="auto"/>
        <w:ind w:firstLine="708"/>
        <w:jc w:val="both"/>
        <w:rPr>
          <w:color w:val="000000"/>
        </w:rPr>
      </w:pPr>
      <w:r>
        <w:rPr>
          <w:rFonts w:eastAsiaTheme="minorHAnsi"/>
          <w:lang w:val="es-ES_tradnl" w:eastAsia="en-US"/>
          <w14:ligatures w14:val="standardContextual"/>
        </w:rPr>
        <w:t>L</w:t>
      </w:r>
      <w:r w:rsidR="00217896">
        <w:rPr>
          <w:rFonts w:eastAsiaTheme="minorHAnsi"/>
          <w:lang w:val="es-ES_tradnl" w:eastAsia="en-US"/>
          <w14:ligatures w14:val="standardContextual"/>
        </w:rPr>
        <w:t xml:space="preserve">a violencia de género puede </w:t>
      </w:r>
      <w:r w:rsidR="007529B7">
        <w:rPr>
          <w:rFonts w:eastAsiaTheme="minorHAnsi"/>
          <w:lang w:val="es-ES_tradnl" w:eastAsia="en-US"/>
          <w14:ligatures w14:val="standardContextual"/>
        </w:rPr>
        <w:t xml:space="preserve">manifestarse incluso durante el embarazo, afectando al </w:t>
      </w:r>
      <w:r w:rsidR="00884D04">
        <w:rPr>
          <w:rFonts w:eastAsiaTheme="minorHAnsi"/>
          <w:lang w:val="es-ES_tradnl" w:eastAsia="en-US"/>
          <w14:ligatures w14:val="standardContextual"/>
        </w:rPr>
        <w:t>feto</w:t>
      </w:r>
      <w:r w:rsidR="007529B7">
        <w:rPr>
          <w:rFonts w:eastAsiaTheme="minorHAnsi"/>
          <w:lang w:val="es-ES_tradnl" w:eastAsia="en-US"/>
          <w14:ligatures w14:val="standardContextual"/>
        </w:rPr>
        <w:t xml:space="preserve"> antes de nacer</w:t>
      </w:r>
      <w:r w:rsidR="00675FE4">
        <w:rPr>
          <w:rFonts w:eastAsiaTheme="minorHAnsi"/>
          <w:lang w:val="es-ES_tradnl" w:eastAsia="en-US"/>
          <w14:ligatures w14:val="standardContextual"/>
        </w:rPr>
        <w:t xml:space="preserve">. </w:t>
      </w:r>
      <w:r w:rsidR="008D3707">
        <w:rPr>
          <w:rFonts w:eastAsiaTheme="minorHAnsi"/>
          <w:lang w:val="es-ES_tradnl" w:eastAsia="en-US"/>
          <w14:ligatures w14:val="standardContextual"/>
        </w:rPr>
        <w:t xml:space="preserve">De hecho, según </w:t>
      </w:r>
      <w:r w:rsidR="00A26223">
        <w:rPr>
          <w:color w:val="000000"/>
        </w:rPr>
        <w:t>Chisholm, Bullock y Ferguson (2017</w:t>
      </w:r>
      <w:r w:rsidR="006311C1">
        <w:rPr>
          <w:color w:val="000000"/>
        </w:rPr>
        <w:t xml:space="preserve">, como se cita en De-Gracia-de-Gregorio, 2019), </w:t>
      </w:r>
      <w:r w:rsidR="00771692">
        <w:rPr>
          <w:color w:val="000000"/>
        </w:rPr>
        <w:t xml:space="preserve">se </w:t>
      </w:r>
      <w:r w:rsidR="00B30E80">
        <w:rPr>
          <w:color w:val="000000"/>
        </w:rPr>
        <w:t xml:space="preserve">identifican </w:t>
      </w:r>
      <w:r w:rsidR="00FE0D15">
        <w:rPr>
          <w:color w:val="000000"/>
        </w:rPr>
        <w:t xml:space="preserve">dos mecanismos que explican estos efectos adversos: vía directa, cuando la madre sufre agresiones físicas, especialmente en el abdomen; y vía indirecta, cuando el estrés materno provocado por la violencia de género </w:t>
      </w:r>
      <w:r w:rsidR="00231D01">
        <w:rPr>
          <w:color w:val="000000"/>
        </w:rPr>
        <w:t xml:space="preserve">impacta </w:t>
      </w:r>
      <w:r w:rsidR="00FE0D15">
        <w:rPr>
          <w:color w:val="000000"/>
        </w:rPr>
        <w:t>al feto</w:t>
      </w:r>
      <w:r w:rsidR="00231D01">
        <w:rPr>
          <w:color w:val="000000"/>
        </w:rPr>
        <w:t>.</w:t>
      </w:r>
      <w:r w:rsidR="00655F8E">
        <w:rPr>
          <w:color w:val="000000"/>
        </w:rPr>
        <w:t xml:space="preserve"> </w:t>
      </w:r>
      <w:r w:rsidR="00C02E6F">
        <w:rPr>
          <w:color w:val="000000"/>
        </w:rPr>
        <w:t xml:space="preserve">Holden (2003) </w:t>
      </w:r>
      <w:r w:rsidR="006B70C2">
        <w:rPr>
          <w:color w:val="000000"/>
        </w:rPr>
        <w:t xml:space="preserve">denomina este </w:t>
      </w:r>
      <w:r w:rsidR="00F04612">
        <w:rPr>
          <w:color w:val="000000"/>
        </w:rPr>
        <w:t>fenómeno</w:t>
      </w:r>
      <w:r w:rsidR="00F04612" w:rsidRPr="00045F68">
        <w:rPr>
          <w:color w:val="000000"/>
        </w:rPr>
        <w:t xml:space="preserve"> como</w:t>
      </w:r>
      <w:r w:rsidR="00F04612" w:rsidRPr="00F04612">
        <w:rPr>
          <w:color w:val="000000"/>
          <w:u w:val="single"/>
        </w:rPr>
        <w:t xml:space="preserve"> exposición prenatal.</w:t>
      </w:r>
    </w:p>
    <w:p w14:paraId="40345275" w14:textId="77777777" w:rsidR="001A1495" w:rsidRPr="00F04612" w:rsidRDefault="001A1495" w:rsidP="00BA2C7C">
      <w:pPr>
        <w:pStyle w:val="NormalWeb"/>
        <w:spacing w:before="0" w:beforeAutospacing="0" w:after="0" w:afterAutospacing="0" w:line="360" w:lineRule="auto"/>
        <w:jc w:val="both"/>
        <w:rPr>
          <w:color w:val="000000"/>
        </w:rPr>
      </w:pPr>
    </w:p>
    <w:p w14:paraId="43D243D5" w14:textId="125984C1" w:rsidR="004B1C9D" w:rsidRDefault="00F04612" w:rsidP="00502B48">
      <w:pPr>
        <w:pStyle w:val="NormalWeb"/>
        <w:spacing w:before="0" w:beforeAutospacing="0" w:after="0" w:afterAutospacing="0" w:line="360" w:lineRule="auto"/>
        <w:jc w:val="both"/>
        <w:rPr>
          <w:color w:val="000000"/>
        </w:rPr>
      </w:pPr>
      <w:r>
        <w:rPr>
          <w:color w:val="000000"/>
        </w:rPr>
        <w:tab/>
      </w:r>
      <w:r w:rsidR="009751CB">
        <w:rPr>
          <w:color w:val="000000"/>
        </w:rPr>
        <w:t xml:space="preserve">Esta exposición prenatal puede alterar la relación </w:t>
      </w:r>
      <w:r w:rsidR="00CF5711">
        <w:rPr>
          <w:color w:val="000000"/>
        </w:rPr>
        <w:t>maternofilial (</w:t>
      </w:r>
      <w:r w:rsidR="00A55690">
        <w:rPr>
          <w:color w:val="000000"/>
        </w:rPr>
        <w:t>Doménech &amp; Genovés, 2016, p. 6)</w:t>
      </w:r>
      <w:r w:rsidR="00920166">
        <w:rPr>
          <w:color w:val="000000"/>
        </w:rPr>
        <w:t xml:space="preserve"> y asociarse con resultados </w:t>
      </w:r>
      <w:r w:rsidR="00983BDA">
        <w:rPr>
          <w:color w:val="000000"/>
        </w:rPr>
        <w:t>adversos</w:t>
      </w:r>
      <w:r w:rsidR="00C932AB">
        <w:rPr>
          <w:color w:val="000000"/>
        </w:rPr>
        <w:t xml:space="preserve"> del </w:t>
      </w:r>
      <w:r w:rsidR="000C7706">
        <w:rPr>
          <w:color w:val="000000"/>
        </w:rPr>
        <w:t>embarazo</w:t>
      </w:r>
      <w:r w:rsidR="00CC7DF6">
        <w:rPr>
          <w:color w:val="000000"/>
        </w:rPr>
        <w:t xml:space="preserve">, como </w:t>
      </w:r>
      <w:r w:rsidR="00C932AB">
        <w:rPr>
          <w:color w:val="000000"/>
        </w:rPr>
        <w:t xml:space="preserve">nacimiento prematuro, </w:t>
      </w:r>
      <w:r w:rsidR="000317F8">
        <w:rPr>
          <w:color w:val="000000"/>
        </w:rPr>
        <w:t>bajo peso al nacer y pequeño para la edad gestacional</w:t>
      </w:r>
      <w:r w:rsidR="001B2202">
        <w:rPr>
          <w:color w:val="000000"/>
        </w:rPr>
        <w:t xml:space="preserve">, </w:t>
      </w:r>
      <w:r w:rsidR="00AE2B39">
        <w:rPr>
          <w:color w:val="000000"/>
        </w:rPr>
        <w:t xml:space="preserve">y riesgo de alteraciones en el crecimiento. Asimismo, puede incrementar la probabilidad de desarrollar </w:t>
      </w:r>
      <w:r w:rsidR="00EF0A96">
        <w:rPr>
          <w:color w:val="000000"/>
        </w:rPr>
        <w:t xml:space="preserve">trastornos </w:t>
      </w:r>
      <w:r w:rsidR="00F01C8F">
        <w:rPr>
          <w:color w:val="000000"/>
        </w:rPr>
        <w:t xml:space="preserve">del estado de ánimo, ansiedad y estrés postraumático, </w:t>
      </w:r>
      <w:r w:rsidR="00AE2B39">
        <w:rPr>
          <w:color w:val="000000"/>
        </w:rPr>
        <w:t xml:space="preserve">así como dificultades conductuales, como </w:t>
      </w:r>
      <w:r w:rsidR="00F01C8F">
        <w:rPr>
          <w:color w:val="000000"/>
        </w:rPr>
        <w:t xml:space="preserve">abuso de sustancias y </w:t>
      </w:r>
      <w:r w:rsidR="00AE2B39">
        <w:rPr>
          <w:color w:val="000000"/>
        </w:rPr>
        <w:t xml:space="preserve">problemas </w:t>
      </w:r>
      <w:r w:rsidR="00F01C8F">
        <w:rPr>
          <w:color w:val="000000"/>
        </w:rPr>
        <w:t xml:space="preserve">escolares (Chisholm et al., 2017). </w:t>
      </w:r>
      <w:r w:rsidR="006D51FB">
        <w:rPr>
          <w:color w:val="000000"/>
        </w:rPr>
        <w:t xml:space="preserve">En este sentido, </w:t>
      </w:r>
      <w:r w:rsidR="00B33FFC">
        <w:rPr>
          <w:color w:val="000000"/>
        </w:rPr>
        <w:t>Távara-Orozco (2007)</w:t>
      </w:r>
      <w:r w:rsidR="0076542F">
        <w:rPr>
          <w:color w:val="000000"/>
        </w:rPr>
        <w:t xml:space="preserve"> señala</w:t>
      </w:r>
      <w:r w:rsidR="00B33FFC">
        <w:rPr>
          <w:color w:val="000000"/>
        </w:rPr>
        <w:t xml:space="preserve"> que el </w:t>
      </w:r>
      <w:r w:rsidR="0076542F">
        <w:rPr>
          <w:color w:val="000000"/>
        </w:rPr>
        <w:t>embarazo</w:t>
      </w:r>
      <w:r w:rsidR="00B33FFC">
        <w:rPr>
          <w:color w:val="000000"/>
        </w:rPr>
        <w:t xml:space="preserve"> no constituye un factor </w:t>
      </w:r>
      <w:r w:rsidR="0076542F">
        <w:rPr>
          <w:color w:val="000000"/>
        </w:rPr>
        <w:t>de protección</w:t>
      </w:r>
      <w:r w:rsidR="00B33FFC">
        <w:rPr>
          <w:color w:val="000000"/>
        </w:rPr>
        <w:t xml:space="preserve"> </w:t>
      </w:r>
      <w:r w:rsidR="0076542F">
        <w:rPr>
          <w:color w:val="000000"/>
        </w:rPr>
        <w:t xml:space="preserve">frente a </w:t>
      </w:r>
      <w:r w:rsidR="00B33FFC">
        <w:rPr>
          <w:color w:val="000000"/>
        </w:rPr>
        <w:t xml:space="preserve">la violencia de </w:t>
      </w:r>
      <w:r w:rsidR="00741D3F">
        <w:rPr>
          <w:color w:val="000000"/>
        </w:rPr>
        <w:t>género</w:t>
      </w:r>
      <w:r w:rsidR="0076542F">
        <w:rPr>
          <w:color w:val="000000"/>
        </w:rPr>
        <w:t>, sino que</w:t>
      </w:r>
      <w:r w:rsidR="00B10A26">
        <w:rPr>
          <w:color w:val="000000"/>
        </w:rPr>
        <w:t xml:space="preserve"> </w:t>
      </w:r>
      <w:r w:rsidR="0076542F">
        <w:rPr>
          <w:color w:val="000000"/>
        </w:rPr>
        <w:t>representa un periodo en el que esta violencia puede aparecer</w:t>
      </w:r>
      <w:r w:rsidR="00741D3F">
        <w:rPr>
          <w:color w:val="000000"/>
        </w:rPr>
        <w:t xml:space="preserve"> </w:t>
      </w:r>
      <w:r w:rsidR="00B33FFC">
        <w:rPr>
          <w:color w:val="000000"/>
        </w:rPr>
        <w:t xml:space="preserve">la violencia o </w:t>
      </w:r>
      <w:r w:rsidR="00741D3F">
        <w:rPr>
          <w:color w:val="000000"/>
        </w:rPr>
        <w:t xml:space="preserve">exacerbarse. </w:t>
      </w:r>
      <w:r w:rsidR="004B1C9D">
        <w:rPr>
          <w:color w:val="000000"/>
        </w:rPr>
        <w:t xml:space="preserve">En este contexto, </w:t>
      </w:r>
      <w:r w:rsidR="001134D3">
        <w:rPr>
          <w:color w:val="000000"/>
        </w:rPr>
        <w:t>A. Sepúlv</w:t>
      </w:r>
      <w:r w:rsidR="00047B34">
        <w:rPr>
          <w:color w:val="000000"/>
        </w:rPr>
        <w:t xml:space="preserve">eda García de la Torre (2006), </w:t>
      </w:r>
      <w:r w:rsidR="004B1C9D">
        <w:rPr>
          <w:color w:val="000000"/>
        </w:rPr>
        <w:t xml:space="preserve">destaca que dichas </w:t>
      </w:r>
      <w:r w:rsidR="00047B34">
        <w:rPr>
          <w:color w:val="000000"/>
        </w:rPr>
        <w:t xml:space="preserve">as alteraciones </w:t>
      </w:r>
      <w:r w:rsidR="004B1C9D">
        <w:rPr>
          <w:color w:val="000000"/>
        </w:rPr>
        <w:t xml:space="preserve">incrementan la tensión en el polo materno a la hora de establecer la maternidad, y de manera paralela, en el polo filial </w:t>
      </w:r>
      <w:r w:rsidR="006B3394">
        <w:rPr>
          <w:color w:val="000000"/>
        </w:rPr>
        <w:t xml:space="preserve">se observa una creciente tensión en la relación madre-hijo, repercutiendo negativamente en el estado emocional de ambos. </w:t>
      </w:r>
    </w:p>
    <w:p w14:paraId="178C08DF" w14:textId="77777777" w:rsidR="004B1C9D" w:rsidRDefault="004B1C9D" w:rsidP="00502B48">
      <w:pPr>
        <w:pStyle w:val="NormalWeb"/>
        <w:spacing w:before="0" w:beforeAutospacing="0" w:after="0" w:afterAutospacing="0" w:line="360" w:lineRule="auto"/>
        <w:jc w:val="both"/>
        <w:rPr>
          <w:color w:val="000000"/>
        </w:rPr>
      </w:pPr>
    </w:p>
    <w:p w14:paraId="6C79670D" w14:textId="150775A6" w:rsidR="003A1D99" w:rsidRDefault="006B3394" w:rsidP="00630362">
      <w:pPr>
        <w:pStyle w:val="NormalWeb"/>
        <w:spacing w:before="0" w:beforeAutospacing="0" w:after="0" w:afterAutospacing="0" w:line="360" w:lineRule="auto"/>
        <w:ind w:firstLine="360"/>
        <w:jc w:val="both"/>
        <w:rPr>
          <w:color w:val="000000"/>
        </w:rPr>
      </w:pPr>
      <w:r>
        <w:rPr>
          <w:color w:val="000000"/>
        </w:rPr>
        <w:t xml:space="preserve">Por otro lado, </w:t>
      </w:r>
      <w:r w:rsidR="00F83AB9">
        <w:rPr>
          <w:color w:val="000000"/>
        </w:rPr>
        <w:t xml:space="preserve">la Macroencuesta de la Delegación del Gobierno de España contra la Violencia de Género (2019), </w:t>
      </w:r>
      <w:r w:rsidR="00F83AB9" w:rsidRPr="00295018">
        <w:rPr>
          <w:color w:val="000000"/>
        </w:rPr>
        <w:t xml:space="preserve">el 89,6% de las mujeres que habían sufrido </w:t>
      </w:r>
      <w:r w:rsidR="0070261F">
        <w:rPr>
          <w:color w:val="000000"/>
        </w:rPr>
        <w:t>v</w:t>
      </w:r>
      <w:r w:rsidR="00F83AB9">
        <w:rPr>
          <w:color w:val="000000"/>
        </w:rPr>
        <w:t xml:space="preserve">iolencia </w:t>
      </w:r>
      <w:r w:rsidR="00F83AB9" w:rsidRPr="00295018">
        <w:rPr>
          <w:color w:val="000000"/>
        </w:rPr>
        <w:t>tenían hijos menores en el momento de la agresión</w:t>
      </w:r>
      <w:r w:rsidR="00DC631A">
        <w:rPr>
          <w:color w:val="000000"/>
        </w:rPr>
        <w:t xml:space="preserve">, lo que </w:t>
      </w:r>
      <w:r w:rsidR="00357CB7">
        <w:rPr>
          <w:color w:val="000000"/>
        </w:rPr>
        <w:t xml:space="preserve">implica que </w:t>
      </w:r>
      <w:r w:rsidR="00F83AB9">
        <w:rPr>
          <w:color w:val="000000"/>
        </w:rPr>
        <w:t xml:space="preserve">alrededor de </w:t>
      </w:r>
      <w:r w:rsidR="00327E68" w:rsidRPr="00933825">
        <w:rPr>
          <w:color w:val="000000"/>
        </w:rPr>
        <w:t xml:space="preserve">275 millones de niños </w:t>
      </w:r>
      <w:r w:rsidR="00327E68">
        <w:rPr>
          <w:color w:val="000000"/>
        </w:rPr>
        <w:t xml:space="preserve">la presencian día tras día </w:t>
      </w:r>
      <w:r w:rsidR="00327E68" w:rsidRPr="00933825">
        <w:rPr>
          <w:color w:val="000000"/>
        </w:rPr>
        <w:t xml:space="preserve">(Unicef, 2006). </w:t>
      </w:r>
      <w:r w:rsidR="002D67CF">
        <w:rPr>
          <w:color w:val="000000"/>
        </w:rPr>
        <w:t xml:space="preserve">No obstante, </w:t>
      </w:r>
      <w:r w:rsidR="00327E68">
        <w:rPr>
          <w:color w:val="000000"/>
        </w:rPr>
        <w:t>los investigadores destacan que aún resulta difícil conocer con exactitud la magnitud</w:t>
      </w:r>
      <w:r w:rsidR="00D32D15">
        <w:rPr>
          <w:color w:val="000000"/>
        </w:rPr>
        <w:t xml:space="preserve"> de este fenómeno, </w:t>
      </w:r>
      <w:r w:rsidR="00327E68">
        <w:rPr>
          <w:color w:val="000000"/>
        </w:rPr>
        <w:t xml:space="preserve">dado que durante mucho tiempo la exposición en el ámbito infantojuvenil </w:t>
      </w:r>
      <w:r w:rsidR="00327E68" w:rsidRPr="00933825">
        <w:rPr>
          <w:color w:val="000000"/>
        </w:rPr>
        <w:t>ha sido invisibilizad</w:t>
      </w:r>
      <w:r w:rsidR="00327E68">
        <w:rPr>
          <w:color w:val="000000"/>
        </w:rPr>
        <w:t>a</w:t>
      </w:r>
      <w:r w:rsidR="00327E68" w:rsidRPr="00933825">
        <w:rPr>
          <w:color w:val="000000"/>
        </w:rPr>
        <w:t xml:space="preserve"> (Buckley, Holt, &amp; </w:t>
      </w:r>
      <w:proofErr w:type="spellStart"/>
      <w:r w:rsidR="00327E68" w:rsidRPr="00933825">
        <w:rPr>
          <w:color w:val="000000"/>
        </w:rPr>
        <w:t>Whelan</w:t>
      </w:r>
      <w:proofErr w:type="spellEnd"/>
      <w:r w:rsidR="00327E68" w:rsidRPr="00933825">
        <w:rPr>
          <w:color w:val="000000"/>
        </w:rPr>
        <w:t>, 2007; Casas, Riveros, &amp; Vargas, 2012; Holt et al., 2008; Lizana, 2012; Servicio Nacional de la Mujer [</w:t>
      </w:r>
      <w:proofErr w:type="spellStart"/>
      <w:r w:rsidR="00327E68" w:rsidRPr="00933825">
        <w:rPr>
          <w:color w:val="000000"/>
        </w:rPr>
        <w:t>Sernam</w:t>
      </w:r>
      <w:proofErr w:type="spellEnd"/>
      <w:r w:rsidR="00327E68" w:rsidRPr="00933825">
        <w:rPr>
          <w:color w:val="000000"/>
        </w:rPr>
        <w:t>], 2009).</w:t>
      </w:r>
      <w:r w:rsidR="00327E68">
        <w:rPr>
          <w:color w:val="000000"/>
        </w:rPr>
        <w:t xml:space="preserve"> </w:t>
      </w:r>
      <w:r w:rsidR="00630362">
        <w:rPr>
          <w:color w:val="000000"/>
        </w:rPr>
        <w:t xml:space="preserve">Esta </w:t>
      </w:r>
      <w:proofErr w:type="spellStart"/>
      <w:r w:rsidR="00630362">
        <w:rPr>
          <w:color w:val="000000"/>
        </w:rPr>
        <w:t>situacion</w:t>
      </w:r>
      <w:proofErr w:type="spellEnd"/>
      <w:r w:rsidR="00630362">
        <w:rPr>
          <w:color w:val="000000"/>
        </w:rPr>
        <w:t xml:space="preserve"> ha llevado </w:t>
      </w:r>
      <w:r w:rsidR="00630362">
        <w:rPr>
          <w:color w:val="000000"/>
        </w:rPr>
        <w:lastRenderedPageBreak/>
        <w:t xml:space="preserve">a que organismos internacionales, como la </w:t>
      </w:r>
      <w:r w:rsidR="00DF6324">
        <w:rPr>
          <w:color w:val="000000"/>
        </w:rPr>
        <w:t xml:space="preserve">Organización </w:t>
      </w:r>
      <w:r w:rsidR="00DF6324" w:rsidRPr="004B5AB0">
        <w:rPr>
          <w:color w:val="000000"/>
        </w:rPr>
        <w:t xml:space="preserve">Mundial de la Salud </w:t>
      </w:r>
      <w:r w:rsidR="00DF6324">
        <w:rPr>
          <w:color w:val="000000"/>
        </w:rPr>
        <w:t>(OMS) consider</w:t>
      </w:r>
      <w:r w:rsidR="001B7D04">
        <w:rPr>
          <w:color w:val="000000"/>
        </w:rPr>
        <w:t>en</w:t>
      </w:r>
      <w:r w:rsidR="00DF6324">
        <w:rPr>
          <w:color w:val="000000"/>
        </w:rPr>
        <w:t xml:space="preserve"> </w:t>
      </w:r>
      <w:r w:rsidR="004435B1">
        <w:rPr>
          <w:color w:val="000000"/>
        </w:rPr>
        <w:t xml:space="preserve">la exposición de menores expuestos a violencia de género como una forma </w:t>
      </w:r>
      <w:r w:rsidR="00DF6324">
        <w:rPr>
          <w:color w:val="000000"/>
        </w:rPr>
        <w:t xml:space="preserve">de </w:t>
      </w:r>
      <w:r w:rsidR="00DF6324" w:rsidRPr="006957FC">
        <w:rPr>
          <w:b/>
          <w:bCs/>
          <w:color w:val="000000"/>
          <w:u w:val="single"/>
        </w:rPr>
        <w:t>maltrato infantil,</w:t>
      </w:r>
      <w:r w:rsidR="00DF6324">
        <w:rPr>
          <w:color w:val="000000"/>
        </w:rPr>
        <w:t xml:space="preserve"> definiéndol</w:t>
      </w:r>
      <w:r w:rsidR="001B7D04">
        <w:rPr>
          <w:color w:val="000000"/>
        </w:rPr>
        <w:t>a</w:t>
      </w:r>
      <w:r w:rsidR="00DF6324">
        <w:rPr>
          <w:color w:val="000000"/>
        </w:rPr>
        <w:t xml:space="preserve"> </w:t>
      </w:r>
      <w:r w:rsidR="00DF6324" w:rsidRPr="004B5AB0">
        <w:rPr>
          <w:color w:val="000000"/>
        </w:rPr>
        <w:t>como</w:t>
      </w:r>
      <w:r w:rsidR="003A1D99">
        <w:rPr>
          <w:color w:val="000000"/>
        </w:rPr>
        <w:t xml:space="preserve">: </w:t>
      </w:r>
    </w:p>
    <w:p w14:paraId="75FDCAF0" w14:textId="77777777" w:rsidR="006957FC" w:rsidRDefault="006957FC" w:rsidP="00630362">
      <w:pPr>
        <w:pStyle w:val="NormalWeb"/>
        <w:spacing w:before="0" w:beforeAutospacing="0" w:after="0" w:afterAutospacing="0" w:line="360" w:lineRule="auto"/>
        <w:ind w:firstLine="360"/>
        <w:jc w:val="both"/>
        <w:rPr>
          <w:color w:val="000000"/>
        </w:rPr>
      </w:pPr>
    </w:p>
    <w:p w14:paraId="5F173384" w14:textId="1773F9DB" w:rsidR="00AC494D" w:rsidRDefault="003A1D99" w:rsidP="00553BBD">
      <w:pPr>
        <w:spacing w:after="240" w:line="360" w:lineRule="auto"/>
        <w:ind w:left="708"/>
        <w:jc w:val="both"/>
        <w:rPr>
          <w:color w:val="000000"/>
        </w:rPr>
      </w:pPr>
      <w:r w:rsidRPr="003A1D99">
        <w:rPr>
          <w:i/>
          <w:iCs/>
          <w:color w:val="000000"/>
        </w:rPr>
        <w:t>“</w:t>
      </w:r>
      <w:r w:rsidR="00DF6324" w:rsidRPr="003A1D99">
        <w:rPr>
          <w:i/>
          <w:iCs/>
          <w:color w:val="000000"/>
        </w:rPr>
        <w:t xml:space="preserve">todas las formas de maltrato físico y/o psicológico, abuso sexual, tratamiento </w:t>
      </w:r>
      <w:r w:rsidR="00DF6324" w:rsidRPr="00684E27">
        <w:rPr>
          <w:i/>
          <w:iCs/>
          <w:color w:val="000000"/>
        </w:rPr>
        <w:t>negligente o comercial u otra forma de explotación que cause o pueda causar daño a la salud de los niños, a su supervivencia o dignidad en el contexto de una relación de responsabilidad, confianza o poder”</w:t>
      </w:r>
      <w:r w:rsidR="00684E27" w:rsidRPr="00684E27">
        <w:rPr>
          <w:i/>
          <w:iCs/>
          <w:color w:val="000000"/>
        </w:rPr>
        <w:t xml:space="preserve"> </w:t>
      </w:r>
      <w:r w:rsidR="00684E27" w:rsidRPr="00684E27">
        <w:rPr>
          <w:color w:val="000000"/>
        </w:rPr>
        <w:t>(World Health Organization, 2014).</w:t>
      </w:r>
    </w:p>
    <w:p w14:paraId="0D722DA7" w14:textId="7BBAE073" w:rsidR="00385E60" w:rsidRPr="00E51537" w:rsidRDefault="00385E60" w:rsidP="00E51537">
      <w:pPr>
        <w:pStyle w:val="Prrafodelista"/>
        <w:numPr>
          <w:ilvl w:val="2"/>
          <w:numId w:val="3"/>
        </w:numPr>
        <w:spacing w:after="240" w:line="360" w:lineRule="auto"/>
        <w:jc w:val="both"/>
        <w:rPr>
          <w:b/>
          <w:bCs/>
          <w:color w:val="000000"/>
          <w:u w:val="single"/>
        </w:rPr>
      </w:pPr>
      <w:r w:rsidRPr="00E51537">
        <w:rPr>
          <w:b/>
          <w:bCs/>
          <w:color w:val="000000"/>
          <w:u w:val="single"/>
        </w:rPr>
        <w:t xml:space="preserve">Patrones de respuesta ante la violencia de </w:t>
      </w:r>
      <w:r w:rsidR="00E51537" w:rsidRPr="00E51537">
        <w:rPr>
          <w:b/>
          <w:bCs/>
          <w:color w:val="000000"/>
          <w:u w:val="single"/>
        </w:rPr>
        <w:t>género</w:t>
      </w:r>
      <w:r w:rsidRPr="00E51537">
        <w:rPr>
          <w:b/>
          <w:bCs/>
          <w:color w:val="000000"/>
          <w:u w:val="single"/>
        </w:rPr>
        <w:t>: internalización y externalización.</w:t>
      </w:r>
    </w:p>
    <w:p w14:paraId="19CD413A" w14:textId="37C4D37F" w:rsidR="003E7EAF" w:rsidRPr="003E7EAF" w:rsidRDefault="00A4056B" w:rsidP="00695D70">
      <w:pPr>
        <w:pStyle w:val="p1"/>
        <w:spacing w:line="360" w:lineRule="auto"/>
        <w:ind w:firstLine="708"/>
        <w:jc w:val="both"/>
        <w:rPr>
          <w:sz w:val="24"/>
          <w:szCs w:val="24"/>
        </w:rPr>
      </w:pPr>
      <w:r w:rsidRPr="003E7EAF">
        <w:rPr>
          <w:sz w:val="24"/>
          <w:szCs w:val="24"/>
        </w:rPr>
        <w:t xml:space="preserve">Una de las </w:t>
      </w:r>
      <w:r w:rsidR="00476838" w:rsidRPr="003E7EAF">
        <w:rPr>
          <w:sz w:val="24"/>
          <w:szCs w:val="24"/>
        </w:rPr>
        <w:t>peculiaridades</w:t>
      </w:r>
      <w:r w:rsidRPr="003E7EAF">
        <w:rPr>
          <w:sz w:val="24"/>
          <w:szCs w:val="24"/>
        </w:rPr>
        <w:t xml:space="preserve"> que posee la exposición a la violencia de </w:t>
      </w:r>
      <w:r w:rsidR="00476838" w:rsidRPr="003E7EAF">
        <w:rPr>
          <w:sz w:val="24"/>
          <w:szCs w:val="24"/>
        </w:rPr>
        <w:t>género</w:t>
      </w:r>
      <w:r w:rsidR="00476838">
        <w:rPr>
          <w:sz w:val="24"/>
          <w:szCs w:val="24"/>
        </w:rPr>
        <w:t xml:space="preserve">, </w:t>
      </w:r>
      <w:r w:rsidRPr="003E7EAF">
        <w:rPr>
          <w:sz w:val="24"/>
          <w:szCs w:val="24"/>
        </w:rPr>
        <w:t xml:space="preserve">frente a otros tipos de violencia </w:t>
      </w:r>
      <w:r w:rsidR="00476838">
        <w:rPr>
          <w:sz w:val="24"/>
          <w:szCs w:val="24"/>
        </w:rPr>
        <w:t xml:space="preserve">es que aparece de forma sutil y gradual. Ante estas </w:t>
      </w:r>
      <w:r w:rsidR="009830FE" w:rsidRPr="003E7EAF">
        <w:rPr>
          <w:sz w:val="24"/>
          <w:szCs w:val="24"/>
        </w:rPr>
        <w:t xml:space="preserve">Ante </w:t>
      </w:r>
      <w:r w:rsidR="009A4CCF" w:rsidRPr="003E7EAF">
        <w:rPr>
          <w:sz w:val="24"/>
          <w:szCs w:val="24"/>
        </w:rPr>
        <w:t xml:space="preserve">estas diversas formas de </w:t>
      </w:r>
      <w:r w:rsidR="004857FB" w:rsidRPr="003E7EAF">
        <w:rPr>
          <w:sz w:val="24"/>
          <w:szCs w:val="24"/>
        </w:rPr>
        <w:t>exposición</w:t>
      </w:r>
      <w:r w:rsidR="009A4CCF" w:rsidRPr="003E7EAF">
        <w:rPr>
          <w:sz w:val="24"/>
          <w:szCs w:val="24"/>
        </w:rPr>
        <w:t xml:space="preserve">, </w:t>
      </w:r>
      <w:r w:rsidR="004857FB" w:rsidRPr="003E7EAF">
        <w:rPr>
          <w:sz w:val="24"/>
          <w:szCs w:val="24"/>
        </w:rPr>
        <w:t xml:space="preserve">los menores </w:t>
      </w:r>
      <w:r w:rsidR="00241D94" w:rsidRPr="003E7EAF">
        <w:rPr>
          <w:sz w:val="24"/>
          <w:szCs w:val="24"/>
        </w:rPr>
        <w:t xml:space="preserve">presentan dos patrones </w:t>
      </w:r>
      <w:r w:rsidR="004857FB" w:rsidRPr="003E7EAF">
        <w:rPr>
          <w:sz w:val="24"/>
          <w:szCs w:val="24"/>
        </w:rPr>
        <w:t xml:space="preserve">principales de respuesta: </w:t>
      </w:r>
      <w:r w:rsidR="004857FB" w:rsidRPr="003E7EAF">
        <w:rPr>
          <w:b/>
          <w:bCs/>
          <w:sz w:val="24"/>
          <w:szCs w:val="24"/>
          <w:u w:val="single"/>
        </w:rPr>
        <w:t xml:space="preserve">internalización </w:t>
      </w:r>
      <w:r w:rsidR="004857FB" w:rsidRPr="003E7EAF">
        <w:rPr>
          <w:sz w:val="24"/>
          <w:szCs w:val="24"/>
        </w:rPr>
        <w:t xml:space="preserve">y </w:t>
      </w:r>
      <w:r w:rsidR="004857FB" w:rsidRPr="003E7EAF">
        <w:rPr>
          <w:b/>
          <w:bCs/>
          <w:sz w:val="24"/>
          <w:szCs w:val="24"/>
          <w:u w:val="single"/>
        </w:rPr>
        <w:t>externalizació</w:t>
      </w:r>
      <w:r w:rsidR="003E7EAF" w:rsidRPr="003E7EAF">
        <w:rPr>
          <w:b/>
          <w:bCs/>
          <w:sz w:val="24"/>
          <w:szCs w:val="24"/>
          <w:u w:val="single"/>
        </w:rPr>
        <w:t xml:space="preserve">n </w:t>
      </w:r>
      <w:r w:rsidR="003E7EAF" w:rsidRPr="003E7EAF">
        <w:rPr>
          <w:sz w:val="24"/>
          <w:szCs w:val="24"/>
        </w:rPr>
        <w:t xml:space="preserve">(De la Vega et al., 2011; </w:t>
      </w:r>
      <w:proofErr w:type="spellStart"/>
      <w:r w:rsidR="003E7EAF" w:rsidRPr="003E7EAF">
        <w:rPr>
          <w:sz w:val="24"/>
          <w:szCs w:val="24"/>
        </w:rPr>
        <w:t>Mirandaet</w:t>
      </w:r>
      <w:proofErr w:type="spellEnd"/>
      <w:r w:rsidR="003E7EAF" w:rsidRPr="003E7EAF">
        <w:rPr>
          <w:sz w:val="24"/>
          <w:szCs w:val="24"/>
        </w:rPr>
        <w:t xml:space="preserve"> al., 2013; Miranda et al., 2021; Tarragona, 2016)</w:t>
      </w:r>
      <w:r w:rsidR="00695D70">
        <w:rPr>
          <w:sz w:val="24"/>
          <w:szCs w:val="24"/>
        </w:rPr>
        <w:t xml:space="preserve">, cuyas manifestaciones varían según el sexo. </w:t>
      </w:r>
    </w:p>
    <w:p w14:paraId="4B5ECC21" w14:textId="77777777" w:rsidR="00695D70" w:rsidRDefault="00695D70" w:rsidP="00695D70">
      <w:pPr>
        <w:spacing w:line="360" w:lineRule="auto"/>
        <w:ind w:firstLine="360"/>
        <w:jc w:val="both"/>
        <w:rPr>
          <w:color w:val="000000"/>
        </w:rPr>
      </w:pPr>
    </w:p>
    <w:p w14:paraId="7F493D4E" w14:textId="1BB1DBE9" w:rsidR="00076634" w:rsidRDefault="004630E4" w:rsidP="00695D70">
      <w:pPr>
        <w:spacing w:line="360" w:lineRule="auto"/>
        <w:ind w:firstLine="360"/>
        <w:jc w:val="both"/>
        <w:rPr>
          <w:color w:val="000000"/>
        </w:rPr>
      </w:pPr>
      <w:r>
        <w:rPr>
          <w:color w:val="000000"/>
        </w:rPr>
        <w:t>En primer lugar, la internalización se observa con mayor frecuencia en el sexo femenino</w:t>
      </w:r>
      <w:r w:rsidR="000C1484">
        <w:rPr>
          <w:color w:val="000000"/>
        </w:rPr>
        <w:t>, quienes</w:t>
      </w:r>
      <w:r w:rsidR="00723DDC">
        <w:rPr>
          <w:color w:val="000000"/>
        </w:rPr>
        <w:t xml:space="preserve"> </w:t>
      </w:r>
      <w:r w:rsidR="00076634">
        <w:rPr>
          <w:color w:val="000000"/>
        </w:rPr>
        <w:t>tienden a dirigir la agresión hacia sí mismas, experiment</w:t>
      </w:r>
      <w:r w:rsidR="000C1484">
        <w:rPr>
          <w:color w:val="000000"/>
        </w:rPr>
        <w:t>ando la violencia</w:t>
      </w:r>
      <w:r w:rsidR="00076634">
        <w:rPr>
          <w:color w:val="000000"/>
        </w:rPr>
        <w:t xml:space="preserve"> de manera personal. </w:t>
      </w:r>
      <w:r w:rsidR="00A405DD">
        <w:rPr>
          <w:color w:val="000000"/>
        </w:rPr>
        <w:t xml:space="preserve">Por el </w:t>
      </w:r>
      <w:r w:rsidR="00541232">
        <w:rPr>
          <w:color w:val="000000"/>
        </w:rPr>
        <w:t>contrario,</w:t>
      </w:r>
      <w:r w:rsidR="00A405DD">
        <w:rPr>
          <w:color w:val="000000"/>
        </w:rPr>
        <w:t xml:space="preserve"> </w:t>
      </w:r>
      <w:r w:rsidR="00541232">
        <w:rPr>
          <w:color w:val="000000"/>
        </w:rPr>
        <w:t xml:space="preserve">la externalización predomina en </w:t>
      </w:r>
      <w:r w:rsidR="004725AF">
        <w:rPr>
          <w:color w:val="000000"/>
        </w:rPr>
        <w:t xml:space="preserve">niños, </w:t>
      </w:r>
      <w:r w:rsidR="00541232">
        <w:rPr>
          <w:color w:val="000000"/>
        </w:rPr>
        <w:t xml:space="preserve">quienes suelen manifestar la violencia a través de comportamientos desafiantes y conductas disruptivas. </w:t>
      </w:r>
    </w:p>
    <w:p w14:paraId="5B6BAB0E" w14:textId="77777777" w:rsidR="00695D70" w:rsidRDefault="00695D70" w:rsidP="00695D70">
      <w:pPr>
        <w:spacing w:line="360" w:lineRule="auto"/>
        <w:ind w:firstLine="360"/>
        <w:jc w:val="both"/>
        <w:rPr>
          <w:color w:val="000000"/>
        </w:rPr>
      </w:pPr>
    </w:p>
    <w:p w14:paraId="242C0347" w14:textId="1AC4CD63" w:rsidR="003F3BFB" w:rsidRDefault="009E514B" w:rsidP="003F3BFB">
      <w:pPr>
        <w:spacing w:after="240" w:line="360" w:lineRule="auto"/>
        <w:ind w:firstLine="360"/>
        <w:jc w:val="both"/>
        <w:rPr>
          <w:color w:val="000000"/>
        </w:rPr>
      </w:pPr>
      <w:r>
        <w:rPr>
          <w:color w:val="000000"/>
        </w:rPr>
        <w:t>En el caso de la internalización</w:t>
      </w:r>
      <w:r w:rsidR="00315F1F">
        <w:rPr>
          <w:color w:val="000000"/>
        </w:rPr>
        <w:t xml:space="preserve">, </w:t>
      </w:r>
      <w:r w:rsidR="008137E0">
        <w:rPr>
          <w:color w:val="000000"/>
        </w:rPr>
        <w:t xml:space="preserve">debido a que las niñas tienden a transferir hacia </w:t>
      </w:r>
      <w:r w:rsidR="00DA3A8C">
        <w:rPr>
          <w:color w:val="000000"/>
        </w:rPr>
        <w:t>sí</w:t>
      </w:r>
      <w:r w:rsidR="008137E0">
        <w:rPr>
          <w:color w:val="000000"/>
        </w:rPr>
        <w:t xml:space="preserve"> mismas la agresión y violencia presentes en el hogar, </w:t>
      </w:r>
      <w:r w:rsidR="00DA3A8C">
        <w:rPr>
          <w:color w:val="000000"/>
        </w:rPr>
        <w:t xml:space="preserve">esto provoca que experimenten problemas emocionales </w:t>
      </w:r>
      <w:r w:rsidR="00315F1F">
        <w:rPr>
          <w:color w:val="000000"/>
        </w:rPr>
        <w:t>relacionadas con su</w:t>
      </w:r>
      <w:r w:rsidR="001D0305">
        <w:rPr>
          <w:color w:val="000000"/>
        </w:rPr>
        <w:t xml:space="preserve"> mundo interno, </w:t>
      </w:r>
      <w:r w:rsidR="00550F4D">
        <w:rPr>
          <w:color w:val="000000"/>
        </w:rPr>
        <w:t>tales como</w:t>
      </w:r>
      <w:r w:rsidR="001D0305">
        <w:rPr>
          <w:color w:val="000000"/>
        </w:rPr>
        <w:t xml:space="preserve"> </w:t>
      </w:r>
      <w:r w:rsidR="00315F1F">
        <w:rPr>
          <w:color w:val="000000"/>
        </w:rPr>
        <w:t xml:space="preserve">ansiedad, baja autoestima, miedo, retraimiento </w:t>
      </w:r>
      <w:r w:rsidR="001D0305">
        <w:rPr>
          <w:color w:val="000000"/>
        </w:rPr>
        <w:t>social, desarrollo</w:t>
      </w:r>
      <w:r w:rsidR="00315F1F">
        <w:rPr>
          <w:color w:val="000000"/>
        </w:rPr>
        <w:t xml:space="preserve"> de </w:t>
      </w:r>
      <w:r w:rsidR="00B93B30">
        <w:rPr>
          <w:color w:val="000000"/>
        </w:rPr>
        <w:t>distorsiones</w:t>
      </w:r>
      <w:r w:rsidR="00315F1F">
        <w:rPr>
          <w:color w:val="000000"/>
        </w:rPr>
        <w:t xml:space="preserve"> co</w:t>
      </w:r>
      <w:r w:rsidR="001D0305">
        <w:rPr>
          <w:color w:val="000000"/>
        </w:rPr>
        <w:t>gnitivas</w:t>
      </w:r>
      <w:r w:rsidR="00B93B30">
        <w:rPr>
          <w:color w:val="000000"/>
        </w:rPr>
        <w:t xml:space="preserve"> y </w:t>
      </w:r>
      <w:r w:rsidR="001D0305">
        <w:rPr>
          <w:color w:val="000000"/>
        </w:rPr>
        <w:t>trastornos</w:t>
      </w:r>
      <w:r w:rsidR="00B93B30">
        <w:rPr>
          <w:color w:val="000000"/>
        </w:rPr>
        <w:t xml:space="preserve"> </w:t>
      </w:r>
      <w:r w:rsidR="001D0305">
        <w:rPr>
          <w:color w:val="000000"/>
        </w:rPr>
        <w:t>depresivos</w:t>
      </w:r>
      <w:r w:rsidR="00B93B30">
        <w:rPr>
          <w:color w:val="000000"/>
        </w:rPr>
        <w:t xml:space="preserve"> graves. </w:t>
      </w:r>
      <w:r w:rsidR="004857FB" w:rsidRPr="00F93632">
        <w:rPr>
          <w:color w:val="000000"/>
        </w:rPr>
        <w:t>Además,</w:t>
      </w:r>
      <w:r w:rsidR="001D0305">
        <w:rPr>
          <w:color w:val="000000"/>
        </w:rPr>
        <w:t xml:space="preserve"> </w:t>
      </w:r>
      <w:r w:rsidR="004857FB" w:rsidRPr="00F93632">
        <w:rPr>
          <w:color w:val="000000"/>
        </w:rPr>
        <w:t xml:space="preserve">suelen adoptar conductas de sumisión y obediencia, lo que </w:t>
      </w:r>
      <w:r w:rsidR="001D0305">
        <w:rPr>
          <w:color w:val="000000"/>
        </w:rPr>
        <w:t xml:space="preserve">favorece la normalización de la agresión en sus relaciones, </w:t>
      </w:r>
      <w:r w:rsidR="004857FB" w:rsidRPr="00F93632">
        <w:rPr>
          <w:color w:val="000000"/>
        </w:rPr>
        <w:t xml:space="preserve">especialmente a largo plazo, </w:t>
      </w:r>
      <w:r w:rsidR="001D0305">
        <w:rPr>
          <w:color w:val="000000"/>
        </w:rPr>
        <w:t xml:space="preserve">al llegar a la edad adulta. </w:t>
      </w:r>
    </w:p>
    <w:p w14:paraId="06DD1C52" w14:textId="77777777" w:rsidR="00D154C1" w:rsidRDefault="004857FB" w:rsidP="00A323DB">
      <w:pPr>
        <w:spacing w:after="240" w:line="360" w:lineRule="auto"/>
        <w:ind w:firstLine="360"/>
        <w:jc w:val="both"/>
        <w:rPr>
          <w:color w:val="000000"/>
        </w:rPr>
      </w:pPr>
      <w:r>
        <w:rPr>
          <w:color w:val="000000"/>
        </w:rPr>
        <w:t xml:space="preserve">Por </w:t>
      </w:r>
      <w:r w:rsidR="00861F77">
        <w:rPr>
          <w:color w:val="000000"/>
        </w:rPr>
        <w:t xml:space="preserve">su parte, los </w:t>
      </w:r>
      <w:r w:rsidR="00CD2544">
        <w:rPr>
          <w:color w:val="000000"/>
        </w:rPr>
        <w:t xml:space="preserve">menores </w:t>
      </w:r>
      <w:r w:rsidR="00861F77">
        <w:rPr>
          <w:color w:val="000000"/>
        </w:rPr>
        <w:t>que presentan externalización</w:t>
      </w:r>
      <w:r w:rsidR="00550F4D">
        <w:rPr>
          <w:color w:val="000000"/>
        </w:rPr>
        <w:t xml:space="preserve">, </w:t>
      </w:r>
      <w:r w:rsidR="008860D3">
        <w:rPr>
          <w:color w:val="000000"/>
        </w:rPr>
        <w:t xml:space="preserve">entre el </w:t>
      </w:r>
      <w:r w:rsidR="008860D3" w:rsidRPr="00DB4B02">
        <w:rPr>
          <w:color w:val="000000"/>
        </w:rPr>
        <w:t>25% y el 70%</w:t>
      </w:r>
      <w:r w:rsidR="008860D3">
        <w:rPr>
          <w:color w:val="000000"/>
        </w:rPr>
        <w:t xml:space="preserve"> </w:t>
      </w:r>
      <w:r w:rsidR="00550F4D">
        <w:rPr>
          <w:color w:val="000000"/>
        </w:rPr>
        <w:t xml:space="preserve">de los casos, </w:t>
      </w:r>
      <w:r w:rsidR="00861F77">
        <w:rPr>
          <w:color w:val="000000"/>
        </w:rPr>
        <w:t xml:space="preserve">muestran </w:t>
      </w:r>
      <w:r w:rsidR="00861F77" w:rsidRPr="008A7E6F">
        <w:rPr>
          <w:color w:val="000000"/>
        </w:rPr>
        <w:t>comportamientos</w:t>
      </w:r>
      <w:r w:rsidR="00861F77">
        <w:rPr>
          <w:color w:val="000000"/>
        </w:rPr>
        <w:t xml:space="preserve"> </w:t>
      </w:r>
      <w:r w:rsidR="00861F77" w:rsidRPr="008A7E6F">
        <w:rPr>
          <w:color w:val="000000"/>
        </w:rPr>
        <w:t>desafiantes</w:t>
      </w:r>
      <w:r w:rsidR="0094616A">
        <w:rPr>
          <w:color w:val="000000"/>
        </w:rPr>
        <w:t xml:space="preserve">, </w:t>
      </w:r>
      <w:r w:rsidR="00861F77" w:rsidRPr="008A7E6F">
        <w:rPr>
          <w:color w:val="000000"/>
        </w:rPr>
        <w:t xml:space="preserve">abuso de sustancias, </w:t>
      </w:r>
      <w:r w:rsidR="00861F77">
        <w:rPr>
          <w:color w:val="000000"/>
        </w:rPr>
        <w:t xml:space="preserve">hiperactividad </w:t>
      </w:r>
      <w:r w:rsidR="00861F77" w:rsidRPr="008A7E6F">
        <w:rPr>
          <w:color w:val="000000"/>
        </w:rPr>
        <w:t xml:space="preserve">o </w:t>
      </w:r>
      <w:r w:rsidR="00861F77" w:rsidRPr="008A7E6F">
        <w:rPr>
          <w:color w:val="000000"/>
        </w:rPr>
        <w:lastRenderedPageBreak/>
        <w:t>conducta</w:t>
      </w:r>
      <w:r w:rsidR="00861F77">
        <w:rPr>
          <w:color w:val="000000"/>
        </w:rPr>
        <w:t xml:space="preserve">s </w:t>
      </w:r>
      <w:r w:rsidR="001D0305" w:rsidRPr="008A7E6F">
        <w:rPr>
          <w:color w:val="000000"/>
        </w:rPr>
        <w:t>negativista</w:t>
      </w:r>
      <w:r w:rsidR="001D0305">
        <w:rPr>
          <w:color w:val="000000"/>
        </w:rPr>
        <w:t>s</w:t>
      </w:r>
      <w:r w:rsidR="008860D3">
        <w:rPr>
          <w:color w:val="000000"/>
        </w:rPr>
        <w:t xml:space="preserve"> </w:t>
      </w:r>
      <w:r w:rsidRPr="00DB4B02">
        <w:rPr>
          <w:color w:val="000000"/>
        </w:rPr>
        <w:t xml:space="preserve">(McDonald y </w:t>
      </w:r>
      <w:proofErr w:type="spellStart"/>
      <w:r w:rsidRPr="00DB4B02">
        <w:rPr>
          <w:color w:val="000000"/>
        </w:rPr>
        <w:t>Jouriles</w:t>
      </w:r>
      <w:proofErr w:type="spellEnd"/>
      <w:r w:rsidRPr="00DB4B02">
        <w:rPr>
          <w:color w:val="000000"/>
        </w:rPr>
        <w:t>, 1991)</w:t>
      </w:r>
      <w:r w:rsidR="00410C9D">
        <w:rPr>
          <w:color w:val="000000"/>
        </w:rPr>
        <w:t xml:space="preserve">, </w:t>
      </w:r>
      <w:r w:rsidR="00336834">
        <w:rPr>
          <w:color w:val="000000"/>
        </w:rPr>
        <w:t xml:space="preserve">y suelen ejercer esta violencia principalmente en el entorno escolar. Según </w:t>
      </w:r>
      <w:proofErr w:type="spellStart"/>
      <w:r w:rsidR="003B68CD" w:rsidRPr="008D0124">
        <w:rPr>
          <w:color w:val="000000"/>
        </w:rPr>
        <w:t>Mash</w:t>
      </w:r>
      <w:proofErr w:type="spellEnd"/>
      <w:r w:rsidR="003B68CD" w:rsidRPr="008D0124">
        <w:rPr>
          <w:color w:val="000000"/>
        </w:rPr>
        <w:t xml:space="preserve"> y Wolf</w:t>
      </w:r>
      <w:r w:rsidR="003B68CD">
        <w:rPr>
          <w:color w:val="000000"/>
        </w:rPr>
        <w:t xml:space="preserve"> (</w:t>
      </w:r>
      <w:r w:rsidR="00410C9D" w:rsidRPr="008D0124">
        <w:rPr>
          <w:color w:val="000000"/>
        </w:rPr>
        <w:t>2005</w:t>
      </w:r>
      <w:r w:rsidR="00410C9D">
        <w:rPr>
          <w:color w:val="000000"/>
        </w:rPr>
        <w:t>)</w:t>
      </w:r>
      <w:r w:rsidR="003C37EE">
        <w:rPr>
          <w:color w:val="000000"/>
        </w:rPr>
        <w:t xml:space="preserve">, </w:t>
      </w:r>
      <w:r w:rsidR="003B68CD">
        <w:rPr>
          <w:color w:val="000000"/>
        </w:rPr>
        <w:t>l</w:t>
      </w:r>
      <w:r w:rsidR="003B68CD" w:rsidRPr="008D0124">
        <w:rPr>
          <w:color w:val="000000"/>
        </w:rPr>
        <w:t xml:space="preserve">as victimas que </w:t>
      </w:r>
      <w:r w:rsidR="003B68CD">
        <w:rPr>
          <w:color w:val="000000"/>
        </w:rPr>
        <w:t xml:space="preserve">externalizan la agresión </w:t>
      </w:r>
      <w:r w:rsidR="003C37EE">
        <w:rPr>
          <w:color w:val="000000"/>
        </w:rPr>
        <w:t xml:space="preserve">tienden </w:t>
      </w:r>
      <w:r w:rsidR="003B68CD">
        <w:rPr>
          <w:color w:val="000000"/>
        </w:rPr>
        <w:t xml:space="preserve">involucrarse en situaciones de </w:t>
      </w:r>
      <w:r w:rsidR="003B68CD" w:rsidRPr="008D0124">
        <w:rPr>
          <w:color w:val="000000"/>
        </w:rPr>
        <w:t xml:space="preserve">acoso escolar </w:t>
      </w:r>
      <w:r w:rsidR="003B68CD" w:rsidRPr="0077006D">
        <w:rPr>
          <w:color w:val="000000"/>
        </w:rPr>
        <w:t>o “bullying”</w:t>
      </w:r>
      <w:r w:rsidR="003B68CD" w:rsidRPr="008D0124">
        <w:rPr>
          <w:color w:val="000000"/>
        </w:rPr>
        <w:t xml:space="preserve"> iniciándolo de forma verbal o física. </w:t>
      </w:r>
    </w:p>
    <w:p w14:paraId="19EC5206" w14:textId="77777777" w:rsidR="00DC65B9" w:rsidRDefault="003B68CD" w:rsidP="00013560">
      <w:pPr>
        <w:spacing w:after="240" w:line="360" w:lineRule="auto"/>
        <w:ind w:firstLine="360"/>
        <w:jc w:val="both"/>
        <w:rPr>
          <w:color w:val="000000"/>
        </w:rPr>
      </w:pPr>
      <w:r w:rsidRPr="008D0124">
        <w:rPr>
          <w:color w:val="000000"/>
        </w:rPr>
        <w:t xml:space="preserve">Por </w:t>
      </w:r>
      <w:r>
        <w:rPr>
          <w:color w:val="000000"/>
        </w:rPr>
        <w:t xml:space="preserve">el contrario, </w:t>
      </w:r>
      <w:r w:rsidR="004D03D4">
        <w:rPr>
          <w:color w:val="000000"/>
        </w:rPr>
        <w:t xml:space="preserve">los </w:t>
      </w:r>
      <w:r>
        <w:rPr>
          <w:color w:val="000000"/>
        </w:rPr>
        <w:t xml:space="preserve">menores </w:t>
      </w:r>
      <w:r w:rsidRPr="008D0124">
        <w:rPr>
          <w:color w:val="000000"/>
        </w:rPr>
        <w:t>que</w:t>
      </w:r>
      <w:r>
        <w:rPr>
          <w:color w:val="000000"/>
        </w:rPr>
        <w:t xml:space="preserve"> internalizan </w:t>
      </w:r>
      <w:r w:rsidRPr="008D0124">
        <w:rPr>
          <w:color w:val="000000"/>
        </w:rPr>
        <w:t xml:space="preserve">la violencia </w:t>
      </w:r>
      <w:r>
        <w:rPr>
          <w:color w:val="000000"/>
        </w:rPr>
        <w:t xml:space="preserve">suelen </w:t>
      </w:r>
      <w:r w:rsidR="00D154C1">
        <w:rPr>
          <w:color w:val="000000"/>
        </w:rPr>
        <w:t xml:space="preserve">recibir esas conduchas violentas ejercida en el centro educativo y convertirse en </w:t>
      </w:r>
      <w:r>
        <w:rPr>
          <w:color w:val="000000"/>
        </w:rPr>
        <w:t>víctimas de acoso</w:t>
      </w:r>
      <w:r w:rsidR="00E1112A">
        <w:rPr>
          <w:color w:val="000000"/>
        </w:rPr>
        <w:t xml:space="preserve">. </w:t>
      </w:r>
      <w:r w:rsidR="00E02FC9">
        <w:rPr>
          <w:color w:val="000000"/>
        </w:rPr>
        <w:t>Esta doble victimización</w:t>
      </w:r>
      <w:r w:rsidR="0058010D">
        <w:rPr>
          <w:color w:val="000000"/>
        </w:rPr>
        <w:t xml:space="preserve">, </w:t>
      </w:r>
      <w:r w:rsidR="00E02FC9">
        <w:rPr>
          <w:color w:val="000000"/>
        </w:rPr>
        <w:t xml:space="preserve">ser </w:t>
      </w:r>
      <w:r w:rsidR="00491FBC">
        <w:rPr>
          <w:color w:val="000000"/>
        </w:rPr>
        <w:t>víctimas</w:t>
      </w:r>
      <w:r w:rsidR="00E02FC9">
        <w:rPr>
          <w:color w:val="000000"/>
        </w:rPr>
        <w:t xml:space="preserve"> de </w:t>
      </w:r>
      <w:r w:rsidR="00491FBC">
        <w:rPr>
          <w:color w:val="000000"/>
        </w:rPr>
        <w:t xml:space="preserve">acoso escolar </w:t>
      </w:r>
      <w:r w:rsidR="00E02FC9">
        <w:rPr>
          <w:color w:val="000000"/>
        </w:rPr>
        <w:t>y sufrir violencia en el</w:t>
      </w:r>
      <w:r w:rsidR="00691792">
        <w:rPr>
          <w:color w:val="000000"/>
        </w:rPr>
        <w:t xml:space="preserve"> seno familiar, aumenta el riesgo de que las menores desarrollen pensamientos suicidas</w:t>
      </w:r>
      <w:r w:rsidR="00F70174">
        <w:rPr>
          <w:color w:val="000000"/>
        </w:rPr>
        <w:t xml:space="preserve"> (</w:t>
      </w:r>
      <w:proofErr w:type="spellStart"/>
      <w:r w:rsidR="00F70174">
        <w:rPr>
          <w:color w:val="000000"/>
        </w:rPr>
        <w:t>Baldry</w:t>
      </w:r>
      <w:proofErr w:type="spellEnd"/>
      <w:r w:rsidR="00F70174" w:rsidRPr="00F70174">
        <w:rPr>
          <w:color w:val="000000"/>
        </w:rPr>
        <w:t xml:space="preserve"> y </w:t>
      </w:r>
      <w:proofErr w:type="spellStart"/>
      <w:r w:rsidR="00F70174" w:rsidRPr="00F70174">
        <w:rPr>
          <w:color w:val="000000"/>
        </w:rPr>
        <w:t>Winkel</w:t>
      </w:r>
      <w:proofErr w:type="spellEnd"/>
      <w:r w:rsidR="00F70174" w:rsidRPr="00F70174">
        <w:rPr>
          <w:color w:val="000000"/>
        </w:rPr>
        <w:t>, 2003).</w:t>
      </w:r>
      <w:r w:rsidR="008A4306">
        <w:rPr>
          <w:color w:val="000000"/>
        </w:rPr>
        <w:t xml:space="preserve"> </w:t>
      </w:r>
    </w:p>
    <w:p w14:paraId="2C03C84D" w14:textId="330E16B8" w:rsidR="004B05C9" w:rsidRDefault="00DC65B9" w:rsidP="005D4280">
      <w:pPr>
        <w:spacing w:after="240" w:line="360" w:lineRule="auto"/>
        <w:ind w:firstLine="360"/>
        <w:jc w:val="both"/>
        <w:rPr>
          <w:color w:val="000000"/>
        </w:rPr>
      </w:pPr>
      <w:r>
        <w:rPr>
          <w:color w:val="000000"/>
        </w:rPr>
        <w:t>Además</w:t>
      </w:r>
      <w:r w:rsidR="00013560">
        <w:rPr>
          <w:color w:val="000000"/>
        </w:rPr>
        <w:t xml:space="preserve">, es frecuente que generalmente los menores </w:t>
      </w:r>
      <w:r w:rsidR="00BD0277">
        <w:rPr>
          <w:color w:val="000000"/>
        </w:rPr>
        <w:t xml:space="preserve">presentan </w:t>
      </w:r>
      <w:r>
        <w:rPr>
          <w:color w:val="000000"/>
        </w:rPr>
        <w:t>dificultades e</w:t>
      </w:r>
      <w:r w:rsidR="00BD0277">
        <w:rPr>
          <w:color w:val="000000"/>
        </w:rPr>
        <w:t xml:space="preserve">n </w:t>
      </w:r>
      <w:r>
        <w:rPr>
          <w:color w:val="000000"/>
        </w:rPr>
        <w:t xml:space="preserve">el </w:t>
      </w:r>
      <w:r w:rsidR="00BD0277">
        <w:rPr>
          <w:color w:val="000000"/>
        </w:rPr>
        <w:t>rendimiento académico (Lastra, 2011)</w:t>
      </w:r>
      <w:r>
        <w:rPr>
          <w:color w:val="000000"/>
        </w:rPr>
        <w:t xml:space="preserve">, así como problemas </w:t>
      </w:r>
      <w:r w:rsidR="00BD0277">
        <w:rPr>
          <w:color w:val="000000"/>
        </w:rPr>
        <w:t xml:space="preserve">de memoria, concentración, lo que </w:t>
      </w:r>
      <w:r>
        <w:rPr>
          <w:color w:val="000000"/>
        </w:rPr>
        <w:t>puede generar frustración y contribuir al fracaso escolar. Dentro de los niveles de absentismo escolar</w:t>
      </w:r>
      <w:r w:rsidR="00603CEF">
        <w:rPr>
          <w:color w:val="000000"/>
        </w:rPr>
        <w:t xml:space="preserve"> se distinguen</w:t>
      </w:r>
      <w:r w:rsidR="00603CEF" w:rsidRPr="003827BE">
        <w:rPr>
          <w:color w:val="000000"/>
        </w:rPr>
        <w:t xml:space="preserve">: </w:t>
      </w:r>
      <w:r w:rsidR="00603CEF" w:rsidRPr="003827BE">
        <w:rPr>
          <w:color w:val="000000"/>
          <w:u w:val="single"/>
        </w:rPr>
        <w:t xml:space="preserve">absentismo </w:t>
      </w:r>
      <w:r w:rsidR="00214ABB" w:rsidRPr="003827BE">
        <w:rPr>
          <w:color w:val="000000"/>
          <w:u w:val="single"/>
        </w:rPr>
        <w:t>leve</w:t>
      </w:r>
      <w:r w:rsidR="003827BE" w:rsidRPr="003827BE">
        <w:rPr>
          <w:color w:val="000000"/>
          <w:u w:val="single"/>
        </w:rPr>
        <w:t>,</w:t>
      </w:r>
      <w:r w:rsidR="003827BE" w:rsidRPr="003827BE">
        <w:rPr>
          <w:color w:val="000000"/>
        </w:rPr>
        <w:t xml:space="preserve"> </w:t>
      </w:r>
      <w:r w:rsidR="00214ABB" w:rsidRPr="003827BE">
        <w:rPr>
          <w:color w:val="000000"/>
        </w:rPr>
        <w:t>cuando</w:t>
      </w:r>
      <w:r w:rsidR="00214ABB">
        <w:rPr>
          <w:color w:val="000000"/>
        </w:rPr>
        <w:t xml:space="preserve"> las ausencias son menores al </w:t>
      </w:r>
      <w:r w:rsidR="00214ABB">
        <w:rPr>
          <w:color w:val="000000"/>
        </w:rPr>
        <w:t>25</w:t>
      </w:r>
      <w:r w:rsidR="00214ABB" w:rsidRPr="003827BE">
        <w:rPr>
          <w:color w:val="000000"/>
        </w:rPr>
        <w:t>%</w:t>
      </w:r>
      <w:r w:rsidR="003827BE" w:rsidRPr="003827BE">
        <w:rPr>
          <w:color w:val="000000"/>
        </w:rPr>
        <w:t xml:space="preserve">; </w:t>
      </w:r>
      <w:r w:rsidR="003827BE" w:rsidRPr="003827BE">
        <w:rPr>
          <w:color w:val="000000"/>
          <w:u w:val="single"/>
        </w:rPr>
        <w:t>a</w:t>
      </w:r>
      <w:r w:rsidR="00214ABB" w:rsidRPr="003827BE">
        <w:rPr>
          <w:color w:val="000000"/>
          <w:u w:val="single"/>
        </w:rPr>
        <w:t>bsentismo ocasional,</w:t>
      </w:r>
      <w:r w:rsidR="00214ABB" w:rsidRPr="003827BE">
        <w:rPr>
          <w:b/>
          <w:bCs/>
          <w:color w:val="000000"/>
          <w:u w:val="single"/>
        </w:rPr>
        <w:t xml:space="preserve"> </w:t>
      </w:r>
      <w:r w:rsidR="00603CEF">
        <w:rPr>
          <w:color w:val="000000"/>
        </w:rPr>
        <w:t>cuando las ausencias oscilan entre el 25% y el 50% de las clases</w:t>
      </w:r>
      <w:r w:rsidR="003827BE">
        <w:rPr>
          <w:color w:val="000000"/>
        </w:rPr>
        <w:t xml:space="preserve">; </w:t>
      </w:r>
      <w:r w:rsidR="00603CEF">
        <w:rPr>
          <w:color w:val="000000"/>
        </w:rPr>
        <w:t xml:space="preserve">y </w:t>
      </w:r>
      <w:r w:rsidR="003827BE" w:rsidRPr="003827BE">
        <w:rPr>
          <w:color w:val="000000"/>
          <w:u w:val="single"/>
        </w:rPr>
        <w:t>absentismo elevado</w:t>
      </w:r>
      <w:r w:rsidR="00603CEF" w:rsidRPr="003827BE">
        <w:rPr>
          <w:color w:val="000000"/>
          <w:u w:val="single"/>
        </w:rPr>
        <w:t>,</w:t>
      </w:r>
      <w:r w:rsidR="00603CEF">
        <w:rPr>
          <w:color w:val="000000"/>
        </w:rPr>
        <w:t xml:space="preserve"> cuando superan el 50%. </w:t>
      </w:r>
      <w:r w:rsidR="00117453">
        <w:rPr>
          <w:color w:val="000000"/>
        </w:rPr>
        <w:t>Por e</w:t>
      </w:r>
      <w:r w:rsidR="00D142F3">
        <w:rPr>
          <w:color w:val="000000"/>
        </w:rPr>
        <w:t xml:space="preserve">sta razón, </w:t>
      </w:r>
      <w:r w:rsidR="002417CD">
        <w:rPr>
          <w:color w:val="000000"/>
        </w:rPr>
        <w:t xml:space="preserve">el entorno escolar puede ser un escenario </w:t>
      </w:r>
      <w:r w:rsidR="00D142F3">
        <w:rPr>
          <w:color w:val="000000"/>
        </w:rPr>
        <w:t xml:space="preserve">clave </w:t>
      </w:r>
      <w:r w:rsidR="002417CD">
        <w:rPr>
          <w:color w:val="000000"/>
        </w:rPr>
        <w:t xml:space="preserve">para detectar las dificultades que presentan estos menores y </w:t>
      </w:r>
      <w:r w:rsidR="00D142F3">
        <w:rPr>
          <w:color w:val="000000"/>
        </w:rPr>
        <w:t xml:space="preserve">brindarles apoyo. </w:t>
      </w:r>
      <w:r w:rsidR="002417CD" w:rsidRPr="00462097">
        <w:rPr>
          <w:color w:val="000000"/>
        </w:rPr>
        <w:t xml:space="preserve">En este sentido, </w:t>
      </w:r>
      <w:r w:rsidR="00462097" w:rsidRPr="00462097">
        <w:rPr>
          <w:color w:val="000000"/>
        </w:rPr>
        <w:t>Rosser Limiñana, Suriá Martínez y Villegas Castrillo (2015)</w:t>
      </w:r>
      <w:r w:rsidR="00462097" w:rsidRPr="00462097">
        <w:rPr>
          <w:color w:val="000000"/>
        </w:rPr>
        <w:t xml:space="preserve"> </w:t>
      </w:r>
      <w:r w:rsidR="00D142F3">
        <w:rPr>
          <w:color w:val="000000"/>
        </w:rPr>
        <w:t xml:space="preserve">destacan la importancia del profesorado en la identificación </w:t>
      </w:r>
      <w:r w:rsidR="00462097">
        <w:rPr>
          <w:color w:val="000000"/>
        </w:rPr>
        <w:t xml:space="preserve">de problemas de adaptación escolar y en la atención </w:t>
      </w:r>
      <w:r w:rsidR="005D4280">
        <w:rPr>
          <w:color w:val="000000"/>
        </w:rPr>
        <w:t xml:space="preserve">a las necesidades </w:t>
      </w:r>
      <w:r w:rsidR="00462097">
        <w:rPr>
          <w:color w:val="000000"/>
        </w:rPr>
        <w:t xml:space="preserve">de los </w:t>
      </w:r>
      <w:r w:rsidR="001A50FC">
        <w:rPr>
          <w:color w:val="000000"/>
        </w:rPr>
        <w:t xml:space="preserve">menores, </w:t>
      </w:r>
      <w:r w:rsidR="005D4280">
        <w:rPr>
          <w:color w:val="000000"/>
        </w:rPr>
        <w:t>así</w:t>
      </w:r>
      <w:r w:rsidR="00462097">
        <w:rPr>
          <w:color w:val="000000"/>
        </w:rPr>
        <w:t xml:space="preserve"> como la </w:t>
      </w:r>
      <w:r w:rsidR="004B05C9">
        <w:rPr>
          <w:color w:val="000000"/>
        </w:rPr>
        <w:t>necesidad de que cuenten con formación especializada para intervenir en estos casos.</w:t>
      </w:r>
    </w:p>
    <w:p w14:paraId="1404B0B5" w14:textId="3B9846D2" w:rsidR="00BF0710" w:rsidRDefault="00E141B7" w:rsidP="00BF0710">
      <w:pPr>
        <w:spacing w:after="240" w:line="360" w:lineRule="auto"/>
        <w:jc w:val="both"/>
        <w:rPr>
          <w:color w:val="141413"/>
        </w:rPr>
      </w:pPr>
      <w:r>
        <w:rPr>
          <w:color w:val="000000"/>
        </w:rPr>
        <w:tab/>
        <w:t>De manera similar, Westra y Martin (1981) observaron que menores de entre dos y ocho años expuestos a este tipo de violencia obtuvieron puntuaciones significativamente más bajas que la población generan en habilidades de cálculo, verbales, motoras, así como en pruebas generales de capacidad intelectual</w:t>
      </w:r>
      <w:r w:rsidR="00BF0710">
        <w:rPr>
          <w:color w:val="000000"/>
        </w:rPr>
        <w:t xml:space="preserve">. Asimismo, </w:t>
      </w:r>
      <w:r w:rsidR="00BF0710" w:rsidRPr="000E7D72">
        <w:rPr>
          <w:color w:val="141413"/>
        </w:rPr>
        <w:t>Koenen,</w:t>
      </w:r>
      <w:r w:rsidR="00BF0710">
        <w:rPr>
          <w:color w:val="141413"/>
        </w:rPr>
        <w:t xml:space="preserve"> </w:t>
      </w:r>
      <w:r w:rsidR="00BF0710" w:rsidRPr="000E7D72">
        <w:rPr>
          <w:color w:val="141413"/>
        </w:rPr>
        <w:t>Moffitt, Caspi, Taylor y Purcell (2003)</w:t>
      </w:r>
      <w:r w:rsidR="00BF0710">
        <w:rPr>
          <w:color w:val="141413"/>
        </w:rPr>
        <w:t xml:space="preserve"> hallaron que estos niños presentaban, de media, ocho puntos menos en comparación con menores no expuestos. </w:t>
      </w:r>
    </w:p>
    <w:p w14:paraId="3CC71F32" w14:textId="06577456" w:rsidR="00525A02" w:rsidRDefault="001939B0" w:rsidP="00BA78E1">
      <w:pPr>
        <w:spacing w:after="240" w:line="360" w:lineRule="auto"/>
        <w:jc w:val="both"/>
        <w:rPr>
          <w:color w:val="000000"/>
        </w:rPr>
      </w:pPr>
      <w:r>
        <w:rPr>
          <w:color w:val="141413"/>
        </w:rPr>
        <w:tab/>
        <w:t xml:space="preserve">No obstante, la respuesta </w:t>
      </w:r>
      <w:r w:rsidR="00C74BA6">
        <w:rPr>
          <w:color w:val="141413"/>
        </w:rPr>
        <w:t>académica</w:t>
      </w:r>
      <w:r>
        <w:rPr>
          <w:color w:val="141413"/>
        </w:rPr>
        <w:t xml:space="preserve"> no siempre se traduce únicamente en fracaso o absentismo. Como otra </w:t>
      </w:r>
      <w:r w:rsidR="00D80E7C">
        <w:rPr>
          <w:color w:val="141413"/>
        </w:rPr>
        <w:t xml:space="preserve">cara de la moneda, algunos alumnos convierten la vida escolar en una </w:t>
      </w:r>
      <w:r w:rsidR="00C74BA6">
        <w:rPr>
          <w:color w:val="141413"/>
        </w:rPr>
        <w:t>vía</w:t>
      </w:r>
      <w:r w:rsidR="00D80E7C">
        <w:rPr>
          <w:color w:val="141413"/>
        </w:rPr>
        <w:t xml:space="preserve"> de evasión y refugio emocional. Este fenómeno, denominado hiperconcentración académica, se caracteriza por una dedicación excesiva a los estudios y un marcado perfeccionismo </w:t>
      </w:r>
      <w:r w:rsidR="00D80E7C">
        <w:rPr>
          <w:color w:val="000000"/>
        </w:rPr>
        <w:t>(Carracedo, 2015)</w:t>
      </w:r>
      <w:r w:rsidR="00D80E7C">
        <w:rPr>
          <w:color w:val="000000"/>
        </w:rPr>
        <w:t xml:space="preserve">. </w:t>
      </w:r>
      <w:r w:rsidR="004D1CEA">
        <w:rPr>
          <w:color w:val="000000"/>
        </w:rPr>
        <w:t xml:space="preserve">Em definitiva, no todos </w:t>
      </w:r>
      <w:r w:rsidR="00BA78E1">
        <w:rPr>
          <w:color w:val="000000"/>
        </w:rPr>
        <w:t xml:space="preserve">los menores </w:t>
      </w:r>
      <w:r w:rsidR="00BA78E1">
        <w:rPr>
          <w:color w:val="000000"/>
        </w:rPr>
        <w:lastRenderedPageBreak/>
        <w:t xml:space="preserve">responden igual: algunos muestran bajo rendimiento, mientras que otros exigen en exceso como forma de afrontar el malestar. </w:t>
      </w:r>
    </w:p>
    <w:p w14:paraId="212A241C" w14:textId="466B7FAE" w:rsidR="006903A3" w:rsidRPr="006903A3" w:rsidRDefault="006903A3" w:rsidP="006903A3">
      <w:pPr>
        <w:pStyle w:val="Prrafodelista"/>
        <w:numPr>
          <w:ilvl w:val="2"/>
          <w:numId w:val="3"/>
        </w:numPr>
        <w:spacing w:after="240" w:line="360" w:lineRule="auto"/>
        <w:jc w:val="both"/>
        <w:rPr>
          <w:b/>
          <w:bCs/>
          <w:color w:val="000000"/>
          <w:u w:val="single"/>
        </w:rPr>
      </w:pPr>
      <w:r w:rsidRPr="006903A3">
        <w:rPr>
          <w:b/>
          <w:bCs/>
          <w:color w:val="000000"/>
          <w:u w:val="single"/>
        </w:rPr>
        <w:t xml:space="preserve">Repercusiones clínicas y emocionales en el desarrollo infantil. </w:t>
      </w:r>
    </w:p>
    <w:p w14:paraId="70FF22DB" w14:textId="4C31212A" w:rsidR="00DE332A" w:rsidRDefault="00DB2D42" w:rsidP="00644B29">
      <w:pPr>
        <w:pStyle w:val="p1"/>
        <w:spacing w:line="360" w:lineRule="auto"/>
        <w:jc w:val="both"/>
        <w:rPr>
          <w:sz w:val="24"/>
          <w:szCs w:val="24"/>
        </w:rPr>
      </w:pPr>
      <w:r>
        <w:tab/>
      </w:r>
      <w:r w:rsidRPr="005F351F">
        <w:rPr>
          <w:sz w:val="24"/>
          <w:szCs w:val="24"/>
        </w:rPr>
        <w:t xml:space="preserve">Tras analizar los patrones de internalización y externalización, </w:t>
      </w:r>
      <w:r w:rsidR="008146EA" w:rsidRPr="005F351F">
        <w:rPr>
          <w:sz w:val="24"/>
          <w:szCs w:val="24"/>
        </w:rPr>
        <w:t xml:space="preserve">resulta relevante considerar las </w:t>
      </w:r>
      <w:r w:rsidRPr="005F351F">
        <w:rPr>
          <w:sz w:val="24"/>
          <w:szCs w:val="24"/>
        </w:rPr>
        <w:t xml:space="preserve">consecuencias </w:t>
      </w:r>
      <w:r w:rsidR="00F10AF1">
        <w:rPr>
          <w:sz w:val="24"/>
          <w:szCs w:val="24"/>
        </w:rPr>
        <w:t xml:space="preserve">que la exposición a </w:t>
      </w:r>
      <w:r w:rsidR="00C97F2D">
        <w:rPr>
          <w:sz w:val="24"/>
          <w:szCs w:val="24"/>
        </w:rPr>
        <w:t xml:space="preserve">la </w:t>
      </w:r>
      <w:r w:rsidR="00F10AF1">
        <w:rPr>
          <w:sz w:val="24"/>
          <w:szCs w:val="24"/>
        </w:rPr>
        <w:t xml:space="preserve">violencia de genero genera en los menores. La exposición prolongada a episodios violentos produce un impacto significativo en su desarrollo emocional y cognitivo En este sentido, </w:t>
      </w:r>
      <w:r w:rsidR="004A2D1A" w:rsidRPr="005F351F">
        <w:rPr>
          <w:sz w:val="24"/>
          <w:szCs w:val="24"/>
        </w:rPr>
        <w:t>Lizana (2014</w:t>
      </w:r>
      <w:r w:rsidR="004A2D1A" w:rsidRPr="005F351F">
        <w:rPr>
          <w:sz w:val="24"/>
          <w:szCs w:val="24"/>
        </w:rPr>
        <w:t xml:space="preserve">, como se citó en Riquelme et al., 2019) señala que, a menudo, estos niños desarrollan </w:t>
      </w:r>
      <w:r w:rsidR="00A271AD" w:rsidRPr="005F351F">
        <w:rPr>
          <w:sz w:val="24"/>
          <w:szCs w:val="24"/>
        </w:rPr>
        <w:t xml:space="preserve">síntomas propios de </w:t>
      </w:r>
      <w:r w:rsidR="004A2D1A" w:rsidRPr="005F351F">
        <w:rPr>
          <w:sz w:val="24"/>
          <w:szCs w:val="24"/>
        </w:rPr>
        <w:t xml:space="preserve">distintos </w:t>
      </w:r>
      <w:r w:rsidR="00A271AD" w:rsidRPr="005F351F">
        <w:rPr>
          <w:sz w:val="24"/>
          <w:szCs w:val="24"/>
        </w:rPr>
        <w:t>trastornos</w:t>
      </w:r>
      <w:r w:rsidR="00D67B36" w:rsidRPr="005F351F">
        <w:rPr>
          <w:sz w:val="24"/>
          <w:szCs w:val="24"/>
        </w:rPr>
        <w:t xml:space="preserve">, siendo el más </w:t>
      </w:r>
      <w:r w:rsidR="00B71769">
        <w:rPr>
          <w:sz w:val="24"/>
          <w:szCs w:val="24"/>
        </w:rPr>
        <w:t xml:space="preserve">frecuente </w:t>
      </w:r>
      <w:r w:rsidR="00D67B36" w:rsidRPr="005F351F">
        <w:rPr>
          <w:sz w:val="24"/>
          <w:szCs w:val="24"/>
        </w:rPr>
        <w:t xml:space="preserve">el </w:t>
      </w:r>
      <w:r w:rsidR="00F06497" w:rsidRPr="005F351F">
        <w:rPr>
          <w:sz w:val="24"/>
          <w:szCs w:val="24"/>
        </w:rPr>
        <w:t>Trastorno de Estrés Postraumático (TEPT)</w:t>
      </w:r>
      <w:r w:rsidR="00B71769">
        <w:rPr>
          <w:sz w:val="24"/>
          <w:szCs w:val="24"/>
        </w:rPr>
        <w:t xml:space="preserve">. Sus </w:t>
      </w:r>
      <w:r w:rsidR="00D67B36" w:rsidRPr="005F351F">
        <w:rPr>
          <w:sz w:val="24"/>
          <w:szCs w:val="24"/>
        </w:rPr>
        <w:t xml:space="preserve">criterios diagnósticos se encuentran </w:t>
      </w:r>
      <w:r w:rsidR="00F06497" w:rsidRPr="005F351F">
        <w:rPr>
          <w:sz w:val="24"/>
          <w:szCs w:val="24"/>
        </w:rPr>
        <w:t>recogidos en DSM-V</w:t>
      </w:r>
      <w:r w:rsidR="00503834" w:rsidRPr="005F351F">
        <w:rPr>
          <w:sz w:val="24"/>
          <w:szCs w:val="24"/>
        </w:rPr>
        <w:t xml:space="preserve"> (Manual Diagnóstico y Estadístico de trastornos mentales, </w:t>
      </w:r>
      <w:r w:rsidR="00536EEC" w:rsidRPr="005F351F">
        <w:rPr>
          <w:sz w:val="24"/>
          <w:szCs w:val="24"/>
        </w:rPr>
        <w:t>5ª. ed.; American Psychiatric Association, 2013)</w:t>
      </w:r>
      <w:r w:rsidR="00392C7D">
        <w:rPr>
          <w:sz w:val="24"/>
          <w:szCs w:val="24"/>
        </w:rPr>
        <w:t>, que clasifica esta problemática dentro de los trastornos relacionados</w:t>
      </w:r>
      <w:r w:rsidR="00392C7D">
        <w:rPr>
          <w:sz w:val="24"/>
          <w:szCs w:val="24"/>
        </w:rPr>
        <w:t xml:space="preserve"> con traumas y factores de estré</w:t>
      </w:r>
      <w:r w:rsidR="00392C7D">
        <w:rPr>
          <w:sz w:val="24"/>
          <w:szCs w:val="24"/>
        </w:rPr>
        <w:t xml:space="preserve">s. </w:t>
      </w:r>
      <w:r w:rsidR="00644B29">
        <w:rPr>
          <w:sz w:val="24"/>
          <w:szCs w:val="24"/>
        </w:rPr>
        <w:t xml:space="preserve">Para </w:t>
      </w:r>
      <w:r w:rsidR="00392C7D">
        <w:rPr>
          <w:sz w:val="24"/>
          <w:szCs w:val="24"/>
        </w:rPr>
        <w:t xml:space="preserve">su </w:t>
      </w:r>
      <w:r w:rsidR="00644B29">
        <w:rPr>
          <w:sz w:val="24"/>
          <w:szCs w:val="24"/>
        </w:rPr>
        <w:t xml:space="preserve">diagnóstico </w:t>
      </w:r>
      <w:r w:rsidR="00392C7D">
        <w:rPr>
          <w:sz w:val="24"/>
          <w:szCs w:val="24"/>
        </w:rPr>
        <w:t xml:space="preserve">se </w:t>
      </w:r>
      <w:r w:rsidR="00644B29">
        <w:rPr>
          <w:sz w:val="24"/>
          <w:szCs w:val="24"/>
        </w:rPr>
        <w:t>establecen cuatro grupos sintomatológicos básicos: intrusión, evitación, alteración de la alert</w:t>
      </w:r>
      <w:r w:rsidR="003A5EE7">
        <w:rPr>
          <w:sz w:val="24"/>
          <w:szCs w:val="24"/>
        </w:rPr>
        <w:t xml:space="preserve">a y la reactividad, y alteraciones cognitivas y del estado de </w:t>
      </w:r>
      <w:r w:rsidR="006903A3">
        <w:rPr>
          <w:sz w:val="24"/>
          <w:szCs w:val="24"/>
        </w:rPr>
        <w:t>ánimo</w:t>
      </w:r>
      <w:r w:rsidR="003A5EE7">
        <w:rPr>
          <w:sz w:val="24"/>
          <w:szCs w:val="24"/>
        </w:rPr>
        <w:t xml:space="preserve">. </w:t>
      </w:r>
    </w:p>
    <w:p w14:paraId="2924AFF5" w14:textId="77777777" w:rsidR="00392C7D" w:rsidRDefault="00392C7D" w:rsidP="00644B29">
      <w:pPr>
        <w:pStyle w:val="p1"/>
        <w:spacing w:line="360" w:lineRule="auto"/>
        <w:jc w:val="both"/>
        <w:rPr>
          <w:sz w:val="24"/>
          <w:szCs w:val="24"/>
        </w:rPr>
      </w:pPr>
    </w:p>
    <w:p w14:paraId="48E2C5EC" w14:textId="799A796C" w:rsidR="00392C7D" w:rsidRDefault="00392C7D" w:rsidP="00644B29">
      <w:pPr>
        <w:pStyle w:val="p1"/>
        <w:spacing w:line="360" w:lineRule="auto"/>
        <w:jc w:val="both"/>
        <w:rPr>
          <w:sz w:val="24"/>
          <w:szCs w:val="24"/>
        </w:rPr>
      </w:pPr>
      <w:r>
        <w:rPr>
          <w:sz w:val="24"/>
          <w:szCs w:val="24"/>
        </w:rPr>
        <w:tab/>
        <w:t xml:space="preserve">En población clínica, la prevalencia de sintomatología TEPT es superior en individuos expuestos a eventos vitales traumáticos. En el caso de los menores, especialmente en aquellos menores de seis años, se describen manifestaciones como recuerdos angustiosos recurrentes e intrusivos, sueños perturbadores, evitación persistente de actividades relacionadas con el trauma, así como esfuerzos por evitar pensamientos, emociones o estímulos asociados al suceso. Asimismo, en la primera infancia puede observarse un menor interés por participar en actividades, inhibición social y una disminución en la expresión de emociones positivas (Lizana, 2014). </w:t>
      </w:r>
    </w:p>
    <w:p w14:paraId="15A8F5F0" w14:textId="77777777" w:rsidR="00392C7D" w:rsidRDefault="00392C7D" w:rsidP="00644B29">
      <w:pPr>
        <w:pStyle w:val="p1"/>
        <w:spacing w:line="360" w:lineRule="auto"/>
        <w:jc w:val="both"/>
        <w:rPr>
          <w:sz w:val="24"/>
          <w:szCs w:val="24"/>
        </w:rPr>
      </w:pPr>
    </w:p>
    <w:p w14:paraId="40E6AFEB" w14:textId="38D24C91" w:rsidR="00392C7D" w:rsidRDefault="00392C7D" w:rsidP="00644B29">
      <w:pPr>
        <w:pStyle w:val="p1"/>
        <w:spacing w:line="360" w:lineRule="auto"/>
        <w:jc w:val="both"/>
        <w:rPr>
          <w:sz w:val="24"/>
          <w:szCs w:val="24"/>
        </w:rPr>
      </w:pPr>
      <w:r>
        <w:rPr>
          <w:sz w:val="24"/>
          <w:szCs w:val="24"/>
        </w:rPr>
        <w:tab/>
        <w:t xml:space="preserve">Una de las señales </w:t>
      </w:r>
      <w:r w:rsidR="00714CA4">
        <w:rPr>
          <w:sz w:val="24"/>
          <w:szCs w:val="24"/>
        </w:rPr>
        <w:t>más</w:t>
      </w:r>
      <w:r>
        <w:rPr>
          <w:sz w:val="24"/>
          <w:szCs w:val="24"/>
        </w:rPr>
        <w:t xml:space="preserve"> relevantes </w:t>
      </w:r>
      <w:r w:rsidR="003305EB">
        <w:rPr>
          <w:sz w:val="24"/>
          <w:szCs w:val="24"/>
        </w:rPr>
        <w:t xml:space="preserve">que los docentes pueden observar en el aula en menores con alta carga </w:t>
      </w:r>
      <w:r w:rsidR="00714CA4">
        <w:rPr>
          <w:sz w:val="24"/>
          <w:szCs w:val="24"/>
        </w:rPr>
        <w:t>traumática</w:t>
      </w:r>
      <w:r w:rsidR="00FA519E">
        <w:rPr>
          <w:sz w:val="24"/>
          <w:szCs w:val="24"/>
        </w:rPr>
        <w:t xml:space="preserve"> es la recreación del suceso a </w:t>
      </w:r>
      <w:r w:rsidR="00714CA4">
        <w:rPr>
          <w:sz w:val="24"/>
          <w:szCs w:val="24"/>
        </w:rPr>
        <w:t>través</w:t>
      </w:r>
      <w:r w:rsidR="00FA519E">
        <w:rPr>
          <w:sz w:val="24"/>
          <w:szCs w:val="24"/>
        </w:rPr>
        <w:t xml:space="preserve"> del juego, utilizando juguetes para representar escenas de </w:t>
      </w:r>
      <w:r w:rsidR="00714CA4">
        <w:rPr>
          <w:sz w:val="24"/>
          <w:szCs w:val="24"/>
        </w:rPr>
        <w:t>peligro</w:t>
      </w:r>
      <w:r w:rsidR="00FA519E">
        <w:rPr>
          <w:sz w:val="24"/>
          <w:szCs w:val="24"/>
        </w:rPr>
        <w:t xml:space="preserve"> o violencia</w:t>
      </w:r>
      <w:r w:rsidR="001C17C7">
        <w:rPr>
          <w:sz w:val="24"/>
          <w:szCs w:val="24"/>
        </w:rPr>
        <w:t xml:space="preserve"> vividos anteriormente.</w:t>
      </w:r>
      <w:r w:rsidR="00FA519E">
        <w:rPr>
          <w:sz w:val="24"/>
          <w:szCs w:val="24"/>
        </w:rPr>
        <w:t xml:space="preserve"> </w:t>
      </w:r>
      <w:r w:rsidR="00714CA4">
        <w:rPr>
          <w:sz w:val="24"/>
          <w:szCs w:val="24"/>
        </w:rPr>
        <w:t>Además</w:t>
      </w:r>
      <w:r w:rsidR="00305C1B">
        <w:rPr>
          <w:sz w:val="24"/>
          <w:szCs w:val="24"/>
        </w:rPr>
        <w:t xml:space="preserve">, en algunos </w:t>
      </w:r>
      <w:r w:rsidR="001C17C7">
        <w:rPr>
          <w:sz w:val="24"/>
          <w:szCs w:val="24"/>
        </w:rPr>
        <w:t xml:space="preserve">casos </w:t>
      </w:r>
      <w:r w:rsidR="00305C1B">
        <w:rPr>
          <w:sz w:val="24"/>
          <w:szCs w:val="24"/>
        </w:rPr>
        <w:t xml:space="preserve">pueden </w:t>
      </w:r>
      <w:r w:rsidR="00714CA4">
        <w:rPr>
          <w:sz w:val="24"/>
          <w:szCs w:val="24"/>
        </w:rPr>
        <w:t>aparecer</w:t>
      </w:r>
      <w:r w:rsidR="00305C1B">
        <w:rPr>
          <w:sz w:val="24"/>
          <w:szCs w:val="24"/>
        </w:rPr>
        <w:t xml:space="preserve"> </w:t>
      </w:r>
      <w:r w:rsidR="00714CA4">
        <w:rPr>
          <w:sz w:val="24"/>
          <w:szCs w:val="24"/>
        </w:rPr>
        <w:t>respuestas</w:t>
      </w:r>
      <w:r w:rsidR="00305C1B">
        <w:rPr>
          <w:sz w:val="24"/>
          <w:szCs w:val="24"/>
        </w:rPr>
        <w:t xml:space="preserve"> descontroladas, arrebatos emocionales y rabietas </w:t>
      </w:r>
      <w:r w:rsidR="00714CA4">
        <w:rPr>
          <w:sz w:val="24"/>
          <w:szCs w:val="24"/>
        </w:rPr>
        <w:t>in</w:t>
      </w:r>
      <w:r w:rsidR="001C17C7">
        <w:rPr>
          <w:sz w:val="24"/>
          <w:szCs w:val="24"/>
        </w:rPr>
        <w:t>tensas</w:t>
      </w:r>
      <w:r w:rsidR="00714CA4">
        <w:rPr>
          <w:sz w:val="24"/>
          <w:szCs w:val="24"/>
        </w:rPr>
        <w:t xml:space="preserve"> </w:t>
      </w:r>
      <w:r w:rsidR="00714CA4" w:rsidRPr="00E55B68">
        <w:rPr>
          <w:sz w:val="24"/>
          <w:szCs w:val="24"/>
        </w:rPr>
        <w:t>(Howell y Graham-</w:t>
      </w:r>
      <w:proofErr w:type="spellStart"/>
      <w:r w:rsidR="00714CA4" w:rsidRPr="00E55B68">
        <w:rPr>
          <w:sz w:val="24"/>
          <w:szCs w:val="24"/>
        </w:rPr>
        <w:t>Bermann</w:t>
      </w:r>
      <w:proofErr w:type="spellEnd"/>
      <w:r w:rsidR="00714CA4" w:rsidRPr="00E55B68">
        <w:rPr>
          <w:sz w:val="24"/>
          <w:szCs w:val="24"/>
        </w:rPr>
        <w:t>, 2011)</w:t>
      </w:r>
      <w:r w:rsidR="00714CA4">
        <w:rPr>
          <w:sz w:val="24"/>
          <w:szCs w:val="24"/>
        </w:rPr>
        <w:t>.</w:t>
      </w:r>
      <w:r w:rsidR="00714CA4">
        <w:rPr>
          <w:sz w:val="24"/>
          <w:szCs w:val="24"/>
        </w:rPr>
        <w:t xml:space="preserve"> Al tratarse de experiencias prolongadas e impredecibles, </w:t>
      </w:r>
      <w:proofErr w:type="spellStart"/>
      <w:r w:rsidR="00714CA4">
        <w:rPr>
          <w:sz w:val="24"/>
          <w:szCs w:val="24"/>
        </w:rPr>
        <w:t>Glomean</w:t>
      </w:r>
      <w:proofErr w:type="spellEnd"/>
      <w:r w:rsidR="00714CA4">
        <w:rPr>
          <w:sz w:val="24"/>
          <w:szCs w:val="24"/>
        </w:rPr>
        <w:t xml:space="preserve"> (1996)</w:t>
      </w:r>
      <w:r w:rsidR="00210E34">
        <w:rPr>
          <w:sz w:val="24"/>
          <w:szCs w:val="24"/>
        </w:rPr>
        <w:t xml:space="preserve"> describe este fenómeno como una </w:t>
      </w:r>
      <w:r w:rsidR="00FD162E">
        <w:rPr>
          <w:sz w:val="24"/>
          <w:szCs w:val="24"/>
        </w:rPr>
        <w:t>especie</w:t>
      </w:r>
      <w:r w:rsidR="00210E34">
        <w:rPr>
          <w:sz w:val="24"/>
          <w:szCs w:val="24"/>
        </w:rPr>
        <w:t xml:space="preserve"> de “secuestro emocional”, que puede desembocarse en estados persistentes de ansiedad y tristeza. </w:t>
      </w:r>
    </w:p>
    <w:p w14:paraId="3D1B3C7B" w14:textId="77777777" w:rsidR="00210E34" w:rsidRDefault="00210E34" w:rsidP="00644B29">
      <w:pPr>
        <w:pStyle w:val="p1"/>
        <w:spacing w:line="360" w:lineRule="auto"/>
        <w:jc w:val="both"/>
        <w:rPr>
          <w:sz w:val="24"/>
          <w:szCs w:val="24"/>
        </w:rPr>
      </w:pPr>
    </w:p>
    <w:p w14:paraId="191F7D01" w14:textId="1E1F5625" w:rsidR="00302C2D" w:rsidRDefault="00210E34" w:rsidP="00644B29">
      <w:pPr>
        <w:pStyle w:val="p1"/>
        <w:spacing w:line="360" w:lineRule="auto"/>
        <w:jc w:val="both"/>
        <w:rPr>
          <w:sz w:val="24"/>
          <w:szCs w:val="24"/>
        </w:rPr>
      </w:pPr>
      <w:r>
        <w:rPr>
          <w:sz w:val="24"/>
          <w:szCs w:val="24"/>
        </w:rPr>
        <w:tab/>
        <w:t>Por otro lado, se ha observado que los menores xpuestos a experiencias traumáticas crónicas</w:t>
      </w:r>
      <w:r w:rsidR="00FD162E">
        <w:rPr>
          <w:sz w:val="24"/>
          <w:szCs w:val="24"/>
        </w:rPr>
        <w:t xml:space="preserve">, como ocurre en la </w:t>
      </w:r>
      <w:r>
        <w:rPr>
          <w:sz w:val="24"/>
          <w:szCs w:val="24"/>
        </w:rPr>
        <w:t xml:space="preserve">violencia de </w:t>
      </w:r>
      <w:r w:rsidR="00F631C1">
        <w:rPr>
          <w:sz w:val="24"/>
          <w:szCs w:val="24"/>
        </w:rPr>
        <w:t>género</w:t>
      </w:r>
      <w:r w:rsidR="00FD162E">
        <w:rPr>
          <w:sz w:val="24"/>
          <w:szCs w:val="24"/>
        </w:rPr>
        <w:t xml:space="preserve">, </w:t>
      </w:r>
      <w:r>
        <w:rPr>
          <w:sz w:val="24"/>
          <w:szCs w:val="24"/>
        </w:rPr>
        <w:t xml:space="preserve">pueden presentar una sintomatología adicional que no queda plenamente recogida dentro del diagnóstico de TEPT. Por ello, se ha </w:t>
      </w:r>
      <w:r w:rsidR="00F631C1">
        <w:rPr>
          <w:sz w:val="24"/>
          <w:szCs w:val="24"/>
        </w:rPr>
        <w:t xml:space="preserve">propuesto </w:t>
      </w:r>
      <w:r>
        <w:rPr>
          <w:sz w:val="24"/>
          <w:szCs w:val="24"/>
        </w:rPr>
        <w:t>una nueva categoría clínica bajo el concepto de TEPT Complejo o DESNOS (</w:t>
      </w:r>
      <w:r>
        <w:rPr>
          <w:sz w:val="24"/>
          <w:szCs w:val="24"/>
        </w:rPr>
        <w:t xml:space="preserve">disorders </w:t>
      </w:r>
      <w:proofErr w:type="spellStart"/>
      <w:r>
        <w:rPr>
          <w:sz w:val="24"/>
          <w:szCs w:val="24"/>
        </w:rPr>
        <w:t>of</w:t>
      </w:r>
      <w:proofErr w:type="spellEnd"/>
      <w:r>
        <w:rPr>
          <w:sz w:val="24"/>
          <w:szCs w:val="24"/>
        </w:rPr>
        <w:t xml:space="preserve"> extreme stress </w:t>
      </w:r>
      <w:proofErr w:type="spellStart"/>
      <w:r>
        <w:rPr>
          <w:sz w:val="24"/>
          <w:szCs w:val="24"/>
        </w:rPr>
        <w:t>not</w:t>
      </w:r>
      <w:proofErr w:type="spellEnd"/>
      <w:r>
        <w:rPr>
          <w:sz w:val="24"/>
          <w:szCs w:val="24"/>
        </w:rPr>
        <w:t xml:space="preserve"> </w:t>
      </w:r>
      <w:proofErr w:type="spellStart"/>
      <w:r>
        <w:rPr>
          <w:sz w:val="24"/>
          <w:szCs w:val="24"/>
        </w:rPr>
        <w:t>otherwhise</w:t>
      </w:r>
      <w:proofErr w:type="spellEnd"/>
      <w:r>
        <w:rPr>
          <w:sz w:val="24"/>
          <w:szCs w:val="24"/>
        </w:rPr>
        <w:t xml:space="preserve"> </w:t>
      </w:r>
      <w:proofErr w:type="spellStart"/>
      <w:r>
        <w:rPr>
          <w:sz w:val="24"/>
          <w:szCs w:val="24"/>
        </w:rPr>
        <w:t>specified</w:t>
      </w:r>
      <w:proofErr w:type="spellEnd"/>
      <w:r>
        <w:rPr>
          <w:sz w:val="24"/>
          <w:szCs w:val="24"/>
        </w:rPr>
        <w:t xml:space="preserve"> (citado por Imaz Montes &amp; Martínez Váquez, 2023). </w:t>
      </w:r>
      <w:r w:rsidR="00F631C1">
        <w:rPr>
          <w:sz w:val="24"/>
          <w:szCs w:val="24"/>
        </w:rPr>
        <w:t>E</w:t>
      </w:r>
      <w:r>
        <w:rPr>
          <w:sz w:val="24"/>
          <w:szCs w:val="24"/>
        </w:rPr>
        <w:t xml:space="preserve">n contraste, cuando la violencia se produce de manera intermitente, algunos menores podrían atravesar periodos de menor estrés y mostrar un </w:t>
      </w:r>
      <w:r w:rsidR="00FF276D">
        <w:rPr>
          <w:sz w:val="24"/>
          <w:szCs w:val="24"/>
        </w:rPr>
        <w:t>funcionamiento</w:t>
      </w:r>
      <w:r w:rsidR="00302C2D">
        <w:rPr>
          <w:sz w:val="24"/>
          <w:szCs w:val="24"/>
        </w:rPr>
        <w:t xml:space="preserve"> </w:t>
      </w:r>
      <w:r w:rsidR="00FF276D">
        <w:rPr>
          <w:sz w:val="24"/>
          <w:szCs w:val="24"/>
        </w:rPr>
        <w:t>relativamente</w:t>
      </w:r>
      <w:r w:rsidR="00302C2D">
        <w:rPr>
          <w:sz w:val="24"/>
          <w:szCs w:val="24"/>
        </w:rPr>
        <w:t xml:space="preserve"> </w:t>
      </w:r>
      <w:r w:rsidR="00FF276D">
        <w:rPr>
          <w:sz w:val="24"/>
          <w:szCs w:val="24"/>
        </w:rPr>
        <w:t>más</w:t>
      </w:r>
      <w:r w:rsidR="00302C2D">
        <w:rPr>
          <w:sz w:val="24"/>
          <w:szCs w:val="24"/>
        </w:rPr>
        <w:t xml:space="preserve"> estable. Sin </w:t>
      </w:r>
      <w:r w:rsidR="00FF276D">
        <w:rPr>
          <w:sz w:val="24"/>
          <w:szCs w:val="24"/>
        </w:rPr>
        <w:t>embargo</w:t>
      </w:r>
      <w:r w:rsidR="00302C2D">
        <w:rPr>
          <w:sz w:val="24"/>
          <w:szCs w:val="24"/>
        </w:rPr>
        <w:t xml:space="preserve">, esta intermitencia no elimina el riesgo, ya que el menor </w:t>
      </w:r>
      <w:r w:rsidR="003E6DF5">
        <w:rPr>
          <w:sz w:val="24"/>
          <w:szCs w:val="24"/>
        </w:rPr>
        <w:t>continúa</w:t>
      </w:r>
      <w:r w:rsidR="00302C2D">
        <w:rPr>
          <w:sz w:val="24"/>
          <w:szCs w:val="24"/>
        </w:rPr>
        <w:t xml:space="preserve"> </w:t>
      </w:r>
      <w:r w:rsidR="00FF276D">
        <w:rPr>
          <w:sz w:val="24"/>
          <w:szCs w:val="24"/>
        </w:rPr>
        <w:t>desarrollándose</w:t>
      </w:r>
      <w:r w:rsidR="00302C2D">
        <w:rPr>
          <w:sz w:val="24"/>
          <w:szCs w:val="24"/>
        </w:rPr>
        <w:t xml:space="preserve"> en un entorno </w:t>
      </w:r>
      <w:r w:rsidR="00FF276D">
        <w:rPr>
          <w:sz w:val="24"/>
          <w:szCs w:val="24"/>
        </w:rPr>
        <w:t>desprotegido</w:t>
      </w:r>
      <w:r w:rsidR="00302C2D">
        <w:rPr>
          <w:sz w:val="24"/>
          <w:szCs w:val="24"/>
        </w:rPr>
        <w:t xml:space="preserve">. En este sentido, diversos estudios destacan que el rol protector de </w:t>
      </w:r>
      <w:r w:rsidR="00FF276D">
        <w:rPr>
          <w:sz w:val="24"/>
          <w:szCs w:val="24"/>
        </w:rPr>
        <w:t>la madre</w:t>
      </w:r>
      <w:r w:rsidR="00302C2D">
        <w:rPr>
          <w:sz w:val="24"/>
          <w:szCs w:val="24"/>
        </w:rPr>
        <w:t xml:space="preserve"> puede reducir la </w:t>
      </w:r>
      <w:r w:rsidR="00CA3B2F">
        <w:rPr>
          <w:sz w:val="24"/>
          <w:szCs w:val="24"/>
        </w:rPr>
        <w:t>probabilidad</w:t>
      </w:r>
      <w:r w:rsidR="00302C2D">
        <w:rPr>
          <w:sz w:val="24"/>
          <w:szCs w:val="24"/>
        </w:rPr>
        <w:t xml:space="preserve"> </w:t>
      </w:r>
      <w:r w:rsidR="00CA3B2F">
        <w:rPr>
          <w:sz w:val="24"/>
          <w:szCs w:val="24"/>
        </w:rPr>
        <w:t>de sufrir a</w:t>
      </w:r>
      <w:r w:rsidR="00302C2D">
        <w:rPr>
          <w:sz w:val="24"/>
          <w:szCs w:val="24"/>
        </w:rPr>
        <w:t xml:space="preserve">lteraciones psicológicas </w:t>
      </w:r>
      <w:r w:rsidR="00CA3B2F">
        <w:rPr>
          <w:sz w:val="24"/>
          <w:szCs w:val="24"/>
        </w:rPr>
        <w:t>más</w:t>
      </w:r>
      <w:r w:rsidR="00302C2D">
        <w:rPr>
          <w:sz w:val="24"/>
          <w:szCs w:val="24"/>
        </w:rPr>
        <w:t xml:space="preserve"> graves en los niños </w:t>
      </w:r>
      <w:r w:rsidR="00302C2D" w:rsidRPr="003C0CBE">
        <w:rPr>
          <w:sz w:val="24"/>
          <w:szCs w:val="24"/>
        </w:rPr>
        <w:t>(</w:t>
      </w:r>
      <w:proofErr w:type="spellStart"/>
      <w:r w:rsidR="00302C2D" w:rsidRPr="003C0CBE">
        <w:rPr>
          <w:sz w:val="24"/>
          <w:szCs w:val="24"/>
        </w:rPr>
        <w:t>Fong</w:t>
      </w:r>
      <w:proofErr w:type="spellEnd"/>
      <w:r w:rsidR="00302C2D" w:rsidRPr="003C0CBE">
        <w:rPr>
          <w:sz w:val="24"/>
          <w:szCs w:val="24"/>
        </w:rPr>
        <w:t>, Hawes, &amp; Allen, 2017; Manning,</w:t>
      </w:r>
      <w:r w:rsidR="00302C2D">
        <w:rPr>
          <w:sz w:val="24"/>
          <w:szCs w:val="24"/>
        </w:rPr>
        <w:t xml:space="preserve"> </w:t>
      </w:r>
      <w:r w:rsidR="00302C2D" w:rsidRPr="00963323">
        <w:rPr>
          <w:sz w:val="24"/>
          <w:szCs w:val="24"/>
        </w:rPr>
        <w:t xml:space="preserve">Davies, &amp; </w:t>
      </w:r>
      <w:proofErr w:type="spellStart"/>
      <w:r w:rsidR="00302C2D" w:rsidRPr="00963323">
        <w:rPr>
          <w:sz w:val="24"/>
          <w:szCs w:val="24"/>
        </w:rPr>
        <w:t>Cicchetti</w:t>
      </w:r>
      <w:proofErr w:type="spellEnd"/>
      <w:r w:rsidR="00302C2D" w:rsidRPr="00963323">
        <w:rPr>
          <w:sz w:val="24"/>
          <w:szCs w:val="24"/>
        </w:rPr>
        <w:t>, 2014).</w:t>
      </w:r>
    </w:p>
    <w:p w14:paraId="2764F4A2" w14:textId="3AA43CFF" w:rsidR="00DD327B" w:rsidRDefault="00302C2D" w:rsidP="00E835C9">
      <w:pPr>
        <w:pStyle w:val="NormalWeb"/>
        <w:spacing w:before="200" w:beforeAutospacing="0" w:after="240" w:afterAutospacing="0" w:line="360" w:lineRule="auto"/>
        <w:ind w:firstLine="360"/>
        <w:jc w:val="both"/>
        <w:rPr>
          <w:color w:val="000000"/>
        </w:rPr>
      </w:pPr>
      <w:r>
        <w:tab/>
        <w:t xml:space="preserve">Es </w:t>
      </w:r>
      <w:r w:rsidR="00CA3B2F">
        <w:t>importante señalar</w:t>
      </w:r>
      <w:r>
        <w:t xml:space="preserve"> que crecer en </w:t>
      </w:r>
      <w:r w:rsidR="00CA3B2F">
        <w:t xml:space="preserve">contextos </w:t>
      </w:r>
      <w:r>
        <w:t xml:space="preserve">con </w:t>
      </w:r>
      <w:r w:rsidR="00CA3B2F">
        <w:t>estas</w:t>
      </w:r>
      <w:r>
        <w:t xml:space="preserve"> </w:t>
      </w:r>
      <w:r w:rsidR="00CA3B2F">
        <w:t>características</w:t>
      </w:r>
      <w:r>
        <w:t xml:space="preserve"> </w:t>
      </w:r>
      <w:r w:rsidR="00CA3B2F">
        <w:t xml:space="preserve">puede favorecer el desarrollo de un </w:t>
      </w:r>
      <w:r>
        <w:t>apego desorganizado</w:t>
      </w:r>
      <w:r w:rsidR="001E1741">
        <w:t xml:space="preserve">, </w:t>
      </w:r>
      <w:r w:rsidR="001E1741">
        <w:rPr>
          <w:color w:val="000000"/>
        </w:rPr>
        <w:t>en el que l</w:t>
      </w:r>
      <w:r w:rsidR="001E1741" w:rsidRPr="00F93632">
        <w:rPr>
          <w:color w:val="000000"/>
        </w:rPr>
        <w:t>a figura del cuidador</w:t>
      </w:r>
      <w:r w:rsidR="001E1741">
        <w:rPr>
          <w:color w:val="000000"/>
        </w:rPr>
        <w:t xml:space="preserve"> (padre)</w:t>
      </w:r>
      <w:r w:rsidR="001E1741" w:rsidRPr="00F93632">
        <w:rPr>
          <w:color w:val="000000"/>
        </w:rPr>
        <w:t xml:space="preserve"> </w:t>
      </w:r>
      <w:r w:rsidR="001E1741">
        <w:rPr>
          <w:color w:val="000000"/>
        </w:rPr>
        <w:t xml:space="preserve">representa al mismo tiempo una fuente de seguridad y de peligro para el menor. Es decir, el </w:t>
      </w:r>
      <w:r w:rsidR="000776A8">
        <w:rPr>
          <w:color w:val="000000"/>
        </w:rPr>
        <w:t xml:space="preserve">niño necesita protección, pero a la vez teme a esa figura, lo que genera una contradicción interna </w:t>
      </w:r>
      <w:r w:rsidR="00477F26">
        <w:rPr>
          <w:color w:val="000000"/>
        </w:rPr>
        <w:t xml:space="preserve">en el propio </w:t>
      </w:r>
      <w:r w:rsidR="00E835C9">
        <w:rPr>
          <w:color w:val="000000"/>
        </w:rPr>
        <w:t>menor (</w:t>
      </w:r>
      <w:proofErr w:type="spellStart"/>
      <w:r w:rsidR="001E1741" w:rsidRPr="00F93632">
        <w:rPr>
          <w:color w:val="000000"/>
        </w:rPr>
        <w:t>Barud</w:t>
      </w:r>
      <w:proofErr w:type="spellEnd"/>
      <w:r w:rsidR="001E1741" w:rsidRPr="00F93632">
        <w:rPr>
          <w:color w:val="000000"/>
        </w:rPr>
        <w:t xml:space="preserve"> y </w:t>
      </w:r>
      <w:proofErr w:type="spellStart"/>
      <w:r w:rsidR="001E1741" w:rsidRPr="00F93632">
        <w:rPr>
          <w:color w:val="000000"/>
        </w:rPr>
        <w:t>Dantagma</w:t>
      </w:r>
      <w:proofErr w:type="spellEnd"/>
      <w:r w:rsidR="001E1741" w:rsidRPr="00F93632">
        <w:rPr>
          <w:color w:val="000000"/>
        </w:rPr>
        <w:t xml:space="preserve">, 2005). </w:t>
      </w:r>
      <w:r>
        <w:t xml:space="preserve">Para comprender este </w:t>
      </w:r>
      <w:r w:rsidR="00477F26">
        <w:t>vínculo</w:t>
      </w:r>
      <w:r>
        <w:t xml:space="preserve"> resulta fundamental recurrir a la </w:t>
      </w:r>
      <w:r w:rsidR="00E835C9">
        <w:t>Teoría</w:t>
      </w:r>
      <w:r>
        <w:t xml:space="preserve"> del Apego, formulada por John </w:t>
      </w:r>
      <w:r w:rsidR="00E835C9">
        <w:t>Bowlby</w:t>
      </w:r>
      <w:r>
        <w:t xml:space="preserve"> y </w:t>
      </w:r>
      <w:r w:rsidR="00E835C9">
        <w:t>desarrollada</w:t>
      </w:r>
      <w:r>
        <w:t xml:space="preserve"> posteriormente por </w:t>
      </w:r>
      <w:r w:rsidRPr="00302C2D">
        <w:t xml:space="preserve">Mary </w:t>
      </w:r>
      <w:r w:rsidRPr="00302C2D">
        <w:rPr>
          <w:color w:val="000000"/>
        </w:rPr>
        <w:t>Ainsworth</w:t>
      </w:r>
      <w:r>
        <w:t xml:space="preserve">, considerada uno de los planteamientos teóricos </w:t>
      </w:r>
      <w:r w:rsidR="00E835C9">
        <w:t>más</w:t>
      </w:r>
      <w:r>
        <w:t xml:space="preserve"> </w:t>
      </w:r>
      <w:r w:rsidR="00E835C9">
        <w:t>sólidos</w:t>
      </w:r>
      <w:r>
        <w:t xml:space="preserve"> en el ámbito del desarrollo socioemocional. </w:t>
      </w:r>
    </w:p>
    <w:p w14:paraId="371F3DDD" w14:textId="32F218BF" w:rsidR="00F64C67" w:rsidRPr="00F64C67" w:rsidRDefault="00F64C67" w:rsidP="00E835C9">
      <w:pPr>
        <w:pStyle w:val="NormalWeb"/>
        <w:numPr>
          <w:ilvl w:val="2"/>
          <w:numId w:val="3"/>
        </w:numPr>
        <w:spacing w:before="0" w:beforeAutospacing="0" w:after="0" w:afterAutospacing="0" w:line="360" w:lineRule="auto"/>
        <w:jc w:val="both"/>
        <w:textAlignment w:val="baseline"/>
        <w:rPr>
          <w:color w:val="000000"/>
        </w:rPr>
      </w:pPr>
      <w:r w:rsidRPr="00AF6056">
        <w:rPr>
          <w:b/>
          <w:bCs/>
          <w:color w:val="000000"/>
          <w:u w:val="single"/>
        </w:rPr>
        <w:t xml:space="preserve">Teorías </w:t>
      </w:r>
      <w:r w:rsidR="008D7B52">
        <w:rPr>
          <w:b/>
          <w:bCs/>
          <w:color w:val="000000"/>
          <w:u w:val="single"/>
        </w:rPr>
        <w:t xml:space="preserve">criminológicas </w:t>
      </w:r>
      <w:r w:rsidRPr="00AF6056">
        <w:rPr>
          <w:b/>
          <w:bCs/>
          <w:color w:val="000000"/>
          <w:u w:val="single"/>
        </w:rPr>
        <w:t xml:space="preserve">y conceptos relevantes. </w:t>
      </w:r>
    </w:p>
    <w:p w14:paraId="1B63645F" w14:textId="77777777" w:rsidR="00A60530" w:rsidRDefault="004857FB" w:rsidP="00A60530">
      <w:pPr>
        <w:spacing w:after="240" w:line="360" w:lineRule="auto"/>
        <w:ind w:firstLine="360"/>
        <w:jc w:val="both"/>
        <w:rPr>
          <w:color w:val="000000"/>
        </w:rPr>
      </w:pPr>
      <w:proofErr w:type="spellStart"/>
      <w:r w:rsidRPr="008A7E6F">
        <w:rPr>
          <w:color w:val="000000"/>
        </w:rPr>
        <w:t>Shakoor</w:t>
      </w:r>
      <w:proofErr w:type="spellEnd"/>
      <w:r w:rsidRPr="008A7E6F">
        <w:rPr>
          <w:color w:val="000000"/>
        </w:rPr>
        <w:t xml:space="preserve"> y Chalmers et al. (1991)</w:t>
      </w:r>
      <w:r w:rsidR="001D0305">
        <w:rPr>
          <w:color w:val="000000"/>
        </w:rPr>
        <w:t xml:space="preserve"> encontraron </w:t>
      </w:r>
      <w:r>
        <w:rPr>
          <w:color w:val="000000"/>
        </w:rPr>
        <w:t xml:space="preserve">que los jóvenes </w:t>
      </w:r>
      <w:r w:rsidRPr="008A7E6F">
        <w:rPr>
          <w:color w:val="000000"/>
        </w:rPr>
        <w:t>de entre 10 y 18 años que habían sido testigos de violencia de género tenían más probabilidades de convertirse en agresores</w:t>
      </w:r>
      <w:r>
        <w:rPr>
          <w:color w:val="000000"/>
        </w:rPr>
        <w:t xml:space="preserve"> </w:t>
      </w:r>
      <w:r w:rsidRPr="008A7E6F">
        <w:rPr>
          <w:color w:val="000000"/>
        </w:rPr>
        <w:t xml:space="preserve">en comparación con aquellos que no habían </w:t>
      </w:r>
      <w:r>
        <w:rPr>
          <w:color w:val="000000"/>
        </w:rPr>
        <w:t xml:space="preserve">estado </w:t>
      </w:r>
      <w:r w:rsidRPr="008A7E6F">
        <w:rPr>
          <w:color w:val="000000"/>
        </w:rPr>
        <w:t>expuestos a este tipo de violencia.</w:t>
      </w:r>
      <w:r w:rsidR="00BE0B09">
        <w:rPr>
          <w:color w:val="000000"/>
        </w:rPr>
        <w:t xml:space="preserve"> Este fenómeno puede explicarse a través de diversas teorías criminológica</w:t>
      </w:r>
      <w:r w:rsidR="0095756D">
        <w:rPr>
          <w:color w:val="000000"/>
        </w:rPr>
        <w:t xml:space="preserve">s: </w:t>
      </w:r>
    </w:p>
    <w:p w14:paraId="0B03ADF0" w14:textId="2F6A4846" w:rsidR="0085410E" w:rsidRPr="002C4FD1" w:rsidRDefault="0095756D" w:rsidP="002C4FD1">
      <w:pPr>
        <w:spacing w:after="240" w:line="360" w:lineRule="auto"/>
        <w:ind w:firstLine="360"/>
        <w:jc w:val="both"/>
        <w:rPr>
          <w:color w:val="000000"/>
        </w:rPr>
      </w:pPr>
      <w:r>
        <w:rPr>
          <w:color w:val="000000"/>
        </w:rPr>
        <w:t xml:space="preserve">Una de las principales teorías </w:t>
      </w:r>
      <w:r w:rsidR="00E22110">
        <w:rPr>
          <w:color w:val="000000"/>
        </w:rPr>
        <w:t xml:space="preserve">criminológicas que fundamenta por qué los menores pueden replicar las conductas observadas en su entorno es la </w:t>
      </w:r>
      <w:r w:rsidR="00E22110" w:rsidRPr="00E22110">
        <w:rPr>
          <w:color w:val="000000"/>
          <w:u w:val="single"/>
        </w:rPr>
        <w:t xml:space="preserve">Teoría del Aprendizaje Social </w:t>
      </w:r>
      <w:r w:rsidR="00E22110" w:rsidRPr="00C85A41">
        <w:rPr>
          <w:i/>
          <w:iCs/>
          <w:color w:val="000000"/>
          <w:u w:val="single"/>
        </w:rPr>
        <w:t xml:space="preserve">(Social </w:t>
      </w:r>
      <w:proofErr w:type="spellStart"/>
      <w:r w:rsidR="00E22110" w:rsidRPr="00C85A41">
        <w:rPr>
          <w:i/>
          <w:iCs/>
          <w:color w:val="000000"/>
          <w:u w:val="single"/>
        </w:rPr>
        <w:t>Learning</w:t>
      </w:r>
      <w:proofErr w:type="spellEnd"/>
      <w:r w:rsidR="00E22110" w:rsidRPr="00C85A41">
        <w:rPr>
          <w:i/>
          <w:iCs/>
          <w:color w:val="000000"/>
          <w:u w:val="single"/>
        </w:rPr>
        <w:t xml:space="preserve"> </w:t>
      </w:r>
      <w:proofErr w:type="spellStart"/>
      <w:r w:rsidR="00E22110" w:rsidRPr="00C85A41">
        <w:rPr>
          <w:i/>
          <w:iCs/>
          <w:color w:val="000000"/>
          <w:u w:val="single"/>
        </w:rPr>
        <w:t>Theory</w:t>
      </w:r>
      <w:proofErr w:type="spellEnd"/>
      <w:r w:rsidR="00E22110" w:rsidRPr="00C85A41">
        <w:rPr>
          <w:i/>
          <w:iCs/>
          <w:color w:val="000000"/>
          <w:u w:val="single"/>
        </w:rPr>
        <w:t>)</w:t>
      </w:r>
      <w:r w:rsidR="00E22110" w:rsidRPr="00C85A41">
        <w:rPr>
          <w:color w:val="000000"/>
          <w:u w:val="single"/>
        </w:rPr>
        <w:t xml:space="preserve"> propuesta por Albert Bandura (1977).</w:t>
      </w:r>
      <w:r w:rsidR="00E22110">
        <w:rPr>
          <w:color w:val="000000"/>
        </w:rPr>
        <w:t xml:space="preserve"> </w:t>
      </w:r>
      <w:r w:rsidR="00F64C67">
        <w:rPr>
          <w:color w:val="000000"/>
        </w:rPr>
        <w:t xml:space="preserve">Según </w:t>
      </w:r>
      <w:r w:rsidR="00E22110">
        <w:rPr>
          <w:color w:val="000000"/>
        </w:rPr>
        <w:t>este modelo</w:t>
      </w:r>
      <w:r w:rsidR="00F64C67">
        <w:rPr>
          <w:color w:val="000000"/>
        </w:rPr>
        <w:t xml:space="preserve">, la </w:t>
      </w:r>
      <w:r w:rsidR="008A29AD">
        <w:rPr>
          <w:color w:val="000000"/>
        </w:rPr>
        <w:t xml:space="preserve">observación constituye un mecanismo central en el aprendizaje conductual, ya que </w:t>
      </w:r>
      <w:r w:rsidR="00F64C67" w:rsidRPr="00F93632">
        <w:rPr>
          <w:color w:val="000000"/>
        </w:rPr>
        <w:t>los menores tienden a imitar las acciones de aquell</w:t>
      </w:r>
      <w:r w:rsidR="008A29AD">
        <w:rPr>
          <w:color w:val="000000"/>
        </w:rPr>
        <w:t xml:space="preserve">as figuras </w:t>
      </w:r>
      <w:r w:rsidR="00F64C67">
        <w:rPr>
          <w:color w:val="000000"/>
        </w:rPr>
        <w:t xml:space="preserve">que </w:t>
      </w:r>
      <w:r w:rsidR="00F64C67" w:rsidRPr="00F93632">
        <w:rPr>
          <w:color w:val="000000"/>
        </w:rPr>
        <w:t>consideran modelos significativos</w:t>
      </w:r>
      <w:r w:rsidR="008A29AD">
        <w:rPr>
          <w:color w:val="000000"/>
        </w:rPr>
        <w:t xml:space="preserve"> dentro de su contexto familiar y social. </w:t>
      </w:r>
      <w:r w:rsidR="00F64C67" w:rsidRPr="00F93632">
        <w:rPr>
          <w:color w:val="000000"/>
        </w:rPr>
        <w:t>Para que este proceso</w:t>
      </w:r>
      <w:r w:rsidR="00F64C67">
        <w:rPr>
          <w:color w:val="000000"/>
        </w:rPr>
        <w:t xml:space="preserve"> </w:t>
      </w:r>
      <w:r w:rsidR="008A29AD">
        <w:rPr>
          <w:color w:val="000000"/>
        </w:rPr>
        <w:t xml:space="preserve">de aprendizaje </w:t>
      </w:r>
      <w:r w:rsidR="008A29AD">
        <w:rPr>
          <w:color w:val="000000"/>
        </w:rPr>
        <w:lastRenderedPageBreak/>
        <w:t xml:space="preserve">vicario tenga lugar, deben intervenir </w:t>
      </w:r>
      <w:r w:rsidR="002E33F0">
        <w:rPr>
          <w:color w:val="000000"/>
        </w:rPr>
        <w:t xml:space="preserve">varios </w:t>
      </w:r>
      <w:r w:rsidR="008A29AD">
        <w:rPr>
          <w:color w:val="000000"/>
        </w:rPr>
        <w:t>elementos</w:t>
      </w:r>
      <w:r w:rsidR="00334DC0">
        <w:rPr>
          <w:color w:val="000000"/>
        </w:rPr>
        <w:t xml:space="preserve">: </w:t>
      </w:r>
      <w:r w:rsidR="00830C6D">
        <w:rPr>
          <w:color w:val="000000"/>
        </w:rPr>
        <w:t xml:space="preserve">primero, el menor </w:t>
      </w:r>
      <w:r w:rsidR="008A29AD">
        <w:rPr>
          <w:color w:val="000000"/>
        </w:rPr>
        <w:t>debe dirigir su atención hacia la conducta que</w:t>
      </w:r>
      <w:r w:rsidR="00830C6D">
        <w:rPr>
          <w:color w:val="000000"/>
        </w:rPr>
        <w:t xml:space="preserve"> desea imitar;</w:t>
      </w:r>
      <w:r w:rsidR="000F1039">
        <w:rPr>
          <w:color w:val="000000"/>
        </w:rPr>
        <w:t xml:space="preserve"> posteriormente</w:t>
      </w:r>
      <w:r w:rsidR="00830C6D">
        <w:rPr>
          <w:color w:val="000000"/>
        </w:rPr>
        <w:t>, necesita retener lo observado para poder reproducirlo más adelante</w:t>
      </w:r>
      <w:r w:rsidR="0085410E">
        <w:rPr>
          <w:color w:val="000000"/>
        </w:rPr>
        <w:t xml:space="preserve">; a continuación, debe ser capaz de ejecutar la acción previamente observada; y, finalmente, resulta imprescindible que exista motivación para </w:t>
      </w:r>
      <w:r w:rsidR="00DC1A49">
        <w:rPr>
          <w:color w:val="000000"/>
        </w:rPr>
        <w:t>repetirla</w:t>
      </w:r>
      <w:r w:rsidR="0085410E">
        <w:rPr>
          <w:color w:val="000000"/>
        </w:rPr>
        <w:t>, la cual dependerá de las consecuencias</w:t>
      </w:r>
      <w:r w:rsidR="0085410E" w:rsidRPr="00F93632">
        <w:rPr>
          <w:color w:val="000000"/>
        </w:rPr>
        <w:t xml:space="preserve"> positivas o negativas </w:t>
      </w:r>
      <w:r w:rsidR="0085410E">
        <w:rPr>
          <w:color w:val="000000"/>
        </w:rPr>
        <w:t xml:space="preserve">perciba en el </w:t>
      </w:r>
      <w:r w:rsidR="0085410E" w:rsidRPr="002C4FD1">
        <w:rPr>
          <w:color w:val="000000"/>
        </w:rPr>
        <w:t xml:space="preserve">comportamiento de los demás. </w:t>
      </w:r>
    </w:p>
    <w:p w14:paraId="4F3A21D6" w14:textId="742A7064" w:rsidR="006E6A4A" w:rsidRDefault="00F701AD" w:rsidP="006E6A4A">
      <w:pPr>
        <w:pStyle w:val="p1"/>
        <w:spacing w:line="360" w:lineRule="auto"/>
        <w:ind w:firstLine="360"/>
        <w:jc w:val="both"/>
        <w:rPr>
          <w:sz w:val="24"/>
          <w:szCs w:val="24"/>
        </w:rPr>
      </w:pPr>
      <w:r w:rsidRPr="002C4FD1">
        <w:rPr>
          <w:sz w:val="24"/>
          <w:szCs w:val="24"/>
        </w:rPr>
        <w:t>En este sentido</w:t>
      </w:r>
      <w:r w:rsidR="000D6821" w:rsidRPr="002C4FD1">
        <w:rPr>
          <w:sz w:val="24"/>
          <w:szCs w:val="24"/>
        </w:rPr>
        <w:t xml:space="preserve">, cuando </w:t>
      </w:r>
      <w:r w:rsidR="00EE2BD5" w:rsidRPr="002C4FD1">
        <w:rPr>
          <w:sz w:val="24"/>
          <w:szCs w:val="24"/>
        </w:rPr>
        <w:t>un</w:t>
      </w:r>
      <w:r w:rsidR="000D6821" w:rsidRPr="002C4FD1">
        <w:rPr>
          <w:sz w:val="24"/>
          <w:szCs w:val="24"/>
        </w:rPr>
        <w:t xml:space="preserve"> menor ha estado expuesto en el hogar a conductas inadecuadas, puede interiorizarlas y convertirse en un reflejo directo de los patrones observados en sus cuidadores principales.</w:t>
      </w:r>
      <w:r w:rsidR="005969F1" w:rsidRPr="002C4FD1">
        <w:rPr>
          <w:sz w:val="24"/>
          <w:szCs w:val="24"/>
        </w:rPr>
        <w:t xml:space="preserve"> Así</w:t>
      </w:r>
      <w:r w:rsidR="00F64C67" w:rsidRPr="002C4FD1">
        <w:rPr>
          <w:sz w:val="24"/>
          <w:szCs w:val="24"/>
        </w:rPr>
        <w:t>, al imitar la violencia</w:t>
      </w:r>
      <w:r w:rsidR="009C1BD2" w:rsidRPr="002C4FD1">
        <w:rPr>
          <w:sz w:val="24"/>
          <w:szCs w:val="24"/>
        </w:rPr>
        <w:t xml:space="preserve">, </w:t>
      </w:r>
      <w:r w:rsidR="00F64C67" w:rsidRPr="002C4FD1">
        <w:rPr>
          <w:sz w:val="24"/>
          <w:szCs w:val="24"/>
        </w:rPr>
        <w:t xml:space="preserve">el menor </w:t>
      </w:r>
      <w:r w:rsidR="00CD2C52" w:rsidRPr="002C4FD1">
        <w:rPr>
          <w:sz w:val="24"/>
          <w:szCs w:val="24"/>
        </w:rPr>
        <w:t xml:space="preserve">contribuye a la perpetuación de un ciclo conocido como </w:t>
      </w:r>
      <w:r w:rsidR="00F64C67" w:rsidRPr="002C4FD1">
        <w:rPr>
          <w:sz w:val="24"/>
          <w:szCs w:val="24"/>
          <w:u w:val="single"/>
        </w:rPr>
        <w:t>violencia transgeneracional</w:t>
      </w:r>
      <w:r w:rsidR="00F64C67" w:rsidRPr="002C4FD1">
        <w:rPr>
          <w:i/>
          <w:iCs/>
          <w:sz w:val="24"/>
          <w:szCs w:val="24"/>
        </w:rPr>
        <w:t xml:space="preserve"> </w:t>
      </w:r>
      <w:r w:rsidR="00F64C67" w:rsidRPr="002C4FD1">
        <w:rPr>
          <w:sz w:val="24"/>
          <w:szCs w:val="24"/>
        </w:rPr>
        <w:t xml:space="preserve">(Ortiz 2008). Este </w:t>
      </w:r>
      <w:r w:rsidR="008B7F02" w:rsidRPr="002C4FD1">
        <w:rPr>
          <w:sz w:val="24"/>
          <w:szCs w:val="24"/>
        </w:rPr>
        <w:t>concepto describe</w:t>
      </w:r>
      <w:r w:rsidR="00F64C67" w:rsidRPr="002C4FD1">
        <w:rPr>
          <w:sz w:val="24"/>
          <w:szCs w:val="24"/>
        </w:rPr>
        <w:t xml:space="preserve"> cómo las conductas abusivas </w:t>
      </w:r>
      <w:r w:rsidR="00F91F60" w:rsidRPr="002C4FD1">
        <w:rPr>
          <w:sz w:val="24"/>
          <w:szCs w:val="24"/>
        </w:rPr>
        <w:t xml:space="preserve">pueden mantenerse </w:t>
      </w:r>
      <w:r w:rsidR="00F64C67" w:rsidRPr="002C4FD1">
        <w:rPr>
          <w:sz w:val="24"/>
          <w:szCs w:val="24"/>
        </w:rPr>
        <w:t xml:space="preserve">a lo largo de las generaciones, transmitiéndose de unas a otras y </w:t>
      </w:r>
      <w:r w:rsidR="00F91F60" w:rsidRPr="002C4FD1">
        <w:rPr>
          <w:sz w:val="24"/>
          <w:szCs w:val="24"/>
        </w:rPr>
        <w:t xml:space="preserve">configurando </w:t>
      </w:r>
      <w:r w:rsidR="00F64C67" w:rsidRPr="002C4FD1">
        <w:rPr>
          <w:sz w:val="24"/>
          <w:szCs w:val="24"/>
        </w:rPr>
        <w:t xml:space="preserve">un patrón de </w:t>
      </w:r>
      <w:r w:rsidR="00E52BFB" w:rsidRPr="002C4FD1">
        <w:rPr>
          <w:sz w:val="24"/>
          <w:szCs w:val="24"/>
        </w:rPr>
        <w:t xml:space="preserve">violencia </w:t>
      </w:r>
      <w:r w:rsidR="00A16EA3" w:rsidRPr="002C4FD1">
        <w:rPr>
          <w:sz w:val="24"/>
          <w:szCs w:val="24"/>
        </w:rPr>
        <w:t xml:space="preserve">recurrente. </w:t>
      </w:r>
      <w:r w:rsidR="00A15D0B" w:rsidRPr="002C4FD1">
        <w:rPr>
          <w:sz w:val="24"/>
          <w:szCs w:val="24"/>
        </w:rPr>
        <w:t xml:space="preserve">Por ello, </w:t>
      </w:r>
      <w:r w:rsidR="00F64C67" w:rsidRPr="002C4FD1">
        <w:rPr>
          <w:sz w:val="24"/>
          <w:szCs w:val="24"/>
        </w:rPr>
        <w:t>es probable que el agresor</w:t>
      </w:r>
      <w:r w:rsidR="00A16EA3" w:rsidRPr="002C4FD1">
        <w:rPr>
          <w:sz w:val="24"/>
          <w:szCs w:val="24"/>
        </w:rPr>
        <w:t xml:space="preserve"> </w:t>
      </w:r>
      <w:r w:rsidR="00F64C67" w:rsidRPr="002C4FD1">
        <w:rPr>
          <w:sz w:val="24"/>
          <w:szCs w:val="24"/>
        </w:rPr>
        <w:t xml:space="preserve">haya aprendido este </w:t>
      </w:r>
      <w:r w:rsidR="007B3902" w:rsidRPr="002C4FD1">
        <w:rPr>
          <w:sz w:val="24"/>
          <w:szCs w:val="24"/>
        </w:rPr>
        <w:t xml:space="preserve">tipo de comportamiento en </w:t>
      </w:r>
      <w:r w:rsidR="00E52BFB" w:rsidRPr="002C4FD1">
        <w:rPr>
          <w:sz w:val="24"/>
          <w:szCs w:val="24"/>
        </w:rPr>
        <w:t>su propio entorno familiar</w:t>
      </w:r>
      <w:r w:rsidR="00E03D3F" w:rsidRPr="002C4FD1">
        <w:rPr>
          <w:sz w:val="24"/>
          <w:szCs w:val="24"/>
        </w:rPr>
        <w:t xml:space="preserve"> </w:t>
      </w:r>
      <w:r w:rsidR="00941806" w:rsidRPr="002C4FD1">
        <w:rPr>
          <w:sz w:val="24"/>
          <w:szCs w:val="24"/>
        </w:rPr>
        <w:t xml:space="preserve">a través </w:t>
      </w:r>
      <w:r w:rsidR="00127CC1" w:rsidRPr="002C4FD1">
        <w:rPr>
          <w:sz w:val="24"/>
          <w:szCs w:val="24"/>
        </w:rPr>
        <w:t xml:space="preserve">de sus </w:t>
      </w:r>
      <w:r w:rsidR="005168FE" w:rsidRPr="002C4FD1">
        <w:rPr>
          <w:sz w:val="24"/>
          <w:szCs w:val="24"/>
        </w:rPr>
        <w:t>progenitores</w:t>
      </w:r>
      <w:r w:rsidR="006E6A4A">
        <w:rPr>
          <w:sz w:val="24"/>
          <w:szCs w:val="24"/>
        </w:rPr>
        <w:t xml:space="preserve">. De hecho, diversos estudios señalan que los menores expuestos a violencia intrafamiliar presentan una mayor probabilidad de ser arrestados durante la adolescencia o adultez temprana por conductas </w:t>
      </w:r>
      <w:r w:rsidR="006E6A4A" w:rsidRPr="006E6A4A">
        <w:rPr>
          <w:sz w:val="24"/>
          <w:szCs w:val="24"/>
        </w:rPr>
        <w:t xml:space="preserve">antisociales </w:t>
      </w:r>
      <w:r w:rsidR="006E6A4A" w:rsidRPr="006E6A4A">
        <w:rPr>
          <w:sz w:val="24"/>
          <w:szCs w:val="24"/>
        </w:rPr>
        <w:t xml:space="preserve">(Holt et al., 2008; Weaver </w:t>
      </w:r>
      <w:r w:rsidR="006E6A4A" w:rsidRPr="002C4FD1">
        <w:rPr>
          <w:sz w:val="24"/>
          <w:szCs w:val="24"/>
        </w:rPr>
        <w:t>et al., 2008)</w:t>
      </w:r>
      <w:r w:rsidR="006E6A4A">
        <w:rPr>
          <w:sz w:val="24"/>
          <w:szCs w:val="24"/>
        </w:rPr>
        <w:t xml:space="preserve">. </w:t>
      </w:r>
    </w:p>
    <w:p w14:paraId="66E984AC" w14:textId="77777777" w:rsidR="006E6A4A" w:rsidRDefault="006E6A4A" w:rsidP="00BD299C">
      <w:pPr>
        <w:pStyle w:val="p1"/>
        <w:spacing w:line="360" w:lineRule="auto"/>
        <w:jc w:val="both"/>
        <w:rPr>
          <w:sz w:val="24"/>
          <w:szCs w:val="24"/>
        </w:rPr>
      </w:pPr>
    </w:p>
    <w:p w14:paraId="02A44AAE" w14:textId="64EA4E2F" w:rsidR="00EC6D31" w:rsidRDefault="006E6A4A" w:rsidP="00BD299C">
      <w:pPr>
        <w:pStyle w:val="p1"/>
        <w:spacing w:line="360" w:lineRule="auto"/>
        <w:jc w:val="both"/>
      </w:pPr>
      <w:r>
        <w:rPr>
          <w:sz w:val="24"/>
          <w:szCs w:val="24"/>
        </w:rPr>
        <w:t xml:space="preserve">De esta manera, </w:t>
      </w:r>
      <w:r w:rsidR="00E0114B" w:rsidRPr="00BD299C">
        <w:rPr>
          <w:sz w:val="24"/>
          <w:szCs w:val="24"/>
        </w:rPr>
        <w:t>la</w:t>
      </w:r>
      <w:r w:rsidR="00E0114B">
        <w:t xml:space="preserve"> </w:t>
      </w:r>
      <w:r w:rsidR="00E0114B" w:rsidRPr="00BD299C">
        <w:rPr>
          <w:sz w:val="24"/>
          <w:szCs w:val="24"/>
        </w:rPr>
        <w:t>violencia int</w:t>
      </w:r>
      <w:r w:rsidR="00040155" w:rsidRPr="00BD299C">
        <w:rPr>
          <w:sz w:val="24"/>
          <w:szCs w:val="24"/>
        </w:rPr>
        <w:t xml:space="preserve">rafamiliar puede </w:t>
      </w:r>
      <w:r>
        <w:rPr>
          <w:sz w:val="24"/>
          <w:szCs w:val="24"/>
        </w:rPr>
        <w:t xml:space="preserve">entenderse </w:t>
      </w:r>
      <w:r w:rsidR="00BD2346" w:rsidRPr="00BD299C">
        <w:rPr>
          <w:sz w:val="24"/>
          <w:szCs w:val="24"/>
        </w:rPr>
        <w:t xml:space="preserve">por el </w:t>
      </w:r>
      <w:r w:rsidR="00040155" w:rsidRPr="00BD299C">
        <w:rPr>
          <w:sz w:val="24"/>
          <w:szCs w:val="24"/>
        </w:rPr>
        <w:t xml:space="preserve">establecimiento y mantenimiento de relaciones disfuncionales entre los </w:t>
      </w:r>
      <w:r w:rsidR="00BD2346" w:rsidRPr="00BD299C">
        <w:rPr>
          <w:sz w:val="24"/>
          <w:szCs w:val="24"/>
        </w:rPr>
        <w:t>miembros</w:t>
      </w:r>
      <w:r w:rsidR="00040155" w:rsidRPr="00BD299C">
        <w:rPr>
          <w:sz w:val="24"/>
          <w:szCs w:val="24"/>
        </w:rPr>
        <w:t xml:space="preserve"> de la familia (Arias, 2011). </w:t>
      </w:r>
      <w:r w:rsidR="00914A46" w:rsidRPr="00BD299C">
        <w:rPr>
          <w:sz w:val="24"/>
          <w:szCs w:val="24"/>
        </w:rPr>
        <w:t xml:space="preserve">Esta </w:t>
      </w:r>
      <w:r w:rsidR="009E253F" w:rsidRPr="00BD299C">
        <w:rPr>
          <w:sz w:val="24"/>
          <w:szCs w:val="24"/>
        </w:rPr>
        <w:t xml:space="preserve">idea se ve reforzada por la </w:t>
      </w:r>
      <w:r w:rsidR="00646825" w:rsidRPr="00BD299C">
        <w:rPr>
          <w:sz w:val="24"/>
          <w:szCs w:val="24"/>
        </w:rPr>
        <w:t xml:space="preserve">socióloga Ana D. </w:t>
      </w:r>
      <w:proofErr w:type="spellStart"/>
      <w:r w:rsidR="00646825" w:rsidRPr="00BD299C">
        <w:rPr>
          <w:sz w:val="24"/>
          <w:szCs w:val="24"/>
        </w:rPr>
        <w:t>Cagigas</w:t>
      </w:r>
      <w:proofErr w:type="spellEnd"/>
      <w:r w:rsidR="00646825" w:rsidRPr="00BD299C">
        <w:rPr>
          <w:sz w:val="24"/>
          <w:szCs w:val="24"/>
        </w:rPr>
        <w:t xml:space="preserve"> Arriazu</w:t>
      </w:r>
      <w:r w:rsidR="000F3A6F" w:rsidRPr="00BD299C">
        <w:rPr>
          <w:sz w:val="24"/>
          <w:szCs w:val="24"/>
        </w:rPr>
        <w:t xml:space="preserve">, quien señala que la familia </w:t>
      </w:r>
      <w:r w:rsidR="00646825" w:rsidRPr="00BD299C">
        <w:rPr>
          <w:sz w:val="24"/>
          <w:szCs w:val="24"/>
        </w:rPr>
        <w:t>puede considerarse “el grupo social más violento y en el que se perpetra más violencia”,</w:t>
      </w:r>
      <w:r w:rsidR="008D7B52">
        <w:rPr>
          <w:sz w:val="24"/>
          <w:szCs w:val="24"/>
        </w:rPr>
        <w:t xml:space="preserve"> destacando</w:t>
      </w:r>
      <w:r w:rsidR="00646825" w:rsidRPr="00BD299C">
        <w:rPr>
          <w:sz w:val="24"/>
          <w:szCs w:val="24"/>
        </w:rPr>
        <w:t xml:space="preserve"> que es más probable que una persona sea agredida o asesinada por algún familiar o </w:t>
      </w:r>
      <w:r w:rsidR="008D7B52">
        <w:rPr>
          <w:sz w:val="24"/>
          <w:szCs w:val="24"/>
        </w:rPr>
        <w:t xml:space="preserve">dentro de su hogar </w:t>
      </w:r>
      <w:r w:rsidR="00646825" w:rsidRPr="00BD299C">
        <w:rPr>
          <w:sz w:val="24"/>
          <w:szCs w:val="24"/>
        </w:rPr>
        <w:t>que en otro</w:t>
      </w:r>
      <w:r w:rsidR="008D7B52">
        <w:rPr>
          <w:sz w:val="24"/>
          <w:szCs w:val="24"/>
        </w:rPr>
        <w:t xml:space="preserve">s contextos. Esto evidencia que en entorno familiar puede constituir un espacio </w:t>
      </w:r>
      <w:r w:rsidR="00646825" w:rsidRPr="00BD299C">
        <w:rPr>
          <w:sz w:val="24"/>
          <w:szCs w:val="24"/>
        </w:rPr>
        <w:t xml:space="preserve">de riesgo y que la violencia tiene un efecto expansivo sobre los miembros más cercanos (Holt, Buckley, &amp; </w:t>
      </w:r>
      <w:proofErr w:type="spellStart"/>
      <w:r w:rsidR="00646825" w:rsidRPr="00BD299C">
        <w:rPr>
          <w:sz w:val="24"/>
          <w:szCs w:val="24"/>
        </w:rPr>
        <w:t>Whelan</w:t>
      </w:r>
      <w:proofErr w:type="spellEnd"/>
      <w:r w:rsidR="00646825" w:rsidRPr="00BD299C">
        <w:rPr>
          <w:sz w:val="24"/>
          <w:szCs w:val="24"/>
        </w:rPr>
        <w:t>, 2008; Lira, 1998; Miranda, 2012)</w:t>
      </w:r>
      <w:r w:rsidR="00A331C5" w:rsidRPr="00BD299C">
        <w:rPr>
          <w:sz w:val="24"/>
          <w:szCs w:val="24"/>
        </w:rPr>
        <w:t>.</w:t>
      </w:r>
      <w:r w:rsidR="00A331C5">
        <w:t xml:space="preserve"> </w:t>
      </w:r>
    </w:p>
    <w:p w14:paraId="70742B09" w14:textId="77777777" w:rsidR="008D7B52" w:rsidRDefault="008D7B52" w:rsidP="00BD299C">
      <w:pPr>
        <w:pStyle w:val="p1"/>
        <w:spacing w:line="360" w:lineRule="auto"/>
        <w:jc w:val="both"/>
      </w:pPr>
    </w:p>
    <w:p w14:paraId="32D3BEE6" w14:textId="55CC1E67" w:rsidR="008D7B52" w:rsidRPr="008D7B52" w:rsidRDefault="008D7B52" w:rsidP="008D7B52">
      <w:pPr>
        <w:pStyle w:val="p1"/>
        <w:spacing w:line="360" w:lineRule="auto"/>
        <w:ind w:firstLine="708"/>
        <w:jc w:val="both"/>
        <w:rPr>
          <w:sz w:val="24"/>
          <w:szCs w:val="24"/>
        </w:rPr>
      </w:pPr>
      <w:r w:rsidRPr="008D7B52">
        <w:rPr>
          <w:sz w:val="24"/>
          <w:szCs w:val="24"/>
        </w:rPr>
        <w:t>No obstante, tal y como señalan Gavarrell (</w:t>
      </w:r>
      <w:r w:rsidRPr="008D7B52">
        <w:rPr>
          <w:sz w:val="24"/>
          <w:szCs w:val="24"/>
        </w:rPr>
        <w:t>2013, citado en Riquelme et al., 2019),</w:t>
      </w:r>
      <w:r>
        <w:rPr>
          <w:sz w:val="24"/>
          <w:szCs w:val="24"/>
        </w:rPr>
        <w:t xml:space="preserve"> el seno familiar constituye el primer núcleo de seguridad, protección, apoyo y efecto para el menor, pero paradójicamente también es el contexto donde con mayor frecuencia se ejerce violencia. </w:t>
      </w:r>
    </w:p>
    <w:p w14:paraId="4F2250EE" w14:textId="7FC8CBCB" w:rsidR="008D7B52" w:rsidRPr="006E6A4A" w:rsidRDefault="008D7B52" w:rsidP="00BD299C">
      <w:pPr>
        <w:pStyle w:val="p1"/>
        <w:spacing w:line="360" w:lineRule="auto"/>
        <w:jc w:val="both"/>
        <w:rPr>
          <w:sz w:val="24"/>
          <w:szCs w:val="24"/>
        </w:rPr>
      </w:pPr>
    </w:p>
    <w:p w14:paraId="7201A05E" w14:textId="3223641B" w:rsidR="001B4B7D" w:rsidRDefault="00157554" w:rsidP="004F4B52">
      <w:pPr>
        <w:pStyle w:val="p1"/>
        <w:spacing w:line="360" w:lineRule="auto"/>
        <w:jc w:val="both"/>
        <w:rPr>
          <w:sz w:val="24"/>
          <w:szCs w:val="24"/>
        </w:rPr>
      </w:pPr>
      <w:r>
        <w:rPr>
          <w:sz w:val="24"/>
          <w:szCs w:val="24"/>
        </w:rPr>
        <w:lastRenderedPageBreak/>
        <w:tab/>
      </w:r>
      <w:r w:rsidR="00901170">
        <w:rPr>
          <w:sz w:val="24"/>
          <w:szCs w:val="24"/>
        </w:rPr>
        <w:t>Por otro lado</w:t>
      </w:r>
      <w:r>
        <w:rPr>
          <w:sz w:val="24"/>
          <w:szCs w:val="24"/>
        </w:rPr>
        <w:t>, resulta fundamental incorporar el</w:t>
      </w:r>
      <w:r w:rsidRPr="00C85A41">
        <w:rPr>
          <w:sz w:val="24"/>
          <w:szCs w:val="24"/>
          <w:u w:val="single"/>
        </w:rPr>
        <w:t xml:space="preserve"> Modelo Ecológico planteado </w:t>
      </w:r>
      <w:r w:rsidR="0043653B" w:rsidRPr="00C85A41">
        <w:rPr>
          <w:sz w:val="24"/>
          <w:szCs w:val="24"/>
          <w:u w:val="single"/>
        </w:rPr>
        <w:t xml:space="preserve">por Urie Bronfenbrenner (1979), </w:t>
      </w:r>
      <w:r w:rsidR="0043653B">
        <w:rPr>
          <w:sz w:val="24"/>
          <w:szCs w:val="24"/>
        </w:rPr>
        <w:t xml:space="preserve">descrito por la Organización Mundial de la Salud (OMS) como uno de los marcos más utilizados </w:t>
      </w:r>
      <w:r w:rsidR="00A44EA7">
        <w:rPr>
          <w:sz w:val="24"/>
          <w:szCs w:val="24"/>
        </w:rPr>
        <w:t>para comprender la violencia</w:t>
      </w:r>
      <w:r w:rsidR="005A05DC">
        <w:rPr>
          <w:sz w:val="24"/>
          <w:szCs w:val="24"/>
        </w:rPr>
        <w:t xml:space="preserve">, recogido en la </w:t>
      </w:r>
      <w:r w:rsidR="007E2AAA">
        <w:rPr>
          <w:sz w:val="24"/>
          <w:szCs w:val="24"/>
        </w:rPr>
        <w:t xml:space="preserve">Guía de actuación para profesionales de la salud </w:t>
      </w:r>
      <w:r w:rsidR="0090242E">
        <w:rPr>
          <w:sz w:val="24"/>
          <w:szCs w:val="24"/>
        </w:rPr>
        <w:t>año</w:t>
      </w:r>
      <w:r w:rsidR="005A05DC">
        <w:rPr>
          <w:sz w:val="24"/>
          <w:szCs w:val="24"/>
        </w:rPr>
        <w:t xml:space="preserve"> hijos e hijas </w:t>
      </w:r>
      <w:r w:rsidR="00644B09">
        <w:rPr>
          <w:sz w:val="24"/>
          <w:szCs w:val="24"/>
        </w:rPr>
        <w:t>víctimas</w:t>
      </w:r>
      <w:r w:rsidR="005A05DC">
        <w:rPr>
          <w:sz w:val="24"/>
          <w:szCs w:val="24"/>
        </w:rPr>
        <w:t xml:space="preserve"> de violencia de género (Gobierno Vaco, </w:t>
      </w:r>
      <w:r w:rsidR="0090242E">
        <w:rPr>
          <w:sz w:val="24"/>
          <w:szCs w:val="24"/>
        </w:rPr>
        <w:t xml:space="preserve">p.32). </w:t>
      </w:r>
      <w:r w:rsidR="00A44EA7">
        <w:rPr>
          <w:sz w:val="24"/>
          <w:szCs w:val="24"/>
        </w:rPr>
        <w:t>Este enfoque sostiene que el ser humano no depende únicamente de factores internos, sino de la interacción constante entre el</w:t>
      </w:r>
      <w:r w:rsidR="00644B09">
        <w:rPr>
          <w:sz w:val="24"/>
          <w:szCs w:val="24"/>
        </w:rPr>
        <w:t xml:space="preserve"> mismo y</w:t>
      </w:r>
      <w:r w:rsidR="00A44EA7">
        <w:rPr>
          <w:sz w:val="24"/>
          <w:szCs w:val="24"/>
        </w:rPr>
        <w:t xml:space="preserve"> los distintos entornos en los que se desenvuelve. </w:t>
      </w:r>
    </w:p>
    <w:p w14:paraId="05F57AA6" w14:textId="77777777" w:rsidR="00AF4043" w:rsidRDefault="00AF4043" w:rsidP="004F4B52">
      <w:pPr>
        <w:pStyle w:val="p1"/>
        <w:spacing w:line="360" w:lineRule="auto"/>
        <w:jc w:val="both"/>
        <w:rPr>
          <w:sz w:val="24"/>
          <w:szCs w:val="24"/>
        </w:rPr>
      </w:pPr>
    </w:p>
    <w:p w14:paraId="3108A278" w14:textId="73869080" w:rsidR="00D453D6" w:rsidRDefault="00AA4F1E" w:rsidP="00D453D6">
      <w:pPr>
        <w:pStyle w:val="p1"/>
        <w:spacing w:line="360" w:lineRule="auto"/>
        <w:ind w:firstLine="708"/>
        <w:jc w:val="both"/>
        <w:rPr>
          <w:sz w:val="24"/>
          <w:szCs w:val="24"/>
        </w:rPr>
      </w:pPr>
      <w:r>
        <w:rPr>
          <w:sz w:val="24"/>
          <w:szCs w:val="24"/>
        </w:rPr>
        <w:t xml:space="preserve">Para </w:t>
      </w:r>
      <w:r w:rsidR="00644B09">
        <w:rPr>
          <w:sz w:val="24"/>
          <w:szCs w:val="24"/>
        </w:rPr>
        <w:t xml:space="preserve">explicarlo, </w:t>
      </w:r>
      <w:r w:rsidRPr="004F4B52">
        <w:rPr>
          <w:sz w:val="24"/>
          <w:szCs w:val="24"/>
        </w:rPr>
        <w:t>Bronfenbrenner</w:t>
      </w:r>
      <w:r>
        <w:rPr>
          <w:sz w:val="24"/>
          <w:szCs w:val="24"/>
        </w:rPr>
        <w:t xml:space="preserve"> organiza estos entornos en </w:t>
      </w:r>
      <w:r w:rsidR="00BE1DAD">
        <w:rPr>
          <w:sz w:val="24"/>
          <w:szCs w:val="24"/>
        </w:rPr>
        <w:t>cuatro sistemas concéntricos</w:t>
      </w:r>
      <w:r w:rsidR="00CB7A65">
        <w:rPr>
          <w:sz w:val="24"/>
          <w:szCs w:val="24"/>
        </w:rPr>
        <w:t xml:space="preserve">: </w:t>
      </w:r>
      <w:r w:rsidR="00BE1DAD">
        <w:rPr>
          <w:sz w:val="24"/>
          <w:szCs w:val="24"/>
        </w:rPr>
        <w:t xml:space="preserve">el </w:t>
      </w:r>
      <w:r w:rsidR="00BE1DAD" w:rsidRPr="00901170">
        <w:rPr>
          <w:sz w:val="24"/>
          <w:szCs w:val="24"/>
          <w:u w:val="single"/>
        </w:rPr>
        <w:t>microsistema</w:t>
      </w:r>
      <w:r w:rsidR="00BE1DAD">
        <w:rPr>
          <w:sz w:val="24"/>
          <w:szCs w:val="24"/>
        </w:rPr>
        <w:t xml:space="preserve">, que constituye el nivel </w:t>
      </w:r>
      <w:r w:rsidR="002E4337">
        <w:rPr>
          <w:sz w:val="24"/>
          <w:szCs w:val="24"/>
        </w:rPr>
        <w:t>más</w:t>
      </w:r>
      <w:r w:rsidR="00BE1DAD">
        <w:rPr>
          <w:sz w:val="24"/>
          <w:szCs w:val="24"/>
        </w:rPr>
        <w:t xml:space="preserve"> inmediato e incluye contextos como la familia, la escuela o el grupo de iguales, donde </w:t>
      </w:r>
      <w:r w:rsidR="006948B9">
        <w:rPr>
          <w:sz w:val="24"/>
          <w:szCs w:val="24"/>
        </w:rPr>
        <w:t xml:space="preserve">el </w:t>
      </w:r>
      <w:r w:rsidR="00BF5FED">
        <w:rPr>
          <w:sz w:val="24"/>
          <w:szCs w:val="24"/>
        </w:rPr>
        <w:t>meno</w:t>
      </w:r>
      <w:r w:rsidR="006948B9">
        <w:rPr>
          <w:sz w:val="24"/>
          <w:szCs w:val="24"/>
        </w:rPr>
        <w:t>r</w:t>
      </w:r>
      <w:r w:rsidR="00BF5FED">
        <w:rPr>
          <w:sz w:val="24"/>
          <w:szCs w:val="24"/>
        </w:rPr>
        <w:t xml:space="preserve"> presencia</w:t>
      </w:r>
      <w:r w:rsidR="003E2702">
        <w:rPr>
          <w:sz w:val="24"/>
          <w:szCs w:val="24"/>
        </w:rPr>
        <w:t xml:space="preserve"> </w:t>
      </w:r>
      <w:r w:rsidR="006A7514">
        <w:rPr>
          <w:sz w:val="24"/>
          <w:szCs w:val="24"/>
        </w:rPr>
        <w:t>directamente la violencia</w:t>
      </w:r>
      <w:r w:rsidR="00BF5FED">
        <w:rPr>
          <w:sz w:val="24"/>
          <w:szCs w:val="24"/>
        </w:rPr>
        <w:t xml:space="preserve"> ejercida contra su madre o hacia </w:t>
      </w:r>
      <w:r w:rsidR="008F6619">
        <w:rPr>
          <w:sz w:val="24"/>
          <w:szCs w:val="24"/>
        </w:rPr>
        <w:t>él</w:t>
      </w:r>
      <w:r w:rsidR="00BF5FED">
        <w:rPr>
          <w:sz w:val="24"/>
          <w:szCs w:val="24"/>
        </w:rPr>
        <w:t xml:space="preserve"> </w:t>
      </w:r>
      <w:r w:rsidR="008F6619">
        <w:rPr>
          <w:sz w:val="24"/>
          <w:szCs w:val="24"/>
        </w:rPr>
        <w:t>mismo</w:t>
      </w:r>
      <w:r w:rsidR="006948B9">
        <w:rPr>
          <w:sz w:val="24"/>
          <w:szCs w:val="24"/>
        </w:rPr>
        <w:t xml:space="preserve">; </w:t>
      </w:r>
      <w:r w:rsidR="006A7514">
        <w:rPr>
          <w:sz w:val="24"/>
          <w:szCs w:val="24"/>
        </w:rPr>
        <w:t xml:space="preserve">el </w:t>
      </w:r>
      <w:r w:rsidR="006A7514" w:rsidRPr="00901170">
        <w:rPr>
          <w:sz w:val="24"/>
          <w:szCs w:val="24"/>
          <w:u w:val="single"/>
        </w:rPr>
        <w:t>mesosistema</w:t>
      </w:r>
      <w:r w:rsidR="008F6619">
        <w:rPr>
          <w:sz w:val="24"/>
          <w:szCs w:val="24"/>
        </w:rPr>
        <w:t xml:space="preserve">, que </w:t>
      </w:r>
      <w:r w:rsidR="006A7514">
        <w:rPr>
          <w:sz w:val="24"/>
          <w:szCs w:val="24"/>
        </w:rPr>
        <w:t xml:space="preserve">hace referencia a la relación entre dos o </w:t>
      </w:r>
      <w:r w:rsidR="006F4727">
        <w:rPr>
          <w:sz w:val="24"/>
          <w:szCs w:val="24"/>
        </w:rPr>
        <w:t>más</w:t>
      </w:r>
      <w:r w:rsidR="006A7514">
        <w:rPr>
          <w:sz w:val="24"/>
          <w:szCs w:val="24"/>
        </w:rPr>
        <w:t xml:space="preserve"> microsistemas, </w:t>
      </w:r>
      <w:r w:rsidR="006F4727">
        <w:rPr>
          <w:sz w:val="24"/>
          <w:szCs w:val="24"/>
        </w:rPr>
        <w:t xml:space="preserve">como </w:t>
      </w:r>
      <w:r w:rsidR="006A7514">
        <w:rPr>
          <w:sz w:val="24"/>
          <w:szCs w:val="24"/>
        </w:rPr>
        <w:t xml:space="preserve">la interacción entre la </w:t>
      </w:r>
      <w:r w:rsidR="006F4727">
        <w:rPr>
          <w:sz w:val="24"/>
          <w:szCs w:val="24"/>
        </w:rPr>
        <w:t>familia</w:t>
      </w:r>
      <w:r w:rsidR="006A7514">
        <w:rPr>
          <w:sz w:val="24"/>
          <w:szCs w:val="24"/>
        </w:rPr>
        <w:t xml:space="preserve"> y </w:t>
      </w:r>
      <w:r w:rsidR="008018FC">
        <w:rPr>
          <w:sz w:val="24"/>
          <w:szCs w:val="24"/>
        </w:rPr>
        <w:t>e</w:t>
      </w:r>
      <w:r w:rsidR="00794C29">
        <w:rPr>
          <w:sz w:val="24"/>
          <w:szCs w:val="24"/>
        </w:rPr>
        <w:t xml:space="preserve">l entorno escolar, la cual puede </w:t>
      </w:r>
      <w:r w:rsidR="006F4727">
        <w:rPr>
          <w:sz w:val="24"/>
          <w:szCs w:val="24"/>
        </w:rPr>
        <w:t xml:space="preserve">favorecer la detección temprana del malestar </w:t>
      </w:r>
      <w:r w:rsidR="00794C29">
        <w:rPr>
          <w:sz w:val="24"/>
          <w:szCs w:val="24"/>
        </w:rPr>
        <w:t xml:space="preserve">del menor o, por lo contrario, contribuir a su </w:t>
      </w:r>
      <w:r w:rsidR="006F4727">
        <w:rPr>
          <w:sz w:val="24"/>
          <w:szCs w:val="24"/>
        </w:rPr>
        <w:t xml:space="preserve">invisibilizarían; </w:t>
      </w:r>
      <w:r w:rsidR="00E250DC">
        <w:rPr>
          <w:sz w:val="24"/>
          <w:szCs w:val="24"/>
        </w:rPr>
        <w:t xml:space="preserve">el </w:t>
      </w:r>
      <w:r w:rsidR="003D44A4" w:rsidRPr="00901170">
        <w:rPr>
          <w:sz w:val="24"/>
          <w:szCs w:val="24"/>
          <w:u w:val="single"/>
        </w:rPr>
        <w:t>exosistema</w:t>
      </w:r>
      <w:r w:rsidR="006F4727">
        <w:rPr>
          <w:sz w:val="24"/>
          <w:szCs w:val="24"/>
        </w:rPr>
        <w:t xml:space="preserve">, que </w:t>
      </w:r>
      <w:r w:rsidR="003D44A4">
        <w:rPr>
          <w:sz w:val="24"/>
          <w:szCs w:val="24"/>
        </w:rPr>
        <w:t xml:space="preserve">engloba </w:t>
      </w:r>
      <w:r w:rsidR="006F4727">
        <w:rPr>
          <w:sz w:val="24"/>
          <w:szCs w:val="24"/>
        </w:rPr>
        <w:t>contextos</w:t>
      </w:r>
      <w:r w:rsidR="003D44A4">
        <w:rPr>
          <w:sz w:val="24"/>
          <w:szCs w:val="24"/>
        </w:rPr>
        <w:t xml:space="preserve"> en los que el menor no participa directamente, pero que influye en su vida, como </w:t>
      </w:r>
      <w:r w:rsidR="00D07554">
        <w:rPr>
          <w:sz w:val="24"/>
          <w:szCs w:val="24"/>
        </w:rPr>
        <w:t xml:space="preserve">los </w:t>
      </w:r>
      <w:r w:rsidR="003D44A4">
        <w:rPr>
          <w:sz w:val="24"/>
          <w:szCs w:val="24"/>
        </w:rPr>
        <w:t>recursos institucionales</w:t>
      </w:r>
      <w:r w:rsidR="00D07554">
        <w:rPr>
          <w:sz w:val="24"/>
          <w:szCs w:val="24"/>
        </w:rPr>
        <w:t xml:space="preserve"> </w:t>
      </w:r>
      <w:r w:rsidR="003D44A4">
        <w:rPr>
          <w:sz w:val="24"/>
          <w:szCs w:val="24"/>
        </w:rPr>
        <w:t xml:space="preserve">o las condiciones socioeconómicas que </w:t>
      </w:r>
      <w:r w:rsidR="00D07554">
        <w:rPr>
          <w:sz w:val="24"/>
          <w:szCs w:val="24"/>
        </w:rPr>
        <w:t>dificultan</w:t>
      </w:r>
      <w:r w:rsidR="003D44A4">
        <w:rPr>
          <w:sz w:val="24"/>
          <w:szCs w:val="24"/>
        </w:rPr>
        <w:t xml:space="preserve"> la salida de la </w:t>
      </w:r>
      <w:r w:rsidR="00D07554">
        <w:rPr>
          <w:sz w:val="24"/>
          <w:szCs w:val="24"/>
        </w:rPr>
        <w:t>solución</w:t>
      </w:r>
      <w:r w:rsidR="003D44A4">
        <w:rPr>
          <w:sz w:val="24"/>
          <w:szCs w:val="24"/>
        </w:rPr>
        <w:t xml:space="preserve"> violenta</w:t>
      </w:r>
      <w:r w:rsidR="00D07554">
        <w:rPr>
          <w:sz w:val="24"/>
          <w:szCs w:val="24"/>
        </w:rPr>
        <w:t xml:space="preserve">; y el </w:t>
      </w:r>
      <w:r w:rsidR="003D44A4" w:rsidRPr="00901170">
        <w:rPr>
          <w:sz w:val="24"/>
          <w:szCs w:val="24"/>
          <w:u w:val="single"/>
        </w:rPr>
        <w:t>macrosistema</w:t>
      </w:r>
      <w:r w:rsidR="001B4B7D">
        <w:rPr>
          <w:sz w:val="24"/>
          <w:szCs w:val="24"/>
        </w:rPr>
        <w:t>, que comprende factores</w:t>
      </w:r>
      <w:r w:rsidR="003D44A4">
        <w:rPr>
          <w:sz w:val="24"/>
          <w:szCs w:val="24"/>
        </w:rPr>
        <w:t xml:space="preserve"> </w:t>
      </w:r>
      <w:r w:rsidR="001B4B7D">
        <w:rPr>
          <w:sz w:val="24"/>
          <w:szCs w:val="24"/>
        </w:rPr>
        <w:t>estructurales</w:t>
      </w:r>
      <w:r w:rsidR="003D44A4">
        <w:rPr>
          <w:sz w:val="24"/>
          <w:szCs w:val="24"/>
        </w:rPr>
        <w:t xml:space="preserve"> y culturales, como las normas sociales</w:t>
      </w:r>
      <w:r w:rsidR="001B4B7D">
        <w:rPr>
          <w:sz w:val="24"/>
          <w:szCs w:val="24"/>
        </w:rPr>
        <w:t xml:space="preserve"> y </w:t>
      </w:r>
      <w:r w:rsidR="003D44A4">
        <w:rPr>
          <w:sz w:val="24"/>
          <w:szCs w:val="24"/>
        </w:rPr>
        <w:t xml:space="preserve">las creencias sobre los roles de </w:t>
      </w:r>
      <w:r w:rsidR="001B4B7D">
        <w:rPr>
          <w:sz w:val="24"/>
          <w:szCs w:val="24"/>
        </w:rPr>
        <w:t>género</w:t>
      </w:r>
      <w:r w:rsidR="003D44A4">
        <w:rPr>
          <w:sz w:val="24"/>
          <w:szCs w:val="24"/>
        </w:rPr>
        <w:t xml:space="preserve">, que pueden favorecer la perpetuación de estas dinámicas. </w:t>
      </w:r>
      <w:r w:rsidR="001B4B7D">
        <w:rPr>
          <w:sz w:val="24"/>
          <w:szCs w:val="24"/>
        </w:rPr>
        <w:t>Finalmente</w:t>
      </w:r>
      <w:r w:rsidR="003D44A4">
        <w:rPr>
          <w:sz w:val="24"/>
          <w:szCs w:val="24"/>
        </w:rPr>
        <w:t xml:space="preserve">, el cronosistema </w:t>
      </w:r>
      <w:r w:rsidR="001B4B7D">
        <w:rPr>
          <w:sz w:val="24"/>
          <w:szCs w:val="24"/>
        </w:rPr>
        <w:t>incorpora</w:t>
      </w:r>
      <w:r w:rsidR="003D44A4">
        <w:rPr>
          <w:sz w:val="24"/>
          <w:szCs w:val="24"/>
        </w:rPr>
        <w:t xml:space="preserve"> la </w:t>
      </w:r>
      <w:r w:rsidR="001B4B7D">
        <w:rPr>
          <w:sz w:val="24"/>
          <w:szCs w:val="24"/>
        </w:rPr>
        <w:t xml:space="preserve">dimensión </w:t>
      </w:r>
      <w:r w:rsidR="003D44A4">
        <w:rPr>
          <w:sz w:val="24"/>
          <w:szCs w:val="24"/>
        </w:rPr>
        <w:t>tem</w:t>
      </w:r>
      <w:r w:rsidR="001B4B7D">
        <w:rPr>
          <w:sz w:val="24"/>
          <w:szCs w:val="24"/>
        </w:rPr>
        <w:t>poral, c</w:t>
      </w:r>
      <w:r w:rsidR="00572A59">
        <w:rPr>
          <w:sz w:val="24"/>
          <w:szCs w:val="24"/>
        </w:rPr>
        <w:t xml:space="preserve">onsiderando </w:t>
      </w:r>
      <w:r w:rsidR="001B4B7D">
        <w:rPr>
          <w:sz w:val="24"/>
          <w:szCs w:val="24"/>
        </w:rPr>
        <w:t>que</w:t>
      </w:r>
      <w:r w:rsidR="00572A59">
        <w:rPr>
          <w:sz w:val="24"/>
          <w:szCs w:val="24"/>
        </w:rPr>
        <w:t xml:space="preserve"> el impacto </w:t>
      </w:r>
      <w:r w:rsidR="001B4B7D">
        <w:rPr>
          <w:sz w:val="24"/>
          <w:szCs w:val="24"/>
        </w:rPr>
        <w:t xml:space="preserve">sobre el menor </w:t>
      </w:r>
      <w:r w:rsidR="00572A59">
        <w:rPr>
          <w:sz w:val="24"/>
          <w:szCs w:val="24"/>
        </w:rPr>
        <w:t>dependerá de la duración y continuidad de la violencia a lo largo del desarrollo</w:t>
      </w:r>
      <w:r w:rsidR="00D453D6">
        <w:rPr>
          <w:sz w:val="24"/>
          <w:szCs w:val="24"/>
        </w:rPr>
        <w:t xml:space="preserve">. </w:t>
      </w:r>
    </w:p>
    <w:p w14:paraId="41EEF96F" w14:textId="77777777" w:rsidR="00D453D6" w:rsidRDefault="00D453D6" w:rsidP="00D453D6">
      <w:pPr>
        <w:pStyle w:val="p1"/>
        <w:spacing w:line="360" w:lineRule="auto"/>
        <w:ind w:firstLine="708"/>
        <w:jc w:val="both"/>
        <w:rPr>
          <w:sz w:val="24"/>
          <w:szCs w:val="24"/>
        </w:rPr>
      </w:pPr>
    </w:p>
    <w:p w14:paraId="6BFF0578" w14:textId="64019DD8" w:rsidR="00D453D6" w:rsidRDefault="00572A59" w:rsidP="00D453D6">
      <w:pPr>
        <w:pStyle w:val="p1"/>
        <w:spacing w:line="360" w:lineRule="auto"/>
        <w:ind w:firstLine="708"/>
        <w:jc w:val="both"/>
        <w:rPr>
          <w:sz w:val="24"/>
          <w:szCs w:val="24"/>
        </w:rPr>
      </w:pPr>
      <w:r>
        <w:rPr>
          <w:sz w:val="24"/>
          <w:szCs w:val="24"/>
        </w:rPr>
        <w:t>En conjunto</w:t>
      </w:r>
      <w:r w:rsidR="00D453D6">
        <w:rPr>
          <w:sz w:val="24"/>
          <w:szCs w:val="24"/>
        </w:rPr>
        <w:t xml:space="preserve">, </w:t>
      </w:r>
      <w:r>
        <w:rPr>
          <w:sz w:val="24"/>
          <w:szCs w:val="24"/>
        </w:rPr>
        <w:t xml:space="preserve">este modelo </w:t>
      </w:r>
      <w:r w:rsidR="00D453D6">
        <w:rPr>
          <w:sz w:val="24"/>
          <w:szCs w:val="24"/>
        </w:rPr>
        <w:t xml:space="preserve">demuestra que la violencia de género es multidimensional y que los patrones de comportamiento que el menor ha vivido y normalizado en un contexto puede trasladarse a otros, favoreciendo la repetición de conductas en posteriores etapas y contribuyendo mantenimiento del ciclo de violencia. </w:t>
      </w:r>
    </w:p>
    <w:p w14:paraId="694EFEFC" w14:textId="77777777" w:rsidR="003E7EAF" w:rsidRDefault="003E7EAF" w:rsidP="00A909FA">
      <w:pPr>
        <w:spacing w:line="360" w:lineRule="auto"/>
        <w:jc w:val="both"/>
        <w:rPr>
          <w:b/>
          <w:bCs/>
          <w:u w:val="single"/>
        </w:rPr>
      </w:pPr>
    </w:p>
    <w:p w14:paraId="6BFCC9AF" w14:textId="504F49E9" w:rsidR="003E7EAF" w:rsidRDefault="003E7EAF" w:rsidP="008110D7">
      <w:pPr>
        <w:pStyle w:val="p1"/>
        <w:numPr>
          <w:ilvl w:val="3"/>
          <w:numId w:val="3"/>
        </w:numPr>
        <w:spacing w:line="360" w:lineRule="auto"/>
        <w:jc w:val="both"/>
        <w:rPr>
          <w:b/>
          <w:bCs/>
          <w:sz w:val="24"/>
          <w:szCs w:val="24"/>
          <w:u w:val="single"/>
        </w:rPr>
      </w:pPr>
      <w:r w:rsidRPr="004A1AD4">
        <w:rPr>
          <w:b/>
          <w:bCs/>
          <w:sz w:val="24"/>
          <w:szCs w:val="24"/>
          <w:u w:val="single"/>
        </w:rPr>
        <w:t xml:space="preserve">Clasificación tres tipologías de victimización (Hernández et al., 2020; Soria, </w:t>
      </w:r>
      <w:r w:rsidR="00CA4691" w:rsidRPr="004A1AD4">
        <w:rPr>
          <w:b/>
          <w:bCs/>
          <w:sz w:val="24"/>
          <w:szCs w:val="24"/>
          <w:u w:val="single"/>
        </w:rPr>
        <w:t>2006; Tamarit</w:t>
      </w:r>
      <w:r w:rsidRPr="004A1AD4">
        <w:rPr>
          <w:b/>
          <w:bCs/>
          <w:sz w:val="24"/>
          <w:szCs w:val="24"/>
          <w:u w:val="single"/>
        </w:rPr>
        <w:t>, 2006):</w:t>
      </w:r>
    </w:p>
    <w:p w14:paraId="4FAB1948" w14:textId="77777777" w:rsidR="00CA4691" w:rsidRPr="004A1AD4" w:rsidRDefault="00CA4691" w:rsidP="00CA4691">
      <w:pPr>
        <w:pStyle w:val="p1"/>
        <w:spacing w:line="360" w:lineRule="auto"/>
        <w:ind w:left="2880"/>
        <w:jc w:val="both"/>
        <w:rPr>
          <w:b/>
          <w:bCs/>
          <w:sz w:val="24"/>
          <w:szCs w:val="24"/>
          <w:u w:val="single"/>
        </w:rPr>
      </w:pPr>
    </w:p>
    <w:p w14:paraId="6CC0B6F3" w14:textId="6BE2A1E1" w:rsidR="00905CAE" w:rsidRDefault="008110D7" w:rsidP="00905CAE">
      <w:pPr>
        <w:pStyle w:val="p1"/>
        <w:spacing w:line="360" w:lineRule="auto"/>
        <w:ind w:firstLine="708"/>
        <w:jc w:val="both"/>
        <w:rPr>
          <w:sz w:val="24"/>
          <w:szCs w:val="24"/>
        </w:rPr>
      </w:pPr>
      <w:r>
        <w:rPr>
          <w:sz w:val="24"/>
          <w:szCs w:val="24"/>
        </w:rPr>
        <w:t>Ot</w:t>
      </w:r>
      <w:r w:rsidR="00905CAE">
        <w:rPr>
          <w:sz w:val="24"/>
          <w:szCs w:val="24"/>
        </w:rPr>
        <w:t>r</w:t>
      </w:r>
      <w:r>
        <w:rPr>
          <w:sz w:val="24"/>
          <w:szCs w:val="24"/>
        </w:rPr>
        <w:t xml:space="preserve">o de los conceptos </w:t>
      </w:r>
      <w:r w:rsidR="00905CAE">
        <w:rPr>
          <w:sz w:val="24"/>
          <w:szCs w:val="24"/>
        </w:rPr>
        <w:t xml:space="preserve">estrechamente relacionados con la </w:t>
      </w:r>
      <w:proofErr w:type="spellStart"/>
      <w:r w:rsidR="00905CAE">
        <w:rPr>
          <w:sz w:val="24"/>
          <w:szCs w:val="24"/>
        </w:rPr>
        <w:t>la</w:t>
      </w:r>
      <w:proofErr w:type="spellEnd"/>
      <w:r w:rsidR="00905CAE">
        <w:rPr>
          <w:sz w:val="24"/>
          <w:szCs w:val="24"/>
        </w:rPr>
        <w:t xml:space="preserve"> exposición a la violencia de género es el de </w:t>
      </w:r>
      <w:r w:rsidR="00905CAE" w:rsidRPr="00905CAE">
        <w:rPr>
          <w:b/>
          <w:bCs/>
          <w:sz w:val="24"/>
          <w:szCs w:val="24"/>
          <w:u w:val="single"/>
        </w:rPr>
        <w:t>victimización,</w:t>
      </w:r>
      <w:r w:rsidR="00905CAE">
        <w:rPr>
          <w:sz w:val="24"/>
          <w:szCs w:val="24"/>
        </w:rPr>
        <w:t xml:space="preserve"> definido como: </w:t>
      </w:r>
    </w:p>
    <w:p w14:paraId="02BBF255" w14:textId="77777777" w:rsidR="00905CAE" w:rsidRDefault="00905CAE" w:rsidP="003E7EAF">
      <w:pPr>
        <w:pStyle w:val="p1"/>
        <w:spacing w:line="360" w:lineRule="auto"/>
        <w:jc w:val="both"/>
        <w:rPr>
          <w:sz w:val="24"/>
          <w:szCs w:val="24"/>
        </w:rPr>
      </w:pPr>
    </w:p>
    <w:p w14:paraId="67D73F29" w14:textId="713AAE9D" w:rsidR="007A3413" w:rsidRPr="00CA4691" w:rsidRDefault="007A3413" w:rsidP="00905CAE">
      <w:pPr>
        <w:pStyle w:val="p1"/>
        <w:spacing w:line="360" w:lineRule="auto"/>
        <w:ind w:left="708"/>
        <w:jc w:val="both"/>
        <w:rPr>
          <w:i/>
          <w:iCs/>
          <w:sz w:val="24"/>
          <w:szCs w:val="24"/>
        </w:rPr>
      </w:pPr>
      <w:r w:rsidRPr="00CA4691">
        <w:rPr>
          <w:i/>
          <w:iCs/>
          <w:sz w:val="24"/>
          <w:szCs w:val="24"/>
        </w:rPr>
        <w:lastRenderedPageBreak/>
        <w:t xml:space="preserve">“el proceso mediante el cual un individuo </w:t>
      </w:r>
      <w:r w:rsidR="00905CAE" w:rsidRPr="00CA4691">
        <w:rPr>
          <w:i/>
          <w:iCs/>
          <w:sz w:val="24"/>
          <w:szCs w:val="24"/>
        </w:rPr>
        <w:t>sufre</w:t>
      </w:r>
      <w:r w:rsidRPr="00CA4691">
        <w:rPr>
          <w:i/>
          <w:iCs/>
          <w:sz w:val="24"/>
          <w:szCs w:val="24"/>
        </w:rPr>
        <w:t xml:space="preserve"> daños físicos, psicológicos o</w:t>
      </w:r>
      <w:r w:rsidR="00CA4691" w:rsidRPr="00CA4691">
        <w:rPr>
          <w:i/>
          <w:iCs/>
          <w:sz w:val="24"/>
          <w:szCs w:val="24"/>
        </w:rPr>
        <w:t xml:space="preserve"> </w:t>
      </w:r>
      <w:r w:rsidRPr="00CA4691">
        <w:rPr>
          <w:i/>
          <w:iCs/>
          <w:sz w:val="24"/>
          <w:szCs w:val="24"/>
        </w:rPr>
        <w:t xml:space="preserve">sociales como consecuencia de una </w:t>
      </w:r>
      <w:r w:rsidR="00905CAE" w:rsidRPr="00CA4691">
        <w:rPr>
          <w:i/>
          <w:iCs/>
          <w:sz w:val="24"/>
          <w:szCs w:val="24"/>
        </w:rPr>
        <w:t>acción</w:t>
      </w:r>
      <w:r w:rsidRPr="00CA4691">
        <w:rPr>
          <w:i/>
          <w:iCs/>
          <w:sz w:val="24"/>
          <w:szCs w:val="24"/>
        </w:rPr>
        <w:t xml:space="preserve"> directa o indirecta de otra persona, </w:t>
      </w:r>
      <w:r w:rsidR="00905CAE" w:rsidRPr="00CA4691">
        <w:rPr>
          <w:i/>
          <w:iCs/>
          <w:sz w:val="24"/>
          <w:szCs w:val="24"/>
        </w:rPr>
        <w:t>situación</w:t>
      </w:r>
      <w:r w:rsidRPr="00CA4691">
        <w:rPr>
          <w:i/>
          <w:iCs/>
          <w:sz w:val="24"/>
          <w:szCs w:val="24"/>
        </w:rPr>
        <w:t xml:space="preserve"> o contexto violento, que puede incluir la exposición a violencia</w:t>
      </w:r>
      <w:r w:rsidR="00A31C5C" w:rsidRPr="00CA4691">
        <w:rPr>
          <w:i/>
          <w:iCs/>
          <w:sz w:val="24"/>
          <w:szCs w:val="24"/>
        </w:rPr>
        <w:t xml:space="preserve">, acoso o abuso” </w:t>
      </w:r>
      <w:r w:rsidR="00A31C5C" w:rsidRPr="00CA4691">
        <w:rPr>
          <w:i/>
          <w:iCs/>
          <w:sz w:val="24"/>
          <w:szCs w:val="24"/>
        </w:rPr>
        <w:t>(Finkelhor, 2008, citado en De la Vega et al., 2011).</w:t>
      </w:r>
    </w:p>
    <w:p w14:paraId="735E28FB" w14:textId="77777777" w:rsidR="007A3413" w:rsidRDefault="007A3413" w:rsidP="003E7EAF">
      <w:pPr>
        <w:pStyle w:val="p1"/>
        <w:spacing w:line="360" w:lineRule="auto"/>
        <w:jc w:val="both"/>
        <w:rPr>
          <w:sz w:val="24"/>
          <w:szCs w:val="24"/>
        </w:rPr>
      </w:pPr>
    </w:p>
    <w:p w14:paraId="0E72E4CE" w14:textId="49047A0D" w:rsidR="006B6839" w:rsidRDefault="00905CAE" w:rsidP="006B6839">
      <w:pPr>
        <w:pStyle w:val="p1"/>
        <w:spacing w:line="360" w:lineRule="auto"/>
        <w:ind w:firstLine="708"/>
        <w:jc w:val="both"/>
        <w:rPr>
          <w:sz w:val="24"/>
          <w:szCs w:val="24"/>
        </w:rPr>
      </w:pPr>
      <w:r>
        <w:rPr>
          <w:sz w:val="24"/>
          <w:szCs w:val="24"/>
        </w:rPr>
        <w:t xml:space="preserve">Dentro de este concepto </w:t>
      </w:r>
      <w:r w:rsidR="008B261E">
        <w:rPr>
          <w:sz w:val="24"/>
          <w:szCs w:val="24"/>
        </w:rPr>
        <w:t xml:space="preserve">se pueden distinguir tres niveles: victimización primaria, victimización secundaria y victimización terciaria. </w:t>
      </w:r>
      <w:r w:rsidR="00F31B46">
        <w:rPr>
          <w:sz w:val="24"/>
          <w:szCs w:val="24"/>
        </w:rPr>
        <w:t>En primer lugar</w:t>
      </w:r>
      <w:r w:rsidR="006B6839">
        <w:rPr>
          <w:sz w:val="24"/>
          <w:szCs w:val="24"/>
        </w:rPr>
        <w:t>, la victimización primaria se refiere al daño directo o indirecto que un hecho violento provoca en una persona. Este daño puede manifestarse en distintas dimensiones: físicas, psicológicas, sexual, económica, patrimonial o social, y se produce como consecuencia inmediata del acto violento o traumático.</w:t>
      </w:r>
    </w:p>
    <w:p w14:paraId="370DE927" w14:textId="77777777" w:rsidR="006B6839" w:rsidRDefault="006B6839" w:rsidP="006B6839">
      <w:pPr>
        <w:pStyle w:val="p1"/>
        <w:spacing w:line="360" w:lineRule="auto"/>
        <w:ind w:firstLine="708"/>
        <w:jc w:val="both"/>
        <w:rPr>
          <w:sz w:val="24"/>
          <w:szCs w:val="24"/>
        </w:rPr>
      </w:pPr>
    </w:p>
    <w:p w14:paraId="1CF16C7E" w14:textId="25D70A2D" w:rsidR="00CE6E90" w:rsidRDefault="006B6839" w:rsidP="006B6839">
      <w:pPr>
        <w:pStyle w:val="p1"/>
        <w:spacing w:line="360" w:lineRule="auto"/>
        <w:jc w:val="both"/>
        <w:rPr>
          <w:sz w:val="24"/>
          <w:szCs w:val="24"/>
        </w:rPr>
      </w:pPr>
      <w:r>
        <w:rPr>
          <w:sz w:val="24"/>
          <w:szCs w:val="24"/>
        </w:rPr>
        <w:tab/>
        <w:t xml:space="preserve">En </w:t>
      </w:r>
      <w:r w:rsidR="00F31B46">
        <w:rPr>
          <w:sz w:val="24"/>
          <w:szCs w:val="24"/>
        </w:rPr>
        <w:t>segundo</w:t>
      </w:r>
      <w:r>
        <w:rPr>
          <w:sz w:val="24"/>
          <w:szCs w:val="24"/>
        </w:rPr>
        <w:t xml:space="preserve"> lugar, la victimización secundaria, </w:t>
      </w:r>
      <w:r w:rsidR="00F31B46">
        <w:rPr>
          <w:sz w:val="24"/>
          <w:szCs w:val="24"/>
        </w:rPr>
        <w:t>también</w:t>
      </w:r>
      <w:r>
        <w:rPr>
          <w:sz w:val="24"/>
          <w:szCs w:val="24"/>
        </w:rPr>
        <w:t xml:space="preserve"> </w:t>
      </w:r>
      <w:r w:rsidR="00F31B46">
        <w:rPr>
          <w:sz w:val="24"/>
          <w:szCs w:val="24"/>
        </w:rPr>
        <w:t>denominada</w:t>
      </w:r>
      <w:r>
        <w:rPr>
          <w:sz w:val="24"/>
          <w:szCs w:val="24"/>
        </w:rPr>
        <w:t xml:space="preserve"> </w:t>
      </w:r>
      <w:r w:rsidRPr="00F31B46">
        <w:rPr>
          <w:b/>
          <w:bCs/>
          <w:sz w:val="24"/>
          <w:szCs w:val="24"/>
          <w:u w:val="single"/>
        </w:rPr>
        <w:t>revictimización,</w:t>
      </w:r>
      <w:r>
        <w:rPr>
          <w:sz w:val="24"/>
          <w:szCs w:val="24"/>
        </w:rPr>
        <w:t xml:space="preserve"> aparece como consecuencia de la victim</w:t>
      </w:r>
      <w:r w:rsidR="00F31B46">
        <w:rPr>
          <w:sz w:val="24"/>
          <w:szCs w:val="24"/>
        </w:rPr>
        <w:t xml:space="preserve">ización </w:t>
      </w:r>
      <w:r>
        <w:rPr>
          <w:sz w:val="24"/>
          <w:szCs w:val="24"/>
        </w:rPr>
        <w:t xml:space="preserve">primaria, anteriormente explicada. Se produce cuando la </w:t>
      </w:r>
      <w:r w:rsidR="00F31B46">
        <w:rPr>
          <w:sz w:val="24"/>
          <w:szCs w:val="24"/>
        </w:rPr>
        <w:t>víctima</w:t>
      </w:r>
      <w:r>
        <w:rPr>
          <w:sz w:val="24"/>
          <w:szCs w:val="24"/>
        </w:rPr>
        <w:t xml:space="preserve"> </w:t>
      </w:r>
      <w:r w:rsidR="00F31B46">
        <w:rPr>
          <w:sz w:val="24"/>
          <w:szCs w:val="24"/>
        </w:rPr>
        <w:t>experimenta</w:t>
      </w:r>
      <w:r>
        <w:rPr>
          <w:sz w:val="24"/>
          <w:szCs w:val="24"/>
        </w:rPr>
        <w:t xml:space="preserve"> perjuicios adicionales derivados de su participación en </w:t>
      </w:r>
      <w:r w:rsidR="00F31B46">
        <w:rPr>
          <w:sz w:val="24"/>
          <w:szCs w:val="24"/>
        </w:rPr>
        <w:t>procesos</w:t>
      </w:r>
      <w:r>
        <w:rPr>
          <w:sz w:val="24"/>
          <w:szCs w:val="24"/>
        </w:rPr>
        <w:t xml:space="preserve"> legales o judiciales</w:t>
      </w:r>
      <w:r w:rsidR="006254FA">
        <w:rPr>
          <w:sz w:val="24"/>
          <w:szCs w:val="24"/>
        </w:rPr>
        <w:t xml:space="preserve">, en los que debe relatar los hechos y revivir escenas traumáticas. </w:t>
      </w:r>
      <w:r>
        <w:rPr>
          <w:sz w:val="24"/>
          <w:szCs w:val="24"/>
        </w:rPr>
        <w:t>Por ejemplo, cunado un</w:t>
      </w:r>
      <w:r w:rsidR="00491316">
        <w:rPr>
          <w:sz w:val="24"/>
          <w:szCs w:val="24"/>
        </w:rPr>
        <w:t xml:space="preserve"> menor </w:t>
      </w:r>
      <w:r>
        <w:rPr>
          <w:sz w:val="24"/>
          <w:szCs w:val="24"/>
        </w:rPr>
        <w:t xml:space="preserve">puede ser </w:t>
      </w:r>
      <w:r w:rsidR="00491316">
        <w:rPr>
          <w:sz w:val="24"/>
          <w:szCs w:val="24"/>
        </w:rPr>
        <w:t>sometido</w:t>
      </w:r>
      <w:r>
        <w:rPr>
          <w:sz w:val="24"/>
          <w:szCs w:val="24"/>
        </w:rPr>
        <w:t xml:space="preserve"> a </w:t>
      </w:r>
      <w:r w:rsidR="00491316">
        <w:rPr>
          <w:sz w:val="24"/>
          <w:szCs w:val="24"/>
        </w:rPr>
        <w:t>múltiples</w:t>
      </w:r>
      <w:r>
        <w:rPr>
          <w:sz w:val="24"/>
          <w:szCs w:val="24"/>
        </w:rPr>
        <w:t xml:space="preserve"> interrogatorios por parte de </w:t>
      </w:r>
      <w:r w:rsidR="00491316">
        <w:rPr>
          <w:sz w:val="24"/>
          <w:szCs w:val="24"/>
        </w:rPr>
        <w:t>policías</w:t>
      </w:r>
      <w:r>
        <w:rPr>
          <w:sz w:val="24"/>
          <w:szCs w:val="24"/>
        </w:rPr>
        <w:t xml:space="preserve">, abogados, </w:t>
      </w:r>
      <w:r w:rsidR="00491316">
        <w:rPr>
          <w:sz w:val="24"/>
          <w:szCs w:val="24"/>
        </w:rPr>
        <w:t>así</w:t>
      </w:r>
      <w:r>
        <w:rPr>
          <w:sz w:val="24"/>
          <w:szCs w:val="24"/>
        </w:rPr>
        <w:t xml:space="preserve"> como evaluaciones judiciales, lo que genera un estrés adicional y sensación de </w:t>
      </w:r>
      <w:r w:rsidR="00491316">
        <w:rPr>
          <w:sz w:val="24"/>
          <w:szCs w:val="24"/>
        </w:rPr>
        <w:t>vulnerabilidad</w:t>
      </w:r>
      <w:r>
        <w:rPr>
          <w:sz w:val="24"/>
          <w:szCs w:val="24"/>
        </w:rPr>
        <w:t>.</w:t>
      </w:r>
      <w:r w:rsidR="00491316">
        <w:rPr>
          <w:sz w:val="24"/>
          <w:szCs w:val="24"/>
        </w:rPr>
        <w:t xml:space="preserve"> </w:t>
      </w:r>
      <w:r w:rsidR="00CE6E90">
        <w:rPr>
          <w:sz w:val="24"/>
          <w:szCs w:val="24"/>
        </w:rPr>
        <w:t xml:space="preserve">Para recudir este impacto psicológico, se recurre a </w:t>
      </w:r>
      <w:r w:rsidR="00297167">
        <w:rPr>
          <w:sz w:val="24"/>
          <w:szCs w:val="24"/>
        </w:rPr>
        <w:t>mecanismos</w:t>
      </w:r>
      <w:r w:rsidR="00CE6E90">
        <w:rPr>
          <w:sz w:val="24"/>
          <w:szCs w:val="24"/>
        </w:rPr>
        <w:t xml:space="preserve"> </w:t>
      </w:r>
      <w:r w:rsidR="00297167">
        <w:rPr>
          <w:sz w:val="24"/>
          <w:szCs w:val="24"/>
        </w:rPr>
        <w:t xml:space="preserve">de protección </w:t>
      </w:r>
      <w:r w:rsidR="00CE6E90">
        <w:rPr>
          <w:sz w:val="24"/>
          <w:szCs w:val="24"/>
        </w:rPr>
        <w:t xml:space="preserve">como prueba </w:t>
      </w:r>
      <w:r w:rsidR="00297167">
        <w:rPr>
          <w:sz w:val="24"/>
          <w:szCs w:val="24"/>
        </w:rPr>
        <w:t>la prueba preconstituida</w:t>
      </w:r>
      <w:r w:rsidR="00CE6E90">
        <w:rPr>
          <w:sz w:val="24"/>
          <w:szCs w:val="24"/>
        </w:rPr>
        <w:t xml:space="preserve"> y edi</w:t>
      </w:r>
      <w:r w:rsidR="00297167">
        <w:rPr>
          <w:sz w:val="24"/>
          <w:szCs w:val="24"/>
        </w:rPr>
        <w:t xml:space="preserve">ficios Barnahus, que se explicará en apartados posteriores. </w:t>
      </w:r>
    </w:p>
    <w:p w14:paraId="337B0D72" w14:textId="77777777" w:rsidR="00CE6E90" w:rsidRDefault="00CE6E90" w:rsidP="006B6839">
      <w:pPr>
        <w:pStyle w:val="p1"/>
        <w:spacing w:line="360" w:lineRule="auto"/>
        <w:jc w:val="both"/>
        <w:rPr>
          <w:sz w:val="24"/>
          <w:szCs w:val="24"/>
        </w:rPr>
      </w:pPr>
    </w:p>
    <w:p w14:paraId="0845F5F4" w14:textId="20803666" w:rsidR="008B261E" w:rsidRDefault="006B6839" w:rsidP="00297167">
      <w:pPr>
        <w:pStyle w:val="p1"/>
        <w:spacing w:line="360" w:lineRule="auto"/>
        <w:ind w:firstLine="708"/>
        <w:jc w:val="both"/>
        <w:rPr>
          <w:sz w:val="24"/>
          <w:szCs w:val="24"/>
        </w:rPr>
      </w:pPr>
      <w:r>
        <w:rPr>
          <w:sz w:val="24"/>
          <w:szCs w:val="24"/>
        </w:rPr>
        <w:t xml:space="preserve">Por </w:t>
      </w:r>
      <w:r w:rsidR="00297167">
        <w:rPr>
          <w:sz w:val="24"/>
          <w:szCs w:val="24"/>
        </w:rPr>
        <w:t>último</w:t>
      </w:r>
      <w:r>
        <w:rPr>
          <w:sz w:val="24"/>
          <w:szCs w:val="24"/>
        </w:rPr>
        <w:t xml:space="preserve">, la </w:t>
      </w:r>
      <w:r w:rsidR="00250710">
        <w:rPr>
          <w:sz w:val="24"/>
          <w:szCs w:val="24"/>
        </w:rPr>
        <w:t>victimización</w:t>
      </w:r>
      <w:r>
        <w:rPr>
          <w:sz w:val="24"/>
          <w:szCs w:val="24"/>
        </w:rPr>
        <w:t xml:space="preserve"> </w:t>
      </w:r>
      <w:r w:rsidR="00250710">
        <w:rPr>
          <w:sz w:val="24"/>
          <w:szCs w:val="24"/>
        </w:rPr>
        <w:t>terciaria</w:t>
      </w:r>
      <w:r>
        <w:rPr>
          <w:sz w:val="24"/>
          <w:szCs w:val="24"/>
        </w:rPr>
        <w:t xml:space="preserve"> abarca los efectos </w:t>
      </w:r>
      <w:r w:rsidR="00250710">
        <w:rPr>
          <w:sz w:val="24"/>
          <w:szCs w:val="24"/>
        </w:rPr>
        <w:t>indirectos</w:t>
      </w:r>
      <w:r>
        <w:rPr>
          <w:sz w:val="24"/>
          <w:szCs w:val="24"/>
        </w:rPr>
        <w:t xml:space="preserve"> que la violencia genera en el entorno social de la </w:t>
      </w:r>
      <w:r w:rsidR="00250710">
        <w:rPr>
          <w:sz w:val="24"/>
          <w:szCs w:val="24"/>
        </w:rPr>
        <w:t>víctima</w:t>
      </w:r>
      <w:r>
        <w:rPr>
          <w:sz w:val="24"/>
          <w:szCs w:val="24"/>
        </w:rPr>
        <w:t xml:space="preserve">, incluyendo familiares, amigos y la comunidad en general. En el caso de los menores expuesto a violencia de </w:t>
      </w:r>
      <w:r w:rsidR="00250710">
        <w:rPr>
          <w:sz w:val="24"/>
          <w:szCs w:val="24"/>
        </w:rPr>
        <w:t>género</w:t>
      </w:r>
      <w:r>
        <w:rPr>
          <w:sz w:val="24"/>
          <w:szCs w:val="24"/>
        </w:rPr>
        <w:t xml:space="preserve">, esta categoría es </w:t>
      </w:r>
      <w:r w:rsidR="00250710">
        <w:rPr>
          <w:sz w:val="24"/>
          <w:szCs w:val="24"/>
        </w:rPr>
        <w:t>especialmente</w:t>
      </w:r>
      <w:r>
        <w:rPr>
          <w:sz w:val="24"/>
          <w:szCs w:val="24"/>
        </w:rPr>
        <w:t xml:space="preserve"> relevante, ya que la </w:t>
      </w:r>
      <w:r w:rsidR="00250710">
        <w:rPr>
          <w:sz w:val="24"/>
          <w:szCs w:val="24"/>
        </w:rPr>
        <w:t>experiencia</w:t>
      </w:r>
      <w:r>
        <w:rPr>
          <w:sz w:val="24"/>
          <w:szCs w:val="24"/>
        </w:rPr>
        <w:t xml:space="preserve"> de la violencia no afecta únicamente a los miembros de la pareja, sino que se extiende a otros ámbitos de su vida cotidiana. </w:t>
      </w:r>
    </w:p>
    <w:p w14:paraId="514791E6" w14:textId="77777777" w:rsidR="006B6839" w:rsidRDefault="006B6839" w:rsidP="003E7EAF">
      <w:pPr>
        <w:pStyle w:val="p1"/>
        <w:spacing w:line="360" w:lineRule="auto"/>
        <w:jc w:val="both"/>
        <w:rPr>
          <w:sz w:val="24"/>
          <w:szCs w:val="24"/>
        </w:rPr>
      </w:pPr>
    </w:p>
    <w:p w14:paraId="35A96863" w14:textId="1F2FAB06" w:rsidR="007F6BF8" w:rsidRPr="007F6BF8" w:rsidRDefault="0053642C" w:rsidP="001B3FA1">
      <w:pPr>
        <w:pStyle w:val="NormalWeb"/>
        <w:numPr>
          <w:ilvl w:val="2"/>
          <w:numId w:val="3"/>
        </w:numPr>
        <w:spacing w:before="0" w:beforeAutospacing="0" w:after="0" w:afterAutospacing="0" w:line="360" w:lineRule="auto"/>
        <w:jc w:val="both"/>
        <w:textAlignment w:val="baseline"/>
        <w:rPr>
          <w:b/>
          <w:bCs/>
          <w:color w:val="000000"/>
          <w:u w:val="single"/>
        </w:rPr>
      </w:pPr>
      <w:r w:rsidRPr="00FE7EFB">
        <w:rPr>
          <w:b/>
          <w:bCs/>
          <w:u w:val="single"/>
        </w:rPr>
        <w:t>Perfil criminal del agresor</w:t>
      </w:r>
      <w:r w:rsidR="0007741D">
        <w:rPr>
          <w:b/>
          <w:bCs/>
          <w:u w:val="single"/>
        </w:rPr>
        <w:t xml:space="preserve"> (completar).</w:t>
      </w:r>
    </w:p>
    <w:p w14:paraId="17678FF4" w14:textId="3ED01502" w:rsidR="002C54B3" w:rsidRPr="00363ABD" w:rsidRDefault="009254A0" w:rsidP="00497921">
      <w:pPr>
        <w:pStyle w:val="p1"/>
        <w:spacing w:line="360" w:lineRule="auto"/>
        <w:jc w:val="both"/>
        <w:rPr>
          <w:sz w:val="24"/>
          <w:szCs w:val="24"/>
        </w:rPr>
      </w:pPr>
      <w:r w:rsidRPr="00497921">
        <w:rPr>
          <w:sz w:val="24"/>
          <w:szCs w:val="24"/>
        </w:rPr>
        <w:t xml:space="preserve">La agresividad ha </w:t>
      </w:r>
      <w:r w:rsidR="00611255">
        <w:rPr>
          <w:sz w:val="24"/>
          <w:szCs w:val="24"/>
        </w:rPr>
        <w:t xml:space="preserve">sido tradicionalmente asociada con individuos considerados “anormales” o con características desagradables </w:t>
      </w:r>
      <w:r w:rsidR="00611255" w:rsidRPr="00497921">
        <w:rPr>
          <w:color w:val="1B1718"/>
          <w:sz w:val="24"/>
          <w:szCs w:val="24"/>
        </w:rPr>
        <w:t>(Pastor, 1994a).</w:t>
      </w:r>
      <w:r w:rsidR="00611255">
        <w:rPr>
          <w:color w:val="1B1718"/>
          <w:sz w:val="24"/>
          <w:szCs w:val="24"/>
        </w:rPr>
        <w:t xml:space="preserve"> Esta percepción ha contribuido a la creencia errónea de que</w:t>
      </w:r>
      <w:r w:rsidR="00890965">
        <w:rPr>
          <w:color w:val="1B1718"/>
          <w:sz w:val="24"/>
          <w:szCs w:val="24"/>
        </w:rPr>
        <w:t xml:space="preserve"> los agresores en este campo suelen padecer algún trastorno mental o que la violencia se da en contextos extremos. No obstante, la realidad es distinta: no es necesario tener una enfermedad mental para ejercer violencia. Según </w:t>
      </w:r>
      <w:r w:rsidR="00890965">
        <w:rPr>
          <w:color w:val="1B1718"/>
          <w:sz w:val="24"/>
          <w:szCs w:val="24"/>
        </w:rPr>
        <w:lastRenderedPageBreak/>
        <w:t>Lorent</w:t>
      </w:r>
      <w:r w:rsidR="00890965" w:rsidRPr="00363ABD">
        <w:rPr>
          <w:color w:val="1B1718"/>
          <w:sz w:val="24"/>
          <w:szCs w:val="24"/>
        </w:rPr>
        <w:t xml:space="preserve">e y Lorente, no existe un perfil de personalidad especifico que caracterice a los agresores, quienes conforman un muy grupo muy </w:t>
      </w:r>
      <w:r w:rsidR="00953BE0" w:rsidRPr="00363ABD">
        <w:rPr>
          <w:color w:val="1B1718"/>
          <w:sz w:val="24"/>
          <w:szCs w:val="24"/>
        </w:rPr>
        <w:t>hetero</w:t>
      </w:r>
      <w:r w:rsidR="00953BE0">
        <w:rPr>
          <w:color w:val="1B1718"/>
          <w:sz w:val="24"/>
          <w:szCs w:val="24"/>
        </w:rPr>
        <w:t>g</w:t>
      </w:r>
      <w:r w:rsidR="00953BE0" w:rsidRPr="00363ABD">
        <w:rPr>
          <w:color w:val="1B1718"/>
          <w:sz w:val="24"/>
          <w:szCs w:val="24"/>
        </w:rPr>
        <w:t>én</w:t>
      </w:r>
      <w:r w:rsidR="00953BE0">
        <w:rPr>
          <w:color w:val="1B1718"/>
          <w:sz w:val="24"/>
          <w:szCs w:val="24"/>
        </w:rPr>
        <w:t>eo</w:t>
      </w:r>
      <w:r w:rsidR="00890965" w:rsidRPr="00363ABD">
        <w:rPr>
          <w:color w:val="1B1718"/>
          <w:sz w:val="24"/>
          <w:szCs w:val="24"/>
        </w:rPr>
        <w:t xml:space="preserve">. De </w:t>
      </w:r>
      <w:r w:rsidR="00953BE0" w:rsidRPr="00363ABD">
        <w:rPr>
          <w:color w:val="1B1718"/>
          <w:sz w:val="24"/>
          <w:szCs w:val="24"/>
        </w:rPr>
        <w:t>hecho,</w:t>
      </w:r>
      <w:r w:rsidR="00890965" w:rsidRPr="00363ABD">
        <w:rPr>
          <w:color w:val="1B1718"/>
          <w:sz w:val="24"/>
          <w:szCs w:val="24"/>
        </w:rPr>
        <w:t xml:space="preserve"> </w:t>
      </w:r>
      <w:r w:rsidR="002C54B3" w:rsidRPr="00363ABD">
        <w:rPr>
          <w:sz w:val="24"/>
          <w:szCs w:val="24"/>
        </w:rPr>
        <w:t>un</w:t>
      </w:r>
      <w:r w:rsidR="007F6BF8" w:rsidRPr="00363ABD">
        <w:rPr>
          <w:sz w:val="24"/>
          <w:szCs w:val="24"/>
        </w:rPr>
        <w:t xml:space="preserve"> estudio publicado en Harvard </w:t>
      </w:r>
      <w:proofErr w:type="spellStart"/>
      <w:r w:rsidR="007F6BF8" w:rsidRPr="00363ABD">
        <w:rPr>
          <w:sz w:val="24"/>
          <w:szCs w:val="24"/>
        </w:rPr>
        <w:t>Review</w:t>
      </w:r>
      <w:proofErr w:type="spellEnd"/>
      <w:r w:rsidR="007F6BF8" w:rsidRPr="00363ABD">
        <w:rPr>
          <w:sz w:val="24"/>
          <w:szCs w:val="24"/>
        </w:rPr>
        <w:t xml:space="preserve"> </w:t>
      </w:r>
      <w:proofErr w:type="spellStart"/>
      <w:r w:rsidR="007F6BF8" w:rsidRPr="00363ABD">
        <w:rPr>
          <w:sz w:val="24"/>
          <w:szCs w:val="24"/>
        </w:rPr>
        <w:t>of</w:t>
      </w:r>
      <w:proofErr w:type="spellEnd"/>
      <w:r w:rsidR="007F6BF8" w:rsidRPr="00363ABD">
        <w:rPr>
          <w:sz w:val="24"/>
          <w:szCs w:val="24"/>
        </w:rPr>
        <w:t xml:space="preserve"> </w:t>
      </w:r>
      <w:proofErr w:type="spellStart"/>
      <w:r w:rsidR="007F6BF8" w:rsidRPr="00363ABD">
        <w:rPr>
          <w:sz w:val="24"/>
          <w:szCs w:val="24"/>
        </w:rPr>
        <w:t>Psychiatry</w:t>
      </w:r>
      <w:proofErr w:type="spellEnd"/>
      <w:r w:rsidR="007F6BF8" w:rsidRPr="00363ABD">
        <w:rPr>
          <w:sz w:val="24"/>
          <w:szCs w:val="24"/>
        </w:rPr>
        <w:t xml:space="preserve"> concluyó que solo entre el 3% y el 5% de los actos violentos pueden atribuirse a enfermedades mentales, mientras que</w:t>
      </w:r>
      <w:r w:rsidR="002C54B3" w:rsidRPr="00363ABD">
        <w:rPr>
          <w:sz w:val="24"/>
          <w:szCs w:val="24"/>
        </w:rPr>
        <w:t xml:space="preserve"> la mayoría de los agresores no presentan patologías de este tipo. Esto demuestra</w:t>
      </w:r>
      <w:r w:rsidR="00953BE0">
        <w:rPr>
          <w:sz w:val="24"/>
          <w:szCs w:val="24"/>
        </w:rPr>
        <w:t xml:space="preserve"> </w:t>
      </w:r>
      <w:r w:rsidR="00953BE0" w:rsidRPr="00363ABD">
        <w:rPr>
          <w:sz w:val="24"/>
          <w:szCs w:val="24"/>
        </w:rPr>
        <w:t>que,</w:t>
      </w:r>
      <w:r w:rsidR="002C54B3" w:rsidRPr="00363ABD">
        <w:rPr>
          <w:sz w:val="24"/>
          <w:szCs w:val="24"/>
        </w:rPr>
        <w:t xml:space="preserve"> en la mayoría de los casos, el maltratador es una persona “normal”</w:t>
      </w:r>
      <w:r w:rsidR="00953BE0">
        <w:rPr>
          <w:sz w:val="24"/>
          <w:szCs w:val="24"/>
        </w:rPr>
        <w:t xml:space="preserve">, </w:t>
      </w:r>
      <w:r w:rsidR="002C54B3" w:rsidRPr="00363ABD">
        <w:rPr>
          <w:sz w:val="24"/>
          <w:szCs w:val="24"/>
        </w:rPr>
        <w:t xml:space="preserve">que no </w:t>
      </w:r>
      <w:r w:rsidR="00953BE0">
        <w:rPr>
          <w:sz w:val="24"/>
          <w:szCs w:val="24"/>
        </w:rPr>
        <w:t xml:space="preserve">puede clasificarse </w:t>
      </w:r>
      <w:r w:rsidR="002C54B3" w:rsidRPr="00363ABD">
        <w:rPr>
          <w:sz w:val="24"/>
          <w:szCs w:val="24"/>
        </w:rPr>
        <w:t xml:space="preserve">dentro del marco de patología mental; como psicopatía o enfermo mental. </w:t>
      </w:r>
    </w:p>
    <w:p w14:paraId="50BAD989" w14:textId="77777777" w:rsidR="002C54B3" w:rsidRPr="00363ABD" w:rsidRDefault="002C54B3" w:rsidP="00497921">
      <w:pPr>
        <w:pStyle w:val="p1"/>
        <w:spacing w:line="360" w:lineRule="auto"/>
        <w:jc w:val="both"/>
        <w:rPr>
          <w:sz w:val="24"/>
          <w:szCs w:val="24"/>
        </w:rPr>
      </w:pPr>
    </w:p>
    <w:p w14:paraId="13EAF436" w14:textId="254943EB" w:rsidR="002C54B3" w:rsidRPr="00363ABD" w:rsidRDefault="002C54B3" w:rsidP="00953BE0">
      <w:pPr>
        <w:pStyle w:val="p1"/>
        <w:spacing w:line="360" w:lineRule="auto"/>
        <w:ind w:firstLine="708"/>
        <w:jc w:val="both"/>
        <w:rPr>
          <w:sz w:val="24"/>
          <w:szCs w:val="24"/>
        </w:rPr>
      </w:pPr>
      <w:r w:rsidRPr="00363ABD">
        <w:rPr>
          <w:sz w:val="24"/>
          <w:szCs w:val="24"/>
        </w:rPr>
        <w:t xml:space="preserve">La violencia, por otro lado, suele estar </w:t>
      </w:r>
      <w:r w:rsidR="00953BE0" w:rsidRPr="00363ABD">
        <w:rPr>
          <w:sz w:val="24"/>
          <w:szCs w:val="24"/>
        </w:rPr>
        <w:t>más</w:t>
      </w:r>
      <w:r w:rsidRPr="00363ABD">
        <w:rPr>
          <w:sz w:val="24"/>
          <w:szCs w:val="24"/>
        </w:rPr>
        <w:t xml:space="preserve"> vinculada a rasgos </w:t>
      </w:r>
      <w:r w:rsidRPr="00363ABD">
        <w:rPr>
          <w:sz w:val="24"/>
          <w:szCs w:val="24"/>
        </w:rPr>
        <w:t>de personalidad y patrones de pensamiento disfuncionales</w:t>
      </w:r>
      <w:r w:rsidRPr="00363ABD">
        <w:rPr>
          <w:sz w:val="24"/>
          <w:szCs w:val="24"/>
        </w:rPr>
        <w:t xml:space="preserve">. </w:t>
      </w:r>
      <w:r w:rsidR="00953BE0">
        <w:rPr>
          <w:sz w:val="24"/>
          <w:szCs w:val="24"/>
        </w:rPr>
        <w:t xml:space="preserve">Existen </w:t>
      </w:r>
      <w:r w:rsidRPr="00363ABD">
        <w:rPr>
          <w:sz w:val="24"/>
          <w:szCs w:val="24"/>
        </w:rPr>
        <w:t xml:space="preserve">ciertos rasgos </w:t>
      </w:r>
      <w:r w:rsidR="006A01E4">
        <w:rPr>
          <w:sz w:val="24"/>
          <w:szCs w:val="24"/>
        </w:rPr>
        <w:t xml:space="preserve">que </w:t>
      </w:r>
      <w:r w:rsidRPr="00363ABD">
        <w:rPr>
          <w:sz w:val="24"/>
          <w:szCs w:val="24"/>
        </w:rPr>
        <w:t xml:space="preserve">se repiten con frecuencia. </w:t>
      </w:r>
      <w:r w:rsidR="00A35F63" w:rsidRPr="00363ABD">
        <w:rPr>
          <w:sz w:val="24"/>
          <w:szCs w:val="24"/>
        </w:rPr>
        <w:t xml:space="preserve">Hamberger y Hastings (1986) </w:t>
      </w:r>
      <w:r w:rsidRPr="00363ABD">
        <w:rPr>
          <w:sz w:val="24"/>
          <w:szCs w:val="24"/>
        </w:rPr>
        <w:t xml:space="preserve">identificaron tres tipos de agresores: </w:t>
      </w:r>
      <w:r w:rsidR="00A35F63" w:rsidRPr="00363ABD">
        <w:rPr>
          <w:sz w:val="24"/>
          <w:szCs w:val="24"/>
        </w:rPr>
        <w:t>el Narcisista-Antisocial, el Esquizoide-Borderlin</w:t>
      </w:r>
      <w:r w:rsidR="006A01E4">
        <w:rPr>
          <w:sz w:val="24"/>
          <w:szCs w:val="24"/>
        </w:rPr>
        <w:t>e</w:t>
      </w:r>
      <w:r w:rsidR="00A35F63" w:rsidRPr="00363ABD">
        <w:rPr>
          <w:sz w:val="24"/>
          <w:szCs w:val="24"/>
        </w:rPr>
        <w:t xml:space="preserve"> y el Pasivo/dependiente-Compulsivo</w:t>
      </w:r>
      <w:r w:rsidRPr="00363ABD">
        <w:rPr>
          <w:sz w:val="24"/>
          <w:szCs w:val="24"/>
        </w:rPr>
        <w:t xml:space="preserve">. Por su parte, </w:t>
      </w:r>
      <w:proofErr w:type="spellStart"/>
      <w:r w:rsidR="006C4602" w:rsidRPr="00363ABD">
        <w:rPr>
          <w:sz w:val="24"/>
          <w:szCs w:val="24"/>
        </w:rPr>
        <w:t>Echeburua</w:t>
      </w:r>
      <w:proofErr w:type="spellEnd"/>
      <w:r w:rsidR="006C4602" w:rsidRPr="00363ABD">
        <w:rPr>
          <w:sz w:val="24"/>
          <w:szCs w:val="24"/>
        </w:rPr>
        <w:t xml:space="preserve"> y De Corral </w:t>
      </w:r>
      <w:r w:rsidR="006A01E4" w:rsidRPr="00363ABD">
        <w:rPr>
          <w:sz w:val="24"/>
          <w:szCs w:val="24"/>
        </w:rPr>
        <w:t>describen</w:t>
      </w:r>
      <w:r w:rsidRPr="00363ABD">
        <w:rPr>
          <w:sz w:val="24"/>
          <w:szCs w:val="24"/>
        </w:rPr>
        <w:t xml:space="preserve"> el perfil de un hombre con alta probabilidad de ejercer violencia de pareja como excesivamente celoso y posesivo, con déficit </w:t>
      </w:r>
      <w:r w:rsidR="00960CE6" w:rsidRPr="00363ABD">
        <w:rPr>
          <w:sz w:val="24"/>
          <w:szCs w:val="24"/>
        </w:rPr>
        <w:t>en el control de los impulsos, abuso de sustancias, cambios bruscos de humor, antecedentes penales por maltrato, baja au</w:t>
      </w:r>
      <w:r w:rsidR="00363ABD" w:rsidRPr="00363ABD">
        <w:rPr>
          <w:sz w:val="24"/>
          <w:szCs w:val="24"/>
        </w:rPr>
        <w:t>toestima, autoimagen negativa y elevada desconfianza.</w:t>
      </w:r>
    </w:p>
    <w:p w14:paraId="2C35AAB6" w14:textId="77777777" w:rsidR="002C54B3" w:rsidRPr="00363ABD" w:rsidRDefault="002C54B3" w:rsidP="002C54B3">
      <w:pPr>
        <w:pStyle w:val="p1"/>
        <w:spacing w:line="360" w:lineRule="auto"/>
        <w:jc w:val="both"/>
        <w:rPr>
          <w:sz w:val="24"/>
          <w:szCs w:val="24"/>
        </w:rPr>
      </w:pPr>
    </w:p>
    <w:p w14:paraId="3EF33E2E" w14:textId="40D6CC83" w:rsidR="00363ABD" w:rsidRPr="00CF722E" w:rsidRDefault="006A01E4" w:rsidP="00CF722E">
      <w:pPr>
        <w:pStyle w:val="p1"/>
        <w:spacing w:line="360" w:lineRule="auto"/>
        <w:ind w:firstLine="708"/>
        <w:jc w:val="both"/>
        <w:rPr>
          <w:sz w:val="24"/>
          <w:szCs w:val="24"/>
        </w:rPr>
      </w:pPr>
      <w:r w:rsidRPr="00363ABD">
        <w:rPr>
          <w:sz w:val="24"/>
          <w:szCs w:val="24"/>
        </w:rPr>
        <w:t>En relación con</w:t>
      </w:r>
      <w:r w:rsidR="00363ABD" w:rsidRPr="00363ABD">
        <w:rPr>
          <w:sz w:val="24"/>
          <w:szCs w:val="24"/>
        </w:rPr>
        <w:t xml:space="preserve"> factores sociales, </w:t>
      </w:r>
      <w:r w:rsidR="00363ABD" w:rsidRPr="00363ABD">
        <w:rPr>
          <w:sz w:val="24"/>
          <w:szCs w:val="24"/>
        </w:rPr>
        <w:t xml:space="preserve">Wolfgang y </w:t>
      </w:r>
      <w:proofErr w:type="spellStart"/>
      <w:r w:rsidR="00363ABD" w:rsidRPr="00363ABD">
        <w:rPr>
          <w:sz w:val="24"/>
          <w:szCs w:val="24"/>
        </w:rPr>
        <w:t>Ferracuti</w:t>
      </w:r>
      <w:proofErr w:type="spellEnd"/>
      <w:r w:rsidR="00363ABD" w:rsidRPr="00363ABD">
        <w:rPr>
          <w:sz w:val="24"/>
          <w:szCs w:val="24"/>
        </w:rPr>
        <w:t xml:space="preserve"> (1967)</w:t>
      </w:r>
      <w:r w:rsidR="00363ABD" w:rsidRPr="00363ABD">
        <w:rPr>
          <w:rStyle w:val="apple-converted-space"/>
          <w:rFonts w:eastAsiaTheme="majorEastAsia"/>
          <w:sz w:val="24"/>
          <w:szCs w:val="24"/>
        </w:rPr>
        <w:t> </w:t>
      </w:r>
      <w:r w:rsidR="00363ABD" w:rsidRPr="00363ABD">
        <w:rPr>
          <w:rStyle w:val="apple-converted-space"/>
          <w:rFonts w:eastAsiaTheme="majorEastAsia"/>
          <w:sz w:val="24"/>
          <w:szCs w:val="24"/>
        </w:rPr>
        <w:t xml:space="preserve">observaron que los niveles de violencia tienden a ser </w:t>
      </w:r>
      <w:r w:rsidR="000C2FE7" w:rsidRPr="00363ABD">
        <w:rPr>
          <w:rStyle w:val="apple-converted-space"/>
          <w:rFonts w:eastAsiaTheme="majorEastAsia"/>
          <w:sz w:val="24"/>
          <w:szCs w:val="24"/>
        </w:rPr>
        <w:t>más</w:t>
      </w:r>
      <w:r w:rsidR="00363ABD" w:rsidRPr="00363ABD">
        <w:rPr>
          <w:rStyle w:val="apple-converted-space"/>
          <w:rFonts w:eastAsiaTheme="majorEastAsia"/>
          <w:sz w:val="24"/>
          <w:szCs w:val="24"/>
        </w:rPr>
        <w:t xml:space="preserve"> altos en personas de clases socioeconómicas </w:t>
      </w:r>
      <w:r w:rsidR="000C2FE7" w:rsidRPr="00363ABD">
        <w:rPr>
          <w:rStyle w:val="apple-converted-space"/>
          <w:rFonts w:eastAsiaTheme="majorEastAsia"/>
          <w:sz w:val="24"/>
          <w:szCs w:val="24"/>
        </w:rPr>
        <w:t>bajas</w:t>
      </w:r>
      <w:r w:rsidR="00363ABD" w:rsidRPr="00363ABD">
        <w:rPr>
          <w:rStyle w:val="apple-converted-space"/>
          <w:rFonts w:eastAsiaTheme="majorEastAsia"/>
          <w:sz w:val="24"/>
          <w:szCs w:val="24"/>
        </w:rPr>
        <w:t xml:space="preserve">. Sin embargo, </w:t>
      </w:r>
      <w:r w:rsidR="00363ABD" w:rsidRPr="00363ABD">
        <w:rPr>
          <w:sz w:val="24"/>
          <w:szCs w:val="24"/>
        </w:rPr>
        <w:t>Pastor (1994c)</w:t>
      </w:r>
      <w:r w:rsidR="000C2FE7">
        <w:rPr>
          <w:sz w:val="24"/>
          <w:szCs w:val="24"/>
        </w:rPr>
        <w:t xml:space="preserve"> tiene una opinión contradictoria, quien advierte que pertenecer a una clase social no causa directamente la violencia, </w:t>
      </w:r>
      <w:r w:rsidR="00DA7B9C">
        <w:rPr>
          <w:sz w:val="24"/>
          <w:szCs w:val="24"/>
        </w:rPr>
        <w:t>sino que</w:t>
      </w:r>
      <w:r w:rsidR="000C2FE7">
        <w:rPr>
          <w:sz w:val="24"/>
          <w:szCs w:val="24"/>
        </w:rPr>
        <w:t xml:space="preserve"> esta depende de otras variables </w:t>
      </w:r>
      <w:r w:rsidR="00DA7B9C">
        <w:rPr>
          <w:sz w:val="24"/>
          <w:szCs w:val="24"/>
        </w:rPr>
        <w:t>contextuales</w:t>
      </w:r>
      <w:r w:rsidR="000C2FE7">
        <w:rPr>
          <w:sz w:val="24"/>
          <w:szCs w:val="24"/>
        </w:rPr>
        <w:t xml:space="preserve"> y personales. </w:t>
      </w:r>
      <w:r w:rsidR="00DA7B9C">
        <w:rPr>
          <w:sz w:val="24"/>
          <w:szCs w:val="24"/>
        </w:rPr>
        <w:t xml:space="preserve">Desde </w:t>
      </w:r>
      <w:r w:rsidR="00DA7B9C" w:rsidRPr="00363ABD">
        <w:rPr>
          <w:sz w:val="24"/>
          <w:szCs w:val="24"/>
        </w:rPr>
        <w:t>una</w:t>
      </w:r>
      <w:r w:rsidR="00DA7B9C">
        <w:rPr>
          <w:sz w:val="24"/>
          <w:szCs w:val="24"/>
        </w:rPr>
        <w:t xml:space="preserve"> p</w:t>
      </w:r>
      <w:r w:rsidR="00DA7B9C" w:rsidRPr="00363ABD">
        <w:rPr>
          <w:sz w:val="24"/>
          <w:szCs w:val="24"/>
        </w:rPr>
        <w:t>erspectiva</w:t>
      </w:r>
      <w:r w:rsidR="00363ABD" w:rsidRPr="00363ABD">
        <w:rPr>
          <w:sz w:val="24"/>
          <w:szCs w:val="24"/>
        </w:rPr>
        <w:t xml:space="preserve"> biológica, se ha se</w:t>
      </w:r>
      <w:r w:rsidR="00DA7B9C">
        <w:rPr>
          <w:sz w:val="24"/>
          <w:szCs w:val="24"/>
        </w:rPr>
        <w:t>ñalado</w:t>
      </w:r>
      <w:r w:rsidR="00363ABD" w:rsidRPr="00363ABD">
        <w:rPr>
          <w:sz w:val="24"/>
          <w:szCs w:val="24"/>
        </w:rPr>
        <w:t xml:space="preserve"> que las hormonas sexuales </w:t>
      </w:r>
      <w:r w:rsidR="00CF722E">
        <w:rPr>
          <w:sz w:val="24"/>
          <w:szCs w:val="24"/>
        </w:rPr>
        <w:t xml:space="preserve">también influyen en la agresividad. </w:t>
      </w:r>
      <w:r w:rsidR="00363ABD" w:rsidRPr="00363ABD">
        <w:rPr>
          <w:sz w:val="24"/>
          <w:szCs w:val="24"/>
        </w:rPr>
        <w:t xml:space="preserve">Los andrógenos, en participar, pueden aumentar la tendencia a la irritabilidad y al comportamiento </w:t>
      </w:r>
      <w:r w:rsidR="00CF722E" w:rsidRPr="00363ABD">
        <w:rPr>
          <w:sz w:val="24"/>
          <w:szCs w:val="24"/>
        </w:rPr>
        <w:t>agresivo</w:t>
      </w:r>
      <w:r w:rsidR="00363ABD" w:rsidRPr="00363ABD">
        <w:rPr>
          <w:sz w:val="24"/>
          <w:szCs w:val="24"/>
        </w:rPr>
        <w:t xml:space="preserve">. </w:t>
      </w:r>
      <w:r w:rsidR="00363ABD" w:rsidRPr="00CF722E">
        <w:rPr>
          <w:sz w:val="24"/>
          <w:szCs w:val="24"/>
        </w:rPr>
        <w:t>(Martín Ramírez, 2000b).</w:t>
      </w:r>
      <w:r w:rsidR="00363ABD" w:rsidRPr="00CF722E">
        <w:rPr>
          <w:rStyle w:val="apple-converted-space"/>
          <w:rFonts w:eastAsiaTheme="majorEastAsia"/>
          <w:sz w:val="24"/>
          <w:szCs w:val="24"/>
        </w:rPr>
        <w:t> </w:t>
      </w:r>
      <w:r w:rsidR="00363ABD" w:rsidRPr="00CF722E">
        <w:rPr>
          <w:rStyle w:val="apple-converted-space"/>
          <w:rFonts w:eastAsiaTheme="majorEastAsia"/>
          <w:sz w:val="24"/>
          <w:szCs w:val="24"/>
        </w:rPr>
        <w:t xml:space="preserve">La testosterona, por ejemplo, </w:t>
      </w:r>
      <w:r w:rsidR="00B0131B">
        <w:rPr>
          <w:rStyle w:val="apple-converted-space"/>
          <w:rFonts w:eastAsiaTheme="majorEastAsia"/>
          <w:sz w:val="24"/>
          <w:szCs w:val="24"/>
        </w:rPr>
        <w:t xml:space="preserve">afecta </w:t>
      </w:r>
      <w:r w:rsidR="00363ABD" w:rsidRPr="00CF722E">
        <w:rPr>
          <w:rStyle w:val="apple-converted-space"/>
          <w:rFonts w:eastAsiaTheme="majorEastAsia"/>
          <w:sz w:val="24"/>
          <w:szCs w:val="24"/>
        </w:rPr>
        <w:t xml:space="preserve">la agresividad a </w:t>
      </w:r>
      <w:r w:rsidR="00B0131B" w:rsidRPr="00CF722E">
        <w:rPr>
          <w:rStyle w:val="apple-converted-space"/>
          <w:rFonts w:eastAsiaTheme="majorEastAsia"/>
          <w:sz w:val="24"/>
          <w:szCs w:val="24"/>
        </w:rPr>
        <w:t>través</w:t>
      </w:r>
      <w:r w:rsidR="00363ABD" w:rsidRPr="00CF722E">
        <w:rPr>
          <w:rStyle w:val="apple-converted-space"/>
          <w:rFonts w:eastAsiaTheme="majorEastAsia"/>
          <w:sz w:val="24"/>
          <w:szCs w:val="24"/>
        </w:rPr>
        <w:t xml:space="preserve"> de </w:t>
      </w:r>
      <w:r w:rsidR="00B0131B" w:rsidRPr="00CF722E">
        <w:rPr>
          <w:rStyle w:val="apple-converted-space"/>
          <w:rFonts w:eastAsiaTheme="majorEastAsia"/>
          <w:sz w:val="24"/>
          <w:szCs w:val="24"/>
        </w:rPr>
        <w:t>múltiples mecanismos</w:t>
      </w:r>
      <w:r w:rsidR="00363ABD" w:rsidRPr="00CF722E">
        <w:rPr>
          <w:rStyle w:val="apple-converted-space"/>
          <w:rFonts w:eastAsiaTheme="majorEastAsia"/>
          <w:sz w:val="24"/>
          <w:szCs w:val="24"/>
        </w:rPr>
        <w:t xml:space="preserve">: </w:t>
      </w:r>
      <w:r w:rsidR="00363ABD" w:rsidRPr="00CF722E">
        <w:rPr>
          <w:sz w:val="24"/>
          <w:szCs w:val="24"/>
        </w:rPr>
        <w:t>vía sensitiva a los andrógenos, vía sensitiva a los estrógenos, o una combinación de ambas, modulada por el genotipo del individuo (</w:t>
      </w:r>
      <w:proofErr w:type="spellStart"/>
      <w:r w:rsidR="00363ABD" w:rsidRPr="00CF722E">
        <w:rPr>
          <w:sz w:val="24"/>
          <w:szCs w:val="24"/>
        </w:rPr>
        <w:t>Sussman</w:t>
      </w:r>
      <w:proofErr w:type="spellEnd"/>
      <w:r w:rsidR="00363ABD" w:rsidRPr="00CF722E">
        <w:rPr>
          <w:sz w:val="24"/>
          <w:szCs w:val="24"/>
        </w:rPr>
        <w:t xml:space="preserve">, </w:t>
      </w:r>
      <w:proofErr w:type="spellStart"/>
      <w:r w:rsidR="00363ABD" w:rsidRPr="00CF722E">
        <w:rPr>
          <w:sz w:val="24"/>
          <w:szCs w:val="24"/>
        </w:rPr>
        <w:t>Worrak</w:t>
      </w:r>
      <w:proofErr w:type="spellEnd"/>
      <w:r w:rsidR="00363ABD" w:rsidRPr="00CF722E">
        <w:rPr>
          <w:sz w:val="24"/>
          <w:szCs w:val="24"/>
        </w:rPr>
        <w:t xml:space="preserve">, </w:t>
      </w:r>
      <w:proofErr w:type="spellStart"/>
      <w:r w:rsidR="00363ABD" w:rsidRPr="00CF722E">
        <w:rPr>
          <w:sz w:val="24"/>
          <w:szCs w:val="24"/>
        </w:rPr>
        <w:t>Murowchick</w:t>
      </w:r>
      <w:proofErr w:type="spellEnd"/>
      <w:r w:rsidR="00363ABD" w:rsidRPr="00CF722E">
        <w:rPr>
          <w:sz w:val="24"/>
          <w:szCs w:val="24"/>
        </w:rPr>
        <w:t xml:space="preserve">, </w:t>
      </w:r>
      <w:proofErr w:type="spellStart"/>
      <w:r w:rsidR="00363ABD" w:rsidRPr="00CF722E">
        <w:rPr>
          <w:sz w:val="24"/>
          <w:szCs w:val="24"/>
        </w:rPr>
        <w:t>Frobose</w:t>
      </w:r>
      <w:proofErr w:type="spellEnd"/>
      <w:r w:rsidR="00363ABD" w:rsidRPr="00CF722E">
        <w:rPr>
          <w:sz w:val="24"/>
          <w:szCs w:val="24"/>
        </w:rPr>
        <w:t xml:space="preserve"> y Schwab, 1996). Esto podría explicar por qué los hombres muestran con mayor frecuencia conductas agresivas, especialmente en el ámbito familiar</w:t>
      </w:r>
      <w:r w:rsidR="00B0131B">
        <w:rPr>
          <w:sz w:val="24"/>
          <w:szCs w:val="24"/>
        </w:rPr>
        <w:t xml:space="preserve">. </w:t>
      </w:r>
    </w:p>
    <w:p w14:paraId="59CE8F3C" w14:textId="646C1920" w:rsidR="00363ABD" w:rsidRPr="00363ABD" w:rsidRDefault="00363ABD" w:rsidP="002C54B3">
      <w:pPr>
        <w:pStyle w:val="p1"/>
        <w:spacing w:line="360" w:lineRule="auto"/>
        <w:jc w:val="both"/>
        <w:rPr>
          <w:sz w:val="27"/>
          <w:szCs w:val="27"/>
        </w:rPr>
      </w:pPr>
    </w:p>
    <w:p w14:paraId="607954F3" w14:textId="77345851" w:rsidR="00363ABD" w:rsidRPr="00B0131B" w:rsidRDefault="00363ABD" w:rsidP="00B0131B">
      <w:pPr>
        <w:pStyle w:val="p1"/>
        <w:spacing w:line="360" w:lineRule="auto"/>
        <w:ind w:firstLine="708"/>
        <w:jc w:val="both"/>
        <w:rPr>
          <w:sz w:val="24"/>
          <w:szCs w:val="24"/>
        </w:rPr>
      </w:pPr>
      <w:r w:rsidRPr="00B0131B">
        <w:rPr>
          <w:sz w:val="24"/>
          <w:szCs w:val="24"/>
        </w:rPr>
        <w:t xml:space="preserve">En cuanto a la evaluación de la violencia, uno de los </w:t>
      </w:r>
      <w:r w:rsidR="0013138E" w:rsidRPr="00B0131B">
        <w:rPr>
          <w:sz w:val="24"/>
          <w:szCs w:val="24"/>
        </w:rPr>
        <w:t>protocolos</w:t>
      </w:r>
      <w:r w:rsidRPr="00B0131B">
        <w:rPr>
          <w:sz w:val="24"/>
          <w:szCs w:val="24"/>
        </w:rPr>
        <w:t xml:space="preserve"> </w:t>
      </w:r>
      <w:r w:rsidR="0013138E" w:rsidRPr="00B0131B">
        <w:rPr>
          <w:sz w:val="24"/>
          <w:szCs w:val="24"/>
        </w:rPr>
        <w:t>más</w:t>
      </w:r>
      <w:r w:rsidRPr="00B0131B">
        <w:rPr>
          <w:sz w:val="24"/>
          <w:szCs w:val="24"/>
        </w:rPr>
        <w:t xml:space="preserve"> </w:t>
      </w:r>
      <w:proofErr w:type="spellStart"/>
      <w:r w:rsidRPr="00B0131B">
        <w:rPr>
          <w:sz w:val="24"/>
          <w:szCs w:val="24"/>
        </w:rPr>
        <w:t>utilziad</w:t>
      </w:r>
      <w:r w:rsidR="0013138E">
        <w:rPr>
          <w:sz w:val="24"/>
          <w:szCs w:val="24"/>
        </w:rPr>
        <w:t>os</w:t>
      </w:r>
      <w:proofErr w:type="spellEnd"/>
      <w:r w:rsidRPr="00B0131B">
        <w:rPr>
          <w:sz w:val="24"/>
          <w:szCs w:val="24"/>
        </w:rPr>
        <w:t xml:space="preserve"> actualmente es el S</w:t>
      </w:r>
      <w:r w:rsidRPr="00B0131B">
        <w:rPr>
          <w:b/>
          <w:bCs/>
          <w:sz w:val="24"/>
          <w:szCs w:val="24"/>
        </w:rPr>
        <w:t>.</w:t>
      </w:r>
      <w:r w:rsidRPr="00B0131B">
        <w:rPr>
          <w:sz w:val="24"/>
          <w:szCs w:val="24"/>
        </w:rPr>
        <w:t>A.R.A</w:t>
      </w:r>
      <w:r w:rsidR="001D4E8A" w:rsidRPr="00B0131B">
        <w:rPr>
          <w:sz w:val="24"/>
          <w:szCs w:val="24"/>
        </w:rPr>
        <w:t xml:space="preserve"> </w:t>
      </w:r>
      <w:r w:rsidR="00477631" w:rsidRPr="00B0131B">
        <w:rPr>
          <w:sz w:val="24"/>
          <w:szCs w:val="24"/>
        </w:rPr>
        <w:t>V3</w:t>
      </w:r>
      <w:r w:rsidR="00477631" w:rsidRPr="00B0131B">
        <w:rPr>
          <w:b/>
          <w:bCs/>
          <w:sz w:val="24"/>
          <w:szCs w:val="24"/>
        </w:rPr>
        <w:t xml:space="preserve"> </w:t>
      </w:r>
      <w:r w:rsidR="00AB1A3E" w:rsidRPr="00B0131B">
        <w:rPr>
          <w:rStyle w:val="Fuerte"/>
          <w:rFonts w:eastAsiaTheme="majorEastAsia"/>
          <w:b w:val="0"/>
          <w:bCs w:val="0"/>
          <w:sz w:val="24"/>
          <w:szCs w:val="24"/>
        </w:rPr>
        <w:t>(</w:t>
      </w:r>
      <w:proofErr w:type="spellStart"/>
      <w:r w:rsidR="00AB1A3E" w:rsidRPr="00B0131B">
        <w:rPr>
          <w:rStyle w:val="Fuerte"/>
          <w:rFonts w:eastAsiaTheme="majorEastAsia"/>
          <w:b w:val="0"/>
          <w:bCs w:val="0"/>
          <w:sz w:val="24"/>
          <w:szCs w:val="24"/>
        </w:rPr>
        <w:t>Spousal</w:t>
      </w:r>
      <w:proofErr w:type="spellEnd"/>
      <w:r w:rsidR="00AB1A3E" w:rsidRPr="00B0131B">
        <w:rPr>
          <w:rStyle w:val="Fuerte"/>
          <w:rFonts w:eastAsiaTheme="majorEastAsia"/>
          <w:b w:val="0"/>
          <w:bCs w:val="0"/>
          <w:sz w:val="24"/>
          <w:szCs w:val="24"/>
        </w:rPr>
        <w:t xml:space="preserve"> </w:t>
      </w:r>
      <w:proofErr w:type="spellStart"/>
      <w:r w:rsidR="00AB1A3E" w:rsidRPr="00B0131B">
        <w:rPr>
          <w:rStyle w:val="Fuerte"/>
          <w:rFonts w:eastAsiaTheme="majorEastAsia"/>
          <w:b w:val="0"/>
          <w:bCs w:val="0"/>
          <w:sz w:val="24"/>
          <w:szCs w:val="24"/>
        </w:rPr>
        <w:t>Assault</w:t>
      </w:r>
      <w:proofErr w:type="spellEnd"/>
      <w:r w:rsidR="00AB1A3E" w:rsidRPr="00B0131B">
        <w:rPr>
          <w:rStyle w:val="Fuerte"/>
          <w:rFonts w:eastAsiaTheme="majorEastAsia"/>
          <w:b w:val="0"/>
          <w:bCs w:val="0"/>
          <w:sz w:val="24"/>
          <w:szCs w:val="24"/>
        </w:rPr>
        <w:t xml:space="preserve"> </w:t>
      </w:r>
      <w:proofErr w:type="spellStart"/>
      <w:r w:rsidR="00AB1A3E" w:rsidRPr="00B0131B">
        <w:rPr>
          <w:rStyle w:val="Fuerte"/>
          <w:rFonts w:eastAsiaTheme="majorEastAsia"/>
          <w:b w:val="0"/>
          <w:bCs w:val="0"/>
          <w:sz w:val="24"/>
          <w:szCs w:val="24"/>
        </w:rPr>
        <w:t>Risk</w:t>
      </w:r>
      <w:proofErr w:type="spellEnd"/>
      <w:r w:rsidR="00AB1A3E" w:rsidRPr="00B0131B">
        <w:rPr>
          <w:rStyle w:val="Fuerte"/>
          <w:rFonts w:eastAsiaTheme="majorEastAsia"/>
          <w:b w:val="0"/>
          <w:bCs w:val="0"/>
          <w:sz w:val="24"/>
          <w:szCs w:val="24"/>
        </w:rPr>
        <w:t xml:space="preserve"> </w:t>
      </w:r>
      <w:proofErr w:type="spellStart"/>
      <w:r w:rsidR="00AB1A3E" w:rsidRPr="00B0131B">
        <w:rPr>
          <w:rStyle w:val="Fuerte"/>
          <w:rFonts w:eastAsiaTheme="majorEastAsia"/>
          <w:b w:val="0"/>
          <w:bCs w:val="0"/>
          <w:sz w:val="24"/>
          <w:szCs w:val="24"/>
        </w:rPr>
        <w:t>Assessment</w:t>
      </w:r>
      <w:proofErr w:type="spellEnd"/>
      <w:r w:rsidR="00AB1A3E" w:rsidRPr="00B0131B">
        <w:rPr>
          <w:rStyle w:val="Fuerte"/>
          <w:rFonts w:eastAsiaTheme="majorEastAsia"/>
          <w:b w:val="0"/>
          <w:bCs w:val="0"/>
          <w:sz w:val="24"/>
          <w:szCs w:val="24"/>
        </w:rPr>
        <w:t xml:space="preserve">, </w:t>
      </w:r>
      <w:proofErr w:type="spellStart"/>
      <w:r w:rsidR="00AB1A3E" w:rsidRPr="00B0131B">
        <w:rPr>
          <w:rStyle w:val="Fuerte"/>
          <w:rFonts w:eastAsiaTheme="majorEastAsia"/>
          <w:b w:val="0"/>
          <w:bCs w:val="0"/>
          <w:sz w:val="24"/>
          <w:szCs w:val="24"/>
        </w:rPr>
        <w:t>Third</w:t>
      </w:r>
      <w:proofErr w:type="spellEnd"/>
      <w:r w:rsidR="00AB1A3E" w:rsidRPr="00B0131B">
        <w:rPr>
          <w:rStyle w:val="Fuerte"/>
          <w:rFonts w:eastAsiaTheme="majorEastAsia"/>
          <w:b w:val="0"/>
          <w:bCs w:val="0"/>
          <w:sz w:val="24"/>
          <w:szCs w:val="24"/>
        </w:rPr>
        <w:t xml:space="preserve"> </w:t>
      </w:r>
      <w:proofErr w:type="spellStart"/>
      <w:r w:rsidR="00AB1A3E" w:rsidRPr="00B0131B">
        <w:rPr>
          <w:rStyle w:val="Fuerte"/>
          <w:rFonts w:eastAsiaTheme="majorEastAsia"/>
          <w:b w:val="0"/>
          <w:bCs w:val="0"/>
          <w:sz w:val="24"/>
          <w:szCs w:val="24"/>
        </w:rPr>
        <w:t>Version</w:t>
      </w:r>
      <w:proofErr w:type="spellEnd"/>
      <w:r w:rsidR="0013138E">
        <w:rPr>
          <w:rStyle w:val="Fuerte"/>
          <w:rFonts w:eastAsiaTheme="majorEastAsia"/>
          <w:b w:val="0"/>
          <w:bCs w:val="0"/>
          <w:sz w:val="24"/>
          <w:szCs w:val="24"/>
        </w:rPr>
        <w:t xml:space="preserve">, </w:t>
      </w:r>
      <w:r w:rsidR="00477631" w:rsidRPr="00B0131B">
        <w:rPr>
          <w:sz w:val="24"/>
          <w:szCs w:val="24"/>
        </w:rPr>
        <w:t>dise</w:t>
      </w:r>
      <w:r w:rsidR="0013138E">
        <w:rPr>
          <w:sz w:val="24"/>
          <w:szCs w:val="24"/>
        </w:rPr>
        <w:t>ñado</w:t>
      </w:r>
      <w:r w:rsidR="00477631" w:rsidRPr="00B0131B">
        <w:rPr>
          <w:sz w:val="24"/>
          <w:szCs w:val="24"/>
        </w:rPr>
        <w:t xml:space="preserve"> en </w:t>
      </w:r>
      <w:r w:rsidR="0013138E" w:rsidRPr="00B0131B">
        <w:rPr>
          <w:sz w:val="24"/>
          <w:szCs w:val="24"/>
        </w:rPr>
        <w:t>Canadá</w:t>
      </w:r>
      <w:r w:rsidR="00AB1A3E" w:rsidRPr="00B0131B">
        <w:rPr>
          <w:sz w:val="24"/>
          <w:szCs w:val="24"/>
        </w:rPr>
        <w:t xml:space="preserve">. </w:t>
      </w:r>
    </w:p>
    <w:p w14:paraId="3E2B0D86" w14:textId="77777777" w:rsidR="00AB1A3E" w:rsidRPr="00AB1A3E" w:rsidRDefault="00AB1A3E" w:rsidP="002C54B3">
      <w:pPr>
        <w:pStyle w:val="p1"/>
        <w:spacing w:line="360" w:lineRule="auto"/>
        <w:jc w:val="both"/>
        <w:rPr>
          <w:sz w:val="27"/>
          <w:szCs w:val="27"/>
        </w:rPr>
      </w:pPr>
    </w:p>
    <w:p w14:paraId="36DC1E45" w14:textId="6DF9EA3E" w:rsidR="006B4B6C" w:rsidRPr="001B3FA1" w:rsidRDefault="006B4B6C" w:rsidP="001B3FA1">
      <w:pPr>
        <w:pStyle w:val="NormalWeb"/>
        <w:numPr>
          <w:ilvl w:val="2"/>
          <w:numId w:val="3"/>
        </w:numPr>
        <w:spacing w:before="0" w:beforeAutospacing="0" w:after="340" w:afterAutospacing="0" w:line="360" w:lineRule="auto"/>
        <w:jc w:val="both"/>
        <w:rPr>
          <w:color w:val="000000"/>
        </w:rPr>
      </w:pPr>
      <w:r w:rsidRPr="001B3FA1">
        <w:rPr>
          <w:b/>
          <w:bCs/>
          <w:u w:val="single"/>
        </w:rPr>
        <w:t>Marco legal y legislación española en materia de violencia de género (completar).</w:t>
      </w:r>
    </w:p>
    <w:p w14:paraId="358213E9" w14:textId="77777777" w:rsidR="006B4B6C" w:rsidRDefault="006B4B6C" w:rsidP="006B4B6C">
      <w:pPr>
        <w:spacing w:after="240" w:line="360" w:lineRule="auto"/>
        <w:ind w:firstLine="360"/>
        <w:jc w:val="both"/>
        <w:rPr>
          <w:color w:val="000000"/>
        </w:rPr>
      </w:pPr>
      <w:r>
        <w:rPr>
          <w:color w:val="000000"/>
        </w:rPr>
        <w:t xml:space="preserve">La violencia de género constituye un delito que vulnera gravemente la integridad personal. Se caracteriza porque el sujeto activo siempre es un hombre y el sujeto pasivo una mujer, cuando entre ambos existe o ha existido una relación afectiva. Para que esta conducta sea punible y, por tanto, tipificada legalmente, no es requisito la convivencia entre agresor y víctima, ya que la ausencia de convivencia no excluye la tipificación penal ni la exigencia de responsabilidad criminal. </w:t>
      </w:r>
    </w:p>
    <w:p w14:paraId="5A429920" w14:textId="77777777" w:rsidR="006B4B6C" w:rsidRDefault="006B4B6C" w:rsidP="006B4B6C">
      <w:pPr>
        <w:spacing w:after="240" w:line="360" w:lineRule="auto"/>
        <w:ind w:firstLine="360"/>
        <w:jc w:val="both"/>
        <w:rPr>
          <w:color w:val="000000"/>
        </w:rPr>
      </w:pPr>
      <w:r>
        <w:rPr>
          <w:color w:val="000000"/>
        </w:rPr>
        <w:tab/>
        <w:t xml:space="preserve">En el ordenamiento jurídico español, la violencia de género es sancionada desde dos enfoques complementarios. El primero de ellos es el </w:t>
      </w:r>
      <w:r w:rsidRPr="001F0B0D">
        <w:rPr>
          <w:b/>
          <w:bCs/>
          <w:color w:val="000000"/>
          <w:u w:val="single"/>
        </w:rPr>
        <w:t>enfoque legal-penal,</w:t>
      </w:r>
      <w:r>
        <w:rPr>
          <w:color w:val="000000"/>
        </w:rPr>
        <w:t xml:space="preserve"> regulado fundamental en el Código Penal. La VG no se tipifica como un delito único; por ello no existe un artículo especifico. Sino que su sanción se realiza a través de diversos tipos penales específicos o agravados, en función de la tipología delictivita cometida. </w:t>
      </w:r>
    </w:p>
    <w:p w14:paraId="47F94567" w14:textId="77777777" w:rsidR="006B4B6C" w:rsidRDefault="006B4B6C" w:rsidP="006B4B6C">
      <w:pPr>
        <w:spacing w:after="240" w:line="360" w:lineRule="auto"/>
        <w:ind w:firstLine="360"/>
        <w:jc w:val="both"/>
        <w:rPr>
          <w:color w:val="000000"/>
        </w:rPr>
      </w:pPr>
      <w:r w:rsidRPr="00F950FF">
        <w:rPr>
          <w:color w:val="000000"/>
        </w:rPr>
        <w:t xml:space="preserve">En este sentido, para sancionar estas conductas, la violencia de género puede concurrir </w:t>
      </w:r>
      <w:r w:rsidRPr="00B00053">
        <w:rPr>
          <w:color w:val="000000"/>
        </w:rPr>
        <w:t>con</w:t>
      </w:r>
      <w:r w:rsidRPr="00B00053">
        <w:rPr>
          <w:rStyle w:val="apple-converted-space"/>
          <w:rFonts w:eastAsiaTheme="majorEastAsia"/>
          <w:color w:val="000000"/>
        </w:rPr>
        <w:t> </w:t>
      </w:r>
      <w:r w:rsidRPr="00F950FF">
        <w:rPr>
          <w:rStyle w:val="Fuerte"/>
          <w:rFonts w:eastAsiaTheme="majorEastAsia"/>
          <w:b w:val="0"/>
          <w:bCs w:val="0"/>
          <w:color w:val="000000"/>
        </w:rPr>
        <w:t>distintos delitos tipificados en el Código Penal</w:t>
      </w:r>
      <w:r w:rsidRPr="00F950FF">
        <w:rPr>
          <w:color w:val="000000"/>
        </w:rPr>
        <w:t>, entre los que destacan los siguientes:</w:t>
      </w:r>
    </w:p>
    <w:p w14:paraId="40E86605" w14:textId="77777777" w:rsidR="006B4B6C" w:rsidRDefault="006B4B6C" w:rsidP="006B4B6C">
      <w:pPr>
        <w:pStyle w:val="Prrafodelista"/>
        <w:numPr>
          <w:ilvl w:val="0"/>
          <w:numId w:val="5"/>
        </w:numPr>
        <w:spacing w:after="240" w:line="360" w:lineRule="auto"/>
        <w:jc w:val="both"/>
        <w:rPr>
          <w:color w:val="000000"/>
        </w:rPr>
      </w:pPr>
      <w:r w:rsidRPr="00F51B1C">
        <w:rPr>
          <w:color w:val="000000"/>
        </w:rPr>
        <w:t xml:space="preserve">La violencia de genero puede cursar con el </w:t>
      </w:r>
      <w:r w:rsidRPr="00F51B1C">
        <w:rPr>
          <w:b/>
          <w:bCs/>
          <w:color w:val="000000"/>
          <w:u w:val="single"/>
        </w:rPr>
        <w:t>Delito de Lesiones</w:t>
      </w:r>
      <w:r w:rsidRPr="00F51B1C">
        <w:rPr>
          <w:color w:val="000000"/>
        </w:rPr>
        <w:t xml:space="preserve"> (Art</w:t>
      </w:r>
      <w:r>
        <w:rPr>
          <w:color w:val="000000"/>
        </w:rPr>
        <w:t>í</w:t>
      </w:r>
      <w:r w:rsidRPr="00F51B1C">
        <w:rPr>
          <w:color w:val="000000"/>
        </w:rPr>
        <w:t xml:space="preserve">culo 153.1) </w:t>
      </w:r>
    </w:p>
    <w:p w14:paraId="2E9EB358" w14:textId="77777777" w:rsidR="006B4B6C" w:rsidRPr="00F51B1C" w:rsidRDefault="006B4B6C" w:rsidP="006B4B6C">
      <w:pPr>
        <w:pStyle w:val="Prrafodelista"/>
        <w:spacing w:after="240" w:line="360" w:lineRule="auto"/>
        <w:jc w:val="both"/>
        <w:rPr>
          <w:color w:val="000000"/>
        </w:rPr>
      </w:pPr>
      <w:r>
        <w:rPr>
          <w:color w:val="000000"/>
        </w:rPr>
        <w:t xml:space="preserve">Pena: prisión de 6 meses a 1 año o trabajos en beneficio de la comunidad de 31 a 80 días. </w:t>
      </w:r>
    </w:p>
    <w:p w14:paraId="19531588" w14:textId="77777777" w:rsidR="006B4B6C" w:rsidRDefault="006B4B6C" w:rsidP="006B4B6C">
      <w:pPr>
        <w:pStyle w:val="Prrafodelista"/>
        <w:numPr>
          <w:ilvl w:val="0"/>
          <w:numId w:val="5"/>
        </w:numPr>
        <w:spacing w:after="240" w:line="360" w:lineRule="auto"/>
        <w:jc w:val="both"/>
        <w:rPr>
          <w:color w:val="000000"/>
        </w:rPr>
      </w:pPr>
      <w:r w:rsidRPr="00F51B1C">
        <w:rPr>
          <w:color w:val="000000"/>
        </w:rPr>
        <w:t xml:space="preserve">La violencia de genero puede cursar con el </w:t>
      </w:r>
      <w:r w:rsidRPr="00F51B1C">
        <w:rPr>
          <w:b/>
          <w:bCs/>
          <w:color w:val="000000"/>
          <w:u w:val="single"/>
        </w:rPr>
        <w:t>Delito de Amenazas</w:t>
      </w:r>
      <w:r w:rsidRPr="00F51B1C">
        <w:rPr>
          <w:color w:val="000000"/>
        </w:rPr>
        <w:t xml:space="preserve"> (Art</w:t>
      </w:r>
      <w:r>
        <w:rPr>
          <w:color w:val="000000"/>
        </w:rPr>
        <w:t>í</w:t>
      </w:r>
      <w:r w:rsidRPr="00F51B1C">
        <w:rPr>
          <w:color w:val="000000"/>
        </w:rPr>
        <w:t xml:space="preserve">culo 171.4 y 171.5) </w:t>
      </w:r>
    </w:p>
    <w:p w14:paraId="236DBEBA" w14:textId="77777777" w:rsidR="006B4B6C" w:rsidRPr="001A1BAB" w:rsidRDefault="006B4B6C" w:rsidP="006B4B6C">
      <w:pPr>
        <w:pStyle w:val="Prrafodelista"/>
        <w:spacing w:after="240" w:line="360" w:lineRule="auto"/>
        <w:jc w:val="both"/>
        <w:rPr>
          <w:color w:val="000000"/>
        </w:rPr>
      </w:pPr>
      <w:r>
        <w:rPr>
          <w:color w:val="000000"/>
        </w:rPr>
        <w:t xml:space="preserve">Pena: prisión de 6 meses a 1 año o trabajos en beneficio de la comunidad de 31 a 80 días. </w:t>
      </w:r>
    </w:p>
    <w:p w14:paraId="443AA183" w14:textId="77777777" w:rsidR="006B4B6C" w:rsidRDefault="006B4B6C" w:rsidP="006B4B6C">
      <w:pPr>
        <w:pStyle w:val="Prrafodelista"/>
        <w:numPr>
          <w:ilvl w:val="0"/>
          <w:numId w:val="5"/>
        </w:numPr>
        <w:spacing w:after="240" w:line="360" w:lineRule="auto"/>
        <w:jc w:val="both"/>
        <w:rPr>
          <w:color w:val="000000"/>
        </w:rPr>
      </w:pPr>
      <w:r w:rsidRPr="00F51B1C">
        <w:rPr>
          <w:color w:val="000000"/>
        </w:rPr>
        <w:t xml:space="preserve">La violencia de genero puede cursar con el </w:t>
      </w:r>
      <w:r w:rsidRPr="00F51B1C">
        <w:rPr>
          <w:b/>
          <w:bCs/>
          <w:color w:val="000000"/>
          <w:u w:val="single"/>
        </w:rPr>
        <w:t>Delito de Coacciones</w:t>
      </w:r>
      <w:r w:rsidRPr="00F51B1C">
        <w:rPr>
          <w:color w:val="000000"/>
        </w:rPr>
        <w:t xml:space="preserve"> (Art</w:t>
      </w:r>
      <w:r>
        <w:rPr>
          <w:color w:val="000000"/>
        </w:rPr>
        <w:t>í</w:t>
      </w:r>
      <w:r w:rsidRPr="00F51B1C">
        <w:rPr>
          <w:color w:val="000000"/>
        </w:rPr>
        <w:t>culo 172.2)</w:t>
      </w:r>
    </w:p>
    <w:p w14:paraId="1853046C" w14:textId="77777777" w:rsidR="006B4B6C" w:rsidRPr="001A1BAB" w:rsidRDefault="006B4B6C" w:rsidP="006B4B6C">
      <w:pPr>
        <w:pStyle w:val="Prrafodelista"/>
        <w:spacing w:after="240" w:line="360" w:lineRule="auto"/>
        <w:jc w:val="both"/>
        <w:rPr>
          <w:color w:val="000000"/>
        </w:rPr>
      </w:pPr>
      <w:r>
        <w:rPr>
          <w:color w:val="000000"/>
        </w:rPr>
        <w:t xml:space="preserve">Pena: prisión de 6 meses a 1 año o trabajos en beneficio de la comunidad de 31 a 80 días. </w:t>
      </w:r>
    </w:p>
    <w:p w14:paraId="43DD50F1" w14:textId="77777777" w:rsidR="006B4B6C" w:rsidRDefault="006B4B6C" w:rsidP="006B4B6C">
      <w:pPr>
        <w:pStyle w:val="Prrafodelista"/>
        <w:numPr>
          <w:ilvl w:val="0"/>
          <w:numId w:val="5"/>
        </w:numPr>
        <w:spacing w:after="240" w:line="360" w:lineRule="auto"/>
        <w:jc w:val="both"/>
        <w:rPr>
          <w:color w:val="000000"/>
        </w:rPr>
      </w:pPr>
      <w:r w:rsidRPr="00F51B1C">
        <w:rPr>
          <w:color w:val="000000"/>
        </w:rPr>
        <w:t xml:space="preserve">La violencia de genero puede cursar con el </w:t>
      </w:r>
      <w:r w:rsidRPr="00F51B1C">
        <w:rPr>
          <w:b/>
          <w:bCs/>
          <w:color w:val="000000"/>
          <w:u w:val="single"/>
        </w:rPr>
        <w:t xml:space="preserve">Delito de Maltrato </w:t>
      </w:r>
      <w:r w:rsidRPr="00F51B1C">
        <w:rPr>
          <w:color w:val="000000"/>
        </w:rPr>
        <w:t>(Art</w:t>
      </w:r>
      <w:r>
        <w:rPr>
          <w:color w:val="000000"/>
        </w:rPr>
        <w:t>í</w:t>
      </w:r>
      <w:r w:rsidRPr="00F51B1C">
        <w:rPr>
          <w:color w:val="000000"/>
        </w:rPr>
        <w:t>culo 173.2)</w:t>
      </w:r>
    </w:p>
    <w:p w14:paraId="1C76FFC0" w14:textId="77777777" w:rsidR="006B4B6C" w:rsidRPr="00F51B1C" w:rsidRDefault="006B4B6C" w:rsidP="006B4B6C">
      <w:pPr>
        <w:pStyle w:val="Prrafodelista"/>
        <w:spacing w:after="240" w:line="360" w:lineRule="auto"/>
        <w:jc w:val="both"/>
        <w:rPr>
          <w:color w:val="000000"/>
        </w:rPr>
      </w:pPr>
      <w:r>
        <w:rPr>
          <w:color w:val="000000"/>
        </w:rPr>
        <w:t xml:space="preserve">Pena: prisión de 6 meses a 3 años, según la gravedad y reiteración de los hechos. </w:t>
      </w:r>
    </w:p>
    <w:p w14:paraId="1C3E2632" w14:textId="77777777" w:rsidR="006B4B6C" w:rsidRDefault="006B4B6C" w:rsidP="006B4B6C">
      <w:pPr>
        <w:pStyle w:val="p1"/>
        <w:spacing w:line="360" w:lineRule="auto"/>
        <w:ind w:firstLine="708"/>
        <w:jc w:val="both"/>
        <w:rPr>
          <w:sz w:val="24"/>
          <w:szCs w:val="24"/>
        </w:rPr>
      </w:pPr>
      <w:r w:rsidRPr="0075535D">
        <w:rPr>
          <w:sz w:val="24"/>
          <w:szCs w:val="24"/>
          <w:highlight w:val="yellow"/>
        </w:rPr>
        <w:t>APARTADO – AGRAVANTE GENERAL EN LOS DELITOS COMEIDOS CONTTRA MENORES</w:t>
      </w:r>
      <w:r>
        <w:rPr>
          <w:sz w:val="24"/>
          <w:szCs w:val="24"/>
        </w:rPr>
        <w:t xml:space="preserve">. </w:t>
      </w:r>
    </w:p>
    <w:p w14:paraId="174BFD8B" w14:textId="514C6FA9" w:rsidR="006B4B6C" w:rsidRDefault="006B4B6C" w:rsidP="006B4B6C">
      <w:pPr>
        <w:pStyle w:val="p1"/>
        <w:spacing w:line="360" w:lineRule="auto"/>
        <w:ind w:firstLine="708"/>
        <w:jc w:val="both"/>
        <w:rPr>
          <w:sz w:val="24"/>
          <w:szCs w:val="24"/>
        </w:rPr>
      </w:pPr>
      <w:r>
        <w:rPr>
          <w:sz w:val="24"/>
          <w:szCs w:val="24"/>
        </w:rPr>
        <w:lastRenderedPageBreak/>
        <w:t xml:space="preserve">Se protege también a los menores a través de la Ley </w:t>
      </w:r>
      <w:r w:rsidR="0075535D">
        <w:rPr>
          <w:sz w:val="24"/>
          <w:szCs w:val="24"/>
        </w:rPr>
        <w:t>Orgánica</w:t>
      </w:r>
      <w:r>
        <w:rPr>
          <w:sz w:val="24"/>
          <w:szCs w:val="24"/>
        </w:rPr>
        <w:t xml:space="preserve"> 8/2015 y la Ley 26/2015 de modificación del sistema de protección a la infancia y a la adolescencia. </w:t>
      </w:r>
    </w:p>
    <w:p w14:paraId="594A8BDF" w14:textId="77777777" w:rsidR="006B4B6C" w:rsidRDefault="006B4B6C" w:rsidP="006B4B6C">
      <w:pPr>
        <w:pStyle w:val="p1"/>
        <w:spacing w:line="360" w:lineRule="auto"/>
        <w:ind w:firstLine="708"/>
        <w:jc w:val="both"/>
        <w:rPr>
          <w:sz w:val="24"/>
          <w:szCs w:val="24"/>
        </w:rPr>
      </w:pPr>
    </w:p>
    <w:p w14:paraId="1BE4C3B4" w14:textId="77777777" w:rsidR="006B4B6C" w:rsidRDefault="006B4B6C" w:rsidP="006B4B6C">
      <w:pPr>
        <w:pStyle w:val="p1"/>
        <w:spacing w:line="360" w:lineRule="auto"/>
        <w:ind w:firstLine="708"/>
        <w:jc w:val="both"/>
        <w:rPr>
          <w:sz w:val="24"/>
          <w:szCs w:val="24"/>
        </w:rPr>
      </w:pPr>
      <w:r>
        <w:rPr>
          <w:sz w:val="24"/>
          <w:szCs w:val="24"/>
        </w:rPr>
        <w:t xml:space="preserve">En todos los casos, cuando el delito se comete en el marco de una relación afectiva previa o actual, se aplican agravantes específicas, como la agravante por parentesco y la agravante por razón de género, que reconoce que el delito se comete contra la mujer por el mero hecho de serlo. Estas agravantes pueden incrementar la pena dentro de los márgenes establecidos por el Código Penal. </w:t>
      </w:r>
    </w:p>
    <w:p w14:paraId="32349421" w14:textId="77777777" w:rsidR="006B4B6C" w:rsidRDefault="006B4B6C" w:rsidP="006B4B6C">
      <w:pPr>
        <w:pStyle w:val="p1"/>
        <w:spacing w:line="360" w:lineRule="auto"/>
        <w:jc w:val="both"/>
        <w:rPr>
          <w:sz w:val="24"/>
          <w:szCs w:val="24"/>
        </w:rPr>
      </w:pPr>
    </w:p>
    <w:p w14:paraId="26237142" w14:textId="77777777" w:rsidR="006B4B6C" w:rsidRDefault="006B4B6C" w:rsidP="006B4B6C">
      <w:pPr>
        <w:pStyle w:val="p1"/>
        <w:spacing w:line="360" w:lineRule="auto"/>
        <w:ind w:firstLine="708"/>
        <w:jc w:val="both"/>
        <w:rPr>
          <w:color w:val="000000" w:themeColor="text1"/>
          <w:sz w:val="24"/>
          <w:szCs w:val="24"/>
        </w:rPr>
      </w:pPr>
      <w:r w:rsidRPr="007F0E74">
        <w:rPr>
          <w:sz w:val="24"/>
          <w:szCs w:val="24"/>
        </w:rPr>
        <w:t xml:space="preserve">En segundo lugar, desde </w:t>
      </w:r>
      <w:r w:rsidRPr="0075535D">
        <w:rPr>
          <w:b/>
          <w:bCs/>
          <w:sz w:val="24"/>
          <w:szCs w:val="24"/>
          <w:u w:val="single"/>
        </w:rPr>
        <w:t>el enfoque normativo,</w:t>
      </w:r>
      <w:r>
        <w:rPr>
          <w:sz w:val="24"/>
          <w:szCs w:val="24"/>
        </w:rPr>
        <w:t xml:space="preserve"> la </w:t>
      </w:r>
      <w:r w:rsidRPr="007F0E74">
        <w:rPr>
          <w:sz w:val="24"/>
          <w:szCs w:val="24"/>
        </w:rPr>
        <w:t xml:space="preserve">violencia de genero </w:t>
      </w:r>
      <w:r>
        <w:rPr>
          <w:sz w:val="24"/>
          <w:szCs w:val="24"/>
        </w:rPr>
        <w:t>también se</w:t>
      </w:r>
      <w:r w:rsidRPr="007F0E74">
        <w:rPr>
          <w:sz w:val="24"/>
          <w:szCs w:val="24"/>
        </w:rPr>
        <w:t xml:space="preserve"> encuentra regulad</w:t>
      </w:r>
      <w:r>
        <w:rPr>
          <w:sz w:val="24"/>
          <w:szCs w:val="24"/>
        </w:rPr>
        <w:t>a en</w:t>
      </w:r>
      <w:r w:rsidRPr="007F0E74">
        <w:rPr>
          <w:sz w:val="24"/>
          <w:szCs w:val="24"/>
        </w:rPr>
        <w:t xml:space="preserve"> la Ley Orgánica 1/2004, de 28 de diciembre, de Medidas de Protección Integral contra la Violencia de Género</w:t>
      </w:r>
      <w:r>
        <w:rPr>
          <w:sz w:val="24"/>
          <w:szCs w:val="24"/>
        </w:rPr>
        <w:t xml:space="preserve">, </w:t>
      </w:r>
      <w:r w:rsidRPr="007F0E74">
        <w:rPr>
          <w:sz w:val="24"/>
          <w:szCs w:val="24"/>
        </w:rPr>
        <w:t>que l</w:t>
      </w:r>
      <w:r>
        <w:rPr>
          <w:sz w:val="24"/>
          <w:szCs w:val="24"/>
        </w:rPr>
        <w:t>a</w:t>
      </w:r>
      <w:r w:rsidRPr="007F0E74">
        <w:rPr>
          <w:sz w:val="24"/>
          <w:szCs w:val="24"/>
        </w:rPr>
        <w:t xml:space="preserve"> define </w:t>
      </w:r>
      <w:r w:rsidRPr="007F0E74">
        <w:rPr>
          <w:color w:val="000000" w:themeColor="text1"/>
          <w:sz w:val="24"/>
          <w:szCs w:val="24"/>
        </w:rPr>
        <w:t>como</w:t>
      </w:r>
      <w:r>
        <w:rPr>
          <w:color w:val="000000" w:themeColor="text1"/>
          <w:sz w:val="24"/>
          <w:szCs w:val="24"/>
        </w:rPr>
        <w:t xml:space="preserve">: </w:t>
      </w:r>
    </w:p>
    <w:p w14:paraId="38BCBE74" w14:textId="77777777" w:rsidR="006B4B6C" w:rsidRDefault="006B4B6C" w:rsidP="006B4B6C">
      <w:pPr>
        <w:pStyle w:val="p1"/>
        <w:spacing w:line="360" w:lineRule="auto"/>
        <w:ind w:left="708"/>
        <w:jc w:val="both"/>
        <w:rPr>
          <w:i/>
          <w:iCs/>
          <w:color w:val="000000" w:themeColor="text1"/>
          <w:sz w:val="24"/>
          <w:szCs w:val="24"/>
        </w:rPr>
      </w:pPr>
      <w:r w:rsidRPr="00304263">
        <w:rPr>
          <w:i/>
          <w:iCs/>
          <w:color w:val="000000" w:themeColor="text1"/>
          <w:sz w:val="24"/>
          <w:szCs w:val="24"/>
        </w:rPr>
        <w:t>“Todo acto de violencia (…) que, como manifestación de la discriminación, la situación de desigualdad y las relaciones de poder de los hombres sobre las mujeres, se ejerce sobre éstas por parte de quienes sean o hayan sido sus cónyuges o de quienes estén o hayan estado ligados a ellas por relaciones similares de afectividad, aun sin convivencia. (…) que tenga o pueda tener como resultado un daño o sufrimiento físico, sexual o psicológico para la mujer, así como las amenazas de tales actos, la coacción o la privación arbitraria de la libertad, tanto si se producen en la vida pública como en la vida privada”</w:t>
      </w:r>
      <w:r>
        <w:rPr>
          <w:i/>
          <w:iCs/>
          <w:color w:val="000000" w:themeColor="text1"/>
          <w:sz w:val="24"/>
          <w:szCs w:val="24"/>
        </w:rPr>
        <w:t>.</w:t>
      </w:r>
    </w:p>
    <w:p w14:paraId="3BE33AF0" w14:textId="77777777" w:rsidR="006B4B6C" w:rsidRDefault="006B4B6C" w:rsidP="006B4B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
          <w:iCs/>
          <w:color w:val="000000" w:themeColor="text1"/>
        </w:rPr>
      </w:pPr>
    </w:p>
    <w:p w14:paraId="1758D804" w14:textId="5DA2BA27" w:rsidR="006B4B6C" w:rsidRPr="00112B00" w:rsidRDefault="00DF3905" w:rsidP="006B4B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lang w:val="es-ES_tradnl" w:eastAsia="en-US"/>
          <w14:ligatures w14:val="standardContextual"/>
        </w:rPr>
      </w:pPr>
      <w:r>
        <w:rPr>
          <w:color w:val="000000" w:themeColor="text1"/>
        </w:rPr>
        <w:tab/>
      </w:r>
      <w:r w:rsidR="006B4B6C" w:rsidRPr="00112B00">
        <w:rPr>
          <w:color w:val="000000" w:themeColor="text1"/>
        </w:rPr>
        <w:t xml:space="preserve">Y también el preámbulo de la Ley Organiza </w:t>
      </w:r>
      <w:r w:rsidR="006B4B6C" w:rsidRPr="00112B00">
        <w:rPr>
          <w:rFonts w:eastAsiaTheme="minorHAnsi"/>
          <w:lang w:val="es-ES_tradnl" w:eastAsia="en-US"/>
          <w14:ligatures w14:val="standardContextual"/>
        </w:rPr>
        <w:t>a 8/2015 de modificación del sistema de protección a la infancia y a la adolescencia afirma que “cualquier forma de violencia ejercida sobre un menor es injustificable”.</w:t>
      </w:r>
    </w:p>
    <w:p w14:paraId="4A3A14EE" w14:textId="77777777" w:rsidR="006B4B6C" w:rsidRDefault="006B4B6C" w:rsidP="006B4B6C">
      <w:pPr>
        <w:pStyle w:val="NormalWeb"/>
        <w:spacing w:before="200" w:beforeAutospacing="0" w:after="0" w:afterAutospacing="0" w:line="360" w:lineRule="auto"/>
        <w:jc w:val="both"/>
        <w:rPr>
          <w:color w:val="000000"/>
        </w:rPr>
      </w:pPr>
      <w:r>
        <w:rPr>
          <w:color w:val="000000"/>
        </w:rPr>
        <w:t xml:space="preserve">Por su parte, el artículo 65 de la Ley Orgánica 1/2004, de 28 de diciembre, de Medidas de Protección Integral contra la Violencia de Género establece que </w:t>
      </w:r>
      <w:r>
        <w:rPr>
          <w:b/>
          <w:bCs/>
          <w:color w:val="000000"/>
        </w:rPr>
        <w:t xml:space="preserve">el juez puede </w:t>
      </w:r>
      <w:r w:rsidRPr="00643792">
        <w:rPr>
          <w:color w:val="000000"/>
        </w:rPr>
        <w:t>suspender la patria potestad o la guarda y custodia de un progenitor inculpado por violencia de género respecto a los menores. De igual modo, el artículo 66 permite la suspensión del régimen de las visitas a los descendientes del agresor. A su vez, el artículo 94.4 del Código Civil dispone que no procederá el establecimiento de un régimen de visitas o estancia, y de existir, se suspenderá, cuando el progenitor esté involucrado en un proceso penal por atentar contra la vida, integridad</w:t>
      </w:r>
      <w:r>
        <w:rPr>
          <w:color w:val="000000"/>
        </w:rPr>
        <w:t xml:space="preserve"> física o moral, libertad o indemnidad sexual del otro progenitor o los hijos.</w:t>
      </w:r>
    </w:p>
    <w:p w14:paraId="3141CD3F" w14:textId="77777777" w:rsidR="006B4B6C" w:rsidRDefault="006B4B6C" w:rsidP="006B4B6C">
      <w:pPr>
        <w:pStyle w:val="NormalWeb"/>
        <w:spacing w:before="200" w:beforeAutospacing="0" w:after="0" w:afterAutospacing="0" w:line="360" w:lineRule="auto"/>
        <w:jc w:val="both"/>
        <w:rPr>
          <w:color w:val="000000"/>
        </w:rPr>
      </w:pPr>
      <w:r>
        <w:rPr>
          <w:color w:val="000000"/>
        </w:rPr>
        <w:lastRenderedPageBreak/>
        <w:t>A pesar de estas disposiciones legales destinadas a proteger a los menores, la privación de la patria potestad o tutela no se aplica de manera automática, sino que se evalúa cada caso de forma individual, considerando cómo el agresor ha ejercido la violencia en la unidad familiar. Esta situación resulta preocupante, ya que, en muchos casos, los menores siguen conviviendo con el agresor o se les impone un régimen de custodia compartida, lo que les obliga a alternar su tiempo entre ambos progenitores. Aunque la madre puede quedar protegida legalmente, el menor sigue expuesto al riesgo de sufrir daño. </w:t>
      </w:r>
    </w:p>
    <w:p w14:paraId="446BBB1C" w14:textId="77777777" w:rsidR="006B4B6C" w:rsidRPr="00643792" w:rsidRDefault="006B4B6C" w:rsidP="00DF3905">
      <w:pPr>
        <w:pStyle w:val="NormalWeb"/>
        <w:spacing w:before="200" w:beforeAutospacing="0" w:after="0" w:afterAutospacing="0" w:line="360" w:lineRule="auto"/>
        <w:ind w:firstLine="708"/>
        <w:jc w:val="both"/>
        <w:rPr>
          <w:color w:val="000000"/>
        </w:rPr>
      </w:pPr>
      <w:r>
        <w:rPr>
          <w:color w:val="000000"/>
        </w:rPr>
        <w:t xml:space="preserve">El menor se encuentra incluido en el tercer nivel de protección, denominado </w:t>
      </w:r>
      <w:r>
        <w:rPr>
          <w:color w:val="000000"/>
          <w:u w:val="single"/>
        </w:rPr>
        <w:t>“Estatuto hiperreforzado de Protección”,</w:t>
      </w:r>
      <w:r>
        <w:rPr>
          <w:color w:val="000000"/>
        </w:rPr>
        <w:t xml:space="preserve"> lo que le confiere el máximo grado de protección legal, al ser considerado una de las personas más vulnerables, junto con las personas con discapacidad. </w:t>
      </w:r>
    </w:p>
    <w:p w14:paraId="73F5F71D" w14:textId="77777777" w:rsidR="006B4B6C" w:rsidRDefault="006B4B6C" w:rsidP="006B4B6C">
      <w:pPr>
        <w:pStyle w:val="p1"/>
        <w:spacing w:line="360" w:lineRule="auto"/>
        <w:ind w:left="708"/>
        <w:jc w:val="both"/>
        <w:rPr>
          <w:i/>
          <w:iCs/>
          <w:color w:val="000000" w:themeColor="text1"/>
          <w:sz w:val="24"/>
          <w:szCs w:val="24"/>
        </w:rPr>
      </w:pPr>
    </w:p>
    <w:p w14:paraId="7CADBD7F" w14:textId="6E43F9C8" w:rsidR="006B4B6C" w:rsidRPr="007A3B49" w:rsidRDefault="006B4B6C" w:rsidP="007A3B49">
      <w:pPr>
        <w:spacing w:after="240" w:line="360" w:lineRule="auto"/>
        <w:ind w:firstLine="708"/>
        <w:jc w:val="both"/>
      </w:pPr>
      <w:r>
        <w:rPr>
          <w:color w:val="000000"/>
        </w:rPr>
        <w:t xml:space="preserve">Además, </w:t>
      </w:r>
      <w:r>
        <w:t>s</w:t>
      </w:r>
      <w:r w:rsidRPr="00832B20">
        <w:t>egún el barómetro Juventud y Genero 2025 elaborado por el Centro Reina Sofia de Fad Juventud</w:t>
      </w:r>
      <w:r>
        <w:t xml:space="preserve">, el </w:t>
      </w:r>
      <w:r w:rsidRPr="00832B20">
        <w:t xml:space="preserve">67,7% de la población </w:t>
      </w:r>
      <w:r>
        <w:t xml:space="preserve">considera que la violencia de género es un problema social reciente, mientras que un </w:t>
      </w:r>
      <w:r w:rsidRPr="00832B20">
        <w:t xml:space="preserve">36,5% </w:t>
      </w:r>
      <w:r>
        <w:t xml:space="preserve">de los hombres la percibe como un fenómeno “inevitable, aunque indeseable”, y un </w:t>
      </w:r>
      <w:r w:rsidRPr="00832B20">
        <w:t>20,3%</w:t>
      </w:r>
      <w:r>
        <w:t xml:space="preserve"> la considera “un invento ideológico”. Esto refleja la persistencia de juicios sociales y falta de educación, que limita la efectividad de las penas como medida de prevención.  </w:t>
      </w:r>
    </w:p>
    <w:p w14:paraId="32757A14" w14:textId="77777777" w:rsidR="00A36E6B" w:rsidRDefault="00A36E6B" w:rsidP="00A36E6B">
      <w:pPr>
        <w:pStyle w:val="NormalWeb"/>
        <w:numPr>
          <w:ilvl w:val="2"/>
          <w:numId w:val="3"/>
        </w:numPr>
        <w:spacing w:before="0" w:beforeAutospacing="0" w:after="0" w:afterAutospacing="0" w:line="360" w:lineRule="auto"/>
        <w:jc w:val="both"/>
        <w:textAlignment w:val="baseline"/>
        <w:rPr>
          <w:b/>
          <w:bCs/>
          <w:color w:val="000000"/>
          <w:u w:val="single"/>
        </w:rPr>
      </w:pPr>
      <w:r w:rsidRPr="00FE7EFB">
        <w:rPr>
          <w:b/>
          <w:bCs/>
          <w:u w:val="single"/>
        </w:rPr>
        <w:t>Procedimiento jurídico</w:t>
      </w:r>
      <w:r>
        <w:rPr>
          <w:b/>
          <w:bCs/>
          <w:u w:val="single"/>
        </w:rPr>
        <w:t xml:space="preserve"> (completar).</w:t>
      </w:r>
    </w:p>
    <w:p w14:paraId="767F5DF5" w14:textId="44FCD49E" w:rsidR="00CC27B9" w:rsidRPr="00A36E6B" w:rsidRDefault="00CC27B9" w:rsidP="00A36E6B">
      <w:pPr>
        <w:pStyle w:val="NormalWeb"/>
        <w:numPr>
          <w:ilvl w:val="2"/>
          <w:numId w:val="3"/>
        </w:numPr>
        <w:spacing w:before="0" w:beforeAutospacing="0" w:after="0" w:afterAutospacing="0" w:line="360" w:lineRule="auto"/>
        <w:jc w:val="both"/>
        <w:textAlignment w:val="baseline"/>
        <w:rPr>
          <w:b/>
          <w:bCs/>
          <w:color w:val="000000"/>
          <w:u w:val="single"/>
        </w:rPr>
      </w:pPr>
      <w:r w:rsidRPr="00A36E6B">
        <w:rPr>
          <w:b/>
          <w:bCs/>
          <w:u w:val="single"/>
        </w:rPr>
        <w:t>Protocolos de actuación y estrategias de prevención</w:t>
      </w:r>
      <w:r w:rsidR="0007741D">
        <w:t xml:space="preserve"> </w:t>
      </w:r>
      <w:r w:rsidR="0007741D" w:rsidRPr="00A36E6B">
        <w:rPr>
          <w:b/>
          <w:bCs/>
        </w:rPr>
        <w:t>(completar).</w:t>
      </w:r>
    </w:p>
    <w:p w14:paraId="2A712FCF" w14:textId="77777777" w:rsidR="00A36E6B" w:rsidRPr="00A36E6B" w:rsidRDefault="00A36E6B" w:rsidP="00A36E6B">
      <w:pPr>
        <w:pStyle w:val="NormalWeb"/>
        <w:spacing w:before="0" w:beforeAutospacing="0" w:after="0" w:afterAutospacing="0" w:line="360" w:lineRule="auto"/>
        <w:ind w:left="2160"/>
        <w:jc w:val="both"/>
        <w:textAlignment w:val="baseline"/>
        <w:rPr>
          <w:b/>
          <w:bCs/>
          <w:color w:val="000000"/>
          <w:u w:val="single"/>
        </w:rPr>
      </w:pPr>
    </w:p>
    <w:p w14:paraId="0F44683C" w14:textId="62EB05CF" w:rsidR="00CC27B9" w:rsidRPr="007A3B49" w:rsidRDefault="00CC27B9" w:rsidP="007038A7">
      <w:pPr>
        <w:pStyle w:val="Prrafodelista"/>
        <w:numPr>
          <w:ilvl w:val="0"/>
          <w:numId w:val="5"/>
        </w:numPr>
        <w:spacing w:line="360" w:lineRule="auto"/>
        <w:jc w:val="both"/>
        <w:rPr>
          <w:b/>
          <w:bCs/>
        </w:rPr>
      </w:pPr>
      <w:r w:rsidRPr="007A3B49">
        <w:rPr>
          <w:b/>
          <w:bCs/>
        </w:rPr>
        <w:t>Discusión</w:t>
      </w:r>
      <w:r w:rsidR="0007741D" w:rsidRPr="007A3B49">
        <w:rPr>
          <w:b/>
          <w:bCs/>
        </w:rPr>
        <w:t xml:space="preserve"> (completar).</w:t>
      </w:r>
    </w:p>
    <w:p w14:paraId="4E5F6C62" w14:textId="23C08DB2" w:rsidR="00CC27B9" w:rsidRPr="004E4F63" w:rsidRDefault="00CC27B9" w:rsidP="007038A7">
      <w:pPr>
        <w:pStyle w:val="Prrafodelista"/>
        <w:numPr>
          <w:ilvl w:val="0"/>
          <w:numId w:val="5"/>
        </w:numPr>
        <w:spacing w:line="360" w:lineRule="auto"/>
        <w:jc w:val="both"/>
      </w:pPr>
      <w:r w:rsidRPr="007A3B49">
        <w:rPr>
          <w:b/>
          <w:bCs/>
        </w:rPr>
        <w:t>Conclusión</w:t>
      </w:r>
      <w:r w:rsidR="0007741D" w:rsidRPr="007A3B49">
        <w:rPr>
          <w:b/>
          <w:bCs/>
        </w:rPr>
        <w:t xml:space="preserve"> (completar</w:t>
      </w:r>
      <w:r w:rsidR="0007741D" w:rsidRPr="0007741D">
        <w:rPr>
          <w:b/>
          <w:bCs/>
        </w:rPr>
        <w:t>)</w:t>
      </w:r>
      <w:r w:rsidR="0007741D">
        <w:rPr>
          <w:b/>
          <w:bCs/>
        </w:rPr>
        <w:t>.</w:t>
      </w:r>
    </w:p>
    <w:p w14:paraId="189F0B66" w14:textId="77777777" w:rsidR="004E4F63" w:rsidRDefault="004E4F63" w:rsidP="00DF3905">
      <w:pPr>
        <w:spacing w:line="360" w:lineRule="auto"/>
        <w:jc w:val="both"/>
      </w:pPr>
    </w:p>
    <w:p w14:paraId="036C53F0" w14:textId="77777777" w:rsidR="00DF3905" w:rsidRDefault="00DF3905" w:rsidP="00DF3905">
      <w:pPr>
        <w:spacing w:line="360" w:lineRule="auto"/>
        <w:jc w:val="both"/>
      </w:pPr>
    </w:p>
    <w:p w14:paraId="48EEB4C0" w14:textId="77777777" w:rsidR="00DF3905" w:rsidRDefault="00DF3905" w:rsidP="00DF3905">
      <w:pPr>
        <w:spacing w:line="360" w:lineRule="auto"/>
        <w:jc w:val="both"/>
      </w:pPr>
    </w:p>
    <w:p w14:paraId="74226762" w14:textId="77777777" w:rsidR="00DF3905" w:rsidRDefault="00DF3905" w:rsidP="00DF3905">
      <w:pPr>
        <w:spacing w:line="360" w:lineRule="auto"/>
        <w:jc w:val="both"/>
      </w:pPr>
    </w:p>
    <w:p w14:paraId="7C1FFB27" w14:textId="77777777" w:rsidR="00DF3905" w:rsidRDefault="00DF3905" w:rsidP="00DF3905">
      <w:pPr>
        <w:spacing w:line="360" w:lineRule="auto"/>
        <w:jc w:val="both"/>
      </w:pPr>
    </w:p>
    <w:p w14:paraId="110494FE" w14:textId="77777777" w:rsidR="00DF3905" w:rsidRDefault="00DF3905" w:rsidP="00DF3905">
      <w:pPr>
        <w:spacing w:line="360" w:lineRule="auto"/>
        <w:jc w:val="both"/>
      </w:pPr>
    </w:p>
    <w:p w14:paraId="2FE71CBC" w14:textId="77777777" w:rsidR="00DF3905" w:rsidRDefault="00DF3905" w:rsidP="00DF3905">
      <w:pPr>
        <w:spacing w:line="360" w:lineRule="auto"/>
        <w:jc w:val="both"/>
      </w:pPr>
    </w:p>
    <w:p w14:paraId="2BBFAB46" w14:textId="77777777" w:rsidR="00DF3905" w:rsidRDefault="00DF3905" w:rsidP="00DF3905">
      <w:pPr>
        <w:spacing w:line="360" w:lineRule="auto"/>
        <w:jc w:val="both"/>
      </w:pPr>
    </w:p>
    <w:p w14:paraId="56E221A3" w14:textId="77777777" w:rsidR="00DF3905" w:rsidRPr="00AF0B84" w:rsidRDefault="00DF3905" w:rsidP="00DF3905">
      <w:pPr>
        <w:spacing w:line="360" w:lineRule="auto"/>
        <w:jc w:val="both"/>
      </w:pPr>
    </w:p>
    <w:p w14:paraId="0AE231AE" w14:textId="11D07E80" w:rsidR="006A590D" w:rsidRDefault="00CC27B9" w:rsidP="007038A7">
      <w:pPr>
        <w:pStyle w:val="Prrafodelista"/>
        <w:numPr>
          <w:ilvl w:val="0"/>
          <w:numId w:val="5"/>
        </w:numPr>
        <w:spacing w:after="240" w:line="360" w:lineRule="auto"/>
        <w:jc w:val="both"/>
        <w:rPr>
          <w:b/>
          <w:bCs/>
        </w:rPr>
      </w:pPr>
      <w:r w:rsidRPr="007A3B49">
        <w:rPr>
          <w:b/>
          <w:bCs/>
        </w:rPr>
        <w:lastRenderedPageBreak/>
        <w:t>Referencias bibliográficas</w:t>
      </w:r>
      <w:bookmarkEnd w:id="10"/>
      <w:bookmarkEnd w:id="11"/>
      <w:bookmarkEnd w:id="12"/>
      <w:bookmarkEnd w:id="13"/>
      <w:bookmarkEnd w:id="14"/>
      <w:r w:rsidR="00C962A7">
        <w:rPr>
          <w:b/>
          <w:bCs/>
        </w:rPr>
        <w:t xml:space="preserve">: </w:t>
      </w:r>
    </w:p>
    <w:p w14:paraId="35107AB8" w14:textId="411C4AEE" w:rsidR="00C962A7" w:rsidRPr="004E4F63" w:rsidRDefault="00960631" w:rsidP="004E4F63">
      <w:pPr>
        <w:spacing w:after="240" w:line="480" w:lineRule="auto"/>
        <w:ind w:firstLine="360"/>
        <w:jc w:val="both"/>
        <w:rPr>
          <w:color w:val="000000"/>
        </w:rPr>
      </w:pPr>
      <w:proofErr w:type="spellStart"/>
      <w:r w:rsidRPr="004E4F63">
        <w:rPr>
          <w:color w:val="000000"/>
        </w:rPr>
        <w:t>Archer</w:t>
      </w:r>
      <w:proofErr w:type="spellEnd"/>
      <w:r w:rsidRPr="004E4F63">
        <w:rPr>
          <w:color w:val="000000"/>
        </w:rPr>
        <w:t xml:space="preserve">, J., et al. (2022). </w:t>
      </w:r>
      <w:proofErr w:type="spellStart"/>
      <w:r w:rsidRPr="004E4F63">
        <w:rPr>
          <w:color w:val="000000"/>
        </w:rPr>
        <w:t>Testosterone</w:t>
      </w:r>
      <w:proofErr w:type="spellEnd"/>
      <w:r w:rsidRPr="004E4F63">
        <w:rPr>
          <w:color w:val="000000"/>
        </w:rPr>
        <w:t xml:space="preserve">, cortisol, and criminal </w:t>
      </w:r>
      <w:proofErr w:type="spellStart"/>
      <w:r w:rsidRPr="004E4F63">
        <w:rPr>
          <w:color w:val="000000"/>
        </w:rPr>
        <w:t>behavior</w:t>
      </w:r>
      <w:proofErr w:type="spellEnd"/>
      <w:r w:rsidRPr="004E4F63">
        <w:rPr>
          <w:color w:val="000000"/>
        </w:rPr>
        <w:t xml:space="preserve"> in </w:t>
      </w:r>
      <w:proofErr w:type="spellStart"/>
      <w:r w:rsidRPr="004E4F63">
        <w:rPr>
          <w:color w:val="000000"/>
        </w:rPr>
        <w:t>men</w:t>
      </w:r>
      <w:proofErr w:type="spellEnd"/>
      <w:r w:rsidRPr="004E4F63">
        <w:rPr>
          <w:color w:val="000000"/>
        </w:rPr>
        <w:t xml:space="preserve"> and </w:t>
      </w:r>
      <w:proofErr w:type="spellStart"/>
      <w:r w:rsidRPr="004E4F63">
        <w:rPr>
          <w:color w:val="000000"/>
        </w:rPr>
        <w:t>women</w:t>
      </w:r>
      <w:proofErr w:type="spellEnd"/>
      <w:r w:rsidRPr="004E4F63">
        <w:rPr>
          <w:color w:val="000000"/>
        </w:rPr>
        <w:t>.</w:t>
      </w:r>
      <w:r w:rsidRPr="004E4F63">
        <w:rPr>
          <w:rStyle w:val="apple-converted-space"/>
          <w:rFonts w:eastAsiaTheme="majorEastAsia"/>
          <w:color w:val="000000"/>
        </w:rPr>
        <w:t> </w:t>
      </w:r>
      <w:r w:rsidRPr="004E4F63">
        <w:rPr>
          <w:rStyle w:val="nfasis"/>
          <w:rFonts w:eastAsiaTheme="majorEastAsia"/>
          <w:color w:val="000000"/>
        </w:rPr>
        <w:t xml:space="preserve">Hormones and </w:t>
      </w:r>
      <w:proofErr w:type="spellStart"/>
      <w:r w:rsidRPr="004E4F63">
        <w:rPr>
          <w:rStyle w:val="nfasis"/>
          <w:rFonts w:eastAsiaTheme="majorEastAsia"/>
          <w:color w:val="000000"/>
        </w:rPr>
        <w:t>Behavior</w:t>
      </w:r>
      <w:proofErr w:type="spellEnd"/>
      <w:r w:rsidRPr="004E4F63">
        <w:rPr>
          <w:rStyle w:val="nfasis"/>
          <w:rFonts w:eastAsiaTheme="majorEastAsia"/>
          <w:color w:val="000000"/>
        </w:rPr>
        <w:t>, 146</w:t>
      </w:r>
      <w:r w:rsidRPr="004E4F63">
        <w:rPr>
          <w:color w:val="000000"/>
        </w:rPr>
        <w:t>, 105260</w:t>
      </w:r>
    </w:p>
    <w:p w14:paraId="161A0461" w14:textId="0B2D6139" w:rsidR="00960631" w:rsidRPr="004E4F63" w:rsidRDefault="00960631" w:rsidP="004E4F63">
      <w:pPr>
        <w:pStyle w:val="NormalWeb"/>
        <w:spacing w:line="480" w:lineRule="auto"/>
        <w:ind w:firstLine="360"/>
        <w:jc w:val="both"/>
      </w:pPr>
      <w:r w:rsidRPr="004E4F63">
        <w:t>Arriazu, A. D. C. (2000). El patriarcado, como origen de la violencia doméstica.</w:t>
      </w:r>
      <w:r w:rsidRPr="004E4F63">
        <w:rPr>
          <w:rStyle w:val="apple-converted-space"/>
          <w:rFonts w:eastAsiaTheme="majorEastAsia"/>
        </w:rPr>
        <w:t> </w:t>
      </w:r>
      <w:r w:rsidRPr="004E4F63">
        <w:rPr>
          <w:rStyle w:val="nfasis"/>
          <w:rFonts w:eastAsiaTheme="majorEastAsia"/>
        </w:rPr>
        <w:t xml:space="preserve">Monte </w:t>
      </w:r>
      <w:proofErr w:type="spellStart"/>
      <w:r w:rsidRPr="004E4F63">
        <w:rPr>
          <w:rStyle w:val="nfasis"/>
          <w:rFonts w:eastAsiaTheme="majorEastAsia"/>
        </w:rPr>
        <w:t>Buciero</w:t>
      </w:r>
      <w:proofErr w:type="spellEnd"/>
      <w:r w:rsidRPr="004E4F63">
        <w:rPr>
          <w:rStyle w:val="nfasis"/>
          <w:rFonts w:eastAsiaTheme="majorEastAsia"/>
        </w:rPr>
        <w:t>, (5)</w:t>
      </w:r>
      <w:r w:rsidRPr="004E4F63">
        <w:t>, 307-318.</w:t>
      </w:r>
    </w:p>
    <w:p w14:paraId="7F26BC06" w14:textId="5829DC1D" w:rsidR="00960631" w:rsidRPr="004E4F63" w:rsidRDefault="00960631" w:rsidP="004E4F63">
      <w:pPr>
        <w:pStyle w:val="NormalWeb"/>
        <w:spacing w:line="480" w:lineRule="auto"/>
        <w:ind w:firstLine="360"/>
        <w:jc w:val="both"/>
      </w:pPr>
      <w:r w:rsidRPr="004E4F63">
        <w:t>Aristóteles. (1998).</w:t>
      </w:r>
      <w:r w:rsidRPr="004E4F63">
        <w:rPr>
          <w:rStyle w:val="apple-converted-space"/>
          <w:rFonts w:eastAsiaTheme="majorEastAsia"/>
        </w:rPr>
        <w:t> </w:t>
      </w:r>
      <w:r w:rsidRPr="004E4F63">
        <w:rPr>
          <w:rStyle w:val="nfasis"/>
          <w:rFonts w:eastAsiaTheme="majorEastAsia"/>
        </w:rPr>
        <w:t>Política</w:t>
      </w:r>
      <w:r w:rsidRPr="004E4F63">
        <w:rPr>
          <w:rStyle w:val="apple-converted-space"/>
          <w:rFonts w:eastAsiaTheme="majorEastAsia"/>
        </w:rPr>
        <w:t> </w:t>
      </w:r>
      <w:r w:rsidRPr="004E4F63">
        <w:t>(Trad. M. García Yebra). Madrid: Gredos. (Obra original escrita ca. siglo IV a. C.)</w:t>
      </w:r>
    </w:p>
    <w:p w14:paraId="36FC1BDF" w14:textId="204668DC" w:rsidR="00960631" w:rsidRPr="004E4F63" w:rsidRDefault="00960631" w:rsidP="004E4F63">
      <w:pPr>
        <w:pStyle w:val="NormalWeb"/>
        <w:spacing w:line="480" w:lineRule="auto"/>
        <w:ind w:firstLine="360"/>
        <w:jc w:val="both"/>
      </w:pPr>
      <w:r w:rsidRPr="004E4F63">
        <w:t>Bravo, P. A. S. T. O. R., Lloret, R., &amp; Escayola, N. (2009). Perfil del agresor en la violencia de género.</w:t>
      </w:r>
      <w:r w:rsidRPr="004E4F63">
        <w:rPr>
          <w:rStyle w:val="apple-converted-space"/>
          <w:rFonts w:eastAsiaTheme="majorEastAsia"/>
        </w:rPr>
        <w:t> </w:t>
      </w:r>
      <w:r w:rsidRPr="004E4F63">
        <w:rPr>
          <w:rStyle w:val="nfasis"/>
          <w:rFonts w:eastAsiaTheme="majorEastAsia"/>
        </w:rPr>
        <w:t xml:space="preserve">Boletín </w:t>
      </w:r>
      <w:proofErr w:type="spellStart"/>
      <w:r w:rsidRPr="004E4F63">
        <w:rPr>
          <w:rStyle w:val="nfasis"/>
          <w:rFonts w:eastAsiaTheme="majorEastAsia"/>
        </w:rPr>
        <w:t>Galego</w:t>
      </w:r>
      <w:proofErr w:type="spellEnd"/>
      <w:r w:rsidRPr="004E4F63">
        <w:rPr>
          <w:rStyle w:val="nfasis"/>
          <w:rFonts w:eastAsiaTheme="majorEastAsia"/>
        </w:rPr>
        <w:t xml:space="preserve"> de Medicina Legal e Forense, </w:t>
      </w:r>
      <w:proofErr w:type="spellStart"/>
      <w:r w:rsidRPr="004E4F63">
        <w:rPr>
          <w:rStyle w:val="nfasis"/>
          <w:rFonts w:eastAsiaTheme="majorEastAsia"/>
        </w:rPr>
        <w:t>nº</w:t>
      </w:r>
      <w:proofErr w:type="spellEnd"/>
      <w:r w:rsidRPr="004E4F63">
        <w:rPr>
          <w:rStyle w:val="nfasis"/>
          <w:rFonts w:eastAsiaTheme="majorEastAsia"/>
        </w:rPr>
        <w:t>.</w:t>
      </w:r>
    </w:p>
    <w:p w14:paraId="00C6017F" w14:textId="21C5404B" w:rsidR="00960631" w:rsidRPr="004E4F63" w:rsidRDefault="00960631" w:rsidP="004E4F63">
      <w:pPr>
        <w:pStyle w:val="NormalWeb"/>
        <w:spacing w:line="480" w:lineRule="auto"/>
        <w:ind w:firstLine="360"/>
        <w:jc w:val="both"/>
      </w:pPr>
      <w:r w:rsidRPr="004E4F63">
        <w:t>Bueso Izquierdo, N., &amp; Moreno-Manso, J. M. (2024). Violencia de género: actuación en el ámbito educativo con menores víctimas.</w:t>
      </w:r>
      <w:r w:rsidRPr="004E4F63">
        <w:rPr>
          <w:rStyle w:val="apple-converted-space"/>
          <w:rFonts w:eastAsiaTheme="majorEastAsia"/>
        </w:rPr>
        <w:t> </w:t>
      </w:r>
      <w:hyperlink r:id="rId7" w:tgtFrame="_new" w:history="1">
        <w:r w:rsidRPr="004E4F63">
          <w:rPr>
            <w:rStyle w:val="Hipervnculo"/>
            <w:rFonts w:eastAsiaTheme="majorEastAsia"/>
          </w:rPr>
          <w:t>https://dehesa.unex.es/entities/publication/1849dd37-aec8-4f50-a8dc-9d96fcd7e48e</w:t>
        </w:r>
      </w:hyperlink>
    </w:p>
    <w:p w14:paraId="1FD52B0E" w14:textId="086BFA40" w:rsidR="00AC5B69" w:rsidRPr="004E4F63" w:rsidRDefault="00AC5B69" w:rsidP="00D73AFD">
      <w:pPr>
        <w:pStyle w:val="NormalWeb"/>
        <w:spacing w:line="480" w:lineRule="auto"/>
        <w:ind w:firstLine="360"/>
        <w:jc w:val="both"/>
      </w:pPr>
      <w:r w:rsidRPr="004E4F63">
        <w:t xml:space="preserve"> Cáceres, C. B. (2017). La neurociencia en la primera infancia.</w:t>
      </w:r>
      <w:r w:rsidRPr="004E4F63">
        <w:rPr>
          <w:rStyle w:val="apple-converted-space"/>
          <w:rFonts w:eastAsiaTheme="majorEastAsia"/>
        </w:rPr>
        <w:t> </w:t>
      </w:r>
      <w:r w:rsidRPr="004E4F63">
        <w:rPr>
          <w:rStyle w:val="nfasis"/>
          <w:rFonts w:eastAsiaTheme="majorEastAsia"/>
        </w:rPr>
        <w:t>Apuntes de Ciencia &amp; Sociedad, 7</w:t>
      </w:r>
      <w:r w:rsidRPr="004E4F63">
        <w:t>(1).</w:t>
      </w:r>
      <w:r w:rsidRPr="004E4F63">
        <w:rPr>
          <w:rStyle w:val="apple-converted-space"/>
          <w:rFonts w:eastAsiaTheme="majorEastAsia"/>
        </w:rPr>
        <w:t> </w:t>
      </w:r>
      <w:hyperlink r:id="rId8" w:tgtFrame="_new" w:history="1">
        <w:r w:rsidRPr="004E4F63">
          <w:rPr>
            <w:rStyle w:val="Hipervnculo"/>
            <w:rFonts w:eastAsiaTheme="majorEastAsia"/>
          </w:rPr>
          <w:t>https://d1wqtxts1xzle7.cloudfront.net/117258108/230440235-libre.pdf</w:t>
        </w:r>
      </w:hyperlink>
      <w:r w:rsidRPr="004E4F63">
        <w:rPr>
          <w:rStyle w:val="apple-converted-space"/>
          <w:rFonts w:eastAsiaTheme="majorEastAsia"/>
        </w:rPr>
        <w:t> </w:t>
      </w:r>
      <w:hyperlink r:id="rId9" w:tgtFrame="_new" w:history="1">
        <w:r w:rsidRPr="004E4F63">
          <w:rPr>
            <w:rStyle w:val="Hipervnculo"/>
            <w:rFonts w:eastAsiaTheme="majorEastAsia"/>
          </w:rPr>
          <w:t>http://dx.doi.org/10.18259/acs.2017002</w:t>
        </w:r>
      </w:hyperlink>
    </w:p>
    <w:p w14:paraId="4FE18303" w14:textId="47571F27" w:rsidR="00AC5B69" w:rsidRPr="004E4F63" w:rsidRDefault="00AC5B69" w:rsidP="00D73AFD">
      <w:pPr>
        <w:pStyle w:val="NormalWeb"/>
        <w:spacing w:line="480" w:lineRule="auto"/>
        <w:ind w:firstLine="360"/>
        <w:jc w:val="both"/>
      </w:pPr>
      <w:r w:rsidRPr="004E4F63">
        <w:t xml:space="preserve">Carracedo, S. (2015). Menores expuestos a situaciones de violencia de género: Evaluación referenciada y </w:t>
      </w:r>
      <w:proofErr w:type="spellStart"/>
      <w:r w:rsidRPr="004E4F63">
        <w:t>autoinformada</w:t>
      </w:r>
      <w:proofErr w:type="spellEnd"/>
      <w:r w:rsidRPr="004E4F63">
        <w:t>.</w:t>
      </w:r>
      <w:r w:rsidRPr="004E4F63">
        <w:rPr>
          <w:rStyle w:val="apple-converted-space"/>
          <w:rFonts w:eastAsiaTheme="majorEastAsia"/>
        </w:rPr>
        <w:t> </w:t>
      </w:r>
      <w:proofErr w:type="spellStart"/>
      <w:r w:rsidRPr="004E4F63">
        <w:rPr>
          <w:rStyle w:val="nfasis"/>
          <w:rFonts w:eastAsiaTheme="majorEastAsia"/>
        </w:rPr>
        <w:t>ResearchGate</w:t>
      </w:r>
      <w:proofErr w:type="spellEnd"/>
      <w:r w:rsidRPr="004E4F63">
        <w:rPr>
          <w:rStyle w:val="nfasis"/>
          <w:rFonts w:eastAsiaTheme="majorEastAsia"/>
        </w:rPr>
        <w:t>.</w:t>
      </w:r>
      <w:r w:rsidRPr="004E4F63">
        <w:rPr>
          <w:rStyle w:val="apple-converted-space"/>
          <w:rFonts w:eastAsiaTheme="majorEastAsia"/>
        </w:rPr>
        <w:t> </w:t>
      </w:r>
      <w:r w:rsidRPr="004E4F63">
        <w:t>Recuperado el 23 de marzo de 2025, de</w:t>
      </w:r>
      <w:r w:rsidRPr="004E4F63">
        <w:rPr>
          <w:rStyle w:val="apple-converted-space"/>
          <w:rFonts w:eastAsiaTheme="majorEastAsia"/>
        </w:rPr>
        <w:t> </w:t>
      </w:r>
      <w:hyperlink r:id="rId10" w:tgtFrame="_new" w:history="1">
        <w:r w:rsidRPr="004E4F63">
          <w:rPr>
            <w:rStyle w:val="Hipervnculo"/>
            <w:rFonts w:eastAsiaTheme="majorEastAsia"/>
          </w:rPr>
          <w:t>https://www.researchgate.net/profile/Sandra-Carracedo/publication/277007138_Menores_expuestos_a_situaciones_de_violencia_de_genero_Evaluacion_referenciada_y_autoinformada/links/555da36908ae9963a1127dbb</w:t>
        </w:r>
        <w:r w:rsidRPr="004E4F63">
          <w:rPr>
            <w:rStyle w:val="Hipervnculo"/>
            <w:rFonts w:eastAsiaTheme="majorEastAsia"/>
          </w:rPr>
          <w:lastRenderedPageBreak/>
          <w:t>/Menores-expuestos-a-situaciones-de-violencia-de-genero-Evaluacion-referenciada-y-autoinformada.pdf</w:t>
        </w:r>
      </w:hyperlink>
    </w:p>
    <w:p w14:paraId="06CDC5E4" w14:textId="4729361B" w:rsidR="00AC5B69" w:rsidRPr="004E4F63" w:rsidRDefault="00AC5B69" w:rsidP="00D73AFD">
      <w:pPr>
        <w:pStyle w:val="NormalWeb"/>
        <w:spacing w:line="480" w:lineRule="auto"/>
        <w:ind w:firstLine="360"/>
        <w:jc w:val="both"/>
      </w:pPr>
      <w:r w:rsidRPr="004E4F63">
        <w:t>Castro Sáez, M., Martínez Pérez, A., López-Soler, C., López-García, J. J., &amp; Alcántara-López, M. (2019). Trastorno por estrés postraumático en niños españoles maltratados.</w:t>
      </w:r>
      <w:r w:rsidRPr="004E4F63">
        <w:rPr>
          <w:rStyle w:val="apple-converted-space"/>
          <w:rFonts w:eastAsiaTheme="majorEastAsia"/>
        </w:rPr>
        <w:t> </w:t>
      </w:r>
      <w:r w:rsidRPr="004E4F63">
        <w:rPr>
          <w:rStyle w:val="nfasis"/>
          <w:rFonts w:eastAsiaTheme="majorEastAsia"/>
        </w:rPr>
        <w:t>Ciencias psicológicas, 13</w:t>
      </w:r>
      <w:r w:rsidRPr="004E4F63">
        <w:t>(2), 378-389.</w:t>
      </w:r>
    </w:p>
    <w:p w14:paraId="1F2D7C92" w14:textId="2CC431CE" w:rsidR="00AC5B69" w:rsidRPr="004E4F63" w:rsidRDefault="00D73AFD" w:rsidP="00D73AFD">
      <w:pPr>
        <w:pStyle w:val="NormalWeb"/>
        <w:spacing w:line="480" w:lineRule="auto"/>
        <w:ind w:firstLine="360"/>
        <w:jc w:val="both"/>
      </w:pPr>
      <w:r>
        <w:t>D</w:t>
      </w:r>
      <w:r w:rsidR="00AC5B69" w:rsidRPr="004E4F63">
        <w:t>e Espinosa Ceballos, E. B. M. (2018). Menores y violencia de género.</w:t>
      </w:r>
      <w:r w:rsidR="00AC5B69" w:rsidRPr="004E4F63">
        <w:rPr>
          <w:rStyle w:val="apple-converted-space"/>
          <w:rFonts w:eastAsiaTheme="majorEastAsia"/>
        </w:rPr>
        <w:t> </w:t>
      </w:r>
      <w:proofErr w:type="spellStart"/>
      <w:r w:rsidR="00AC5B69" w:rsidRPr="004E4F63">
        <w:rPr>
          <w:rStyle w:val="nfasis"/>
          <w:rFonts w:eastAsiaTheme="majorEastAsia"/>
        </w:rPr>
        <w:t>InDret</w:t>
      </w:r>
      <w:proofErr w:type="spellEnd"/>
      <w:r w:rsidR="00AC5B69" w:rsidRPr="004E4F63">
        <w:rPr>
          <w:rStyle w:val="nfasis"/>
          <w:rFonts w:eastAsiaTheme="majorEastAsia"/>
        </w:rPr>
        <w:t>.</w:t>
      </w:r>
    </w:p>
    <w:p w14:paraId="2F109E1E" w14:textId="65C71292" w:rsidR="00AC5B69" w:rsidRPr="004E4F63" w:rsidRDefault="00AC5B69" w:rsidP="00D73AFD">
      <w:pPr>
        <w:pStyle w:val="NormalWeb"/>
        <w:spacing w:line="480" w:lineRule="auto"/>
        <w:ind w:firstLine="360"/>
        <w:jc w:val="both"/>
      </w:pPr>
      <w:r w:rsidRPr="004E4F63">
        <w:t>Delegación del Gobierno contra la Violencia de Género. (2019). Macroencuesta de violencia contra la mujer 2019. Gobierno de España. Recuperado de</w:t>
      </w:r>
      <w:r w:rsidRPr="004E4F63">
        <w:rPr>
          <w:rStyle w:val="apple-converted-space"/>
          <w:rFonts w:eastAsiaTheme="majorEastAsia"/>
        </w:rPr>
        <w:t> </w:t>
      </w:r>
      <w:hyperlink r:id="rId11" w:tgtFrame="_new" w:history="1">
        <w:r w:rsidRPr="004E4F63">
          <w:rPr>
            <w:rStyle w:val="Hipervnculo"/>
            <w:rFonts w:eastAsiaTheme="majorEastAsia"/>
          </w:rPr>
          <w:t>https://violenciagenero.igualdad.gob.es/statistics/macroencusta2019.htm</w:t>
        </w:r>
      </w:hyperlink>
    </w:p>
    <w:p w14:paraId="449E2B2A" w14:textId="05A7071A" w:rsidR="00AC5B69" w:rsidRPr="004E4F63" w:rsidRDefault="00AC5B69" w:rsidP="00D73AFD">
      <w:pPr>
        <w:pStyle w:val="NormalWeb"/>
        <w:spacing w:line="480" w:lineRule="auto"/>
        <w:ind w:firstLine="360"/>
        <w:jc w:val="both"/>
      </w:pPr>
      <w:r w:rsidRPr="004E4F63">
        <w:t>Doménech, M. J. G., &amp; Genovés, V. J. G. (2016). Menores, víctimas directas de la violencia de género.</w:t>
      </w:r>
      <w:r w:rsidRPr="004E4F63">
        <w:rPr>
          <w:rStyle w:val="apple-converted-space"/>
          <w:rFonts w:eastAsiaTheme="majorEastAsia"/>
        </w:rPr>
        <w:t> </w:t>
      </w:r>
      <w:r w:rsidRPr="004E4F63">
        <w:rPr>
          <w:rStyle w:val="nfasis"/>
          <w:rFonts w:eastAsiaTheme="majorEastAsia"/>
        </w:rPr>
        <w:t>Boletín criminológico, 22</w:t>
      </w:r>
      <w:r w:rsidRPr="004E4F63">
        <w:t>(165), 1-9.</w:t>
      </w:r>
      <w:r w:rsidRPr="004E4F63">
        <w:rPr>
          <w:rStyle w:val="apple-converted-space"/>
          <w:rFonts w:eastAsiaTheme="majorEastAsia"/>
        </w:rPr>
        <w:t> </w:t>
      </w:r>
      <w:hyperlink r:id="rId12" w:tgtFrame="_new" w:history="1">
        <w:r w:rsidRPr="004E4F63">
          <w:rPr>
            <w:rStyle w:val="Hipervnculo"/>
            <w:rFonts w:eastAsiaTheme="majorEastAsia"/>
          </w:rPr>
          <w:t>https://scholar.google.com/scholar?hl=es&amp;as_sdt=0%2C5&amp;q=menores+expuestos+a+violencia+de+genero+ambito+criminol%C3%B3gico+&amp;btnG=</w:t>
        </w:r>
      </w:hyperlink>
    </w:p>
    <w:p w14:paraId="02EAD3FC" w14:textId="31871D04" w:rsidR="00AC5B69" w:rsidRPr="004E4F63" w:rsidRDefault="00AC5B69" w:rsidP="00D73AFD">
      <w:pPr>
        <w:pStyle w:val="NormalWeb"/>
        <w:spacing w:line="480" w:lineRule="auto"/>
        <w:ind w:firstLine="360"/>
        <w:jc w:val="both"/>
      </w:pPr>
      <w:r w:rsidRPr="004E4F63">
        <w:t>España. (1995, 23 de noviembre). Ley Orgánica 10/1995, de 23 de noviembre, del Código Penal.</w:t>
      </w:r>
      <w:r w:rsidRPr="004E4F63">
        <w:rPr>
          <w:rStyle w:val="apple-converted-space"/>
          <w:rFonts w:eastAsiaTheme="majorEastAsia"/>
        </w:rPr>
        <w:t> </w:t>
      </w:r>
      <w:r w:rsidRPr="004E4F63">
        <w:rPr>
          <w:rStyle w:val="nfasis"/>
          <w:rFonts w:eastAsiaTheme="majorEastAsia"/>
        </w:rPr>
        <w:t xml:space="preserve">Boletín Oficial del Estado (BOE), </w:t>
      </w:r>
      <w:proofErr w:type="spellStart"/>
      <w:r w:rsidRPr="004E4F63">
        <w:rPr>
          <w:rStyle w:val="nfasis"/>
          <w:rFonts w:eastAsiaTheme="majorEastAsia"/>
        </w:rPr>
        <w:t>nº</w:t>
      </w:r>
      <w:proofErr w:type="spellEnd"/>
      <w:r w:rsidRPr="004E4F63">
        <w:rPr>
          <w:rStyle w:val="nfasis"/>
          <w:rFonts w:eastAsiaTheme="majorEastAsia"/>
        </w:rPr>
        <w:t xml:space="preserve"> 281</w:t>
      </w:r>
      <w:r w:rsidRPr="004E4F63">
        <w:t>, 24 de noviembre de 1995.</w:t>
      </w:r>
      <w:r w:rsidRPr="004E4F63">
        <w:rPr>
          <w:rStyle w:val="apple-converted-space"/>
          <w:rFonts w:eastAsiaTheme="majorEastAsia"/>
        </w:rPr>
        <w:t> </w:t>
      </w:r>
      <w:hyperlink r:id="rId13" w:tgtFrame="_new" w:history="1">
        <w:r w:rsidRPr="004E4F63">
          <w:rPr>
            <w:rStyle w:val="Hipervnculo"/>
            <w:rFonts w:eastAsiaTheme="majorEastAsia"/>
          </w:rPr>
          <w:t>https://www.boe.es/buscar/act.php?id=BOE-A-1995-25444</w:t>
        </w:r>
      </w:hyperlink>
    </w:p>
    <w:p w14:paraId="05D32957" w14:textId="519182DB" w:rsidR="00AC5B69" w:rsidRPr="004E4F63" w:rsidRDefault="00AC5B69" w:rsidP="00D73AFD">
      <w:pPr>
        <w:pStyle w:val="NormalWeb"/>
        <w:spacing w:line="480" w:lineRule="auto"/>
        <w:ind w:firstLine="360"/>
        <w:jc w:val="both"/>
      </w:pPr>
      <w:r w:rsidRPr="004E4F63">
        <w:t>España. (2004, 28 de diciembre). Ley Orgánica 1/2004, de 28 de diciembre, de medidas de protección integral contra la violencia de género.</w:t>
      </w:r>
      <w:r w:rsidRPr="004E4F63">
        <w:rPr>
          <w:rStyle w:val="apple-converted-space"/>
          <w:rFonts w:eastAsiaTheme="majorEastAsia"/>
        </w:rPr>
        <w:t> </w:t>
      </w:r>
      <w:r w:rsidRPr="004E4F63">
        <w:rPr>
          <w:rStyle w:val="nfasis"/>
          <w:rFonts w:eastAsiaTheme="majorEastAsia"/>
        </w:rPr>
        <w:t xml:space="preserve">Boletín Oficial del Estado (BOE), </w:t>
      </w:r>
      <w:proofErr w:type="spellStart"/>
      <w:r w:rsidRPr="004E4F63">
        <w:rPr>
          <w:rStyle w:val="nfasis"/>
          <w:rFonts w:eastAsiaTheme="majorEastAsia"/>
        </w:rPr>
        <w:t>nº</w:t>
      </w:r>
      <w:proofErr w:type="spellEnd"/>
      <w:r w:rsidRPr="004E4F63">
        <w:rPr>
          <w:rStyle w:val="nfasis"/>
          <w:rFonts w:eastAsiaTheme="majorEastAsia"/>
        </w:rPr>
        <w:t xml:space="preserve"> 313</w:t>
      </w:r>
      <w:r w:rsidRPr="004E4F63">
        <w:t>, 29 de diciembre de 2004.</w:t>
      </w:r>
      <w:r w:rsidRPr="004E4F63">
        <w:rPr>
          <w:rStyle w:val="apple-converted-space"/>
          <w:rFonts w:eastAsiaTheme="majorEastAsia"/>
        </w:rPr>
        <w:t> </w:t>
      </w:r>
      <w:hyperlink r:id="rId14" w:tgtFrame="_new" w:history="1">
        <w:r w:rsidRPr="004E4F63">
          <w:rPr>
            <w:rStyle w:val="Hipervnculo"/>
            <w:rFonts w:eastAsiaTheme="majorEastAsia"/>
          </w:rPr>
          <w:t>https://www.boe.es/buscar/act.php?id=BOE-A-2004-21760</w:t>
        </w:r>
      </w:hyperlink>
    </w:p>
    <w:p w14:paraId="10E5AA54" w14:textId="5CCEF9F7" w:rsidR="00AC5B69" w:rsidRPr="004E4F63" w:rsidRDefault="00AC5B69" w:rsidP="00D73AFD">
      <w:pPr>
        <w:pStyle w:val="NormalWeb"/>
        <w:spacing w:line="480" w:lineRule="auto"/>
        <w:ind w:firstLine="708"/>
        <w:jc w:val="both"/>
      </w:pPr>
      <w:r w:rsidRPr="004E4F63">
        <w:t>Expósito, F., &amp; Moya, M. (2011). Violencia de género.</w:t>
      </w:r>
      <w:r w:rsidRPr="004E4F63">
        <w:rPr>
          <w:rStyle w:val="apple-converted-space"/>
          <w:rFonts w:eastAsiaTheme="majorEastAsia"/>
        </w:rPr>
        <w:t> </w:t>
      </w:r>
      <w:r w:rsidRPr="004E4F63">
        <w:rPr>
          <w:rStyle w:val="nfasis"/>
          <w:rFonts w:eastAsiaTheme="majorEastAsia"/>
        </w:rPr>
        <w:t>Mente y cerebro, 48</w:t>
      </w:r>
      <w:r w:rsidRPr="004E4F63">
        <w:t>(1), 20-25.</w:t>
      </w:r>
    </w:p>
    <w:p w14:paraId="096973F9" w14:textId="77777777" w:rsidR="00AC5B69" w:rsidRPr="004E4F63" w:rsidRDefault="00AC5B69" w:rsidP="00D73AFD">
      <w:pPr>
        <w:pStyle w:val="NormalWeb"/>
        <w:spacing w:line="480" w:lineRule="auto"/>
        <w:jc w:val="both"/>
      </w:pPr>
    </w:p>
    <w:p w14:paraId="52BC0C8E" w14:textId="733C49AC" w:rsidR="00AC5B69" w:rsidRPr="004E4F63" w:rsidRDefault="00AC5B69" w:rsidP="00D73AFD">
      <w:pPr>
        <w:pStyle w:val="NormalWeb"/>
        <w:spacing w:line="480" w:lineRule="auto"/>
        <w:ind w:firstLine="708"/>
        <w:jc w:val="both"/>
      </w:pPr>
      <w:r w:rsidRPr="004E4F63">
        <w:t>Figueroa Chavarría, M. M., &amp; Luna Lara, M. G. (2024). El cuidado en el combate de la violencia de género en la pareja.</w:t>
      </w:r>
      <w:r w:rsidRPr="004E4F63">
        <w:rPr>
          <w:rStyle w:val="apple-converted-space"/>
          <w:rFonts w:eastAsiaTheme="majorEastAsia"/>
        </w:rPr>
        <w:t> </w:t>
      </w:r>
      <w:proofErr w:type="spellStart"/>
      <w:r w:rsidRPr="004E4F63">
        <w:rPr>
          <w:rStyle w:val="nfasis"/>
          <w:rFonts w:eastAsiaTheme="majorEastAsia"/>
        </w:rPr>
        <w:t>Psicoperspectivas</w:t>
      </w:r>
      <w:proofErr w:type="spellEnd"/>
      <w:r w:rsidRPr="004E4F63">
        <w:rPr>
          <w:rStyle w:val="nfasis"/>
          <w:rFonts w:eastAsiaTheme="majorEastAsia"/>
        </w:rPr>
        <w:t>, 23</w:t>
      </w:r>
      <w:r w:rsidRPr="004E4F63">
        <w:t>(2).</w:t>
      </w:r>
      <w:r w:rsidRPr="004E4F63">
        <w:rPr>
          <w:rStyle w:val="apple-converted-space"/>
          <w:rFonts w:eastAsiaTheme="majorEastAsia"/>
        </w:rPr>
        <w:t> </w:t>
      </w:r>
      <w:hyperlink r:id="rId15" w:tgtFrame="_new" w:history="1">
        <w:r w:rsidRPr="004E4F63">
          <w:rPr>
            <w:rStyle w:val="Hipervnculo"/>
            <w:rFonts w:eastAsiaTheme="majorEastAsia"/>
          </w:rPr>
          <w:t>https://dx.doi.org/10.5027/psicoperspectivas-vol23-issue2-fulltext-3029</w:t>
        </w:r>
      </w:hyperlink>
    </w:p>
    <w:p w14:paraId="133A91CF" w14:textId="2D624317" w:rsidR="00AC5B69" w:rsidRPr="004E4F63" w:rsidRDefault="00AC5B69" w:rsidP="00D73AFD">
      <w:pPr>
        <w:pStyle w:val="NormalWeb"/>
        <w:spacing w:line="480" w:lineRule="auto"/>
        <w:ind w:firstLine="708"/>
        <w:jc w:val="both"/>
      </w:pPr>
      <w:r w:rsidRPr="004E4F63">
        <w:t xml:space="preserve">Gallegos, W. L. A., Pérez, L. G., Rivera, R., &amp; Canaza, K. C. (2017). Análisis transgeneracional de la violencia familiar a través de la técnica de </w:t>
      </w:r>
      <w:proofErr w:type="spellStart"/>
      <w:r w:rsidRPr="004E4F63">
        <w:t>genogramas</w:t>
      </w:r>
      <w:proofErr w:type="spellEnd"/>
      <w:r w:rsidRPr="004E4F63">
        <w:t>.</w:t>
      </w:r>
      <w:r w:rsidRPr="004E4F63">
        <w:rPr>
          <w:rStyle w:val="apple-converted-space"/>
          <w:rFonts w:eastAsiaTheme="majorEastAsia"/>
        </w:rPr>
        <w:t> </w:t>
      </w:r>
      <w:r w:rsidRPr="004E4F63">
        <w:rPr>
          <w:rStyle w:val="nfasis"/>
          <w:rFonts w:eastAsiaTheme="majorEastAsia"/>
        </w:rPr>
        <w:t>Revista de investigación en psicología, 20</w:t>
      </w:r>
      <w:r w:rsidRPr="004E4F63">
        <w:t>(2), 283-308.</w:t>
      </w:r>
    </w:p>
    <w:p w14:paraId="48F86D18" w14:textId="5FF9F8A5" w:rsidR="00AC5B69" w:rsidRPr="004E4F63" w:rsidRDefault="00AC5B69" w:rsidP="00D73AFD">
      <w:pPr>
        <w:pStyle w:val="NormalWeb"/>
        <w:spacing w:line="480" w:lineRule="auto"/>
        <w:ind w:firstLine="708"/>
        <w:jc w:val="both"/>
      </w:pPr>
      <w:r w:rsidRPr="004E4F63">
        <w:t xml:space="preserve">Hughes, H. M., Parkinson, D., &amp; </w:t>
      </w:r>
      <w:proofErr w:type="spellStart"/>
      <w:r w:rsidRPr="004E4F63">
        <w:t>Vargo</w:t>
      </w:r>
      <w:proofErr w:type="spellEnd"/>
      <w:r w:rsidRPr="004E4F63">
        <w:t xml:space="preserve">, M. (1989). </w:t>
      </w:r>
      <w:proofErr w:type="spellStart"/>
      <w:r w:rsidRPr="004E4F63">
        <w:t>Witnessing</w:t>
      </w:r>
      <w:proofErr w:type="spellEnd"/>
      <w:r w:rsidRPr="004E4F63">
        <w:t xml:space="preserve"> </w:t>
      </w:r>
      <w:proofErr w:type="spellStart"/>
      <w:r w:rsidRPr="004E4F63">
        <w:t>spouse</w:t>
      </w:r>
      <w:proofErr w:type="spellEnd"/>
      <w:r w:rsidRPr="004E4F63">
        <w:t xml:space="preserve"> abuse and </w:t>
      </w:r>
      <w:proofErr w:type="spellStart"/>
      <w:r w:rsidRPr="004E4F63">
        <w:t>experiencing</w:t>
      </w:r>
      <w:proofErr w:type="spellEnd"/>
      <w:r w:rsidRPr="004E4F63">
        <w:t xml:space="preserve"> </w:t>
      </w:r>
      <w:proofErr w:type="spellStart"/>
      <w:r w:rsidRPr="004E4F63">
        <w:t>physical</w:t>
      </w:r>
      <w:proofErr w:type="spellEnd"/>
      <w:r w:rsidRPr="004E4F63">
        <w:t xml:space="preserve"> abuse: </w:t>
      </w:r>
      <w:proofErr w:type="gramStart"/>
      <w:r w:rsidRPr="004E4F63">
        <w:t>A “</w:t>
      </w:r>
      <w:proofErr w:type="spellStart"/>
      <w:r w:rsidRPr="004E4F63">
        <w:t>double</w:t>
      </w:r>
      <w:proofErr w:type="spellEnd"/>
      <w:r w:rsidRPr="004E4F63">
        <w:t xml:space="preserve"> </w:t>
      </w:r>
      <w:proofErr w:type="spellStart"/>
      <w:r w:rsidRPr="004E4F63">
        <w:t>whammy</w:t>
      </w:r>
      <w:proofErr w:type="spellEnd"/>
      <w:r w:rsidRPr="004E4F63">
        <w:t>”?</w:t>
      </w:r>
      <w:proofErr w:type="gramEnd"/>
      <w:r w:rsidRPr="004E4F63">
        <w:rPr>
          <w:rStyle w:val="apple-converted-space"/>
          <w:rFonts w:eastAsiaTheme="majorEastAsia"/>
        </w:rPr>
        <w:t> </w:t>
      </w:r>
      <w:proofErr w:type="spellStart"/>
      <w:r w:rsidRPr="004E4F63">
        <w:rPr>
          <w:rStyle w:val="nfasis"/>
          <w:rFonts w:eastAsiaTheme="majorEastAsia"/>
        </w:rPr>
        <w:t>Journal</w:t>
      </w:r>
      <w:proofErr w:type="spellEnd"/>
      <w:r w:rsidRPr="004E4F63">
        <w:rPr>
          <w:rStyle w:val="nfasis"/>
          <w:rFonts w:eastAsiaTheme="majorEastAsia"/>
        </w:rPr>
        <w:t xml:space="preserve"> </w:t>
      </w:r>
      <w:proofErr w:type="spellStart"/>
      <w:r w:rsidRPr="004E4F63">
        <w:rPr>
          <w:rStyle w:val="nfasis"/>
          <w:rFonts w:eastAsiaTheme="majorEastAsia"/>
        </w:rPr>
        <w:t>of</w:t>
      </w:r>
      <w:proofErr w:type="spellEnd"/>
      <w:r w:rsidRPr="004E4F63">
        <w:rPr>
          <w:rStyle w:val="nfasis"/>
          <w:rFonts w:eastAsiaTheme="majorEastAsia"/>
        </w:rPr>
        <w:t xml:space="preserve"> </w:t>
      </w:r>
      <w:proofErr w:type="spellStart"/>
      <w:r w:rsidRPr="004E4F63">
        <w:rPr>
          <w:rStyle w:val="nfasis"/>
          <w:rFonts w:eastAsiaTheme="majorEastAsia"/>
        </w:rPr>
        <w:t>Family</w:t>
      </w:r>
      <w:proofErr w:type="spellEnd"/>
      <w:r w:rsidRPr="004E4F63">
        <w:rPr>
          <w:rStyle w:val="nfasis"/>
          <w:rFonts w:eastAsiaTheme="majorEastAsia"/>
        </w:rPr>
        <w:t xml:space="preserve"> </w:t>
      </w:r>
      <w:proofErr w:type="spellStart"/>
      <w:r w:rsidRPr="004E4F63">
        <w:rPr>
          <w:rStyle w:val="nfasis"/>
          <w:rFonts w:eastAsiaTheme="majorEastAsia"/>
        </w:rPr>
        <w:t>Violence</w:t>
      </w:r>
      <w:proofErr w:type="spellEnd"/>
      <w:r w:rsidRPr="004E4F63">
        <w:rPr>
          <w:rStyle w:val="nfasis"/>
          <w:rFonts w:eastAsiaTheme="majorEastAsia"/>
        </w:rPr>
        <w:t>, 4</w:t>
      </w:r>
      <w:r w:rsidRPr="004E4F63">
        <w:t>, 197-209.</w:t>
      </w:r>
    </w:p>
    <w:p w14:paraId="7D7E02B6" w14:textId="662789BE" w:rsidR="00AC5B69" w:rsidRPr="004E4F63" w:rsidRDefault="00AC5B69" w:rsidP="00D73AFD">
      <w:pPr>
        <w:pStyle w:val="NormalWeb"/>
        <w:spacing w:line="480" w:lineRule="auto"/>
        <w:ind w:firstLine="708"/>
        <w:jc w:val="both"/>
      </w:pPr>
      <w:r w:rsidRPr="004E4F63">
        <w:t>Instituto Nacional de Estadística. (2025). Estadística de Condenados. Resultados 2024.</w:t>
      </w:r>
      <w:r w:rsidRPr="004E4F63">
        <w:rPr>
          <w:rStyle w:val="apple-converted-space"/>
          <w:rFonts w:eastAsiaTheme="majorEastAsia"/>
        </w:rPr>
        <w:t> </w:t>
      </w:r>
      <w:hyperlink r:id="rId16" w:tgtFrame="_new" w:history="1">
        <w:r w:rsidRPr="004E4F63">
          <w:rPr>
            <w:rStyle w:val="Hipervnculo"/>
            <w:rFonts w:eastAsiaTheme="majorEastAsia"/>
          </w:rPr>
          <w:t>https://www.ine.es/dyngs/Prensa/ECAECM2024.htm</w:t>
        </w:r>
      </w:hyperlink>
    </w:p>
    <w:p w14:paraId="5C4AE297" w14:textId="5A85FEE6" w:rsidR="004E4F63" w:rsidRPr="004E4F63" w:rsidRDefault="004E4F63" w:rsidP="00D73AFD">
      <w:pPr>
        <w:pStyle w:val="NormalWeb"/>
        <w:spacing w:line="480" w:lineRule="auto"/>
        <w:ind w:firstLine="708"/>
        <w:jc w:val="both"/>
      </w:pPr>
      <w:r w:rsidRPr="004E4F63">
        <w:t>Jaramillo-Bolívar, C. D., &amp; Canaval-Erazo, G. E. (2020). Violencia de género: Un análisis evolutivo del concepto.</w:t>
      </w:r>
      <w:r w:rsidRPr="004E4F63">
        <w:rPr>
          <w:rStyle w:val="apple-converted-space"/>
          <w:rFonts w:eastAsiaTheme="majorEastAsia"/>
        </w:rPr>
        <w:t> </w:t>
      </w:r>
      <w:proofErr w:type="spellStart"/>
      <w:r w:rsidRPr="004E4F63">
        <w:rPr>
          <w:rStyle w:val="nfasis"/>
          <w:rFonts w:eastAsiaTheme="majorEastAsia"/>
        </w:rPr>
        <w:t>Universitas</w:t>
      </w:r>
      <w:proofErr w:type="spellEnd"/>
      <w:r w:rsidRPr="004E4F63">
        <w:rPr>
          <w:rStyle w:val="nfasis"/>
          <w:rFonts w:eastAsiaTheme="majorEastAsia"/>
        </w:rPr>
        <w:t xml:space="preserve"> Salud, 22</w:t>
      </w:r>
      <w:r w:rsidRPr="004E4F63">
        <w:t>(2), 178-185.</w:t>
      </w:r>
      <w:r w:rsidRPr="004E4F63">
        <w:rPr>
          <w:rStyle w:val="apple-converted-space"/>
          <w:rFonts w:eastAsiaTheme="majorEastAsia"/>
        </w:rPr>
        <w:t> </w:t>
      </w:r>
      <w:hyperlink r:id="rId17" w:tgtFrame="_new" w:history="1">
        <w:r w:rsidRPr="004E4F63">
          <w:rPr>
            <w:rStyle w:val="Hipervnculo"/>
            <w:rFonts w:eastAsiaTheme="majorEastAsia"/>
          </w:rPr>
          <w:t>https://doi.org/10.22</w:t>
        </w:r>
        <w:r w:rsidRPr="004E4F63">
          <w:rPr>
            <w:rStyle w:val="Hipervnculo"/>
            <w:rFonts w:eastAsiaTheme="majorEastAsia"/>
          </w:rPr>
          <w:t>2</w:t>
        </w:r>
        <w:r w:rsidRPr="004E4F63">
          <w:rPr>
            <w:rStyle w:val="Hipervnculo"/>
            <w:rFonts w:eastAsiaTheme="majorEastAsia"/>
          </w:rPr>
          <w:t>67/rus.202202.189</w:t>
        </w:r>
      </w:hyperlink>
    </w:p>
    <w:p w14:paraId="48C3B47F" w14:textId="33462E7A" w:rsidR="00AC5B69" w:rsidRPr="004E4F63" w:rsidRDefault="004E4F63" w:rsidP="00D73AFD">
      <w:pPr>
        <w:pStyle w:val="NormalWeb"/>
        <w:spacing w:line="480" w:lineRule="auto"/>
        <w:ind w:firstLine="708"/>
        <w:jc w:val="both"/>
      </w:pPr>
      <w:r w:rsidRPr="004E4F63">
        <w:t xml:space="preserve">Miranda, J. K. M., &amp; </w:t>
      </w:r>
      <w:proofErr w:type="spellStart"/>
      <w:r w:rsidRPr="004E4F63">
        <w:t>Doty</w:t>
      </w:r>
      <w:proofErr w:type="spellEnd"/>
      <w:r w:rsidRPr="004E4F63">
        <w:t xml:space="preserve">, J. C. (2019). Violencia de género en la pareja: aproximación comprensiva a las vivencias de </w:t>
      </w:r>
      <w:proofErr w:type="gramStart"/>
      <w:r w:rsidRPr="004E4F63">
        <w:t>niños y niñas</w:t>
      </w:r>
      <w:proofErr w:type="gramEnd"/>
      <w:r w:rsidRPr="004E4F63">
        <w:t>.</w:t>
      </w:r>
      <w:r w:rsidRPr="004E4F63">
        <w:rPr>
          <w:rStyle w:val="apple-converted-space"/>
          <w:rFonts w:eastAsiaTheme="majorEastAsia"/>
        </w:rPr>
        <w:t> </w:t>
      </w:r>
      <w:proofErr w:type="spellStart"/>
      <w:r w:rsidRPr="004E4F63">
        <w:rPr>
          <w:rStyle w:val="nfasis"/>
          <w:rFonts w:eastAsiaTheme="majorEastAsia"/>
        </w:rPr>
        <w:t>Universitas</w:t>
      </w:r>
      <w:proofErr w:type="spellEnd"/>
      <w:r w:rsidRPr="004E4F63">
        <w:rPr>
          <w:rStyle w:val="nfasis"/>
          <w:rFonts w:eastAsiaTheme="majorEastAsia"/>
        </w:rPr>
        <w:t xml:space="preserve"> </w:t>
      </w:r>
      <w:proofErr w:type="spellStart"/>
      <w:r w:rsidRPr="004E4F63">
        <w:rPr>
          <w:rStyle w:val="nfasis"/>
          <w:rFonts w:eastAsiaTheme="majorEastAsia"/>
        </w:rPr>
        <w:t>Psychologica</w:t>
      </w:r>
      <w:proofErr w:type="spellEnd"/>
      <w:r w:rsidRPr="004E4F63">
        <w:rPr>
          <w:rStyle w:val="nfasis"/>
          <w:rFonts w:eastAsiaTheme="majorEastAsia"/>
        </w:rPr>
        <w:t>, 18</w:t>
      </w:r>
      <w:r w:rsidRPr="004E4F63">
        <w:t>(3), 1–14.</w:t>
      </w:r>
      <w:r w:rsidRPr="004E4F63">
        <w:rPr>
          <w:rStyle w:val="apple-converted-space"/>
          <w:rFonts w:eastAsiaTheme="majorEastAsia"/>
        </w:rPr>
        <w:t> </w:t>
      </w:r>
      <w:hyperlink r:id="rId18" w:tgtFrame="_new" w:history="1">
        <w:r w:rsidRPr="004E4F63">
          <w:rPr>
            <w:rStyle w:val="Hipervnculo"/>
            <w:rFonts w:eastAsiaTheme="majorEastAsia"/>
          </w:rPr>
          <w:t>https://doi.org/10.11144/Javeriana.upsy18-3.vgpa</w:t>
        </w:r>
      </w:hyperlink>
    </w:p>
    <w:p w14:paraId="41D1CE8F" w14:textId="3350580C" w:rsidR="004E4F63" w:rsidRPr="004E4F63" w:rsidRDefault="004E4F63" w:rsidP="00D73AFD">
      <w:pPr>
        <w:pStyle w:val="NormalWeb"/>
        <w:spacing w:line="480" w:lineRule="auto"/>
        <w:ind w:firstLine="708"/>
        <w:jc w:val="both"/>
      </w:pPr>
      <w:r w:rsidRPr="004E4F63">
        <w:t>Ministerio de Igualdad. (2024, 29 de noviembre). Violencia de género y menores: Informe sobre víctimas mortales. Gobierno de España. Recuperado el 23 de marzo de 2025, de</w:t>
      </w:r>
      <w:r w:rsidRPr="004E4F63">
        <w:rPr>
          <w:rStyle w:val="apple-converted-space"/>
          <w:rFonts w:eastAsiaTheme="majorEastAsia"/>
        </w:rPr>
        <w:t> </w:t>
      </w:r>
      <w:hyperlink r:id="rId19" w:tgtFrame="_new" w:history="1">
        <w:r w:rsidRPr="004E4F63">
          <w:rPr>
            <w:rStyle w:val="Hipervnculo"/>
            <w:rFonts w:eastAsiaTheme="majorEastAsia"/>
          </w:rPr>
          <w:t>https://violenciagenero.igualdad.gob.es/wp-content/uploads/VMortalesmenores_2024_11_29.pdf</w:t>
        </w:r>
      </w:hyperlink>
    </w:p>
    <w:p w14:paraId="28EE24E8" w14:textId="3F341ACB" w:rsidR="004E4F63" w:rsidRPr="004E4F63" w:rsidRDefault="004E4F63" w:rsidP="00D73AFD">
      <w:pPr>
        <w:pStyle w:val="NormalWeb"/>
        <w:spacing w:line="480" w:lineRule="auto"/>
        <w:ind w:firstLine="708"/>
        <w:jc w:val="both"/>
      </w:pPr>
      <w:r w:rsidRPr="004E4F63">
        <w:lastRenderedPageBreak/>
        <w:t>Oficina de la Salud de la Mujer. (s.f.). Efectos de la violencia doméstica sobre los niños. Departamento de Salud y Servicios Humanos de EE. UU. Recuperado el 23 de marzo de 2025, de</w:t>
      </w:r>
      <w:r w:rsidRPr="004E4F63">
        <w:rPr>
          <w:rStyle w:val="apple-converted-space"/>
          <w:rFonts w:eastAsiaTheme="majorEastAsia"/>
        </w:rPr>
        <w:t> </w:t>
      </w:r>
      <w:hyperlink r:id="rId20" w:tgtFrame="_new" w:history="1">
        <w:r w:rsidRPr="004E4F63">
          <w:rPr>
            <w:rStyle w:val="Hipervnculo"/>
            <w:rFonts w:eastAsiaTheme="majorEastAsia"/>
          </w:rPr>
          <w:t>https://espanol.womenshealth.gov/relationships-and-safety/domestic-violence/effects-domestic-violence-children</w:t>
        </w:r>
      </w:hyperlink>
    </w:p>
    <w:p w14:paraId="530AB3C5" w14:textId="54C9C6F8" w:rsidR="004E4F63" w:rsidRPr="004E4F63" w:rsidRDefault="004E4F63" w:rsidP="00D73AFD">
      <w:pPr>
        <w:pStyle w:val="NormalWeb"/>
        <w:spacing w:line="480" w:lineRule="auto"/>
        <w:ind w:firstLine="708"/>
        <w:jc w:val="both"/>
      </w:pPr>
      <w:r w:rsidRPr="004E4F63">
        <w:t>Rosser Limiñana, A., Suriá Martínez, R., &amp; Villegas-Castrillo, E. (2015). La exposición a violencia de género y su repercusión en la adaptación escolar de los menores.</w:t>
      </w:r>
    </w:p>
    <w:p w14:paraId="1BAB2C41" w14:textId="3D3BBF2F" w:rsidR="004E4F63" w:rsidRPr="004E4F63" w:rsidRDefault="004E4F63" w:rsidP="00D73AFD">
      <w:pPr>
        <w:pStyle w:val="NormalWeb"/>
        <w:spacing w:line="480" w:lineRule="auto"/>
        <w:ind w:firstLine="708"/>
        <w:jc w:val="both"/>
      </w:pPr>
      <w:r w:rsidRPr="004E4F63">
        <w:t>Sánchez García, A., &amp; Pérez Martínez, L. (2020). Evaluación del estado psicoemocional en menores testigos de violencia de género. Universidad Forense. Recuperado de</w:t>
      </w:r>
      <w:r w:rsidRPr="004E4F63">
        <w:rPr>
          <w:rStyle w:val="apple-converted-space"/>
          <w:rFonts w:eastAsiaTheme="majorEastAsia"/>
        </w:rPr>
        <w:t> </w:t>
      </w:r>
      <w:hyperlink r:id="rId21" w:tgtFrame="_new" w:history="1">
        <w:r w:rsidRPr="004E4F63">
          <w:rPr>
            <w:rStyle w:val="Hipervnculo"/>
            <w:rFonts w:eastAsiaTheme="majorEastAsia"/>
          </w:rPr>
          <w:t>https://uforense.org/wp-content/uploads/2020/12/evaluacion-del-estado-psicoemocional-en-menores-testigos-de-vg-2020-12-22.pdf</w:t>
        </w:r>
      </w:hyperlink>
    </w:p>
    <w:p w14:paraId="2EABD9CA" w14:textId="2A866D2A" w:rsidR="004E4F63" w:rsidRPr="004E4F63" w:rsidRDefault="004E4F63" w:rsidP="00D73AFD">
      <w:pPr>
        <w:pStyle w:val="NormalWeb"/>
        <w:spacing w:line="480" w:lineRule="auto"/>
        <w:ind w:firstLine="708"/>
        <w:jc w:val="both"/>
      </w:pPr>
      <w:r w:rsidRPr="004E4F63">
        <w:t>Secretaría de Gobernación. (2023). Estrategias para la atención integral de mujeres en situación de violencia.</w:t>
      </w:r>
      <w:r w:rsidRPr="004E4F63">
        <w:rPr>
          <w:rStyle w:val="apple-converted-space"/>
          <w:rFonts w:eastAsiaTheme="majorEastAsia"/>
        </w:rPr>
        <w:t> </w:t>
      </w:r>
      <w:hyperlink r:id="rId22" w:tgtFrame="_new" w:history="1">
        <w:r w:rsidRPr="004E4F63">
          <w:rPr>
            <w:rStyle w:val="Hipervnculo"/>
            <w:rFonts w:eastAsiaTheme="majorEastAsia"/>
          </w:rPr>
          <w:t>https://www.inmujeres.gob.es/publicacioneselectronicas/documentacion/Revistas/ANALITICAS/DEA0180.pdf</w:t>
        </w:r>
      </w:hyperlink>
    </w:p>
    <w:p w14:paraId="11CEEA56" w14:textId="41FB9ECC" w:rsidR="004E4F63" w:rsidRPr="004E4F63" w:rsidRDefault="004E4F63" w:rsidP="00D73AFD">
      <w:pPr>
        <w:pStyle w:val="NormalWeb"/>
        <w:spacing w:line="480" w:lineRule="auto"/>
        <w:ind w:firstLine="708"/>
        <w:jc w:val="both"/>
      </w:pPr>
      <w:r w:rsidRPr="004E4F63">
        <w:t>Secretaría de Gobernación. (2023). La violencia intrafamiliar y sus efectos en los niños.</w:t>
      </w:r>
      <w:r w:rsidRPr="004E4F63">
        <w:rPr>
          <w:rStyle w:val="apple-converted-space"/>
          <w:rFonts w:eastAsiaTheme="majorEastAsia"/>
        </w:rPr>
        <w:t> </w:t>
      </w:r>
      <w:r w:rsidRPr="004E4F63">
        <w:rPr>
          <w:rStyle w:val="nfasis"/>
          <w:rFonts w:eastAsiaTheme="majorEastAsia"/>
        </w:rPr>
        <w:t>Psicología y Mente.</w:t>
      </w:r>
      <w:hyperlink r:id="rId23" w:history="1">
        <w:r w:rsidR="00D73AFD" w:rsidRPr="00171B8E">
          <w:rPr>
            <w:rStyle w:val="Hipervnculo"/>
            <w:rFonts w:eastAsiaTheme="majorEastAsia"/>
          </w:rPr>
          <w:t>https://psicologiaymente.com/desarrollo/violencia-int</w:t>
        </w:r>
        <w:r w:rsidR="00D73AFD" w:rsidRPr="00171B8E">
          <w:rPr>
            <w:rStyle w:val="Hipervnculo"/>
            <w:rFonts w:eastAsiaTheme="majorEastAsia"/>
          </w:rPr>
          <w:t>a</w:t>
        </w:r>
        <w:r w:rsidR="00D73AFD" w:rsidRPr="00171B8E">
          <w:rPr>
            <w:rStyle w:val="Hipervnculo"/>
            <w:rFonts w:eastAsiaTheme="majorEastAsia"/>
          </w:rPr>
          <w:t>familiar-efectos-ninos</w:t>
        </w:r>
      </w:hyperlink>
    </w:p>
    <w:p w14:paraId="4A009173" w14:textId="7C419E19" w:rsidR="004E4F63" w:rsidRPr="004E4F63" w:rsidRDefault="004E4F63" w:rsidP="00D73AFD">
      <w:pPr>
        <w:pStyle w:val="NormalWeb"/>
        <w:spacing w:line="480" w:lineRule="auto"/>
        <w:ind w:firstLine="360"/>
        <w:jc w:val="both"/>
      </w:pPr>
      <w:r w:rsidRPr="004E4F63">
        <w:t>Sepúlveda García de la Torre, A. (2006). La violencia de género como causa de maltrato infantil.</w:t>
      </w:r>
      <w:r w:rsidRPr="004E4F63">
        <w:rPr>
          <w:rStyle w:val="apple-converted-space"/>
          <w:rFonts w:eastAsiaTheme="majorEastAsia"/>
        </w:rPr>
        <w:t> </w:t>
      </w:r>
      <w:r w:rsidRPr="004E4F63">
        <w:rPr>
          <w:rStyle w:val="nfasis"/>
          <w:rFonts w:eastAsiaTheme="majorEastAsia"/>
        </w:rPr>
        <w:t>Cuadernos de medicina forense, (43-44), 149-164.</w:t>
      </w:r>
      <w:r w:rsidRPr="004E4F63">
        <w:rPr>
          <w:rStyle w:val="apple-converted-space"/>
          <w:rFonts w:eastAsiaTheme="majorEastAsia"/>
        </w:rPr>
        <w:t> </w:t>
      </w:r>
      <w:hyperlink r:id="rId24" w:tgtFrame="_new" w:history="1">
        <w:r w:rsidRPr="004E4F63">
          <w:rPr>
            <w:rStyle w:val="Hipervnculo"/>
            <w:rFonts w:eastAsiaTheme="majorEastAsia"/>
          </w:rPr>
          <w:t>https://scielo.isciii.es/pdf/cmf/n43-44/11.pdf</w:t>
        </w:r>
      </w:hyperlink>
    </w:p>
    <w:p w14:paraId="3B67AF8A" w14:textId="77777777" w:rsidR="0077034B" w:rsidRDefault="0077034B" w:rsidP="0077034B">
      <w:pPr>
        <w:pStyle w:val="NormalWeb"/>
        <w:spacing w:line="480" w:lineRule="auto"/>
        <w:ind w:firstLine="360"/>
        <w:jc w:val="both"/>
        <w:rPr>
          <w:color w:val="000000"/>
        </w:rPr>
      </w:pPr>
      <w:r>
        <w:rPr>
          <w:color w:val="000000"/>
        </w:rPr>
        <w:t xml:space="preserve">Sousa, C., </w:t>
      </w:r>
      <w:proofErr w:type="spellStart"/>
      <w:r>
        <w:rPr>
          <w:color w:val="000000"/>
        </w:rPr>
        <w:t>Herrenkohl</w:t>
      </w:r>
      <w:proofErr w:type="spellEnd"/>
      <w:r>
        <w:rPr>
          <w:color w:val="000000"/>
        </w:rPr>
        <w:t xml:space="preserve">, T.I., </w:t>
      </w:r>
      <w:proofErr w:type="spellStart"/>
      <w:r>
        <w:rPr>
          <w:color w:val="000000"/>
        </w:rPr>
        <w:t>Moylan</w:t>
      </w:r>
      <w:proofErr w:type="spellEnd"/>
      <w:r>
        <w:rPr>
          <w:color w:val="000000"/>
        </w:rPr>
        <w:t xml:space="preserve">, C.A., </w:t>
      </w:r>
      <w:proofErr w:type="spellStart"/>
      <w:r>
        <w:rPr>
          <w:color w:val="000000"/>
        </w:rPr>
        <w:t>Tajima</w:t>
      </w:r>
      <w:proofErr w:type="spellEnd"/>
      <w:r>
        <w:rPr>
          <w:color w:val="000000"/>
        </w:rPr>
        <w:t xml:space="preserve">, E.A., </w:t>
      </w:r>
      <w:proofErr w:type="spellStart"/>
      <w:r>
        <w:rPr>
          <w:color w:val="000000"/>
        </w:rPr>
        <w:t>Klika</w:t>
      </w:r>
      <w:proofErr w:type="spellEnd"/>
      <w:r>
        <w:rPr>
          <w:color w:val="000000"/>
        </w:rPr>
        <w:t xml:space="preserve">, J.B., </w:t>
      </w:r>
      <w:proofErr w:type="spellStart"/>
      <w:r>
        <w:rPr>
          <w:color w:val="000000"/>
        </w:rPr>
        <w:t>Herrenkohl</w:t>
      </w:r>
      <w:proofErr w:type="spellEnd"/>
      <w:r>
        <w:rPr>
          <w:color w:val="000000"/>
        </w:rPr>
        <w:t xml:space="preserve">, R.C., &amp; Russo, M.J. (2011). Longitudinal </w:t>
      </w:r>
      <w:proofErr w:type="spellStart"/>
      <w:r>
        <w:rPr>
          <w:color w:val="000000"/>
        </w:rPr>
        <w:t>study</w:t>
      </w:r>
      <w:proofErr w:type="spellEnd"/>
      <w:r>
        <w:rPr>
          <w:color w:val="000000"/>
        </w:rPr>
        <w:t xml:space="preserve"> </w:t>
      </w:r>
      <w:proofErr w:type="spellStart"/>
      <w:r>
        <w:rPr>
          <w:color w:val="000000"/>
        </w:rPr>
        <w:t>on</w:t>
      </w:r>
      <w:proofErr w:type="spellEnd"/>
      <w:r>
        <w:rPr>
          <w:color w:val="000000"/>
        </w:rPr>
        <w:t xml:space="preserve"> the </w:t>
      </w:r>
      <w:proofErr w:type="spellStart"/>
      <w:r>
        <w:rPr>
          <w:color w:val="000000"/>
        </w:rPr>
        <w:t>effects</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child</w:t>
      </w:r>
      <w:proofErr w:type="spellEnd"/>
      <w:r>
        <w:rPr>
          <w:color w:val="000000"/>
        </w:rPr>
        <w:t xml:space="preserve"> abuse and </w:t>
      </w:r>
      <w:proofErr w:type="spellStart"/>
      <w:r>
        <w:rPr>
          <w:color w:val="000000"/>
        </w:rPr>
        <w:lastRenderedPageBreak/>
        <w:t>children´s</w:t>
      </w:r>
      <w:proofErr w:type="spellEnd"/>
      <w:r>
        <w:rPr>
          <w:color w:val="000000"/>
        </w:rPr>
        <w:t xml:space="preserve"> </w:t>
      </w:r>
      <w:proofErr w:type="spellStart"/>
      <w:r>
        <w:rPr>
          <w:color w:val="000000"/>
        </w:rPr>
        <w:t>exposure</w:t>
      </w:r>
      <w:proofErr w:type="spellEnd"/>
      <w:r>
        <w:rPr>
          <w:color w:val="000000"/>
        </w:rPr>
        <w:t xml:space="preserve"> </w:t>
      </w:r>
      <w:proofErr w:type="spellStart"/>
      <w:r>
        <w:rPr>
          <w:color w:val="000000"/>
        </w:rPr>
        <w:t>to</w:t>
      </w:r>
      <w:proofErr w:type="spellEnd"/>
      <w:r>
        <w:rPr>
          <w:color w:val="000000"/>
        </w:rPr>
        <w:t xml:space="preserve"> </w:t>
      </w:r>
      <w:proofErr w:type="spellStart"/>
      <w:r>
        <w:rPr>
          <w:color w:val="000000"/>
        </w:rPr>
        <w:t>domestic</w:t>
      </w:r>
      <w:proofErr w:type="spellEnd"/>
      <w:r>
        <w:rPr>
          <w:color w:val="000000"/>
        </w:rPr>
        <w:t xml:space="preserve"> </w:t>
      </w:r>
      <w:proofErr w:type="spellStart"/>
      <w:r>
        <w:rPr>
          <w:color w:val="000000"/>
        </w:rPr>
        <w:t>violence</w:t>
      </w:r>
      <w:proofErr w:type="spellEnd"/>
      <w:r>
        <w:rPr>
          <w:color w:val="000000"/>
        </w:rPr>
        <w:t xml:space="preserve">, </w:t>
      </w:r>
      <w:proofErr w:type="spellStart"/>
      <w:r>
        <w:rPr>
          <w:color w:val="000000"/>
        </w:rPr>
        <w:t>parent-child</w:t>
      </w:r>
      <w:proofErr w:type="spellEnd"/>
      <w:r>
        <w:rPr>
          <w:color w:val="000000"/>
        </w:rPr>
        <w:t xml:space="preserve"> </w:t>
      </w:r>
      <w:proofErr w:type="spellStart"/>
      <w:r>
        <w:rPr>
          <w:color w:val="000000"/>
        </w:rPr>
        <w:t>attachments</w:t>
      </w:r>
      <w:proofErr w:type="spellEnd"/>
      <w:r>
        <w:rPr>
          <w:color w:val="000000"/>
        </w:rPr>
        <w:t xml:space="preserve">, and antisocial </w:t>
      </w:r>
      <w:proofErr w:type="spellStart"/>
      <w:r>
        <w:rPr>
          <w:color w:val="000000"/>
        </w:rPr>
        <w:t>behavior</w:t>
      </w:r>
      <w:proofErr w:type="spellEnd"/>
      <w:r>
        <w:rPr>
          <w:color w:val="000000"/>
        </w:rPr>
        <w:t xml:space="preserve"> in </w:t>
      </w:r>
      <w:proofErr w:type="spellStart"/>
      <w:r>
        <w:rPr>
          <w:color w:val="000000"/>
        </w:rPr>
        <w:t>adolescence</w:t>
      </w:r>
      <w:proofErr w:type="spellEnd"/>
      <w:r>
        <w:rPr>
          <w:color w:val="000000"/>
        </w:rPr>
        <w:t>.</w:t>
      </w:r>
      <w:r>
        <w:rPr>
          <w:rStyle w:val="apple-converted-space"/>
          <w:rFonts w:eastAsiaTheme="majorEastAsia"/>
          <w:color w:val="000000"/>
        </w:rPr>
        <w:t> </w:t>
      </w:r>
      <w:proofErr w:type="spellStart"/>
      <w:r>
        <w:rPr>
          <w:rStyle w:val="nfasis"/>
          <w:rFonts w:eastAsiaTheme="majorEastAsia"/>
          <w:color w:val="000000"/>
        </w:rPr>
        <w:t>Journal</w:t>
      </w:r>
      <w:proofErr w:type="spellEnd"/>
      <w:r>
        <w:rPr>
          <w:rStyle w:val="nfasis"/>
          <w:rFonts w:eastAsiaTheme="majorEastAsia"/>
          <w:color w:val="000000"/>
        </w:rPr>
        <w:t xml:space="preserve"> </w:t>
      </w:r>
      <w:proofErr w:type="spellStart"/>
      <w:r>
        <w:rPr>
          <w:rStyle w:val="nfasis"/>
          <w:rFonts w:eastAsiaTheme="majorEastAsia"/>
          <w:color w:val="000000"/>
        </w:rPr>
        <w:t>of</w:t>
      </w:r>
      <w:proofErr w:type="spellEnd"/>
      <w:r>
        <w:rPr>
          <w:rStyle w:val="nfasis"/>
          <w:rFonts w:eastAsiaTheme="majorEastAsia"/>
          <w:color w:val="000000"/>
        </w:rPr>
        <w:t xml:space="preserve"> interpersonal </w:t>
      </w:r>
      <w:proofErr w:type="spellStart"/>
      <w:r>
        <w:rPr>
          <w:rStyle w:val="nfasis"/>
          <w:rFonts w:eastAsiaTheme="majorEastAsia"/>
          <w:color w:val="000000"/>
        </w:rPr>
        <w:t>violence</w:t>
      </w:r>
      <w:proofErr w:type="spellEnd"/>
      <w:r>
        <w:rPr>
          <w:rStyle w:val="nfasis"/>
          <w:rFonts w:eastAsiaTheme="majorEastAsia"/>
          <w:color w:val="000000"/>
        </w:rPr>
        <w:t>, 26</w:t>
      </w:r>
      <w:r>
        <w:rPr>
          <w:color w:val="000000"/>
        </w:rPr>
        <w:t>, 111-136.</w:t>
      </w:r>
    </w:p>
    <w:p w14:paraId="13C62684" w14:textId="77777777" w:rsidR="0077034B" w:rsidRDefault="0077034B" w:rsidP="0077034B">
      <w:pPr>
        <w:pStyle w:val="NormalWeb"/>
        <w:spacing w:line="480" w:lineRule="auto"/>
        <w:ind w:firstLine="360"/>
        <w:jc w:val="both"/>
        <w:rPr>
          <w:color w:val="000000"/>
        </w:rPr>
      </w:pPr>
      <w:r>
        <w:rPr>
          <w:color w:val="000000"/>
        </w:rPr>
        <w:t>TÁVARA-OROZCO, Luis et al. (2007). Repercusiones maternas y perinatales de la violencia basada en género.</w:t>
      </w:r>
      <w:r>
        <w:rPr>
          <w:rStyle w:val="apple-converted-space"/>
          <w:rFonts w:eastAsiaTheme="majorEastAsia"/>
          <w:color w:val="000000"/>
        </w:rPr>
        <w:t> </w:t>
      </w:r>
      <w:r>
        <w:rPr>
          <w:rStyle w:val="nfasis"/>
          <w:rFonts w:eastAsiaTheme="majorEastAsia"/>
          <w:color w:val="000000"/>
        </w:rPr>
        <w:t>Revista Peruana de Ginecología y Obstetricia, 53</w:t>
      </w:r>
      <w:r>
        <w:rPr>
          <w:color w:val="000000"/>
        </w:rPr>
        <w:t>(1), 10-17.</w:t>
      </w:r>
    </w:p>
    <w:p w14:paraId="10C34201" w14:textId="77777777" w:rsidR="004E4F63" w:rsidRDefault="004E4F63" w:rsidP="00960631">
      <w:pPr>
        <w:pStyle w:val="NormalWeb"/>
      </w:pPr>
    </w:p>
    <w:p w14:paraId="4E187968" w14:textId="77777777" w:rsidR="00960631" w:rsidRDefault="00960631" w:rsidP="00960631">
      <w:pPr>
        <w:pStyle w:val="NormalWeb"/>
      </w:pPr>
    </w:p>
    <w:p w14:paraId="72756BFE" w14:textId="77777777" w:rsidR="00960631" w:rsidRPr="00C962A7" w:rsidRDefault="00960631" w:rsidP="00C962A7">
      <w:pPr>
        <w:spacing w:after="240" w:line="360" w:lineRule="auto"/>
        <w:ind w:left="360"/>
        <w:jc w:val="both"/>
        <w:rPr>
          <w:b/>
          <w:bCs/>
        </w:rPr>
      </w:pPr>
    </w:p>
    <w:p w14:paraId="63E54739" w14:textId="79F9DA96" w:rsidR="004D36C8" w:rsidRDefault="004D36C8" w:rsidP="007A3B49">
      <w:pPr>
        <w:spacing w:after="240" w:line="360" w:lineRule="auto"/>
        <w:jc w:val="both"/>
        <w:rPr>
          <w:color w:val="222222"/>
          <w:shd w:val="clear" w:color="auto" w:fill="FFFFFF"/>
        </w:rPr>
      </w:pPr>
    </w:p>
    <w:p w14:paraId="3F6CF88A" w14:textId="77777777" w:rsidR="004D36C8" w:rsidRDefault="004D36C8" w:rsidP="00192455">
      <w:pPr>
        <w:spacing w:after="240" w:line="360" w:lineRule="auto"/>
        <w:ind w:left="360"/>
        <w:jc w:val="both"/>
        <w:rPr>
          <w:color w:val="222222"/>
          <w:shd w:val="clear" w:color="auto" w:fill="FFFFFF"/>
        </w:rPr>
      </w:pPr>
    </w:p>
    <w:p w14:paraId="3C242E02" w14:textId="77777777" w:rsidR="00F64C67" w:rsidRDefault="00F64C67" w:rsidP="00F64C67">
      <w:pPr>
        <w:spacing w:after="240" w:line="360" w:lineRule="auto"/>
        <w:ind w:firstLine="360"/>
        <w:jc w:val="both"/>
        <w:rPr>
          <w:color w:val="000000"/>
        </w:rPr>
      </w:pPr>
    </w:p>
    <w:p w14:paraId="5305E1A9" w14:textId="77777777" w:rsidR="00F64C67" w:rsidRDefault="00F64C67" w:rsidP="00F64C67">
      <w:pPr>
        <w:pStyle w:val="NormalWeb"/>
        <w:spacing w:before="0" w:beforeAutospacing="0" w:after="0" w:afterAutospacing="0" w:line="360" w:lineRule="auto"/>
        <w:jc w:val="both"/>
        <w:rPr>
          <w:color w:val="000000"/>
        </w:rPr>
      </w:pPr>
    </w:p>
    <w:p w14:paraId="23AEEF8E" w14:textId="77777777" w:rsidR="00F64C67" w:rsidRDefault="00F64C67" w:rsidP="00F64C67">
      <w:pPr>
        <w:pStyle w:val="NormalWeb"/>
        <w:spacing w:before="0" w:beforeAutospacing="0" w:after="0" w:afterAutospacing="0" w:line="360" w:lineRule="auto"/>
        <w:jc w:val="both"/>
        <w:rPr>
          <w:color w:val="000000"/>
        </w:rPr>
      </w:pPr>
    </w:p>
    <w:p w14:paraId="0928E84A" w14:textId="77777777" w:rsidR="00F64C67" w:rsidRDefault="00F64C67" w:rsidP="00F64C67">
      <w:pPr>
        <w:pStyle w:val="NormalWeb"/>
        <w:spacing w:before="0" w:beforeAutospacing="0" w:after="0" w:afterAutospacing="0" w:line="360" w:lineRule="auto"/>
        <w:jc w:val="both"/>
        <w:rPr>
          <w:color w:val="000000"/>
        </w:rPr>
      </w:pPr>
    </w:p>
    <w:p w14:paraId="3A4A0B86" w14:textId="77777777" w:rsidR="004D36C8" w:rsidRDefault="004D36C8" w:rsidP="00192455">
      <w:pPr>
        <w:spacing w:after="240" w:line="360" w:lineRule="auto"/>
        <w:ind w:left="360"/>
        <w:jc w:val="both"/>
        <w:rPr>
          <w:color w:val="222222"/>
          <w:shd w:val="clear" w:color="auto" w:fill="FFFFFF"/>
        </w:rPr>
      </w:pPr>
    </w:p>
    <w:p w14:paraId="7B0EEB9C" w14:textId="77777777" w:rsidR="004D36C8" w:rsidRDefault="004D36C8" w:rsidP="00192455">
      <w:pPr>
        <w:spacing w:after="240" w:line="360" w:lineRule="auto"/>
        <w:ind w:left="360"/>
        <w:jc w:val="both"/>
        <w:rPr>
          <w:color w:val="222222"/>
          <w:shd w:val="clear" w:color="auto" w:fill="FFFFFF"/>
        </w:rPr>
      </w:pPr>
    </w:p>
    <w:p w14:paraId="51BBAA13" w14:textId="77777777" w:rsidR="004D36C8" w:rsidRDefault="004D36C8" w:rsidP="00192455">
      <w:pPr>
        <w:spacing w:after="240" w:line="360" w:lineRule="auto"/>
        <w:ind w:left="360"/>
        <w:jc w:val="both"/>
        <w:rPr>
          <w:color w:val="222222"/>
          <w:shd w:val="clear" w:color="auto" w:fill="FFFFFF"/>
        </w:rPr>
      </w:pPr>
    </w:p>
    <w:p w14:paraId="53544C7F" w14:textId="77777777" w:rsidR="004D36C8" w:rsidRDefault="004D36C8" w:rsidP="00192455">
      <w:pPr>
        <w:spacing w:after="240" w:line="360" w:lineRule="auto"/>
        <w:ind w:left="360"/>
        <w:jc w:val="both"/>
        <w:rPr>
          <w:color w:val="222222"/>
          <w:shd w:val="clear" w:color="auto" w:fill="FFFFFF"/>
        </w:rPr>
      </w:pPr>
    </w:p>
    <w:p w14:paraId="0F6746C3" w14:textId="77777777" w:rsidR="004D36C8" w:rsidRDefault="004D36C8" w:rsidP="00192455">
      <w:pPr>
        <w:spacing w:after="240" w:line="360" w:lineRule="auto"/>
        <w:ind w:left="360"/>
        <w:jc w:val="both"/>
        <w:rPr>
          <w:color w:val="222222"/>
          <w:shd w:val="clear" w:color="auto" w:fill="FFFFFF"/>
        </w:rPr>
      </w:pPr>
    </w:p>
    <w:p w14:paraId="438A0250" w14:textId="77777777" w:rsidR="004D36C8" w:rsidRDefault="004D36C8" w:rsidP="00192455">
      <w:pPr>
        <w:spacing w:after="240" w:line="360" w:lineRule="auto"/>
        <w:ind w:left="360"/>
        <w:jc w:val="both"/>
        <w:rPr>
          <w:color w:val="222222"/>
          <w:shd w:val="clear" w:color="auto" w:fill="FFFFFF"/>
        </w:rPr>
      </w:pPr>
    </w:p>
    <w:p w14:paraId="0BE2DEB0" w14:textId="77777777" w:rsidR="004D36C8" w:rsidRDefault="004D36C8" w:rsidP="00192455">
      <w:pPr>
        <w:spacing w:after="240" w:line="360" w:lineRule="auto"/>
        <w:ind w:left="360"/>
        <w:jc w:val="both"/>
        <w:rPr>
          <w:color w:val="222222"/>
          <w:shd w:val="clear" w:color="auto" w:fill="FFFFFF"/>
        </w:rPr>
      </w:pPr>
    </w:p>
    <w:p w14:paraId="3B82B988" w14:textId="77777777" w:rsidR="004D36C8" w:rsidRDefault="004D36C8" w:rsidP="00192455">
      <w:pPr>
        <w:spacing w:after="240" w:line="360" w:lineRule="auto"/>
        <w:ind w:left="360"/>
        <w:jc w:val="both"/>
        <w:rPr>
          <w:color w:val="222222"/>
          <w:shd w:val="clear" w:color="auto" w:fill="FFFFFF"/>
        </w:rPr>
      </w:pPr>
    </w:p>
    <w:p w14:paraId="3FC13F80" w14:textId="77777777" w:rsidR="000E418B" w:rsidRPr="00F93632" w:rsidRDefault="000E418B" w:rsidP="00767EDC">
      <w:pPr>
        <w:spacing w:line="360" w:lineRule="auto"/>
        <w:ind w:left="360"/>
        <w:jc w:val="both"/>
      </w:pPr>
    </w:p>
    <w:sectPr w:rsidR="000E418B" w:rsidRPr="00F9363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54EE7"/>
    <w:multiLevelType w:val="multilevel"/>
    <w:tmpl w:val="6D20E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95247F"/>
    <w:multiLevelType w:val="multilevel"/>
    <w:tmpl w:val="9E50D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0C0C9A"/>
    <w:multiLevelType w:val="multilevel"/>
    <w:tmpl w:val="6862E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8605AF"/>
    <w:multiLevelType w:val="hybridMultilevel"/>
    <w:tmpl w:val="3AC4D0D2"/>
    <w:lvl w:ilvl="0" w:tplc="8A50BC6E">
      <w:start w:val="16"/>
      <w:numFmt w:val="bullet"/>
      <w:lvlText w:val="-"/>
      <w:lvlJc w:val="left"/>
      <w:pPr>
        <w:ind w:left="720" w:hanging="360"/>
      </w:pPr>
      <w:rPr>
        <w:rFonts w:ascii="Times New Roman" w:eastAsia="Times New Roman" w:hAnsi="Times New Roman" w:cs="Times New Roman"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0E5332B2"/>
    <w:multiLevelType w:val="multilevel"/>
    <w:tmpl w:val="151C1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6C1AF6"/>
    <w:multiLevelType w:val="multilevel"/>
    <w:tmpl w:val="2E389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7551AE"/>
    <w:multiLevelType w:val="multilevel"/>
    <w:tmpl w:val="91E201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183093"/>
    <w:multiLevelType w:val="multilevel"/>
    <w:tmpl w:val="6C5CA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A03C53"/>
    <w:multiLevelType w:val="multilevel"/>
    <w:tmpl w:val="1D046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AC1154"/>
    <w:multiLevelType w:val="multilevel"/>
    <w:tmpl w:val="E642F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1E7186"/>
    <w:multiLevelType w:val="multilevel"/>
    <w:tmpl w:val="F3965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640ACB"/>
    <w:multiLevelType w:val="multilevel"/>
    <w:tmpl w:val="7F4870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268186F"/>
    <w:multiLevelType w:val="multilevel"/>
    <w:tmpl w:val="34528D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3F055D0"/>
    <w:multiLevelType w:val="multilevel"/>
    <w:tmpl w:val="42447C90"/>
    <w:lvl w:ilvl="0">
      <w:start w:val="1"/>
      <w:numFmt w:val="upperRoman"/>
      <w:lvlText w:val="%1."/>
      <w:lvlJc w:val="left"/>
      <w:pPr>
        <w:ind w:left="360" w:hanging="360"/>
      </w:pPr>
      <w:rPr>
        <w:rFonts w:ascii="Times New Roman" w:eastAsia="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9FB4246"/>
    <w:multiLevelType w:val="multilevel"/>
    <w:tmpl w:val="57887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6C2985"/>
    <w:multiLevelType w:val="multilevel"/>
    <w:tmpl w:val="FE00C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0F6CCF"/>
    <w:multiLevelType w:val="multilevel"/>
    <w:tmpl w:val="2E1A1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1A0C5A"/>
    <w:multiLevelType w:val="multilevel"/>
    <w:tmpl w:val="2D243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4E6950"/>
    <w:multiLevelType w:val="multilevel"/>
    <w:tmpl w:val="C5A86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4B5E6F"/>
    <w:multiLevelType w:val="multilevel"/>
    <w:tmpl w:val="3A3EB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5F0EE4"/>
    <w:multiLevelType w:val="hybridMultilevel"/>
    <w:tmpl w:val="45FC2362"/>
    <w:lvl w:ilvl="0" w:tplc="C9E6103E">
      <w:start w:val="1"/>
      <w:numFmt w:val="upperRoman"/>
      <w:lvlText w:val="%1."/>
      <w:lvlJc w:val="left"/>
      <w:pPr>
        <w:ind w:left="1080" w:hanging="720"/>
      </w:pPr>
      <w:rPr>
        <w:rFonts w:hint="default"/>
        <w:b/>
        <w:bCs/>
      </w:r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3A867219"/>
    <w:multiLevelType w:val="multilevel"/>
    <w:tmpl w:val="04687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6D6010"/>
    <w:multiLevelType w:val="multilevel"/>
    <w:tmpl w:val="1B8AF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FB67D1"/>
    <w:multiLevelType w:val="multilevel"/>
    <w:tmpl w:val="206E7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094008"/>
    <w:multiLevelType w:val="multilevel"/>
    <w:tmpl w:val="4A341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6893850"/>
    <w:multiLevelType w:val="multilevel"/>
    <w:tmpl w:val="46963B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A6B2B90"/>
    <w:multiLevelType w:val="multilevel"/>
    <w:tmpl w:val="D6004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585633"/>
    <w:multiLevelType w:val="multilevel"/>
    <w:tmpl w:val="3B3CC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6E20F9"/>
    <w:multiLevelType w:val="multilevel"/>
    <w:tmpl w:val="386CF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1106C0D"/>
    <w:multiLevelType w:val="hybridMultilevel"/>
    <w:tmpl w:val="AD5639B6"/>
    <w:lvl w:ilvl="0" w:tplc="67C09A2A">
      <w:start w:val="1"/>
      <w:numFmt w:val="decimal"/>
      <w:lvlText w:val="%1-"/>
      <w:lvlJc w:val="left"/>
      <w:pPr>
        <w:ind w:left="720" w:hanging="360"/>
      </w:pPr>
      <w:rPr>
        <w:rFonts w:hint="default"/>
        <w:b/>
        <w:bCs/>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6178004F"/>
    <w:multiLevelType w:val="multilevel"/>
    <w:tmpl w:val="05D28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A42B5F"/>
    <w:multiLevelType w:val="multilevel"/>
    <w:tmpl w:val="38C66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AD69D2"/>
    <w:multiLevelType w:val="multilevel"/>
    <w:tmpl w:val="B184C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544A5E"/>
    <w:multiLevelType w:val="multilevel"/>
    <w:tmpl w:val="9CF29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08B4A4E"/>
    <w:multiLevelType w:val="multilevel"/>
    <w:tmpl w:val="AE103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E650CC"/>
    <w:multiLevelType w:val="multilevel"/>
    <w:tmpl w:val="B802D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3670370"/>
    <w:multiLevelType w:val="multilevel"/>
    <w:tmpl w:val="0A1C4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5E64DC4"/>
    <w:multiLevelType w:val="multilevel"/>
    <w:tmpl w:val="20F0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4C6060"/>
    <w:multiLevelType w:val="hybridMultilevel"/>
    <w:tmpl w:val="BB926C04"/>
    <w:lvl w:ilvl="0" w:tplc="2AD82646">
      <w:numFmt w:val="bullet"/>
      <w:lvlText w:val="-"/>
      <w:lvlJc w:val="left"/>
      <w:pPr>
        <w:ind w:left="720" w:hanging="360"/>
      </w:pPr>
      <w:rPr>
        <w:rFonts w:ascii="Times New Roman" w:eastAsia="Times New Roman" w:hAnsi="Times New Roman" w:cs="Times New Roman"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7A2127D7"/>
    <w:multiLevelType w:val="multilevel"/>
    <w:tmpl w:val="403ED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297619">
    <w:abstractNumId w:val="13"/>
  </w:num>
  <w:num w:numId="2" w16cid:durableId="7105126">
    <w:abstractNumId w:val="20"/>
  </w:num>
  <w:num w:numId="3" w16cid:durableId="1294873022">
    <w:abstractNumId w:val="38"/>
  </w:num>
  <w:num w:numId="4" w16cid:durableId="941181608">
    <w:abstractNumId w:val="3"/>
  </w:num>
  <w:num w:numId="5" w16cid:durableId="1448695114">
    <w:abstractNumId w:val="29"/>
  </w:num>
  <w:num w:numId="6" w16cid:durableId="1142651834">
    <w:abstractNumId w:val="25"/>
  </w:num>
  <w:num w:numId="7" w16cid:durableId="700086973">
    <w:abstractNumId w:val="33"/>
  </w:num>
  <w:num w:numId="8" w16cid:durableId="689650078">
    <w:abstractNumId w:val="36"/>
  </w:num>
  <w:num w:numId="9" w16cid:durableId="947857964">
    <w:abstractNumId w:val="16"/>
    <w:lvlOverride w:ilvl="0">
      <w:lvl w:ilvl="0">
        <w:numFmt w:val="bullet"/>
        <w:lvlText w:val="o"/>
        <w:lvlJc w:val="left"/>
        <w:pPr>
          <w:tabs>
            <w:tab w:val="num" w:pos="720"/>
          </w:tabs>
          <w:ind w:left="720" w:hanging="360"/>
        </w:pPr>
        <w:rPr>
          <w:rFonts w:ascii="Courier New" w:hAnsi="Courier New" w:hint="default"/>
          <w:sz w:val="20"/>
        </w:rPr>
      </w:lvl>
    </w:lvlOverride>
  </w:num>
  <w:num w:numId="10" w16cid:durableId="1952084096">
    <w:abstractNumId w:val="22"/>
    <w:lvlOverride w:ilvl="0">
      <w:lvl w:ilvl="0">
        <w:numFmt w:val="bullet"/>
        <w:lvlText w:val="o"/>
        <w:lvlJc w:val="left"/>
        <w:pPr>
          <w:tabs>
            <w:tab w:val="num" w:pos="720"/>
          </w:tabs>
          <w:ind w:left="720" w:hanging="360"/>
        </w:pPr>
        <w:rPr>
          <w:rFonts w:ascii="Courier New" w:hAnsi="Courier New" w:hint="default"/>
          <w:sz w:val="20"/>
        </w:rPr>
      </w:lvl>
    </w:lvlOverride>
  </w:num>
  <w:num w:numId="11" w16cid:durableId="327485015">
    <w:abstractNumId w:val="5"/>
    <w:lvlOverride w:ilvl="0">
      <w:lvl w:ilvl="0">
        <w:numFmt w:val="bullet"/>
        <w:lvlText w:val="o"/>
        <w:lvlJc w:val="left"/>
        <w:pPr>
          <w:tabs>
            <w:tab w:val="num" w:pos="720"/>
          </w:tabs>
          <w:ind w:left="720" w:hanging="360"/>
        </w:pPr>
        <w:rPr>
          <w:rFonts w:ascii="Courier New" w:hAnsi="Courier New" w:hint="default"/>
          <w:sz w:val="20"/>
        </w:rPr>
      </w:lvl>
    </w:lvlOverride>
  </w:num>
  <w:num w:numId="12" w16cid:durableId="434012045">
    <w:abstractNumId w:val="9"/>
    <w:lvlOverride w:ilvl="0">
      <w:lvl w:ilvl="0">
        <w:numFmt w:val="bullet"/>
        <w:lvlText w:val="o"/>
        <w:lvlJc w:val="left"/>
        <w:pPr>
          <w:tabs>
            <w:tab w:val="num" w:pos="720"/>
          </w:tabs>
          <w:ind w:left="720" w:hanging="360"/>
        </w:pPr>
        <w:rPr>
          <w:rFonts w:ascii="Courier New" w:hAnsi="Courier New" w:hint="default"/>
          <w:sz w:val="20"/>
        </w:rPr>
      </w:lvl>
    </w:lvlOverride>
  </w:num>
  <w:num w:numId="13" w16cid:durableId="1605573612">
    <w:abstractNumId w:val="27"/>
    <w:lvlOverride w:ilvl="0">
      <w:lvl w:ilvl="0">
        <w:numFmt w:val="bullet"/>
        <w:lvlText w:val="o"/>
        <w:lvlJc w:val="left"/>
        <w:pPr>
          <w:tabs>
            <w:tab w:val="num" w:pos="720"/>
          </w:tabs>
          <w:ind w:left="720" w:hanging="360"/>
        </w:pPr>
        <w:rPr>
          <w:rFonts w:ascii="Courier New" w:hAnsi="Courier New" w:hint="default"/>
          <w:sz w:val="20"/>
        </w:rPr>
      </w:lvl>
    </w:lvlOverride>
  </w:num>
  <w:num w:numId="14" w16cid:durableId="1190336418">
    <w:abstractNumId w:val="0"/>
    <w:lvlOverride w:ilvl="0">
      <w:lvl w:ilvl="0">
        <w:numFmt w:val="bullet"/>
        <w:lvlText w:val="o"/>
        <w:lvlJc w:val="left"/>
        <w:pPr>
          <w:tabs>
            <w:tab w:val="num" w:pos="720"/>
          </w:tabs>
          <w:ind w:left="720" w:hanging="360"/>
        </w:pPr>
        <w:rPr>
          <w:rFonts w:ascii="Courier New" w:hAnsi="Courier New" w:hint="default"/>
          <w:sz w:val="20"/>
        </w:rPr>
      </w:lvl>
    </w:lvlOverride>
  </w:num>
  <w:num w:numId="15" w16cid:durableId="491609229">
    <w:abstractNumId w:val="14"/>
    <w:lvlOverride w:ilvl="0">
      <w:lvl w:ilvl="0">
        <w:numFmt w:val="bullet"/>
        <w:lvlText w:val="o"/>
        <w:lvlJc w:val="left"/>
        <w:pPr>
          <w:tabs>
            <w:tab w:val="num" w:pos="720"/>
          </w:tabs>
          <w:ind w:left="720" w:hanging="360"/>
        </w:pPr>
        <w:rPr>
          <w:rFonts w:ascii="Courier New" w:hAnsi="Courier New" w:hint="default"/>
          <w:sz w:val="20"/>
        </w:rPr>
      </w:lvl>
    </w:lvlOverride>
  </w:num>
  <w:num w:numId="16" w16cid:durableId="1067148833">
    <w:abstractNumId w:val="11"/>
    <w:lvlOverride w:ilvl="0">
      <w:lvl w:ilvl="0">
        <w:numFmt w:val="decimal"/>
        <w:lvlText w:val="%1."/>
        <w:lvlJc w:val="left"/>
      </w:lvl>
    </w:lvlOverride>
  </w:num>
  <w:num w:numId="17" w16cid:durableId="1408452093">
    <w:abstractNumId w:val="39"/>
    <w:lvlOverride w:ilvl="0">
      <w:lvl w:ilvl="0">
        <w:numFmt w:val="bullet"/>
        <w:lvlText w:val="o"/>
        <w:lvlJc w:val="left"/>
        <w:pPr>
          <w:tabs>
            <w:tab w:val="num" w:pos="720"/>
          </w:tabs>
          <w:ind w:left="720" w:hanging="360"/>
        </w:pPr>
        <w:rPr>
          <w:rFonts w:ascii="Courier New" w:hAnsi="Courier New" w:hint="default"/>
          <w:sz w:val="20"/>
        </w:rPr>
      </w:lvl>
    </w:lvlOverride>
  </w:num>
  <w:num w:numId="18" w16cid:durableId="158541238">
    <w:abstractNumId w:val="32"/>
    <w:lvlOverride w:ilvl="0">
      <w:lvl w:ilvl="0">
        <w:numFmt w:val="bullet"/>
        <w:lvlText w:val="o"/>
        <w:lvlJc w:val="left"/>
        <w:pPr>
          <w:tabs>
            <w:tab w:val="num" w:pos="720"/>
          </w:tabs>
          <w:ind w:left="720" w:hanging="360"/>
        </w:pPr>
        <w:rPr>
          <w:rFonts w:ascii="Courier New" w:hAnsi="Courier New" w:hint="default"/>
          <w:sz w:val="20"/>
        </w:rPr>
      </w:lvl>
    </w:lvlOverride>
  </w:num>
  <w:num w:numId="19" w16cid:durableId="1836143389">
    <w:abstractNumId w:val="23"/>
    <w:lvlOverride w:ilvl="0">
      <w:lvl w:ilvl="0">
        <w:numFmt w:val="bullet"/>
        <w:lvlText w:val="o"/>
        <w:lvlJc w:val="left"/>
        <w:pPr>
          <w:tabs>
            <w:tab w:val="num" w:pos="720"/>
          </w:tabs>
          <w:ind w:left="720" w:hanging="360"/>
        </w:pPr>
        <w:rPr>
          <w:rFonts w:ascii="Courier New" w:hAnsi="Courier New" w:hint="default"/>
          <w:sz w:val="20"/>
        </w:rPr>
      </w:lvl>
    </w:lvlOverride>
  </w:num>
  <w:num w:numId="20" w16cid:durableId="1288707069">
    <w:abstractNumId w:val="26"/>
    <w:lvlOverride w:ilvl="0">
      <w:lvl w:ilvl="0">
        <w:numFmt w:val="bullet"/>
        <w:lvlText w:val="o"/>
        <w:lvlJc w:val="left"/>
        <w:pPr>
          <w:tabs>
            <w:tab w:val="num" w:pos="720"/>
          </w:tabs>
          <w:ind w:left="720" w:hanging="360"/>
        </w:pPr>
        <w:rPr>
          <w:rFonts w:ascii="Courier New" w:hAnsi="Courier New" w:hint="default"/>
          <w:sz w:val="20"/>
        </w:rPr>
      </w:lvl>
    </w:lvlOverride>
  </w:num>
  <w:num w:numId="21" w16cid:durableId="1516074025">
    <w:abstractNumId w:val="37"/>
    <w:lvlOverride w:ilvl="0">
      <w:lvl w:ilvl="0">
        <w:numFmt w:val="bullet"/>
        <w:lvlText w:val="o"/>
        <w:lvlJc w:val="left"/>
        <w:pPr>
          <w:tabs>
            <w:tab w:val="num" w:pos="720"/>
          </w:tabs>
          <w:ind w:left="720" w:hanging="360"/>
        </w:pPr>
        <w:rPr>
          <w:rFonts w:ascii="Courier New" w:hAnsi="Courier New" w:hint="default"/>
          <w:sz w:val="20"/>
        </w:rPr>
      </w:lvl>
    </w:lvlOverride>
  </w:num>
  <w:num w:numId="22" w16cid:durableId="1345480026">
    <w:abstractNumId w:val="31"/>
    <w:lvlOverride w:ilvl="0">
      <w:lvl w:ilvl="0">
        <w:numFmt w:val="bullet"/>
        <w:lvlText w:val="o"/>
        <w:lvlJc w:val="left"/>
        <w:pPr>
          <w:tabs>
            <w:tab w:val="num" w:pos="720"/>
          </w:tabs>
          <w:ind w:left="720" w:hanging="360"/>
        </w:pPr>
        <w:rPr>
          <w:rFonts w:ascii="Courier New" w:hAnsi="Courier New" w:hint="default"/>
          <w:sz w:val="20"/>
        </w:rPr>
      </w:lvl>
    </w:lvlOverride>
  </w:num>
  <w:num w:numId="23" w16cid:durableId="804666273">
    <w:abstractNumId w:val="21"/>
    <w:lvlOverride w:ilvl="0">
      <w:lvl w:ilvl="0">
        <w:numFmt w:val="bullet"/>
        <w:lvlText w:val="o"/>
        <w:lvlJc w:val="left"/>
        <w:pPr>
          <w:tabs>
            <w:tab w:val="num" w:pos="720"/>
          </w:tabs>
          <w:ind w:left="720" w:hanging="360"/>
        </w:pPr>
        <w:rPr>
          <w:rFonts w:ascii="Courier New" w:hAnsi="Courier New" w:hint="default"/>
          <w:sz w:val="20"/>
        </w:rPr>
      </w:lvl>
    </w:lvlOverride>
  </w:num>
  <w:num w:numId="24" w16cid:durableId="1099643281">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25" w16cid:durableId="861089986">
    <w:abstractNumId w:val="15"/>
    <w:lvlOverride w:ilvl="0">
      <w:lvl w:ilvl="0">
        <w:numFmt w:val="bullet"/>
        <w:lvlText w:val="o"/>
        <w:lvlJc w:val="left"/>
        <w:pPr>
          <w:tabs>
            <w:tab w:val="num" w:pos="720"/>
          </w:tabs>
          <w:ind w:left="720" w:hanging="360"/>
        </w:pPr>
        <w:rPr>
          <w:rFonts w:ascii="Courier New" w:hAnsi="Courier New" w:hint="default"/>
          <w:sz w:val="20"/>
        </w:rPr>
      </w:lvl>
    </w:lvlOverride>
  </w:num>
  <w:num w:numId="26" w16cid:durableId="1483499108">
    <w:abstractNumId w:val="34"/>
    <w:lvlOverride w:ilvl="0">
      <w:lvl w:ilvl="0">
        <w:numFmt w:val="bullet"/>
        <w:lvlText w:val="o"/>
        <w:lvlJc w:val="left"/>
        <w:pPr>
          <w:tabs>
            <w:tab w:val="num" w:pos="720"/>
          </w:tabs>
          <w:ind w:left="720" w:hanging="360"/>
        </w:pPr>
        <w:rPr>
          <w:rFonts w:ascii="Courier New" w:hAnsi="Courier New" w:hint="default"/>
          <w:sz w:val="20"/>
        </w:rPr>
      </w:lvl>
    </w:lvlOverride>
  </w:num>
  <w:num w:numId="27" w16cid:durableId="1756853377">
    <w:abstractNumId w:val="18"/>
    <w:lvlOverride w:ilvl="0">
      <w:lvl w:ilvl="0">
        <w:numFmt w:val="bullet"/>
        <w:lvlText w:val="o"/>
        <w:lvlJc w:val="left"/>
        <w:pPr>
          <w:tabs>
            <w:tab w:val="num" w:pos="720"/>
          </w:tabs>
          <w:ind w:left="720" w:hanging="360"/>
        </w:pPr>
        <w:rPr>
          <w:rFonts w:ascii="Courier New" w:hAnsi="Courier New" w:hint="default"/>
          <w:sz w:val="20"/>
        </w:rPr>
      </w:lvl>
    </w:lvlOverride>
  </w:num>
  <w:num w:numId="28" w16cid:durableId="1964379536">
    <w:abstractNumId w:val="4"/>
    <w:lvlOverride w:ilvl="0">
      <w:lvl w:ilvl="0">
        <w:numFmt w:val="bullet"/>
        <w:lvlText w:val="o"/>
        <w:lvlJc w:val="left"/>
        <w:pPr>
          <w:tabs>
            <w:tab w:val="num" w:pos="720"/>
          </w:tabs>
          <w:ind w:left="720" w:hanging="360"/>
        </w:pPr>
        <w:rPr>
          <w:rFonts w:ascii="Courier New" w:hAnsi="Courier New" w:hint="default"/>
          <w:sz w:val="20"/>
        </w:rPr>
      </w:lvl>
    </w:lvlOverride>
  </w:num>
  <w:num w:numId="29" w16cid:durableId="63920216">
    <w:abstractNumId w:val="12"/>
    <w:lvlOverride w:ilvl="0">
      <w:lvl w:ilvl="0">
        <w:numFmt w:val="decimal"/>
        <w:lvlText w:val="%1."/>
        <w:lvlJc w:val="left"/>
      </w:lvl>
    </w:lvlOverride>
  </w:num>
  <w:num w:numId="30" w16cid:durableId="592712861">
    <w:abstractNumId w:val="8"/>
    <w:lvlOverride w:ilvl="0">
      <w:lvl w:ilvl="0">
        <w:numFmt w:val="bullet"/>
        <w:lvlText w:val="o"/>
        <w:lvlJc w:val="left"/>
        <w:pPr>
          <w:tabs>
            <w:tab w:val="num" w:pos="720"/>
          </w:tabs>
          <w:ind w:left="720" w:hanging="360"/>
        </w:pPr>
        <w:rPr>
          <w:rFonts w:ascii="Courier New" w:hAnsi="Courier New" w:hint="default"/>
          <w:sz w:val="20"/>
        </w:rPr>
      </w:lvl>
    </w:lvlOverride>
  </w:num>
  <w:num w:numId="31" w16cid:durableId="1543782224">
    <w:abstractNumId w:val="35"/>
    <w:lvlOverride w:ilvl="0">
      <w:lvl w:ilvl="0">
        <w:numFmt w:val="bullet"/>
        <w:lvlText w:val="o"/>
        <w:lvlJc w:val="left"/>
        <w:pPr>
          <w:tabs>
            <w:tab w:val="num" w:pos="720"/>
          </w:tabs>
          <w:ind w:left="720" w:hanging="360"/>
        </w:pPr>
        <w:rPr>
          <w:rFonts w:ascii="Courier New" w:hAnsi="Courier New" w:hint="default"/>
          <w:sz w:val="20"/>
        </w:rPr>
      </w:lvl>
    </w:lvlOverride>
  </w:num>
  <w:num w:numId="32" w16cid:durableId="1940215416">
    <w:abstractNumId w:val="30"/>
    <w:lvlOverride w:ilvl="0">
      <w:lvl w:ilvl="0">
        <w:numFmt w:val="bullet"/>
        <w:lvlText w:val="o"/>
        <w:lvlJc w:val="left"/>
        <w:pPr>
          <w:tabs>
            <w:tab w:val="num" w:pos="720"/>
          </w:tabs>
          <w:ind w:left="720" w:hanging="360"/>
        </w:pPr>
        <w:rPr>
          <w:rFonts w:ascii="Courier New" w:hAnsi="Courier New" w:hint="default"/>
          <w:sz w:val="20"/>
        </w:rPr>
      </w:lvl>
    </w:lvlOverride>
  </w:num>
  <w:num w:numId="33" w16cid:durableId="291791782">
    <w:abstractNumId w:val="6"/>
    <w:lvlOverride w:ilvl="0">
      <w:lvl w:ilvl="0">
        <w:numFmt w:val="decimal"/>
        <w:lvlText w:val="%1."/>
        <w:lvlJc w:val="left"/>
      </w:lvl>
    </w:lvlOverride>
  </w:num>
  <w:num w:numId="34" w16cid:durableId="729235807">
    <w:abstractNumId w:val="19"/>
    <w:lvlOverride w:ilvl="0">
      <w:lvl w:ilvl="0">
        <w:numFmt w:val="bullet"/>
        <w:lvlText w:val="o"/>
        <w:lvlJc w:val="left"/>
        <w:pPr>
          <w:tabs>
            <w:tab w:val="num" w:pos="720"/>
          </w:tabs>
          <w:ind w:left="720" w:hanging="360"/>
        </w:pPr>
        <w:rPr>
          <w:rFonts w:ascii="Courier New" w:hAnsi="Courier New" w:hint="default"/>
          <w:sz w:val="20"/>
        </w:rPr>
      </w:lvl>
    </w:lvlOverride>
  </w:num>
  <w:num w:numId="35" w16cid:durableId="839931213">
    <w:abstractNumId w:val="17"/>
    <w:lvlOverride w:ilvl="0">
      <w:lvl w:ilvl="0">
        <w:numFmt w:val="bullet"/>
        <w:lvlText w:val="o"/>
        <w:lvlJc w:val="left"/>
        <w:pPr>
          <w:tabs>
            <w:tab w:val="num" w:pos="720"/>
          </w:tabs>
          <w:ind w:left="720" w:hanging="360"/>
        </w:pPr>
        <w:rPr>
          <w:rFonts w:ascii="Courier New" w:hAnsi="Courier New" w:hint="default"/>
          <w:sz w:val="20"/>
        </w:rPr>
      </w:lvl>
    </w:lvlOverride>
  </w:num>
  <w:num w:numId="36" w16cid:durableId="1638416171">
    <w:abstractNumId w:val="2"/>
    <w:lvlOverride w:ilvl="0">
      <w:lvl w:ilvl="0">
        <w:numFmt w:val="bullet"/>
        <w:lvlText w:val="o"/>
        <w:lvlJc w:val="left"/>
        <w:pPr>
          <w:tabs>
            <w:tab w:val="num" w:pos="720"/>
          </w:tabs>
          <w:ind w:left="720" w:hanging="360"/>
        </w:pPr>
        <w:rPr>
          <w:rFonts w:ascii="Courier New" w:hAnsi="Courier New" w:hint="default"/>
          <w:sz w:val="20"/>
        </w:rPr>
      </w:lvl>
    </w:lvlOverride>
  </w:num>
  <w:num w:numId="37" w16cid:durableId="976180930">
    <w:abstractNumId w:val="28"/>
  </w:num>
  <w:num w:numId="38" w16cid:durableId="1154839026">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39" w16cid:durableId="1166747811">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40" w16cid:durableId="273946638">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41" w16cid:durableId="1000502912">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42" w16cid:durableId="1766143861">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43" w16cid:durableId="240677364">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44" w16cid:durableId="2028604680">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45" w16cid:durableId="1859269366">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46" w16cid:durableId="1740714882">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47" w16cid:durableId="762409364">
    <w:abstractNumId w:val="10"/>
    <w:lvlOverride w:ilvl="0">
      <w:lvl w:ilvl="0">
        <w:numFmt w:val="bullet"/>
        <w:lvlText w:val="o"/>
        <w:lvlJc w:val="left"/>
        <w:pPr>
          <w:tabs>
            <w:tab w:val="num" w:pos="720"/>
          </w:tabs>
          <w:ind w:left="720" w:hanging="360"/>
        </w:pPr>
        <w:rPr>
          <w:rFonts w:ascii="Courier New" w:hAnsi="Courier New" w:hint="default"/>
          <w:sz w:val="20"/>
        </w:rPr>
      </w:lvl>
    </w:lvlOverride>
  </w:num>
  <w:num w:numId="48" w16cid:durableId="2002266987">
    <w:abstractNumId w:val="1"/>
  </w:num>
  <w:num w:numId="49" w16cid:durableId="1020933319">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2F7"/>
    <w:rsid w:val="00000328"/>
    <w:rsid w:val="00001147"/>
    <w:rsid w:val="000012E4"/>
    <w:rsid w:val="00001D11"/>
    <w:rsid w:val="00004156"/>
    <w:rsid w:val="00005246"/>
    <w:rsid w:val="00006363"/>
    <w:rsid w:val="00006623"/>
    <w:rsid w:val="00006CC1"/>
    <w:rsid w:val="00007F82"/>
    <w:rsid w:val="00010F94"/>
    <w:rsid w:val="00011436"/>
    <w:rsid w:val="00012308"/>
    <w:rsid w:val="00013560"/>
    <w:rsid w:val="0001472D"/>
    <w:rsid w:val="00014A4C"/>
    <w:rsid w:val="00015086"/>
    <w:rsid w:val="00016326"/>
    <w:rsid w:val="00017122"/>
    <w:rsid w:val="0002238D"/>
    <w:rsid w:val="000223F1"/>
    <w:rsid w:val="00022A43"/>
    <w:rsid w:val="000264AF"/>
    <w:rsid w:val="00026A39"/>
    <w:rsid w:val="00026C53"/>
    <w:rsid w:val="00027B91"/>
    <w:rsid w:val="00030834"/>
    <w:rsid w:val="000314E0"/>
    <w:rsid w:val="000317F8"/>
    <w:rsid w:val="000326DF"/>
    <w:rsid w:val="00033A77"/>
    <w:rsid w:val="0003501E"/>
    <w:rsid w:val="00035DC1"/>
    <w:rsid w:val="00040155"/>
    <w:rsid w:val="0004315D"/>
    <w:rsid w:val="00043CE4"/>
    <w:rsid w:val="0004418B"/>
    <w:rsid w:val="000447A6"/>
    <w:rsid w:val="00045D03"/>
    <w:rsid w:val="00045F68"/>
    <w:rsid w:val="00047096"/>
    <w:rsid w:val="00047955"/>
    <w:rsid w:val="00047B34"/>
    <w:rsid w:val="0005048B"/>
    <w:rsid w:val="0005060D"/>
    <w:rsid w:val="00050B54"/>
    <w:rsid w:val="00051BAC"/>
    <w:rsid w:val="00055240"/>
    <w:rsid w:val="000561FC"/>
    <w:rsid w:val="00056D87"/>
    <w:rsid w:val="000570E6"/>
    <w:rsid w:val="00057828"/>
    <w:rsid w:val="000603B7"/>
    <w:rsid w:val="000607F7"/>
    <w:rsid w:val="000628F1"/>
    <w:rsid w:val="00062CE1"/>
    <w:rsid w:val="00065FEA"/>
    <w:rsid w:val="00066554"/>
    <w:rsid w:val="0006791F"/>
    <w:rsid w:val="00067CC7"/>
    <w:rsid w:val="0007067D"/>
    <w:rsid w:val="0007141D"/>
    <w:rsid w:val="00072711"/>
    <w:rsid w:val="00073B17"/>
    <w:rsid w:val="00074695"/>
    <w:rsid w:val="00074A70"/>
    <w:rsid w:val="00075CC8"/>
    <w:rsid w:val="00075E5D"/>
    <w:rsid w:val="000764B3"/>
    <w:rsid w:val="00076634"/>
    <w:rsid w:val="00076CD5"/>
    <w:rsid w:val="0007741D"/>
    <w:rsid w:val="000776A8"/>
    <w:rsid w:val="00077E32"/>
    <w:rsid w:val="0008103B"/>
    <w:rsid w:val="00081916"/>
    <w:rsid w:val="00081976"/>
    <w:rsid w:val="00082CA1"/>
    <w:rsid w:val="00082F4F"/>
    <w:rsid w:val="00083685"/>
    <w:rsid w:val="00083E81"/>
    <w:rsid w:val="0008667C"/>
    <w:rsid w:val="00086856"/>
    <w:rsid w:val="00087A07"/>
    <w:rsid w:val="00091078"/>
    <w:rsid w:val="00091607"/>
    <w:rsid w:val="0009303F"/>
    <w:rsid w:val="00093D2E"/>
    <w:rsid w:val="00094635"/>
    <w:rsid w:val="00094B20"/>
    <w:rsid w:val="00095218"/>
    <w:rsid w:val="00095989"/>
    <w:rsid w:val="00096499"/>
    <w:rsid w:val="00097250"/>
    <w:rsid w:val="000A00D6"/>
    <w:rsid w:val="000A0F67"/>
    <w:rsid w:val="000A15B0"/>
    <w:rsid w:val="000A2AC0"/>
    <w:rsid w:val="000A3730"/>
    <w:rsid w:val="000A388C"/>
    <w:rsid w:val="000A3F38"/>
    <w:rsid w:val="000A65B7"/>
    <w:rsid w:val="000A682F"/>
    <w:rsid w:val="000B1014"/>
    <w:rsid w:val="000B1863"/>
    <w:rsid w:val="000B18CB"/>
    <w:rsid w:val="000B2EE7"/>
    <w:rsid w:val="000B3BB3"/>
    <w:rsid w:val="000B5BC0"/>
    <w:rsid w:val="000B63B9"/>
    <w:rsid w:val="000C0D45"/>
    <w:rsid w:val="000C0FB6"/>
    <w:rsid w:val="000C1484"/>
    <w:rsid w:val="000C1ABF"/>
    <w:rsid w:val="000C1DC2"/>
    <w:rsid w:val="000C1F1E"/>
    <w:rsid w:val="000C2AA7"/>
    <w:rsid w:val="000C2FE7"/>
    <w:rsid w:val="000C3B30"/>
    <w:rsid w:val="000C3FA0"/>
    <w:rsid w:val="000C44DA"/>
    <w:rsid w:val="000C5DD7"/>
    <w:rsid w:val="000C64B7"/>
    <w:rsid w:val="000C7706"/>
    <w:rsid w:val="000D029C"/>
    <w:rsid w:val="000D0523"/>
    <w:rsid w:val="000D0F87"/>
    <w:rsid w:val="000D1CE9"/>
    <w:rsid w:val="000D2E3A"/>
    <w:rsid w:val="000D3B3B"/>
    <w:rsid w:val="000D4FA5"/>
    <w:rsid w:val="000D5D3B"/>
    <w:rsid w:val="000D6821"/>
    <w:rsid w:val="000D6875"/>
    <w:rsid w:val="000D6974"/>
    <w:rsid w:val="000D6DBC"/>
    <w:rsid w:val="000D7054"/>
    <w:rsid w:val="000E0E8E"/>
    <w:rsid w:val="000E418B"/>
    <w:rsid w:val="000E4B01"/>
    <w:rsid w:val="000E503A"/>
    <w:rsid w:val="000E507C"/>
    <w:rsid w:val="000E5470"/>
    <w:rsid w:val="000E7D72"/>
    <w:rsid w:val="000E7E9E"/>
    <w:rsid w:val="000F0719"/>
    <w:rsid w:val="000F08D2"/>
    <w:rsid w:val="000F0D8C"/>
    <w:rsid w:val="000F1039"/>
    <w:rsid w:val="000F25CA"/>
    <w:rsid w:val="000F34C0"/>
    <w:rsid w:val="000F3837"/>
    <w:rsid w:val="000F3A52"/>
    <w:rsid w:val="000F3A6F"/>
    <w:rsid w:val="000F3E0A"/>
    <w:rsid w:val="000F4EA5"/>
    <w:rsid w:val="000F58CC"/>
    <w:rsid w:val="000F6714"/>
    <w:rsid w:val="000F6CF9"/>
    <w:rsid w:val="000F72FC"/>
    <w:rsid w:val="000F7948"/>
    <w:rsid w:val="000F7F61"/>
    <w:rsid w:val="00101D56"/>
    <w:rsid w:val="001028F1"/>
    <w:rsid w:val="00102D1F"/>
    <w:rsid w:val="0010382F"/>
    <w:rsid w:val="00104456"/>
    <w:rsid w:val="00104920"/>
    <w:rsid w:val="00105F8F"/>
    <w:rsid w:val="00106779"/>
    <w:rsid w:val="001073F8"/>
    <w:rsid w:val="00112B00"/>
    <w:rsid w:val="00112C6C"/>
    <w:rsid w:val="00112EA0"/>
    <w:rsid w:val="00113422"/>
    <w:rsid w:val="001134D3"/>
    <w:rsid w:val="001141F6"/>
    <w:rsid w:val="00114C5F"/>
    <w:rsid w:val="0011523B"/>
    <w:rsid w:val="00116D4D"/>
    <w:rsid w:val="00117453"/>
    <w:rsid w:val="00117997"/>
    <w:rsid w:val="0012048D"/>
    <w:rsid w:val="00121114"/>
    <w:rsid w:val="00121195"/>
    <w:rsid w:val="001217EA"/>
    <w:rsid w:val="00122A82"/>
    <w:rsid w:val="00122FB2"/>
    <w:rsid w:val="00124366"/>
    <w:rsid w:val="001245F5"/>
    <w:rsid w:val="00125906"/>
    <w:rsid w:val="00125D6E"/>
    <w:rsid w:val="001268E3"/>
    <w:rsid w:val="00127CC1"/>
    <w:rsid w:val="00130060"/>
    <w:rsid w:val="00130F19"/>
    <w:rsid w:val="0013138E"/>
    <w:rsid w:val="00131A58"/>
    <w:rsid w:val="00132DB8"/>
    <w:rsid w:val="001340F8"/>
    <w:rsid w:val="00134E26"/>
    <w:rsid w:val="00134EA7"/>
    <w:rsid w:val="00135EE0"/>
    <w:rsid w:val="001378B3"/>
    <w:rsid w:val="00140887"/>
    <w:rsid w:val="00141E20"/>
    <w:rsid w:val="00142CF9"/>
    <w:rsid w:val="0014468A"/>
    <w:rsid w:val="00144715"/>
    <w:rsid w:val="00144992"/>
    <w:rsid w:val="00145E0E"/>
    <w:rsid w:val="00147599"/>
    <w:rsid w:val="00150363"/>
    <w:rsid w:val="00150A8E"/>
    <w:rsid w:val="00150B50"/>
    <w:rsid w:val="0015127B"/>
    <w:rsid w:val="00151984"/>
    <w:rsid w:val="001521D5"/>
    <w:rsid w:val="00153CEE"/>
    <w:rsid w:val="001547B9"/>
    <w:rsid w:val="001548C0"/>
    <w:rsid w:val="00154D92"/>
    <w:rsid w:val="00155C9A"/>
    <w:rsid w:val="001574BA"/>
    <w:rsid w:val="00157554"/>
    <w:rsid w:val="00157D3F"/>
    <w:rsid w:val="00160F2C"/>
    <w:rsid w:val="00160F8F"/>
    <w:rsid w:val="00164F65"/>
    <w:rsid w:val="001677DF"/>
    <w:rsid w:val="001677EB"/>
    <w:rsid w:val="0017063A"/>
    <w:rsid w:val="00170C72"/>
    <w:rsid w:val="00170D39"/>
    <w:rsid w:val="00171445"/>
    <w:rsid w:val="001743D0"/>
    <w:rsid w:val="00175477"/>
    <w:rsid w:val="001756DA"/>
    <w:rsid w:val="00176521"/>
    <w:rsid w:val="00176A0B"/>
    <w:rsid w:val="00177A73"/>
    <w:rsid w:val="0018033B"/>
    <w:rsid w:val="001814DA"/>
    <w:rsid w:val="001827B3"/>
    <w:rsid w:val="001828B0"/>
    <w:rsid w:val="00185DDB"/>
    <w:rsid w:val="00186712"/>
    <w:rsid w:val="001905B3"/>
    <w:rsid w:val="00190E05"/>
    <w:rsid w:val="00190E06"/>
    <w:rsid w:val="001915C1"/>
    <w:rsid w:val="00191CA8"/>
    <w:rsid w:val="001921CB"/>
    <w:rsid w:val="00192455"/>
    <w:rsid w:val="001927A7"/>
    <w:rsid w:val="001939B0"/>
    <w:rsid w:val="001A018E"/>
    <w:rsid w:val="001A1495"/>
    <w:rsid w:val="001A199A"/>
    <w:rsid w:val="001A1BAB"/>
    <w:rsid w:val="001A2786"/>
    <w:rsid w:val="001A33B0"/>
    <w:rsid w:val="001A50FC"/>
    <w:rsid w:val="001A55AF"/>
    <w:rsid w:val="001A5D8A"/>
    <w:rsid w:val="001A6179"/>
    <w:rsid w:val="001A6ABD"/>
    <w:rsid w:val="001A73CB"/>
    <w:rsid w:val="001A7BF0"/>
    <w:rsid w:val="001B17D8"/>
    <w:rsid w:val="001B19E9"/>
    <w:rsid w:val="001B2182"/>
    <w:rsid w:val="001B2202"/>
    <w:rsid w:val="001B2CB2"/>
    <w:rsid w:val="001B3193"/>
    <w:rsid w:val="001B3FA1"/>
    <w:rsid w:val="001B4B7D"/>
    <w:rsid w:val="001B4E46"/>
    <w:rsid w:val="001B73C3"/>
    <w:rsid w:val="001B7D04"/>
    <w:rsid w:val="001C0F88"/>
    <w:rsid w:val="001C17C7"/>
    <w:rsid w:val="001C1C33"/>
    <w:rsid w:val="001C227A"/>
    <w:rsid w:val="001C3835"/>
    <w:rsid w:val="001C478E"/>
    <w:rsid w:val="001C54C9"/>
    <w:rsid w:val="001C5590"/>
    <w:rsid w:val="001D0305"/>
    <w:rsid w:val="001D24EF"/>
    <w:rsid w:val="001D392F"/>
    <w:rsid w:val="001D39FD"/>
    <w:rsid w:val="001D3C61"/>
    <w:rsid w:val="001D4E8A"/>
    <w:rsid w:val="001D6967"/>
    <w:rsid w:val="001D6FD4"/>
    <w:rsid w:val="001D7495"/>
    <w:rsid w:val="001E0004"/>
    <w:rsid w:val="001E1741"/>
    <w:rsid w:val="001E1746"/>
    <w:rsid w:val="001E1A6E"/>
    <w:rsid w:val="001E28F6"/>
    <w:rsid w:val="001E38A9"/>
    <w:rsid w:val="001E3A2B"/>
    <w:rsid w:val="001E3C95"/>
    <w:rsid w:val="001E69C8"/>
    <w:rsid w:val="001F0B0D"/>
    <w:rsid w:val="001F1E57"/>
    <w:rsid w:val="001F278B"/>
    <w:rsid w:val="001F29CD"/>
    <w:rsid w:val="001F4005"/>
    <w:rsid w:val="001F40F6"/>
    <w:rsid w:val="001F4124"/>
    <w:rsid w:val="001F62EC"/>
    <w:rsid w:val="00204077"/>
    <w:rsid w:val="00204A27"/>
    <w:rsid w:val="00205724"/>
    <w:rsid w:val="00205F2B"/>
    <w:rsid w:val="00205FD8"/>
    <w:rsid w:val="00206745"/>
    <w:rsid w:val="002069EB"/>
    <w:rsid w:val="00206C4F"/>
    <w:rsid w:val="00210356"/>
    <w:rsid w:val="00210E34"/>
    <w:rsid w:val="00211479"/>
    <w:rsid w:val="00212E18"/>
    <w:rsid w:val="00213733"/>
    <w:rsid w:val="00213851"/>
    <w:rsid w:val="00214ABB"/>
    <w:rsid w:val="002151C4"/>
    <w:rsid w:val="0021527A"/>
    <w:rsid w:val="00215582"/>
    <w:rsid w:val="002166E0"/>
    <w:rsid w:val="00216940"/>
    <w:rsid w:val="00217665"/>
    <w:rsid w:val="00217896"/>
    <w:rsid w:val="00217F23"/>
    <w:rsid w:val="00220646"/>
    <w:rsid w:val="00221368"/>
    <w:rsid w:val="00222136"/>
    <w:rsid w:val="00223620"/>
    <w:rsid w:val="00223A33"/>
    <w:rsid w:val="00224C79"/>
    <w:rsid w:val="002259DE"/>
    <w:rsid w:val="00225E2F"/>
    <w:rsid w:val="002265C1"/>
    <w:rsid w:val="002265DF"/>
    <w:rsid w:val="002269AE"/>
    <w:rsid w:val="00226AF0"/>
    <w:rsid w:val="0022766F"/>
    <w:rsid w:val="00227EB1"/>
    <w:rsid w:val="00230D5D"/>
    <w:rsid w:val="0023145E"/>
    <w:rsid w:val="002318C9"/>
    <w:rsid w:val="00231961"/>
    <w:rsid w:val="00231D01"/>
    <w:rsid w:val="002321B8"/>
    <w:rsid w:val="002326D2"/>
    <w:rsid w:val="002328BA"/>
    <w:rsid w:val="00232B39"/>
    <w:rsid w:val="00232D00"/>
    <w:rsid w:val="00233124"/>
    <w:rsid w:val="0023397C"/>
    <w:rsid w:val="00233D00"/>
    <w:rsid w:val="00233DE8"/>
    <w:rsid w:val="00234B2D"/>
    <w:rsid w:val="00235253"/>
    <w:rsid w:val="00235412"/>
    <w:rsid w:val="00240C62"/>
    <w:rsid w:val="002412B8"/>
    <w:rsid w:val="002417CD"/>
    <w:rsid w:val="00241D94"/>
    <w:rsid w:val="002429B4"/>
    <w:rsid w:val="00242AC5"/>
    <w:rsid w:val="00243A08"/>
    <w:rsid w:val="002450CA"/>
    <w:rsid w:val="00245390"/>
    <w:rsid w:val="00246A39"/>
    <w:rsid w:val="002476C4"/>
    <w:rsid w:val="00250710"/>
    <w:rsid w:val="0025096C"/>
    <w:rsid w:val="002511C6"/>
    <w:rsid w:val="002529FB"/>
    <w:rsid w:val="002536BD"/>
    <w:rsid w:val="00254C36"/>
    <w:rsid w:val="00255568"/>
    <w:rsid w:val="002560A4"/>
    <w:rsid w:val="002574CE"/>
    <w:rsid w:val="00260925"/>
    <w:rsid w:val="00260DFE"/>
    <w:rsid w:val="00261604"/>
    <w:rsid w:val="002627B4"/>
    <w:rsid w:val="00264390"/>
    <w:rsid w:val="002649AD"/>
    <w:rsid w:val="00264A62"/>
    <w:rsid w:val="00266C8A"/>
    <w:rsid w:val="00266DCD"/>
    <w:rsid w:val="00266F78"/>
    <w:rsid w:val="00267702"/>
    <w:rsid w:val="00267EB3"/>
    <w:rsid w:val="002702AC"/>
    <w:rsid w:val="00270D09"/>
    <w:rsid w:val="002710E9"/>
    <w:rsid w:val="00271A82"/>
    <w:rsid w:val="00271F16"/>
    <w:rsid w:val="0027201C"/>
    <w:rsid w:val="002727BD"/>
    <w:rsid w:val="002732B3"/>
    <w:rsid w:val="00274AAE"/>
    <w:rsid w:val="00274CB0"/>
    <w:rsid w:val="00274D71"/>
    <w:rsid w:val="00275DDE"/>
    <w:rsid w:val="002761F0"/>
    <w:rsid w:val="00277845"/>
    <w:rsid w:val="002800C9"/>
    <w:rsid w:val="0028071A"/>
    <w:rsid w:val="0028186B"/>
    <w:rsid w:val="0028190C"/>
    <w:rsid w:val="00281F53"/>
    <w:rsid w:val="002841CF"/>
    <w:rsid w:val="0028589A"/>
    <w:rsid w:val="00285D00"/>
    <w:rsid w:val="00286C9C"/>
    <w:rsid w:val="00286F22"/>
    <w:rsid w:val="002875C7"/>
    <w:rsid w:val="002879E0"/>
    <w:rsid w:val="00287D4A"/>
    <w:rsid w:val="00290AAA"/>
    <w:rsid w:val="00290ABC"/>
    <w:rsid w:val="00290C9E"/>
    <w:rsid w:val="002915D5"/>
    <w:rsid w:val="00291BDA"/>
    <w:rsid w:val="0029330E"/>
    <w:rsid w:val="002944B5"/>
    <w:rsid w:val="002947F4"/>
    <w:rsid w:val="00295018"/>
    <w:rsid w:val="00296984"/>
    <w:rsid w:val="00297167"/>
    <w:rsid w:val="00297220"/>
    <w:rsid w:val="002A0EF8"/>
    <w:rsid w:val="002A2335"/>
    <w:rsid w:val="002A24D4"/>
    <w:rsid w:val="002A2898"/>
    <w:rsid w:val="002A2FB7"/>
    <w:rsid w:val="002A3265"/>
    <w:rsid w:val="002A3437"/>
    <w:rsid w:val="002A36E4"/>
    <w:rsid w:val="002A454C"/>
    <w:rsid w:val="002A48C1"/>
    <w:rsid w:val="002A5260"/>
    <w:rsid w:val="002A5C61"/>
    <w:rsid w:val="002A6ECF"/>
    <w:rsid w:val="002A7761"/>
    <w:rsid w:val="002A7A0F"/>
    <w:rsid w:val="002B12FE"/>
    <w:rsid w:val="002B444D"/>
    <w:rsid w:val="002B4B49"/>
    <w:rsid w:val="002B5817"/>
    <w:rsid w:val="002B6967"/>
    <w:rsid w:val="002B6E2C"/>
    <w:rsid w:val="002B771F"/>
    <w:rsid w:val="002B7A1C"/>
    <w:rsid w:val="002B7E6F"/>
    <w:rsid w:val="002C03FB"/>
    <w:rsid w:val="002C0455"/>
    <w:rsid w:val="002C1F4B"/>
    <w:rsid w:val="002C26E8"/>
    <w:rsid w:val="002C3206"/>
    <w:rsid w:val="002C3D46"/>
    <w:rsid w:val="002C4FD1"/>
    <w:rsid w:val="002C52DA"/>
    <w:rsid w:val="002C54B3"/>
    <w:rsid w:val="002C75E9"/>
    <w:rsid w:val="002C7A97"/>
    <w:rsid w:val="002D03AD"/>
    <w:rsid w:val="002D0C1A"/>
    <w:rsid w:val="002D1063"/>
    <w:rsid w:val="002D1222"/>
    <w:rsid w:val="002D16C0"/>
    <w:rsid w:val="002D23F2"/>
    <w:rsid w:val="002D23FA"/>
    <w:rsid w:val="002D3A03"/>
    <w:rsid w:val="002D41A3"/>
    <w:rsid w:val="002D4523"/>
    <w:rsid w:val="002D5902"/>
    <w:rsid w:val="002D5E98"/>
    <w:rsid w:val="002D67CF"/>
    <w:rsid w:val="002D6E16"/>
    <w:rsid w:val="002E0202"/>
    <w:rsid w:val="002E0A9A"/>
    <w:rsid w:val="002E170C"/>
    <w:rsid w:val="002E29E6"/>
    <w:rsid w:val="002E2C03"/>
    <w:rsid w:val="002E33F0"/>
    <w:rsid w:val="002E4337"/>
    <w:rsid w:val="002E4C2E"/>
    <w:rsid w:val="002E55FE"/>
    <w:rsid w:val="002E598A"/>
    <w:rsid w:val="002F0F92"/>
    <w:rsid w:val="002F3C74"/>
    <w:rsid w:val="002F53F9"/>
    <w:rsid w:val="002F5B61"/>
    <w:rsid w:val="002F65E3"/>
    <w:rsid w:val="002F6602"/>
    <w:rsid w:val="002F6A3F"/>
    <w:rsid w:val="002F77AE"/>
    <w:rsid w:val="002F7C1C"/>
    <w:rsid w:val="002F7DC4"/>
    <w:rsid w:val="00300814"/>
    <w:rsid w:val="00301A18"/>
    <w:rsid w:val="00302B0F"/>
    <w:rsid w:val="00302C2D"/>
    <w:rsid w:val="0030380C"/>
    <w:rsid w:val="00303889"/>
    <w:rsid w:val="00304263"/>
    <w:rsid w:val="00304962"/>
    <w:rsid w:val="00305197"/>
    <w:rsid w:val="00305AFC"/>
    <w:rsid w:val="00305BD5"/>
    <w:rsid w:val="00305C1B"/>
    <w:rsid w:val="00305DA2"/>
    <w:rsid w:val="003122E6"/>
    <w:rsid w:val="00313CB8"/>
    <w:rsid w:val="00314BCB"/>
    <w:rsid w:val="00315ADE"/>
    <w:rsid w:val="00315F1F"/>
    <w:rsid w:val="0031716B"/>
    <w:rsid w:val="0031745F"/>
    <w:rsid w:val="00317F12"/>
    <w:rsid w:val="00317F4D"/>
    <w:rsid w:val="00320D46"/>
    <w:rsid w:val="003214E4"/>
    <w:rsid w:val="00321ADE"/>
    <w:rsid w:val="00322671"/>
    <w:rsid w:val="003228AC"/>
    <w:rsid w:val="003235F3"/>
    <w:rsid w:val="003237FB"/>
    <w:rsid w:val="00323982"/>
    <w:rsid w:val="003239EE"/>
    <w:rsid w:val="00323C87"/>
    <w:rsid w:val="00325888"/>
    <w:rsid w:val="00325916"/>
    <w:rsid w:val="003277A9"/>
    <w:rsid w:val="00327E68"/>
    <w:rsid w:val="0033033E"/>
    <w:rsid w:val="003305EB"/>
    <w:rsid w:val="003321A9"/>
    <w:rsid w:val="003325A1"/>
    <w:rsid w:val="00334DC0"/>
    <w:rsid w:val="00335624"/>
    <w:rsid w:val="003360F9"/>
    <w:rsid w:val="00336138"/>
    <w:rsid w:val="00336834"/>
    <w:rsid w:val="003368B9"/>
    <w:rsid w:val="00337016"/>
    <w:rsid w:val="00340489"/>
    <w:rsid w:val="00342FAE"/>
    <w:rsid w:val="00344041"/>
    <w:rsid w:val="0034470D"/>
    <w:rsid w:val="00344D27"/>
    <w:rsid w:val="00345217"/>
    <w:rsid w:val="0034566B"/>
    <w:rsid w:val="00350934"/>
    <w:rsid w:val="003509BC"/>
    <w:rsid w:val="00350A52"/>
    <w:rsid w:val="00351663"/>
    <w:rsid w:val="00352893"/>
    <w:rsid w:val="00353206"/>
    <w:rsid w:val="003543CA"/>
    <w:rsid w:val="00355884"/>
    <w:rsid w:val="00355D8C"/>
    <w:rsid w:val="00357180"/>
    <w:rsid w:val="00357CB7"/>
    <w:rsid w:val="00360489"/>
    <w:rsid w:val="00360B2A"/>
    <w:rsid w:val="00362AD6"/>
    <w:rsid w:val="00363ABD"/>
    <w:rsid w:val="003641E1"/>
    <w:rsid w:val="00366E11"/>
    <w:rsid w:val="003672D1"/>
    <w:rsid w:val="003673EC"/>
    <w:rsid w:val="00367563"/>
    <w:rsid w:val="003700AC"/>
    <w:rsid w:val="003717F9"/>
    <w:rsid w:val="00371E2B"/>
    <w:rsid w:val="00377FF2"/>
    <w:rsid w:val="00381103"/>
    <w:rsid w:val="003818B3"/>
    <w:rsid w:val="003827BE"/>
    <w:rsid w:val="00382979"/>
    <w:rsid w:val="003837ED"/>
    <w:rsid w:val="00383A1A"/>
    <w:rsid w:val="00384D4B"/>
    <w:rsid w:val="00384EAD"/>
    <w:rsid w:val="00385E60"/>
    <w:rsid w:val="003879C6"/>
    <w:rsid w:val="00391E6C"/>
    <w:rsid w:val="00392C7D"/>
    <w:rsid w:val="00392EF0"/>
    <w:rsid w:val="003937B9"/>
    <w:rsid w:val="00393FB5"/>
    <w:rsid w:val="00395DA2"/>
    <w:rsid w:val="00395DD6"/>
    <w:rsid w:val="0039660A"/>
    <w:rsid w:val="00396CD1"/>
    <w:rsid w:val="003972C7"/>
    <w:rsid w:val="003976A9"/>
    <w:rsid w:val="003A001E"/>
    <w:rsid w:val="003A1377"/>
    <w:rsid w:val="003A1422"/>
    <w:rsid w:val="003A1D99"/>
    <w:rsid w:val="003A3184"/>
    <w:rsid w:val="003A51BF"/>
    <w:rsid w:val="003A5213"/>
    <w:rsid w:val="003A5EE7"/>
    <w:rsid w:val="003A7606"/>
    <w:rsid w:val="003A7B38"/>
    <w:rsid w:val="003A7C4E"/>
    <w:rsid w:val="003B05A4"/>
    <w:rsid w:val="003B05D4"/>
    <w:rsid w:val="003B1EA9"/>
    <w:rsid w:val="003B68CD"/>
    <w:rsid w:val="003B740A"/>
    <w:rsid w:val="003B7E2F"/>
    <w:rsid w:val="003C0969"/>
    <w:rsid w:val="003C0C7F"/>
    <w:rsid w:val="003C0CBE"/>
    <w:rsid w:val="003C1010"/>
    <w:rsid w:val="003C1795"/>
    <w:rsid w:val="003C37EE"/>
    <w:rsid w:val="003C392A"/>
    <w:rsid w:val="003C3A58"/>
    <w:rsid w:val="003C53B6"/>
    <w:rsid w:val="003C643E"/>
    <w:rsid w:val="003C64D6"/>
    <w:rsid w:val="003C65AE"/>
    <w:rsid w:val="003C6AC6"/>
    <w:rsid w:val="003C7563"/>
    <w:rsid w:val="003C798B"/>
    <w:rsid w:val="003D048D"/>
    <w:rsid w:val="003D0531"/>
    <w:rsid w:val="003D2E99"/>
    <w:rsid w:val="003D399C"/>
    <w:rsid w:val="003D3DD8"/>
    <w:rsid w:val="003D43DD"/>
    <w:rsid w:val="003D44A4"/>
    <w:rsid w:val="003D4DC0"/>
    <w:rsid w:val="003D59D6"/>
    <w:rsid w:val="003E0182"/>
    <w:rsid w:val="003E104C"/>
    <w:rsid w:val="003E1081"/>
    <w:rsid w:val="003E1711"/>
    <w:rsid w:val="003E2263"/>
    <w:rsid w:val="003E2702"/>
    <w:rsid w:val="003E2B9B"/>
    <w:rsid w:val="003E37E8"/>
    <w:rsid w:val="003E4642"/>
    <w:rsid w:val="003E4E80"/>
    <w:rsid w:val="003E6DF5"/>
    <w:rsid w:val="003E7EAF"/>
    <w:rsid w:val="003F03D9"/>
    <w:rsid w:val="003F12FC"/>
    <w:rsid w:val="003F3BFB"/>
    <w:rsid w:val="003F44FB"/>
    <w:rsid w:val="003F4D89"/>
    <w:rsid w:val="003F7323"/>
    <w:rsid w:val="0040067F"/>
    <w:rsid w:val="00400FFB"/>
    <w:rsid w:val="0040118B"/>
    <w:rsid w:val="00402A8F"/>
    <w:rsid w:val="00402F1D"/>
    <w:rsid w:val="00403102"/>
    <w:rsid w:val="004035D9"/>
    <w:rsid w:val="00404106"/>
    <w:rsid w:val="00404A93"/>
    <w:rsid w:val="004053BF"/>
    <w:rsid w:val="004055FC"/>
    <w:rsid w:val="00405E05"/>
    <w:rsid w:val="0040628F"/>
    <w:rsid w:val="0040660C"/>
    <w:rsid w:val="00406BD9"/>
    <w:rsid w:val="0040754D"/>
    <w:rsid w:val="004075CE"/>
    <w:rsid w:val="004079D0"/>
    <w:rsid w:val="00407FD8"/>
    <w:rsid w:val="00410345"/>
    <w:rsid w:val="00410C9D"/>
    <w:rsid w:val="00411E1C"/>
    <w:rsid w:val="004129D9"/>
    <w:rsid w:val="004136CA"/>
    <w:rsid w:val="00413AFF"/>
    <w:rsid w:val="004144CF"/>
    <w:rsid w:val="0041478D"/>
    <w:rsid w:val="00415BC0"/>
    <w:rsid w:val="00415D32"/>
    <w:rsid w:val="00416738"/>
    <w:rsid w:val="00417665"/>
    <w:rsid w:val="00417C57"/>
    <w:rsid w:val="00417F89"/>
    <w:rsid w:val="00420924"/>
    <w:rsid w:val="0042134B"/>
    <w:rsid w:val="00421952"/>
    <w:rsid w:val="00421C6B"/>
    <w:rsid w:val="00422742"/>
    <w:rsid w:val="0042378B"/>
    <w:rsid w:val="00423D26"/>
    <w:rsid w:val="00424915"/>
    <w:rsid w:val="004268F4"/>
    <w:rsid w:val="00430347"/>
    <w:rsid w:val="004304A1"/>
    <w:rsid w:val="00430776"/>
    <w:rsid w:val="0043130A"/>
    <w:rsid w:val="00431575"/>
    <w:rsid w:val="00431707"/>
    <w:rsid w:val="004332FF"/>
    <w:rsid w:val="004336D6"/>
    <w:rsid w:val="004346BB"/>
    <w:rsid w:val="0043653B"/>
    <w:rsid w:val="0043663D"/>
    <w:rsid w:val="004402B9"/>
    <w:rsid w:val="00440A70"/>
    <w:rsid w:val="00440FA6"/>
    <w:rsid w:val="004411AA"/>
    <w:rsid w:val="00442FB6"/>
    <w:rsid w:val="004435B1"/>
    <w:rsid w:val="00443840"/>
    <w:rsid w:val="004442F0"/>
    <w:rsid w:val="00445018"/>
    <w:rsid w:val="00445B85"/>
    <w:rsid w:val="00446168"/>
    <w:rsid w:val="00446BF5"/>
    <w:rsid w:val="00447116"/>
    <w:rsid w:val="00447B29"/>
    <w:rsid w:val="004503DF"/>
    <w:rsid w:val="00451052"/>
    <w:rsid w:val="00451520"/>
    <w:rsid w:val="004515D9"/>
    <w:rsid w:val="00451AD7"/>
    <w:rsid w:val="004520CF"/>
    <w:rsid w:val="00455E2B"/>
    <w:rsid w:val="00456A43"/>
    <w:rsid w:val="0046049D"/>
    <w:rsid w:val="0046063E"/>
    <w:rsid w:val="00460D3F"/>
    <w:rsid w:val="00460E15"/>
    <w:rsid w:val="004614E5"/>
    <w:rsid w:val="004616E6"/>
    <w:rsid w:val="00461A0C"/>
    <w:rsid w:val="00461D9A"/>
    <w:rsid w:val="00462097"/>
    <w:rsid w:val="004630E4"/>
    <w:rsid w:val="00464023"/>
    <w:rsid w:val="00464439"/>
    <w:rsid w:val="00464ABA"/>
    <w:rsid w:val="00465CDC"/>
    <w:rsid w:val="0046733C"/>
    <w:rsid w:val="0047074A"/>
    <w:rsid w:val="00470B27"/>
    <w:rsid w:val="004725AF"/>
    <w:rsid w:val="00472929"/>
    <w:rsid w:val="00472990"/>
    <w:rsid w:val="00472AA5"/>
    <w:rsid w:val="00472D92"/>
    <w:rsid w:val="00473AB0"/>
    <w:rsid w:val="0047488C"/>
    <w:rsid w:val="00475F21"/>
    <w:rsid w:val="00476838"/>
    <w:rsid w:val="00477631"/>
    <w:rsid w:val="00477954"/>
    <w:rsid w:val="00477F26"/>
    <w:rsid w:val="0048301A"/>
    <w:rsid w:val="00483439"/>
    <w:rsid w:val="00483587"/>
    <w:rsid w:val="00484FCF"/>
    <w:rsid w:val="004857FB"/>
    <w:rsid w:val="0048655E"/>
    <w:rsid w:val="0048721E"/>
    <w:rsid w:val="0049106E"/>
    <w:rsid w:val="00491316"/>
    <w:rsid w:val="0049176A"/>
    <w:rsid w:val="00491AA0"/>
    <w:rsid w:val="00491FBC"/>
    <w:rsid w:val="004922B7"/>
    <w:rsid w:val="00492EEF"/>
    <w:rsid w:val="004933F2"/>
    <w:rsid w:val="00493563"/>
    <w:rsid w:val="00495280"/>
    <w:rsid w:val="00497921"/>
    <w:rsid w:val="00497C39"/>
    <w:rsid w:val="00497E30"/>
    <w:rsid w:val="004A1AD4"/>
    <w:rsid w:val="004A1F81"/>
    <w:rsid w:val="004A20B3"/>
    <w:rsid w:val="004A2756"/>
    <w:rsid w:val="004A2D1A"/>
    <w:rsid w:val="004A2D89"/>
    <w:rsid w:val="004A44AE"/>
    <w:rsid w:val="004A47CB"/>
    <w:rsid w:val="004A4B84"/>
    <w:rsid w:val="004A53D0"/>
    <w:rsid w:val="004A5562"/>
    <w:rsid w:val="004A5599"/>
    <w:rsid w:val="004A5BC0"/>
    <w:rsid w:val="004A5EE5"/>
    <w:rsid w:val="004A603A"/>
    <w:rsid w:val="004A74C8"/>
    <w:rsid w:val="004B05C9"/>
    <w:rsid w:val="004B0D8A"/>
    <w:rsid w:val="004B1373"/>
    <w:rsid w:val="004B1C9D"/>
    <w:rsid w:val="004B232E"/>
    <w:rsid w:val="004B33C6"/>
    <w:rsid w:val="004B33D7"/>
    <w:rsid w:val="004B42A8"/>
    <w:rsid w:val="004B48B7"/>
    <w:rsid w:val="004B4D7C"/>
    <w:rsid w:val="004B597F"/>
    <w:rsid w:val="004B5AB0"/>
    <w:rsid w:val="004B61ED"/>
    <w:rsid w:val="004B7BAE"/>
    <w:rsid w:val="004C1F52"/>
    <w:rsid w:val="004C2F38"/>
    <w:rsid w:val="004C38E2"/>
    <w:rsid w:val="004C4843"/>
    <w:rsid w:val="004C5960"/>
    <w:rsid w:val="004C63B3"/>
    <w:rsid w:val="004C7B28"/>
    <w:rsid w:val="004D03D4"/>
    <w:rsid w:val="004D091B"/>
    <w:rsid w:val="004D09CE"/>
    <w:rsid w:val="004D1014"/>
    <w:rsid w:val="004D1659"/>
    <w:rsid w:val="004D1CEA"/>
    <w:rsid w:val="004D2A6B"/>
    <w:rsid w:val="004D2DD0"/>
    <w:rsid w:val="004D36C8"/>
    <w:rsid w:val="004D4EB2"/>
    <w:rsid w:val="004D58BC"/>
    <w:rsid w:val="004D7634"/>
    <w:rsid w:val="004D76F1"/>
    <w:rsid w:val="004D79B7"/>
    <w:rsid w:val="004D7ED5"/>
    <w:rsid w:val="004E08E7"/>
    <w:rsid w:val="004E0FC5"/>
    <w:rsid w:val="004E31F0"/>
    <w:rsid w:val="004E3BF8"/>
    <w:rsid w:val="004E4AA7"/>
    <w:rsid w:val="004E4F63"/>
    <w:rsid w:val="004E708F"/>
    <w:rsid w:val="004E720F"/>
    <w:rsid w:val="004F041D"/>
    <w:rsid w:val="004F0AF8"/>
    <w:rsid w:val="004F11D6"/>
    <w:rsid w:val="004F14E1"/>
    <w:rsid w:val="004F2232"/>
    <w:rsid w:val="004F3354"/>
    <w:rsid w:val="004F3F67"/>
    <w:rsid w:val="004F43F3"/>
    <w:rsid w:val="004F4B52"/>
    <w:rsid w:val="004F50DC"/>
    <w:rsid w:val="005000A1"/>
    <w:rsid w:val="00502192"/>
    <w:rsid w:val="005021FA"/>
    <w:rsid w:val="005022F8"/>
    <w:rsid w:val="00502911"/>
    <w:rsid w:val="00502B48"/>
    <w:rsid w:val="00503834"/>
    <w:rsid w:val="00504AA1"/>
    <w:rsid w:val="00504AE6"/>
    <w:rsid w:val="005051C1"/>
    <w:rsid w:val="0050631E"/>
    <w:rsid w:val="00506B64"/>
    <w:rsid w:val="0050713C"/>
    <w:rsid w:val="00507DAC"/>
    <w:rsid w:val="0051017D"/>
    <w:rsid w:val="005102B4"/>
    <w:rsid w:val="00510355"/>
    <w:rsid w:val="00510BFF"/>
    <w:rsid w:val="0051219B"/>
    <w:rsid w:val="0051278A"/>
    <w:rsid w:val="005127E2"/>
    <w:rsid w:val="00512CD3"/>
    <w:rsid w:val="005132B5"/>
    <w:rsid w:val="005144A2"/>
    <w:rsid w:val="005147EE"/>
    <w:rsid w:val="00515281"/>
    <w:rsid w:val="00515AE9"/>
    <w:rsid w:val="00515CC4"/>
    <w:rsid w:val="00516542"/>
    <w:rsid w:val="005168FE"/>
    <w:rsid w:val="0051733E"/>
    <w:rsid w:val="0051791E"/>
    <w:rsid w:val="0052075A"/>
    <w:rsid w:val="00520AEA"/>
    <w:rsid w:val="00521230"/>
    <w:rsid w:val="00521BCF"/>
    <w:rsid w:val="00525A02"/>
    <w:rsid w:val="00525E55"/>
    <w:rsid w:val="005263B7"/>
    <w:rsid w:val="00526CEF"/>
    <w:rsid w:val="00531933"/>
    <w:rsid w:val="005321AA"/>
    <w:rsid w:val="00533D9F"/>
    <w:rsid w:val="00535966"/>
    <w:rsid w:val="0053642C"/>
    <w:rsid w:val="00536EEC"/>
    <w:rsid w:val="00537A8D"/>
    <w:rsid w:val="00540933"/>
    <w:rsid w:val="00541232"/>
    <w:rsid w:val="0054277F"/>
    <w:rsid w:val="0054441E"/>
    <w:rsid w:val="00544853"/>
    <w:rsid w:val="00545297"/>
    <w:rsid w:val="00546CBB"/>
    <w:rsid w:val="00547EF8"/>
    <w:rsid w:val="0055000E"/>
    <w:rsid w:val="00550F4D"/>
    <w:rsid w:val="005510D9"/>
    <w:rsid w:val="0055137F"/>
    <w:rsid w:val="0055161A"/>
    <w:rsid w:val="0055253A"/>
    <w:rsid w:val="00552B15"/>
    <w:rsid w:val="00553BBD"/>
    <w:rsid w:val="00553E70"/>
    <w:rsid w:val="005546B9"/>
    <w:rsid w:val="00554A3D"/>
    <w:rsid w:val="00554CCB"/>
    <w:rsid w:val="005557BF"/>
    <w:rsid w:val="00555C2A"/>
    <w:rsid w:val="00556548"/>
    <w:rsid w:val="00556657"/>
    <w:rsid w:val="0055676A"/>
    <w:rsid w:val="00557B5A"/>
    <w:rsid w:val="005604F6"/>
    <w:rsid w:val="00561613"/>
    <w:rsid w:val="00562348"/>
    <w:rsid w:val="005630BC"/>
    <w:rsid w:val="00564B3F"/>
    <w:rsid w:val="0056727E"/>
    <w:rsid w:val="005707AE"/>
    <w:rsid w:val="00570AFE"/>
    <w:rsid w:val="0057286F"/>
    <w:rsid w:val="00572A59"/>
    <w:rsid w:val="00574689"/>
    <w:rsid w:val="00575643"/>
    <w:rsid w:val="005770FC"/>
    <w:rsid w:val="0058010D"/>
    <w:rsid w:val="005804E5"/>
    <w:rsid w:val="00580E2A"/>
    <w:rsid w:val="00581101"/>
    <w:rsid w:val="0058158C"/>
    <w:rsid w:val="005821E4"/>
    <w:rsid w:val="00582491"/>
    <w:rsid w:val="005833D3"/>
    <w:rsid w:val="00583BD7"/>
    <w:rsid w:val="00585019"/>
    <w:rsid w:val="005858D9"/>
    <w:rsid w:val="00585EAA"/>
    <w:rsid w:val="005914A7"/>
    <w:rsid w:val="0059233C"/>
    <w:rsid w:val="00593268"/>
    <w:rsid w:val="00593502"/>
    <w:rsid w:val="00593812"/>
    <w:rsid w:val="00594CB4"/>
    <w:rsid w:val="005957B7"/>
    <w:rsid w:val="005959FE"/>
    <w:rsid w:val="00595A4B"/>
    <w:rsid w:val="005963F5"/>
    <w:rsid w:val="005969F1"/>
    <w:rsid w:val="00596A6D"/>
    <w:rsid w:val="005970FB"/>
    <w:rsid w:val="005972CB"/>
    <w:rsid w:val="00597716"/>
    <w:rsid w:val="005A0391"/>
    <w:rsid w:val="005A05DC"/>
    <w:rsid w:val="005A1490"/>
    <w:rsid w:val="005A31C8"/>
    <w:rsid w:val="005A505C"/>
    <w:rsid w:val="005A50BF"/>
    <w:rsid w:val="005A6DDB"/>
    <w:rsid w:val="005A7C30"/>
    <w:rsid w:val="005B0388"/>
    <w:rsid w:val="005B0811"/>
    <w:rsid w:val="005B1824"/>
    <w:rsid w:val="005B193A"/>
    <w:rsid w:val="005B1A7F"/>
    <w:rsid w:val="005B20DB"/>
    <w:rsid w:val="005B2822"/>
    <w:rsid w:val="005B31C9"/>
    <w:rsid w:val="005B36F6"/>
    <w:rsid w:val="005B3BCA"/>
    <w:rsid w:val="005B4347"/>
    <w:rsid w:val="005B4DBF"/>
    <w:rsid w:val="005B58EE"/>
    <w:rsid w:val="005B62AA"/>
    <w:rsid w:val="005B7820"/>
    <w:rsid w:val="005B79B0"/>
    <w:rsid w:val="005C03D9"/>
    <w:rsid w:val="005C0D8A"/>
    <w:rsid w:val="005C2549"/>
    <w:rsid w:val="005C2571"/>
    <w:rsid w:val="005C2CF3"/>
    <w:rsid w:val="005C3343"/>
    <w:rsid w:val="005C3911"/>
    <w:rsid w:val="005C3EA0"/>
    <w:rsid w:val="005C4036"/>
    <w:rsid w:val="005C4E5B"/>
    <w:rsid w:val="005C6483"/>
    <w:rsid w:val="005D0205"/>
    <w:rsid w:val="005D0FC3"/>
    <w:rsid w:val="005D1E3F"/>
    <w:rsid w:val="005D2083"/>
    <w:rsid w:val="005D2DA3"/>
    <w:rsid w:val="005D3736"/>
    <w:rsid w:val="005D3C3E"/>
    <w:rsid w:val="005D4280"/>
    <w:rsid w:val="005D45DA"/>
    <w:rsid w:val="005D4F7C"/>
    <w:rsid w:val="005D529B"/>
    <w:rsid w:val="005D58A5"/>
    <w:rsid w:val="005D5BF3"/>
    <w:rsid w:val="005D5DDB"/>
    <w:rsid w:val="005D7A28"/>
    <w:rsid w:val="005E0593"/>
    <w:rsid w:val="005E34AA"/>
    <w:rsid w:val="005E3D7D"/>
    <w:rsid w:val="005E554A"/>
    <w:rsid w:val="005E5F02"/>
    <w:rsid w:val="005E625D"/>
    <w:rsid w:val="005E69FB"/>
    <w:rsid w:val="005E7398"/>
    <w:rsid w:val="005F07E4"/>
    <w:rsid w:val="005F07F7"/>
    <w:rsid w:val="005F280B"/>
    <w:rsid w:val="005F351F"/>
    <w:rsid w:val="005F477D"/>
    <w:rsid w:val="005F5D10"/>
    <w:rsid w:val="005F5F4A"/>
    <w:rsid w:val="005F6468"/>
    <w:rsid w:val="005F7251"/>
    <w:rsid w:val="005F759E"/>
    <w:rsid w:val="00600D07"/>
    <w:rsid w:val="0060154E"/>
    <w:rsid w:val="00601852"/>
    <w:rsid w:val="00603CEF"/>
    <w:rsid w:val="0060530D"/>
    <w:rsid w:val="0060535C"/>
    <w:rsid w:val="00605D2A"/>
    <w:rsid w:val="0060663F"/>
    <w:rsid w:val="00606728"/>
    <w:rsid w:val="00607B32"/>
    <w:rsid w:val="006110DB"/>
    <w:rsid w:val="00611255"/>
    <w:rsid w:val="006113E8"/>
    <w:rsid w:val="006116D1"/>
    <w:rsid w:val="00611990"/>
    <w:rsid w:val="00611A1D"/>
    <w:rsid w:val="006130CA"/>
    <w:rsid w:val="006141C8"/>
    <w:rsid w:val="00615527"/>
    <w:rsid w:val="006206E1"/>
    <w:rsid w:val="00620A5C"/>
    <w:rsid w:val="00620C71"/>
    <w:rsid w:val="00621C37"/>
    <w:rsid w:val="0062209B"/>
    <w:rsid w:val="0062243C"/>
    <w:rsid w:val="00622AD0"/>
    <w:rsid w:val="00622B25"/>
    <w:rsid w:val="00622BCB"/>
    <w:rsid w:val="00622ED4"/>
    <w:rsid w:val="006238D9"/>
    <w:rsid w:val="0062492A"/>
    <w:rsid w:val="006254FA"/>
    <w:rsid w:val="00626084"/>
    <w:rsid w:val="00626EDC"/>
    <w:rsid w:val="006272F9"/>
    <w:rsid w:val="00627D28"/>
    <w:rsid w:val="00630362"/>
    <w:rsid w:val="00630A99"/>
    <w:rsid w:val="006311C1"/>
    <w:rsid w:val="00631FA2"/>
    <w:rsid w:val="00632A03"/>
    <w:rsid w:val="00632E59"/>
    <w:rsid w:val="00633E1F"/>
    <w:rsid w:val="00633FF7"/>
    <w:rsid w:val="00634092"/>
    <w:rsid w:val="00634AD5"/>
    <w:rsid w:val="00634EDB"/>
    <w:rsid w:val="00635BEF"/>
    <w:rsid w:val="006377E9"/>
    <w:rsid w:val="00637F61"/>
    <w:rsid w:val="00643792"/>
    <w:rsid w:val="0064409E"/>
    <w:rsid w:val="006444AB"/>
    <w:rsid w:val="006444EF"/>
    <w:rsid w:val="006448F9"/>
    <w:rsid w:val="00644B09"/>
    <w:rsid w:val="00644B29"/>
    <w:rsid w:val="0064534B"/>
    <w:rsid w:val="00646825"/>
    <w:rsid w:val="006469B1"/>
    <w:rsid w:val="00650FD2"/>
    <w:rsid w:val="00651527"/>
    <w:rsid w:val="00651AD4"/>
    <w:rsid w:val="00651DD6"/>
    <w:rsid w:val="00651FF4"/>
    <w:rsid w:val="00652340"/>
    <w:rsid w:val="006537FD"/>
    <w:rsid w:val="00654212"/>
    <w:rsid w:val="00655287"/>
    <w:rsid w:val="006558A2"/>
    <w:rsid w:val="00655F8E"/>
    <w:rsid w:val="00656346"/>
    <w:rsid w:val="00656747"/>
    <w:rsid w:val="00656CEE"/>
    <w:rsid w:val="006600C4"/>
    <w:rsid w:val="006604C7"/>
    <w:rsid w:val="00661115"/>
    <w:rsid w:val="0066373D"/>
    <w:rsid w:val="0066378C"/>
    <w:rsid w:val="00663C01"/>
    <w:rsid w:val="006645BA"/>
    <w:rsid w:val="006720CF"/>
    <w:rsid w:val="00673506"/>
    <w:rsid w:val="00674A60"/>
    <w:rsid w:val="00675064"/>
    <w:rsid w:val="00675FE4"/>
    <w:rsid w:val="00680394"/>
    <w:rsid w:val="006813F0"/>
    <w:rsid w:val="00682113"/>
    <w:rsid w:val="00682C42"/>
    <w:rsid w:val="00684B25"/>
    <w:rsid w:val="00684E27"/>
    <w:rsid w:val="0068666D"/>
    <w:rsid w:val="00686C43"/>
    <w:rsid w:val="006903A3"/>
    <w:rsid w:val="00691792"/>
    <w:rsid w:val="006933D4"/>
    <w:rsid w:val="0069343D"/>
    <w:rsid w:val="0069389C"/>
    <w:rsid w:val="006948B9"/>
    <w:rsid w:val="00694E38"/>
    <w:rsid w:val="00694E5E"/>
    <w:rsid w:val="006957FC"/>
    <w:rsid w:val="0069592E"/>
    <w:rsid w:val="00695D70"/>
    <w:rsid w:val="006963FE"/>
    <w:rsid w:val="006967FB"/>
    <w:rsid w:val="00697879"/>
    <w:rsid w:val="00697954"/>
    <w:rsid w:val="006A01CA"/>
    <w:rsid w:val="006A01E4"/>
    <w:rsid w:val="006A15BC"/>
    <w:rsid w:val="006A1692"/>
    <w:rsid w:val="006A19F2"/>
    <w:rsid w:val="006A269A"/>
    <w:rsid w:val="006A40A2"/>
    <w:rsid w:val="006A4851"/>
    <w:rsid w:val="006A4C7B"/>
    <w:rsid w:val="006A4EB9"/>
    <w:rsid w:val="006A5356"/>
    <w:rsid w:val="006A590D"/>
    <w:rsid w:val="006A5D53"/>
    <w:rsid w:val="006A679B"/>
    <w:rsid w:val="006A70EA"/>
    <w:rsid w:val="006A7514"/>
    <w:rsid w:val="006B0023"/>
    <w:rsid w:val="006B01F7"/>
    <w:rsid w:val="006B0A5F"/>
    <w:rsid w:val="006B1106"/>
    <w:rsid w:val="006B1728"/>
    <w:rsid w:val="006B1996"/>
    <w:rsid w:val="006B2A13"/>
    <w:rsid w:val="006B3270"/>
    <w:rsid w:val="006B3394"/>
    <w:rsid w:val="006B4155"/>
    <w:rsid w:val="006B4B6C"/>
    <w:rsid w:val="006B5B05"/>
    <w:rsid w:val="006B66A9"/>
    <w:rsid w:val="006B6839"/>
    <w:rsid w:val="006B70C2"/>
    <w:rsid w:val="006C2ED8"/>
    <w:rsid w:val="006C3BA8"/>
    <w:rsid w:val="006C4602"/>
    <w:rsid w:val="006C4A74"/>
    <w:rsid w:val="006C648B"/>
    <w:rsid w:val="006C7791"/>
    <w:rsid w:val="006C7C4A"/>
    <w:rsid w:val="006D077B"/>
    <w:rsid w:val="006D0968"/>
    <w:rsid w:val="006D0BA4"/>
    <w:rsid w:val="006D3786"/>
    <w:rsid w:val="006D3989"/>
    <w:rsid w:val="006D4A7F"/>
    <w:rsid w:val="006D5059"/>
    <w:rsid w:val="006D51FB"/>
    <w:rsid w:val="006D6416"/>
    <w:rsid w:val="006D7895"/>
    <w:rsid w:val="006D7D7F"/>
    <w:rsid w:val="006E00DC"/>
    <w:rsid w:val="006E1A10"/>
    <w:rsid w:val="006E1D26"/>
    <w:rsid w:val="006E1DA9"/>
    <w:rsid w:val="006E1EC5"/>
    <w:rsid w:val="006E22AC"/>
    <w:rsid w:val="006E2BF0"/>
    <w:rsid w:val="006E4A61"/>
    <w:rsid w:val="006E6A4A"/>
    <w:rsid w:val="006E7109"/>
    <w:rsid w:val="006E7B04"/>
    <w:rsid w:val="006F0DF2"/>
    <w:rsid w:val="006F20A8"/>
    <w:rsid w:val="006F216A"/>
    <w:rsid w:val="006F24BD"/>
    <w:rsid w:val="006F26BC"/>
    <w:rsid w:val="006F274C"/>
    <w:rsid w:val="006F36C3"/>
    <w:rsid w:val="006F4528"/>
    <w:rsid w:val="006F4727"/>
    <w:rsid w:val="006F570D"/>
    <w:rsid w:val="006F6E09"/>
    <w:rsid w:val="00701DD9"/>
    <w:rsid w:val="007022C8"/>
    <w:rsid w:val="0070261F"/>
    <w:rsid w:val="007038A7"/>
    <w:rsid w:val="00703BBD"/>
    <w:rsid w:val="007043BB"/>
    <w:rsid w:val="007062A9"/>
    <w:rsid w:val="00706D4B"/>
    <w:rsid w:val="00707464"/>
    <w:rsid w:val="007076F7"/>
    <w:rsid w:val="00707F99"/>
    <w:rsid w:val="00710321"/>
    <w:rsid w:val="00710DFB"/>
    <w:rsid w:val="00711956"/>
    <w:rsid w:val="00711F2F"/>
    <w:rsid w:val="00712444"/>
    <w:rsid w:val="0071256E"/>
    <w:rsid w:val="007127EC"/>
    <w:rsid w:val="00712C11"/>
    <w:rsid w:val="00714CA4"/>
    <w:rsid w:val="00715BFC"/>
    <w:rsid w:val="007206D1"/>
    <w:rsid w:val="00720A6B"/>
    <w:rsid w:val="00720D8F"/>
    <w:rsid w:val="00720DEF"/>
    <w:rsid w:val="00720F15"/>
    <w:rsid w:val="00722FA0"/>
    <w:rsid w:val="00723DDC"/>
    <w:rsid w:val="007248C5"/>
    <w:rsid w:val="00724A5C"/>
    <w:rsid w:val="00724A9D"/>
    <w:rsid w:val="00725915"/>
    <w:rsid w:val="007265A1"/>
    <w:rsid w:val="007274D6"/>
    <w:rsid w:val="007278DA"/>
    <w:rsid w:val="00727F36"/>
    <w:rsid w:val="007306B2"/>
    <w:rsid w:val="007306C2"/>
    <w:rsid w:val="00731551"/>
    <w:rsid w:val="00731791"/>
    <w:rsid w:val="00731B67"/>
    <w:rsid w:val="00734376"/>
    <w:rsid w:val="007344FC"/>
    <w:rsid w:val="00734BDF"/>
    <w:rsid w:val="00735940"/>
    <w:rsid w:val="00736429"/>
    <w:rsid w:val="00737890"/>
    <w:rsid w:val="00740B73"/>
    <w:rsid w:val="00741D3F"/>
    <w:rsid w:val="00741F38"/>
    <w:rsid w:val="0074227D"/>
    <w:rsid w:val="00742B1D"/>
    <w:rsid w:val="00742ECF"/>
    <w:rsid w:val="0074343B"/>
    <w:rsid w:val="007436AA"/>
    <w:rsid w:val="007451E6"/>
    <w:rsid w:val="00745653"/>
    <w:rsid w:val="007464D9"/>
    <w:rsid w:val="007465C3"/>
    <w:rsid w:val="00747566"/>
    <w:rsid w:val="00750E7F"/>
    <w:rsid w:val="007515B6"/>
    <w:rsid w:val="00752610"/>
    <w:rsid w:val="007527C7"/>
    <w:rsid w:val="007529B7"/>
    <w:rsid w:val="00753FA9"/>
    <w:rsid w:val="00754657"/>
    <w:rsid w:val="0075535D"/>
    <w:rsid w:val="007561A1"/>
    <w:rsid w:val="007569FC"/>
    <w:rsid w:val="00756A7C"/>
    <w:rsid w:val="00757645"/>
    <w:rsid w:val="007577B4"/>
    <w:rsid w:val="007608B6"/>
    <w:rsid w:val="00762AC5"/>
    <w:rsid w:val="00763823"/>
    <w:rsid w:val="00763DEA"/>
    <w:rsid w:val="007650DA"/>
    <w:rsid w:val="0076542F"/>
    <w:rsid w:val="00765B3B"/>
    <w:rsid w:val="0076658C"/>
    <w:rsid w:val="00766C65"/>
    <w:rsid w:val="007676C0"/>
    <w:rsid w:val="00767C44"/>
    <w:rsid w:val="00767EDC"/>
    <w:rsid w:val="00770018"/>
    <w:rsid w:val="0077006D"/>
    <w:rsid w:val="0077034B"/>
    <w:rsid w:val="00770897"/>
    <w:rsid w:val="00771555"/>
    <w:rsid w:val="0077164C"/>
    <w:rsid w:val="00771692"/>
    <w:rsid w:val="007723A6"/>
    <w:rsid w:val="007725C8"/>
    <w:rsid w:val="007733B5"/>
    <w:rsid w:val="007738CC"/>
    <w:rsid w:val="00773AE4"/>
    <w:rsid w:val="007749AE"/>
    <w:rsid w:val="00774EAF"/>
    <w:rsid w:val="007752D2"/>
    <w:rsid w:val="007755CC"/>
    <w:rsid w:val="00776501"/>
    <w:rsid w:val="0078390E"/>
    <w:rsid w:val="00783A5E"/>
    <w:rsid w:val="00784021"/>
    <w:rsid w:val="0078440F"/>
    <w:rsid w:val="00784A71"/>
    <w:rsid w:val="00784DC9"/>
    <w:rsid w:val="00785913"/>
    <w:rsid w:val="00785C4D"/>
    <w:rsid w:val="00785FBC"/>
    <w:rsid w:val="00786180"/>
    <w:rsid w:val="007876B1"/>
    <w:rsid w:val="00790393"/>
    <w:rsid w:val="007907FE"/>
    <w:rsid w:val="00790D2E"/>
    <w:rsid w:val="00792429"/>
    <w:rsid w:val="00792650"/>
    <w:rsid w:val="00792943"/>
    <w:rsid w:val="00793D3C"/>
    <w:rsid w:val="00794884"/>
    <w:rsid w:val="00794B40"/>
    <w:rsid w:val="00794C29"/>
    <w:rsid w:val="007951A3"/>
    <w:rsid w:val="007956F1"/>
    <w:rsid w:val="00796353"/>
    <w:rsid w:val="0079657B"/>
    <w:rsid w:val="007965F5"/>
    <w:rsid w:val="007A02E3"/>
    <w:rsid w:val="007A17CE"/>
    <w:rsid w:val="007A2D76"/>
    <w:rsid w:val="007A2F12"/>
    <w:rsid w:val="007A3413"/>
    <w:rsid w:val="007A364E"/>
    <w:rsid w:val="007A37F9"/>
    <w:rsid w:val="007A399D"/>
    <w:rsid w:val="007A3B49"/>
    <w:rsid w:val="007A3DB5"/>
    <w:rsid w:val="007A4010"/>
    <w:rsid w:val="007A4ED4"/>
    <w:rsid w:val="007A5AB8"/>
    <w:rsid w:val="007A6846"/>
    <w:rsid w:val="007B097D"/>
    <w:rsid w:val="007B0C19"/>
    <w:rsid w:val="007B0C99"/>
    <w:rsid w:val="007B1CD5"/>
    <w:rsid w:val="007B3902"/>
    <w:rsid w:val="007B4DCE"/>
    <w:rsid w:val="007B52C0"/>
    <w:rsid w:val="007B5AE4"/>
    <w:rsid w:val="007B6C79"/>
    <w:rsid w:val="007B7B6D"/>
    <w:rsid w:val="007B7FBD"/>
    <w:rsid w:val="007C025B"/>
    <w:rsid w:val="007C14A8"/>
    <w:rsid w:val="007C1E1F"/>
    <w:rsid w:val="007C23EA"/>
    <w:rsid w:val="007C3636"/>
    <w:rsid w:val="007C367A"/>
    <w:rsid w:val="007C4909"/>
    <w:rsid w:val="007C4E7A"/>
    <w:rsid w:val="007C52EA"/>
    <w:rsid w:val="007C546F"/>
    <w:rsid w:val="007C56DF"/>
    <w:rsid w:val="007C6B20"/>
    <w:rsid w:val="007C7A24"/>
    <w:rsid w:val="007C7C24"/>
    <w:rsid w:val="007C7E51"/>
    <w:rsid w:val="007D0FDC"/>
    <w:rsid w:val="007D1235"/>
    <w:rsid w:val="007D1DFC"/>
    <w:rsid w:val="007D252D"/>
    <w:rsid w:val="007D3B72"/>
    <w:rsid w:val="007D4922"/>
    <w:rsid w:val="007D572A"/>
    <w:rsid w:val="007D586A"/>
    <w:rsid w:val="007D5DCE"/>
    <w:rsid w:val="007D6C27"/>
    <w:rsid w:val="007E049D"/>
    <w:rsid w:val="007E0BDE"/>
    <w:rsid w:val="007E2AAA"/>
    <w:rsid w:val="007E2EC5"/>
    <w:rsid w:val="007E39C8"/>
    <w:rsid w:val="007E45EC"/>
    <w:rsid w:val="007E4CFE"/>
    <w:rsid w:val="007E64BB"/>
    <w:rsid w:val="007E6517"/>
    <w:rsid w:val="007E6B3E"/>
    <w:rsid w:val="007F07D9"/>
    <w:rsid w:val="007F0C46"/>
    <w:rsid w:val="007F0C88"/>
    <w:rsid w:val="007F0D16"/>
    <w:rsid w:val="007F0E74"/>
    <w:rsid w:val="007F1871"/>
    <w:rsid w:val="007F19FE"/>
    <w:rsid w:val="007F26D9"/>
    <w:rsid w:val="007F3C19"/>
    <w:rsid w:val="007F42A1"/>
    <w:rsid w:val="007F42C7"/>
    <w:rsid w:val="007F58C7"/>
    <w:rsid w:val="007F681A"/>
    <w:rsid w:val="007F6BF8"/>
    <w:rsid w:val="007F75FB"/>
    <w:rsid w:val="008018FC"/>
    <w:rsid w:val="00801F29"/>
    <w:rsid w:val="0080255A"/>
    <w:rsid w:val="0080304C"/>
    <w:rsid w:val="0080351F"/>
    <w:rsid w:val="00804E60"/>
    <w:rsid w:val="00805972"/>
    <w:rsid w:val="0080647C"/>
    <w:rsid w:val="00806A39"/>
    <w:rsid w:val="00806A6F"/>
    <w:rsid w:val="00806C0A"/>
    <w:rsid w:val="008070DD"/>
    <w:rsid w:val="008105FA"/>
    <w:rsid w:val="008110D7"/>
    <w:rsid w:val="008114B8"/>
    <w:rsid w:val="00811FC3"/>
    <w:rsid w:val="00813117"/>
    <w:rsid w:val="00813179"/>
    <w:rsid w:val="008137E0"/>
    <w:rsid w:val="00813C39"/>
    <w:rsid w:val="008140BF"/>
    <w:rsid w:val="00814674"/>
    <w:rsid w:val="008146EA"/>
    <w:rsid w:val="00815619"/>
    <w:rsid w:val="008200B0"/>
    <w:rsid w:val="008206D6"/>
    <w:rsid w:val="00822136"/>
    <w:rsid w:val="00823EAD"/>
    <w:rsid w:val="00830268"/>
    <w:rsid w:val="00830C6D"/>
    <w:rsid w:val="0083274E"/>
    <w:rsid w:val="00832B20"/>
    <w:rsid w:val="00832D2D"/>
    <w:rsid w:val="008333FA"/>
    <w:rsid w:val="00834964"/>
    <w:rsid w:val="008349D9"/>
    <w:rsid w:val="008377D7"/>
    <w:rsid w:val="0083792B"/>
    <w:rsid w:val="008379FC"/>
    <w:rsid w:val="00840003"/>
    <w:rsid w:val="00840B11"/>
    <w:rsid w:val="0084120E"/>
    <w:rsid w:val="00842D6A"/>
    <w:rsid w:val="008443EB"/>
    <w:rsid w:val="00844478"/>
    <w:rsid w:val="00844C1A"/>
    <w:rsid w:val="00847821"/>
    <w:rsid w:val="00847FB1"/>
    <w:rsid w:val="008500E2"/>
    <w:rsid w:val="00850501"/>
    <w:rsid w:val="00851873"/>
    <w:rsid w:val="0085308C"/>
    <w:rsid w:val="0085410E"/>
    <w:rsid w:val="0085540E"/>
    <w:rsid w:val="0085578F"/>
    <w:rsid w:val="00855E4F"/>
    <w:rsid w:val="008560D7"/>
    <w:rsid w:val="00856F1B"/>
    <w:rsid w:val="0085743D"/>
    <w:rsid w:val="00861F77"/>
    <w:rsid w:val="00862C70"/>
    <w:rsid w:val="00863184"/>
    <w:rsid w:val="00863CC0"/>
    <w:rsid w:val="0086434A"/>
    <w:rsid w:val="008648B0"/>
    <w:rsid w:val="008649E9"/>
    <w:rsid w:val="00865341"/>
    <w:rsid w:val="00865534"/>
    <w:rsid w:val="00866A34"/>
    <w:rsid w:val="00867C16"/>
    <w:rsid w:val="00870B6B"/>
    <w:rsid w:val="008722A4"/>
    <w:rsid w:val="0087277D"/>
    <w:rsid w:val="00873F21"/>
    <w:rsid w:val="0087463D"/>
    <w:rsid w:val="008755A0"/>
    <w:rsid w:val="0087596F"/>
    <w:rsid w:val="00875CEC"/>
    <w:rsid w:val="00876BDD"/>
    <w:rsid w:val="0088005A"/>
    <w:rsid w:val="0088047E"/>
    <w:rsid w:val="00881556"/>
    <w:rsid w:val="00881E18"/>
    <w:rsid w:val="00881FCE"/>
    <w:rsid w:val="0088234D"/>
    <w:rsid w:val="00884D04"/>
    <w:rsid w:val="00884DEC"/>
    <w:rsid w:val="008857BC"/>
    <w:rsid w:val="00885CA1"/>
    <w:rsid w:val="00885D0E"/>
    <w:rsid w:val="008860D3"/>
    <w:rsid w:val="00886917"/>
    <w:rsid w:val="00886927"/>
    <w:rsid w:val="00886B4F"/>
    <w:rsid w:val="00886E5A"/>
    <w:rsid w:val="0088700D"/>
    <w:rsid w:val="008908AB"/>
    <w:rsid w:val="00890965"/>
    <w:rsid w:val="00890A74"/>
    <w:rsid w:val="00892679"/>
    <w:rsid w:val="0089430E"/>
    <w:rsid w:val="008946C7"/>
    <w:rsid w:val="00895B34"/>
    <w:rsid w:val="008962C9"/>
    <w:rsid w:val="00896BA3"/>
    <w:rsid w:val="00897994"/>
    <w:rsid w:val="008A0062"/>
    <w:rsid w:val="008A0A6E"/>
    <w:rsid w:val="008A126A"/>
    <w:rsid w:val="008A251F"/>
    <w:rsid w:val="008A29AD"/>
    <w:rsid w:val="008A4306"/>
    <w:rsid w:val="008A4AEC"/>
    <w:rsid w:val="008A541B"/>
    <w:rsid w:val="008A65F8"/>
    <w:rsid w:val="008A6C07"/>
    <w:rsid w:val="008A7C59"/>
    <w:rsid w:val="008A7CB2"/>
    <w:rsid w:val="008A7E6F"/>
    <w:rsid w:val="008B053E"/>
    <w:rsid w:val="008B06E7"/>
    <w:rsid w:val="008B1AA0"/>
    <w:rsid w:val="008B261E"/>
    <w:rsid w:val="008B3007"/>
    <w:rsid w:val="008B49D9"/>
    <w:rsid w:val="008B4FA9"/>
    <w:rsid w:val="008B5C22"/>
    <w:rsid w:val="008B6169"/>
    <w:rsid w:val="008B7E41"/>
    <w:rsid w:val="008B7F02"/>
    <w:rsid w:val="008C0B25"/>
    <w:rsid w:val="008C1939"/>
    <w:rsid w:val="008C1CE0"/>
    <w:rsid w:val="008C2433"/>
    <w:rsid w:val="008C2603"/>
    <w:rsid w:val="008C325A"/>
    <w:rsid w:val="008C3921"/>
    <w:rsid w:val="008C4A1B"/>
    <w:rsid w:val="008C52B1"/>
    <w:rsid w:val="008C5494"/>
    <w:rsid w:val="008C619F"/>
    <w:rsid w:val="008D0124"/>
    <w:rsid w:val="008D04EC"/>
    <w:rsid w:val="008D0D18"/>
    <w:rsid w:val="008D2EBF"/>
    <w:rsid w:val="008D3707"/>
    <w:rsid w:val="008D7B52"/>
    <w:rsid w:val="008E1E8C"/>
    <w:rsid w:val="008E35EC"/>
    <w:rsid w:val="008E43CB"/>
    <w:rsid w:val="008E4A01"/>
    <w:rsid w:val="008E5297"/>
    <w:rsid w:val="008E6C43"/>
    <w:rsid w:val="008E7570"/>
    <w:rsid w:val="008E7652"/>
    <w:rsid w:val="008E76D4"/>
    <w:rsid w:val="008F0AC4"/>
    <w:rsid w:val="008F1415"/>
    <w:rsid w:val="008F2E55"/>
    <w:rsid w:val="008F6619"/>
    <w:rsid w:val="008F6722"/>
    <w:rsid w:val="008F6960"/>
    <w:rsid w:val="008F6ACF"/>
    <w:rsid w:val="008F7F1F"/>
    <w:rsid w:val="009000BA"/>
    <w:rsid w:val="00901170"/>
    <w:rsid w:val="0090242E"/>
    <w:rsid w:val="00902516"/>
    <w:rsid w:val="009034D6"/>
    <w:rsid w:val="00904985"/>
    <w:rsid w:val="009053DE"/>
    <w:rsid w:val="0090572F"/>
    <w:rsid w:val="009057CB"/>
    <w:rsid w:val="00905CAE"/>
    <w:rsid w:val="0090690C"/>
    <w:rsid w:val="00906A47"/>
    <w:rsid w:val="009075CC"/>
    <w:rsid w:val="00907CCC"/>
    <w:rsid w:val="00910536"/>
    <w:rsid w:val="00911FA5"/>
    <w:rsid w:val="00914A31"/>
    <w:rsid w:val="00914A46"/>
    <w:rsid w:val="00915C27"/>
    <w:rsid w:val="00917E6F"/>
    <w:rsid w:val="00920166"/>
    <w:rsid w:val="009203C5"/>
    <w:rsid w:val="00920AF1"/>
    <w:rsid w:val="00920E28"/>
    <w:rsid w:val="00921F95"/>
    <w:rsid w:val="00923244"/>
    <w:rsid w:val="009232DD"/>
    <w:rsid w:val="00923508"/>
    <w:rsid w:val="0092402C"/>
    <w:rsid w:val="009240B7"/>
    <w:rsid w:val="009254A0"/>
    <w:rsid w:val="00926A92"/>
    <w:rsid w:val="009279E4"/>
    <w:rsid w:val="00930013"/>
    <w:rsid w:val="0093099F"/>
    <w:rsid w:val="00931148"/>
    <w:rsid w:val="00931461"/>
    <w:rsid w:val="00932470"/>
    <w:rsid w:val="00932972"/>
    <w:rsid w:val="00932C1B"/>
    <w:rsid w:val="00933678"/>
    <w:rsid w:val="00933825"/>
    <w:rsid w:val="0093455F"/>
    <w:rsid w:val="00936939"/>
    <w:rsid w:val="00936B45"/>
    <w:rsid w:val="00937B67"/>
    <w:rsid w:val="00941806"/>
    <w:rsid w:val="00942715"/>
    <w:rsid w:val="0094304B"/>
    <w:rsid w:val="009432AA"/>
    <w:rsid w:val="00943B0F"/>
    <w:rsid w:val="009454A6"/>
    <w:rsid w:val="009455FB"/>
    <w:rsid w:val="0094616A"/>
    <w:rsid w:val="00946236"/>
    <w:rsid w:val="0094702B"/>
    <w:rsid w:val="009475E5"/>
    <w:rsid w:val="009479E7"/>
    <w:rsid w:val="0095023C"/>
    <w:rsid w:val="00951316"/>
    <w:rsid w:val="00953BE0"/>
    <w:rsid w:val="00953D22"/>
    <w:rsid w:val="00953D90"/>
    <w:rsid w:val="00954101"/>
    <w:rsid w:val="009541E8"/>
    <w:rsid w:val="009572A6"/>
    <w:rsid w:val="0095756D"/>
    <w:rsid w:val="00957998"/>
    <w:rsid w:val="00960631"/>
    <w:rsid w:val="00960BE3"/>
    <w:rsid w:val="00960CE6"/>
    <w:rsid w:val="009615E4"/>
    <w:rsid w:val="009619AE"/>
    <w:rsid w:val="00961D8C"/>
    <w:rsid w:val="00962109"/>
    <w:rsid w:val="009622EE"/>
    <w:rsid w:val="00962E32"/>
    <w:rsid w:val="00963323"/>
    <w:rsid w:val="00963576"/>
    <w:rsid w:val="00963E97"/>
    <w:rsid w:val="00964DDA"/>
    <w:rsid w:val="00965400"/>
    <w:rsid w:val="009658DC"/>
    <w:rsid w:val="00965E05"/>
    <w:rsid w:val="00965FFC"/>
    <w:rsid w:val="009671B6"/>
    <w:rsid w:val="0096792D"/>
    <w:rsid w:val="0097012C"/>
    <w:rsid w:val="00970A93"/>
    <w:rsid w:val="009717EC"/>
    <w:rsid w:val="00974924"/>
    <w:rsid w:val="009751CB"/>
    <w:rsid w:val="00975221"/>
    <w:rsid w:val="00975ECB"/>
    <w:rsid w:val="00981DAB"/>
    <w:rsid w:val="0098210A"/>
    <w:rsid w:val="00982A4E"/>
    <w:rsid w:val="00982B44"/>
    <w:rsid w:val="009830FE"/>
    <w:rsid w:val="0098381C"/>
    <w:rsid w:val="00983BDA"/>
    <w:rsid w:val="00984484"/>
    <w:rsid w:val="009853A6"/>
    <w:rsid w:val="0098571F"/>
    <w:rsid w:val="00990F15"/>
    <w:rsid w:val="009913E1"/>
    <w:rsid w:val="009919E4"/>
    <w:rsid w:val="00992325"/>
    <w:rsid w:val="00993257"/>
    <w:rsid w:val="009935DE"/>
    <w:rsid w:val="009939D2"/>
    <w:rsid w:val="00993F92"/>
    <w:rsid w:val="009944F7"/>
    <w:rsid w:val="00994843"/>
    <w:rsid w:val="00994BF3"/>
    <w:rsid w:val="009957F3"/>
    <w:rsid w:val="00995992"/>
    <w:rsid w:val="00995D05"/>
    <w:rsid w:val="00995D8A"/>
    <w:rsid w:val="009A051C"/>
    <w:rsid w:val="009A0EED"/>
    <w:rsid w:val="009A2129"/>
    <w:rsid w:val="009A2D31"/>
    <w:rsid w:val="009A3831"/>
    <w:rsid w:val="009A3ACA"/>
    <w:rsid w:val="009A4627"/>
    <w:rsid w:val="009A4CCF"/>
    <w:rsid w:val="009A4D33"/>
    <w:rsid w:val="009A53F1"/>
    <w:rsid w:val="009A54B2"/>
    <w:rsid w:val="009A5F2D"/>
    <w:rsid w:val="009A7B80"/>
    <w:rsid w:val="009A7B83"/>
    <w:rsid w:val="009B02C7"/>
    <w:rsid w:val="009B214B"/>
    <w:rsid w:val="009B2182"/>
    <w:rsid w:val="009B2F0A"/>
    <w:rsid w:val="009B3398"/>
    <w:rsid w:val="009B37C9"/>
    <w:rsid w:val="009B3C5E"/>
    <w:rsid w:val="009B3F5B"/>
    <w:rsid w:val="009B4F32"/>
    <w:rsid w:val="009B54C2"/>
    <w:rsid w:val="009B600D"/>
    <w:rsid w:val="009B61C8"/>
    <w:rsid w:val="009B623D"/>
    <w:rsid w:val="009B68FF"/>
    <w:rsid w:val="009B694F"/>
    <w:rsid w:val="009B6CB5"/>
    <w:rsid w:val="009B77AE"/>
    <w:rsid w:val="009B7DCD"/>
    <w:rsid w:val="009C0D2E"/>
    <w:rsid w:val="009C1BD2"/>
    <w:rsid w:val="009C1C69"/>
    <w:rsid w:val="009C2BD2"/>
    <w:rsid w:val="009C3E53"/>
    <w:rsid w:val="009C6E68"/>
    <w:rsid w:val="009C732D"/>
    <w:rsid w:val="009D0032"/>
    <w:rsid w:val="009D060C"/>
    <w:rsid w:val="009D0C4B"/>
    <w:rsid w:val="009D0E6A"/>
    <w:rsid w:val="009D1E6F"/>
    <w:rsid w:val="009D2133"/>
    <w:rsid w:val="009D2177"/>
    <w:rsid w:val="009D4923"/>
    <w:rsid w:val="009D495A"/>
    <w:rsid w:val="009D54F8"/>
    <w:rsid w:val="009D7C70"/>
    <w:rsid w:val="009E106A"/>
    <w:rsid w:val="009E18B9"/>
    <w:rsid w:val="009E18FB"/>
    <w:rsid w:val="009E1DA4"/>
    <w:rsid w:val="009E253F"/>
    <w:rsid w:val="009E2891"/>
    <w:rsid w:val="009E3AEE"/>
    <w:rsid w:val="009E3B81"/>
    <w:rsid w:val="009E514B"/>
    <w:rsid w:val="009E5423"/>
    <w:rsid w:val="009E6C69"/>
    <w:rsid w:val="009E7183"/>
    <w:rsid w:val="009F0D73"/>
    <w:rsid w:val="009F1267"/>
    <w:rsid w:val="009F1996"/>
    <w:rsid w:val="009F3261"/>
    <w:rsid w:val="009F353E"/>
    <w:rsid w:val="009F377C"/>
    <w:rsid w:val="009F45B7"/>
    <w:rsid w:val="009F55A6"/>
    <w:rsid w:val="009F78AD"/>
    <w:rsid w:val="00A01292"/>
    <w:rsid w:val="00A01396"/>
    <w:rsid w:val="00A01471"/>
    <w:rsid w:val="00A0292E"/>
    <w:rsid w:val="00A03B6A"/>
    <w:rsid w:val="00A04C62"/>
    <w:rsid w:val="00A04D0A"/>
    <w:rsid w:val="00A05ACB"/>
    <w:rsid w:val="00A067BE"/>
    <w:rsid w:val="00A072F8"/>
    <w:rsid w:val="00A07BD2"/>
    <w:rsid w:val="00A10241"/>
    <w:rsid w:val="00A10886"/>
    <w:rsid w:val="00A110A3"/>
    <w:rsid w:val="00A1237F"/>
    <w:rsid w:val="00A13B4A"/>
    <w:rsid w:val="00A1473E"/>
    <w:rsid w:val="00A148A6"/>
    <w:rsid w:val="00A158BE"/>
    <w:rsid w:val="00A15D0B"/>
    <w:rsid w:val="00A16EA3"/>
    <w:rsid w:val="00A17511"/>
    <w:rsid w:val="00A179FB"/>
    <w:rsid w:val="00A17E1F"/>
    <w:rsid w:val="00A20973"/>
    <w:rsid w:val="00A20D1A"/>
    <w:rsid w:val="00A21B80"/>
    <w:rsid w:val="00A23479"/>
    <w:rsid w:val="00A23FDD"/>
    <w:rsid w:val="00A245EF"/>
    <w:rsid w:val="00A24D6B"/>
    <w:rsid w:val="00A26223"/>
    <w:rsid w:val="00A271AD"/>
    <w:rsid w:val="00A27653"/>
    <w:rsid w:val="00A3062B"/>
    <w:rsid w:val="00A31A90"/>
    <w:rsid w:val="00A31C5C"/>
    <w:rsid w:val="00A323DB"/>
    <w:rsid w:val="00A33172"/>
    <w:rsid w:val="00A331C5"/>
    <w:rsid w:val="00A33965"/>
    <w:rsid w:val="00A339C7"/>
    <w:rsid w:val="00A340B1"/>
    <w:rsid w:val="00A34270"/>
    <w:rsid w:val="00A34F95"/>
    <w:rsid w:val="00A34FDA"/>
    <w:rsid w:val="00A35337"/>
    <w:rsid w:val="00A35F63"/>
    <w:rsid w:val="00A36E6B"/>
    <w:rsid w:val="00A371CE"/>
    <w:rsid w:val="00A37D94"/>
    <w:rsid w:val="00A37F12"/>
    <w:rsid w:val="00A4014C"/>
    <w:rsid w:val="00A4056B"/>
    <w:rsid w:val="00A405DD"/>
    <w:rsid w:val="00A4061B"/>
    <w:rsid w:val="00A40ACD"/>
    <w:rsid w:val="00A40D19"/>
    <w:rsid w:val="00A433DE"/>
    <w:rsid w:val="00A43789"/>
    <w:rsid w:val="00A4430B"/>
    <w:rsid w:val="00A44EA7"/>
    <w:rsid w:val="00A45178"/>
    <w:rsid w:val="00A453E9"/>
    <w:rsid w:val="00A45B19"/>
    <w:rsid w:val="00A45FFD"/>
    <w:rsid w:val="00A46C64"/>
    <w:rsid w:val="00A47357"/>
    <w:rsid w:val="00A47FD0"/>
    <w:rsid w:val="00A51269"/>
    <w:rsid w:val="00A532A7"/>
    <w:rsid w:val="00A538CF"/>
    <w:rsid w:val="00A53A5A"/>
    <w:rsid w:val="00A54EA5"/>
    <w:rsid w:val="00A55690"/>
    <w:rsid w:val="00A562A2"/>
    <w:rsid w:val="00A574AA"/>
    <w:rsid w:val="00A60530"/>
    <w:rsid w:val="00A61AB9"/>
    <w:rsid w:val="00A61BD4"/>
    <w:rsid w:val="00A6220A"/>
    <w:rsid w:val="00A62F48"/>
    <w:rsid w:val="00A63A35"/>
    <w:rsid w:val="00A64DB0"/>
    <w:rsid w:val="00A65DFA"/>
    <w:rsid w:val="00A669FE"/>
    <w:rsid w:val="00A66A53"/>
    <w:rsid w:val="00A66AD3"/>
    <w:rsid w:val="00A6753F"/>
    <w:rsid w:val="00A67FD7"/>
    <w:rsid w:val="00A70152"/>
    <w:rsid w:val="00A70499"/>
    <w:rsid w:val="00A716E4"/>
    <w:rsid w:val="00A721D7"/>
    <w:rsid w:val="00A72A33"/>
    <w:rsid w:val="00A737B2"/>
    <w:rsid w:val="00A738AA"/>
    <w:rsid w:val="00A73D87"/>
    <w:rsid w:val="00A750B6"/>
    <w:rsid w:val="00A750DF"/>
    <w:rsid w:val="00A77423"/>
    <w:rsid w:val="00A77680"/>
    <w:rsid w:val="00A801CA"/>
    <w:rsid w:val="00A8208F"/>
    <w:rsid w:val="00A82689"/>
    <w:rsid w:val="00A83D9D"/>
    <w:rsid w:val="00A840CD"/>
    <w:rsid w:val="00A85289"/>
    <w:rsid w:val="00A86914"/>
    <w:rsid w:val="00A90186"/>
    <w:rsid w:val="00A909FA"/>
    <w:rsid w:val="00A90A92"/>
    <w:rsid w:val="00A90C16"/>
    <w:rsid w:val="00A9106E"/>
    <w:rsid w:val="00A91C80"/>
    <w:rsid w:val="00A928AC"/>
    <w:rsid w:val="00A93A4A"/>
    <w:rsid w:val="00A9709D"/>
    <w:rsid w:val="00A977BA"/>
    <w:rsid w:val="00AA007A"/>
    <w:rsid w:val="00AA0550"/>
    <w:rsid w:val="00AA11C1"/>
    <w:rsid w:val="00AA1303"/>
    <w:rsid w:val="00AA1F72"/>
    <w:rsid w:val="00AA20CA"/>
    <w:rsid w:val="00AA2837"/>
    <w:rsid w:val="00AA2EBE"/>
    <w:rsid w:val="00AA382E"/>
    <w:rsid w:val="00AA39E4"/>
    <w:rsid w:val="00AA483D"/>
    <w:rsid w:val="00AA4F1E"/>
    <w:rsid w:val="00AA5230"/>
    <w:rsid w:val="00AA57D6"/>
    <w:rsid w:val="00AA6738"/>
    <w:rsid w:val="00AA6EFE"/>
    <w:rsid w:val="00AB0788"/>
    <w:rsid w:val="00AB1A3E"/>
    <w:rsid w:val="00AB339C"/>
    <w:rsid w:val="00AB46E5"/>
    <w:rsid w:val="00AB4C28"/>
    <w:rsid w:val="00AB5A58"/>
    <w:rsid w:val="00AC061B"/>
    <w:rsid w:val="00AC07A2"/>
    <w:rsid w:val="00AC0981"/>
    <w:rsid w:val="00AC25C8"/>
    <w:rsid w:val="00AC4053"/>
    <w:rsid w:val="00AC494D"/>
    <w:rsid w:val="00AC4DD5"/>
    <w:rsid w:val="00AC512B"/>
    <w:rsid w:val="00AC53F4"/>
    <w:rsid w:val="00AC5B69"/>
    <w:rsid w:val="00AC62B7"/>
    <w:rsid w:val="00AC6C11"/>
    <w:rsid w:val="00AD081F"/>
    <w:rsid w:val="00AD1B1B"/>
    <w:rsid w:val="00AD3EBB"/>
    <w:rsid w:val="00AD5A82"/>
    <w:rsid w:val="00AD62C5"/>
    <w:rsid w:val="00AD7659"/>
    <w:rsid w:val="00AE1161"/>
    <w:rsid w:val="00AE25EE"/>
    <w:rsid w:val="00AE2B39"/>
    <w:rsid w:val="00AE3DEA"/>
    <w:rsid w:val="00AE43B8"/>
    <w:rsid w:val="00AE5E5F"/>
    <w:rsid w:val="00AE64D7"/>
    <w:rsid w:val="00AE667B"/>
    <w:rsid w:val="00AF0019"/>
    <w:rsid w:val="00AF01DF"/>
    <w:rsid w:val="00AF085C"/>
    <w:rsid w:val="00AF0AB6"/>
    <w:rsid w:val="00AF0B84"/>
    <w:rsid w:val="00AF0D52"/>
    <w:rsid w:val="00AF16E7"/>
    <w:rsid w:val="00AF220F"/>
    <w:rsid w:val="00AF4043"/>
    <w:rsid w:val="00AF5281"/>
    <w:rsid w:val="00AF57A2"/>
    <w:rsid w:val="00AF5F4F"/>
    <w:rsid w:val="00AF6056"/>
    <w:rsid w:val="00AF75EF"/>
    <w:rsid w:val="00AF7635"/>
    <w:rsid w:val="00AF7A3B"/>
    <w:rsid w:val="00B00053"/>
    <w:rsid w:val="00B0131B"/>
    <w:rsid w:val="00B015A1"/>
    <w:rsid w:val="00B0177B"/>
    <w:rsid w:val="00B02837"/>
    <w:rsid w:val="00B029DE"/>
    <w:rsid w:val="00B02B03"/>
    <w:rsid w:val="00B0779A"/>
    <w:rsid w:val="00B10425"/>
    <w:rsid w:val="00B10A26"/>
    <w:rsid w:val="00B11963"/>
    <w:rsid w:val="00B11A52"/>
    <w:rsid w:val="00B1477D"/>
    <w:rsid w:val="00B14D49"/>
    <w:rsid w:val="00B15013"/>
    <w:rsid w:val="00B152EC"/>
    <w:rsid w:val="00B1534B"/>
    <w:rsid w:val="00B15BB0"/>
    <w:rsid w:val="00B16568"/>
    <w:rsid w:val="00B168C0"/>
    <w:rsid w:val="00B16A32"/>
    <w:rsid w:val="00B1788A"/>
    <w:rsid w:val="00B20773"/>
    <w:rsid w:val="00B20F74"/>
    <w:rsid w:val="00B21A6E"/>
    <w:rsid w:val="00B21B36"/>
    <w:rsid w:val="00B21B61"/>
    <w:rsid w:val="00B22722"/>
    <w:rsid w:val="00B24ACA"/>
    <w:rsid w:val="00B24EBE"/>
    <w:rsid w:val="00B254CE"/>
    <w:rsid w:val="00B25771"/>
    <w:rsid w:val="00B26979"/>
    <w:rsid w:val="00B26FE3"/>
    <w:rsid w:val="00B27915"/>
    <w:rsid w:val="00B304AF"/>
    <w:rsid w:val="00B30E80"/>
    <w:rsid w:val="00B3134C"/>
    <w:rsid w:val="00B31DD0"/>
    <w:rsid w:val="00B32910"/>
    <w:rsid w:val="00B33E80"/>
    <w:rsid w:val="00B33FFC"/>
    <w:rsid w:val="00B3407A"/>
    <w:rsid w:val="00B34DFD"/>
    <w:rsid w:val="00B35BD5"/>
    <w:rsid w:val="00B373CD"/>
    <w:rsid w:val="00B37D12"/>
    <w:rsid w:val="00B37F9F"/>
    <w:rsid w:val="00B401F6"/>
    <w:rsid w:val="00B41AEC"/>
    <w:rsid w:val="00B43933"/>
    <w:rsid w:val="00B4518A"/>
    <w:rsid w:val="00B45699"/>
    <w:rsid w:val="00B46179"/>
    <w:rsid w:val="00B47F01"/>
    <w:rsid w:val="00B5024D"/>
    <w:rsid w:val="00B50795"/>
    <w:rsid w:val="00B50B0C"/>
    <w:rsid w:val="00B50B19"/>
    <w:rsid w:val="00B50B39"/>
    <w:rsid w:val="00B5317A"/>
    <w:rsid w:val="00B53886"/>
    <w:rsid w:val="00B5390C"/>
    <w:rsid w:val="00B53C1E"/>
    <w:rsid w:val="00B546C7"/>
    <w:rsid w:val="00B54970"/>
    <w:rsid w:val="00B54B4C"/>
    <w:rsid w:val="00B55735"/>
    <w:rsid w:val="00B61C97"/>
    <w:rsid w:val="00B63DF4"/>
    <w:rsid w:val="00B6407A"/>
    <w:rsid w:val="00B649BE"/>
    <w:rsid w:val="00B64D2B"/>
    <w:rsid w:val="00B64E24"/>
    <w:rsid w:val="00B665E4"/>
    <w:rsid w:val="00B67C2C"/>
    <w:rsid w:val="00B700E4"/>
    <w:rsid w:val="00B71221"/>
    <w:rsid w:val="00B71769"/>
    <w:rsid w:val="00B73472"/>
    <w:rsid w:val="00B74483"/>
    <w:rsid w:val="00B74D5D"/>
    <w:rsid w:val="00B7595C"/>
    <w:rsid w:val="00B76739"/>
    <w:rsid w:val="00B803F1"/>
    <w:rsid w:val="00B81216"/>
    <w:rsid w:val="00B814D9"/>
    <w:rsid w:val="00B84142"/>
    <w:rsid w:val="00B84D2D"/>
    <w:rsid w:val="00B8601F"/>
    <w:rsid w:val="00B87627"/>
    <w:rsid w:val="00B9121E"/>
    <w:rsid w:val="00B912C9"/>
    <w:rsid w:val="00B9162C"/>
    <w:rsid w:val="00B93B30"/>
    <w:rsid w:val="00B9535B"/>
    <w:rsid w:val="00B95491"/>
    <w:rsid w:val="00B95727"/>
    <w:rsid w:val="00B957A1"/>
    <w:rsid w:val="00B95D8C"/>
    <w:rsid w:val="00B95E23"/>
    <w:rsid w:val="00B96504"/>
    <w:rsid w:val="00B96519"/>
    <w:rsid w:val="00B97B64"/>
    <w:rsid w:val="00BA1342"/>
    <w:rsid w:val="00BA141D"/>
    <w:rsid w:val="00BA2C7C"/>
    <w:rsid w:val="00BA328F"/>
    <w:rsid w:val="00BA34D1"/>
    <w:rsid w:val="00BA5D63"/>
    <w:rsid w:val="00BA6273"/>
    <w:rsid w:val="00BA6836"/>
    <w:rsid w:val="00BA78E1"/>
    <w:rsid w:val="00BA7BEE"/>
    <w:rsid w:val="00BB04D0"/>
    <w:rsid w:val="00BB06B5"/>
    <w:rsid w:val="00BB0800"/>
    <w:rsid w:val="00BB264A"/>
    <w:rsid w:val="00BB35F4"/>
    <w:rsid w:val="00BB37ED"/>
    <w:rsid w:val="00BB4E1C"/>
    <w:rsid w:val="00BB57FB"/>
    <w:rsid w:val="00BB6479"/>
    <w:rsid w:val="00BB6627"/>
    <w:rsid w:val="00BB71E1"/>
    <w:rsid w:val="00BB7CC9"/>
    <w:rsid w:val="00BC0BF8"/>
    <w:rsid w:val="00BC11E0"/>
    <w:rsid w:val="00BC272D"/>
    <w:rsid w:val="00BC2F03"/>
    <w:rsid w:val="00BC4A90"/>
    <w:rsid w:val="00BC4CAB"/>
    <w:rsid w:val="00BC511B"/>
    <w:rsid w:val="00BC68B0"/>
    <w:rsid w:val="00BC717E"/>
    <w:rsid w:val="00BD000B"/>
    <w:rsid w:val="00BD00F1"/>
    <w:rsid w:val="00BD0277"/>
    <w:rsid w:val="00BD058D"/>
    <w:rsid w:val="00BD0E2F"/>
    <w:rsid w:val="00BD1859"/>
    <w:rsid w:val="00BD2346"/>
    <w:rsid w:val="00BD2628"/>
    <w:rsid w:val="00BD299C"/>
    <w:rsid w:val="00BD43D2"/>
    <w:rsid w:val="00BD4CC8"/>
    <w:rsid w:val="00BD5470"/>
    <w:rsid w:val="00BD5C73"/>
    <w:rsid w:val="00BE0B09"/>
    <w:rsid w:val="00BE142B"/>
    <w:rsid w:val="00BE1BA4"/>
    <w:rsid w:val="00BE1DAD"/>
    <w:rsid w:val="00BE24E6"/>
    <w:rsid w:val="00BE2904"/>
    <w:rsid w:val="00BE3C06"/>
    <w:rsid w:val="00BE5BE5"/>
    <w:rsid w:val="00BE5C77"/>
    <w:rsid w:val="00BE6231"/>
    <w:rsid w:val="00BE73B7"/>
    <w:rsid w:val="00BE7D7F"/>
    <w:rsid w:val="00BF0710"/>
    <w:rsid w:val="00BF1F0C"/>
    <w:rsid w:val="00BF3671"/>
    <w:rsid w:val="00BF3791"/>
    <w:rsid w:val="00BF549C"/>
    <w:rsid w:val="00BF5AF4"/>
    <w:rsid w:val="00BF5FED"/>
    <w:rsid w:val="00BF64C2"/>
    <w:rsid w:val="00BF722E"/>
    <w:rsid w:val="00BF75F3"/>
    <w:rsid w:val="00BF76A4"/>
    <w:rsid w:val="00C00F82"/>
    <w:rsid w:val="00C016DC"/>
    <w:rsid w:val="00C019DF"/>
    <w:rsid w:val="00C0218E"/>
    <w:rsid w:val="00C02E6F"/>
    <w:rsid w:val="00C0301F"/>
    <w:rsid w:val="00C031D1"/>
    <w:rsid w:val="00C039FD"/>
    <w:rsid w:val="00C051E9"/>
    <w:rsid w:val="00C058BD"/>
    <w:rsid w:val="00C06016"/>
    <w:rsid w:val="00C060FF"/>
    <w:rsid w:val="00C0708F"/>
    <w:rsid w:val="00C0788D"/>
    <w:rsid w:val="00C10A1A"/>
    <w:rsid w:val="00C10FB5"/>
    <w:rsid w:val="00C1148E"/>
    <w:rsid w:val="00C141CE"/>
    <w:rsid w:val="00C141EA"/>
    <w:rsid w:val="00C144AF"/>
    <w:rsid w:val="00C16695"/>
    <w:rsid w:val="00C166DE"/>
    <w:rsid w:val="00C16CEC"/>
    <w:rsid w:val="00C176F2"/>
    <w:rsid w:val="00C209E7"/>
    <w:rsid w:val="00C20D52"/>
    <w:rsid w:val="00C22139"/>
    <w:rsid w:val="00C2272C"/>
    <w:rsid w:val="00C22C45"/>
    <w:rsid w:val="00C22D81"/>
    <w:rsid w:val="00C22F36"/>
    <w:rsid w:val="00C2344D"/>
    <w:rsid w:val="00C2380A"/>
    <w:rsid w:val="00C23CBE"/>
    <w:rsid w:val="00C23E02"/>
    <w:rsid w:val="00C2443A"/>
    <w:rsid w:val="00C24751"/>
    <w:rsid w:val="00C24F8A"/>
    <w:rsid w:val="00C25C1C"/>
    <w:rsid w:val="00C25E3D"/>
    <w:rsid w:val="00C27217"/>
    <w:rsid w:val="00C31089"/>
    <w:rsid w:val="00C3147C"/>
    <w:rsid w:val="00C3236F"/>
    <w:rsid w:val="00C3279C"/>
    <w:rsid w:val="00C33F8E"/>
    <w:rsid w:val="00C34156"/>
    <w:rsid w:val="00C34778"/>
    <w:rsid w:val="00C34909"/>
    <w:rsid w:val="00C35941"/>
    <w:rsid w:val="00C36ED4"/>
    <w:rsid w:val="00C406C3"/>
    <w:rsid w:val="00C40C91"/>
    <w:rsid w:val="00C41452"/>
    <w:rsid w:val="00C41B84"/>
    <w:rsid w:val="00C42713"/>
    <w:rsid w:val="00C43A16"/>
    <w:rsid w:val="00C4475C"/>
    <w:rsid w:val="00C44F0E"/>
    <w:rsid w:val="00C45D7D"/>
    <w:rsid w:val="00C4671E"/>
    <w:rsid w:val="00C47927"/>
    <w:rsid w:val="00C47C6F"/>
    <w:rsid w:val="00C47F9E"/>
    <w:rsid w:val="00C50CD7"/>
    <w:rsid w:val="00C51B04"/>
    <w:rsid w:val="00C51FDA"/>
    <w:rsid w:val="00C52084"/>
    <w:rsid w:val="00C52F29"/>
    <w:rsid w:val="00C534BD"/>
    <w:rsid w:val="00C53524"/>
    <w:rsid w:val="00C54C67"/>
    <w:rsid w:val="00C54E56"/>
    <w:rsid w:val="00C55688"/>
    <w:rsid w:val="00C55A2D"/>
    <w:rsid w:val="00C55F5F"/>
    <w:rsid w:val="00C56AEA"/>
    <w:rsid w:val="00C576CE"/>
    <w:rsid w:val="00C61480"/>
    <w:rsid w:val="00C61A39"/>
    <w:rsid w:val="00C62111"/>
    <w:rsid w:val="00C623EB"/>
    <w:rsid w:val="00C62675"/>
    <w:rsid w:val="00C63F8A"/>
    <w:rsid w:val="00C6455B"/>
    <w:rsid w:val="00C653CA"/>
    <w:rsid w:val="00C653E8"/>
    <w:rsid w:val="00C6544D"/>
    <w:rsid w:val="00C65CB9"/>
    <w:rsid w:val="00C66E6E"/>
    <w:rsid w:val="00C6776D"/>
    <w:rsid w:val="00C70309"/>
    <w:rsid w:val="00C70BE5"/>
    <w:rsid w:val="00C70F80"/>
    <w:rsid w:val="00C71162"/>
    <w:rsid w:val="00C72824"/>
    <w:rsid w:val="00C72A51"/>
    <w:rsid w:val="00C74BA6"/>
    <w:rsid w:val="00C7705D"/>
    <w:rsid w:val="00C778D6"/>
    <w:rsid w:val="00C77A6A"/>
    <w:rsid w:val="00C809DD"/>
    <w:rsid w:val="00C817CB"/>
    <w:rsid w:val="00C8205F"/>
    <w:rsid w:val="00C82346"/>
    <w:rsid w:val="00C834AD"/>
    <w:rsid w:val="00C83D96"/>
    <w:rsid w:val="00C85A41"/>
    <w:rsid w:val="00C868B2"/>
    <w:rsid w:val="00C87566"/>
    <w:rsid w:val="00C90010"/>
    <w:rsid w:val="00C91C11"/>
    <w:rsid w:val="00C932AB"/>
    <w:rsid w:val="00C957BB"/>
    <w:rsid w:val="00C962A7"/>
    <w:rsid w:val="00C96865"/>
    <w:rsid w:val="00C971E9"/>
    <w:rsid w:val="00C978E5"/>
    <w:rsid w:val="00C97F1C"/>
    <w:rsid w:val="00C97F2D"/>
    <w:rsid w:val="00CA011D"/>
    <w:rsid w:val="00CA0621"/>
    <w:rsid w:val="00CA24F9"/>
    <w:rsid w:val="00CA3B2F"/>
    <w:rsid w:val="00CA3BC0"/>
    <w:rsid w:val="00CA4691"/>
    <w:rsid w:val="00CA4844"/>
    <w:rsid w:val="00CA530B"/>
    <w:rsid w:val="00CA5B1B"/>
    <w:rsid w:val="00CA6256"/>
    <w:rsid w:val="00CA68AA"/>
    <w:rsid w:val="00CA78DE"/>
    <w:rsid w:val="00CA7A3D"/>
    <w:rsid w:val="00CB0BBD"/>
    <w:rsid w:val="00CB0C8C"/>
    <w:rsid w:val="00CB3D7A"/>
    <w:rsid w:val="00CB4BC6"/>
    <w:rsid w:val="00CB55D3"/>
    <w:rsid w:val="00CB621A"/>
    <w:rsid w:val="00CB68E3"/>
    <w:rsid w:val="00CB6A7F"/>
    <w:rsid w:val="00CB7A65"/>
    <w:rsid w:val="00CC0E37"/>
    <w:rsid w:val="00CC0FC8"/>
    <w:rsid w:val="00CC18C8"/>
    <w:rsid w:val="00CC18C9"/>
    <w:rsid w:val="00CC27B9"/>
    <w:rsid w:val="00CC2C8B"/>
    <w:rsid w:val="00CC403D"/>
    <w:rsid w:val="00CC4CAF"/>
    <w:rsid w:val="00CC5179"/>
    <w:rsid w:val="00CC64B1"/>
    <w:rsid w:val="00CC6C82"/>
    <w:rsid w:val="00CC6C90"/>
    <w:rsid w:val="00CC7C52"/>
    <w:rsid w:val="00CC7DF6"/>
    <w:rsid w:val="00CC7EBD"/>
    <w:rsid w:val="00CD2544"/>
    <w:rsid w:val="00CD2662"/>
    <w:rsid w:val="00CD2C52"/>
    <w:rsid w:val="00CD5B4D"/>
    <w:rsid w:val="00CD61EB"/>
    <w:rsid w:val="00CD6D21"/>
    <w:rsid w:val="00CE0966"/>
    <w:rsid w:val="00CE1495"/>
    <w:rsid w:val="00CE4BD1"/>
    <w:rsid w:val="00CE5158"/>
    <w:rsid w:val="00CE60E6"/>
    <w:rsid w:val="00CE6248"/>
    <w:rsid w:val="00CE6A66"/>
    <w:rsid w:val="00CE6E90"/>
    <w:rsid w:val="00CE6E96"/>
    <w:rsid w:val="00CF1739"/>
    <w:rsid w:val="00CF4DB4"/>
    <w:rsid w:val="00CF5711"/>
    <w:rsid w:val="00CF67BD"/>
    <w:rsid w:val="00CF7069"/>
    <w:rsid w:val="00CF722E"/>
    <w:rsid w:val="00CF79F7"/>
    <w:rsid w:val="00D00339"/>
    <w:rsid w:val="00D01C6D"/>
    <w:rsid w:val="00D02DA8"/>
    <w:rsid w:val="00D033D6"/>
    <w:rsid w:val="00D050A4"/>
    <w:rsid w:val="00D05742"/>
    <w:rsid w:val="00D057D1"/>
    <w:rsid w:val="00D05E8B"/>
    <w:rsid w:val="00D066E3"/>
    <w:rsid w:val="00D072F5"/>
    <w:rsid w:val="00D07554"/>
    <w:rsid w:val="00D07CE5"/>
    <w:rsid w:val="00D10284"/>
    <w:rsid w:val="00D1162D"/>
    <w:rsid w:val="00D11C54"/>
    <w:rsid w:val="00D13183"/>
    <w:rsid w:val="00D13967"/>
    <w:rsid w:val="00D13A36"/>
    <w:rsid w:val="00D13EF9"/>
    <w:rsid w:val="00D142AB"/>
    <w:rsid w:val="00D142F3"/>
    <w:rsid w:val="00D148A2"/>
    <w:rsid w:val="00D154C1"/>
    <w:rsid w:val="00D1580E"/>
    <w:rsid w:val="00D15BBC"/>
    <w:rsid w:val="00D16FDA"/>
    <w:rsid w:val="00D20234"/>
    <w:rsid w:val="00D205C0"/>
    <w:rsid w:val="00D2169A"/>
    <w:rsid w:val="00D2297D"/>
    <w:rsid w:val="00D22A6F"/>
    <w:rsid w:val="00D24BEF"/>
    <w:rsid w:val="00D25678"/>
    <w:rsid w:val="00D25B31"/>
    <w:rsid w:val="00D303EC"/>
    <w:rsid w:val="00D32043"/>
    <w:rsid w:val="00D3274E"/>
    <w:rsid w:val="00D32D15"/>
    <w:rsid w:val="00D33687"/>
    <w:rsid w:val="00D336BF"/>
    <w:rsid w:val="00D34D64"/>
    <w:rsid w:val="00D36459"/>
    <w:rsid w:val="00D36D93"/>
    <w:rsid w:val="00D41BA2"/>
    <w:rsid w:val="00D4216F"/>
    <w:rsid w:val="00D425FD"/>
    <w:rsid w:val="00D42ED9"/>
    <w:rsid w:val="00D445B8"/>
    <w:rsid w:val="00D450F8"/>
    <w:rsid w:val="00D453D6"/>
    <w:rsid w:val="00D45CF0"/>
    <w:rsid w:val="00D4607B"/>
    <w:rsid w:val="00D462CD"/>
    <w:rsid w:val="00D469BD"/>
    <w:rsid w:val="00D479F4"/>
    <w:rsid w:val="00D50226"/>
    <w:rsid w:val="00D5076B"/>
    <w:rsid w:val="00D513D6"/>
    <w:rsid w:val="00D515D0"/>
    <w:rsid w:val="00D53441"/>
    <w:rsid w:val="00D54F7C"/>
    <w:rsid w:val="00D56B0B"/>
    <w:rsid w:val="00D56B57"/>
    <w:rsid w:val="00D56E3E"/>
    <w:rsid w:val="00D57A8D"/>
    <w:rsid w:val="00D57D99"/>
    <w:rsid w:val="00D604EC"/>
    <w:rsid w:val="00D62DF7"/>
    <w:rsid w:val="00D6399A"/>
    <w:rsid w:val="00D658F7"/>
    <w:rsid w:val="00D66424"/>
    <w:rsid w:val="00D66DBC"/>
    <w:rsid w:val="00D6704B"/>
    <w:rsid w:val="00D67B36"/>
    <w:rsid w:val="00D71043"/>
    <w:rsid w:val="00D7205A"/>
    <w:rsid w:val="00D7268D"/>
    <w:rsid w:val="00D72EF3"/>
    <w:rsid w:val="00D73AFD"/>
    <w:rsid w:val="00D73E30"/>
    <w:rsid w:val="00D74772"/>
    <w:rsid w:val="00D74F31"/>
    <w:rsid w:val="00D75A1C"/>
    <w:rsid w:val="00D7675C"/>
    <w:rsid w:val="00D77AEE"/>
    <w:rsid w:val="00D77FF7"/>
    <w:rsid w:val="00D800FB"/>
    <w:rsid w:val="00D80E7C"/>
    <w:rsid w:val="00D81764"/>
    <w:rsid w:val="00D82ED6"/>
    <w:rsid w:val="00D848F6"/>
    <w:rsid w:val="00D85795"/>
    <w:rsid w:val="00D85D2E"/>
    <w:rsid w:val="00D879D9"/>
    <w:rsid w:val="00D87C7E"/>
    <w:rsid w:val="00D9145A"/>
    <w:rsid w:val="00D92157"/>
    <w:rsid w:val="00D9274C"/>
    <w:rsid w:val="00D927BF"/>
    <w:rsid w:val="00D94DAB"/>
    <w:rsid w:val="00D9746B"/>
    <w:rsid w:val="00D9769D"/>
    <w:rsid w:val="00D9785F"/>
    <w:rsid w:val="00DA217B"/>
    <w:rsid w:val="00DA2372"/>
    <w:rsid w:val="00DA2514"/>
    <w:rsid w:val="00DA2B5F"/>
    <w:rsid w:val="00DA38E3"/>
    <w:rsid w:val="00DA3958"/>
    <w:rsid w:val="00DA3A8C"/>
    <w:rsid w:val="00DA41C2"/>
    <w:rsid w:val="00DA4673"/>
    <w:rsid w:val="00DA585C"/>
    <w:rsid w:val="00DA7B9C"/>
    <w:rsid w:val="00DB1CE4"/>
    <w:rsid w:val="00DB1E0C"/>
    <w:rsid w:val="00DB2920"/>
    <w:rsid w:val="00DB2D42"/>
    <w:rsid w:val="00DB2F61"/>
    <w:rsid w:val="00DB3EAD"/>
    <w:rsid w:val="00DB46AA"/>
    <w:rsid w:val="00DB4708"/>
    <w:rsid w:val="00DB4B02"/>
    <w:rsid w:val="00DB5D10"/>
    <w:rsid w:val="00DB5E87"/>
    <w:rsid w:val="00DB6511"/>
    <w:rsid w:val="00DB73F3"/>
    <w:rsid w:val="00DB7A5B"/>
    <w:rsid w:val="00DB7B08"/>
    <w:rsid w:val="00DC0DD8"/>
    <w:rsid w:val="00DC11CA"/>
    <w:rsid w:val="00DC167D"/>
    <w:rsid w:val="00DC1696"/>
    <w:rsid w:val="00DC1A49"/>
    <w:rsid w:val="00DC1B88"/>
    <w:rsid w:val="00DC2301"/>
    <w:rsid w:val="00DC306D"/>
    <w:rsid w:val="00DC30CF"/>
    <w:rsid w:val="00DC3C97"/>
    <w:rsid w:val="00DC4677"/>
    <w:rsid w:val="00DC6195"/>
    <w:rsid w:val="00DC631A"/>
    <w:rsid w:val="00DC65B9"/>
    <w:rsid w:val="00DC7686"/>
    <w:rsid w:val="00DC7A72"/>
    <w:rsid w:val="00DC7BB4"/>
    <w:rsid w:val="00DC7C57"/>
    <w:rsid w:val="00DC7C72"/>
    <w:rsid w:val="00DD133D"/>
    <w:rsid w:val="00DD1AFE"/>
    <w:rsid w:val="00DD1CE3"/>
    <w:rsid w:val="00DD28FA"/>
    <w:rsid w:val="00DD2C59"/>
    <w:rsid w:val="00DD2FEA"/>
    <w:rsid w:val="00DD327B"/>
    <w:rsid w:val="00DD4D6C"/>
    <w:rsid w:val="00DD500F"/>
    <w:rsid w:val="00DD6667"/>
    <w:rsid w:val="00DE02CB"/>
    <w:rsid w:val="00DE1966"/>
    <w:rsid w:val="00DE1EDD"/>
    <w:rsid w:val="00DE21C9"/>
    <w:rsid w:val="00DE332A"/>
    <w:rsid w:val="00DE339F"/>
    <w:rsid w:val="00DE33E0"/>
    <w:rsid w:val="00DE393A"/>
    <w:rsid w:val="00DE3D53"/>
    <w:rsid w:val="00DE56DB"/>
    <w:rsid w:val="00DE6695"/>
    <w:rsid w:val="00DE6E2B"/>
    <w:rsid w:val="00DE7775"/>
    <w:rsid w:val="00DE7A3B"/>
    <w:rsid w:val="00DE7ED3"/>
    <w:rsid w:val="00DF2340"/>
    <w:rsid w:val="00DF24C4"/>
    <w:rsid w:val="00DF28F3"/>
    <w:rsid w:val="00DF3905"/>
    <w:rsid w:val="00DF3BBC"/>
    <w:rsid w:val="00DF3E0E"/>
    <w:rsid w:val="00DF3E23"/>
    <w:rsid w:val="00DF3ED1"/>
    <w:rsid w:val="00DF3FFD"/>
    <w:rsid w:val="00DF4041"/>
    <w:rsid w:val="00DF48A5"/>
    <w:rsid w:val="00DF5184"/>
    <w:rsid w:val="00DF521A"/>
    <w:rsid w:val="00DF6324"/>
    <w:rsid w:val="00DF756E"/>
    <w:rsid w:val="00DF782D"/>
    <w:rsid w:val="00E00D3C"/>
    <w:rsid w:val="00E00E77"/>
    <w:rsid w:val="00E00EB1"/>
    <w:rsid w:val="00E00EF4"/>
    <w:rsid w:val="00E0114B"/>
    <w:rsid w:val="00E018EA"/>
    <w:rsid w:val="00E0199F"/>
    <w:rsid w:val="00E02AE9"/>
    <w:rsid w:val="00E02FC9"/>
    <w:rsid w:val="00E0311F"/>
    <w:rsid w:val="00E037BB"/>
    <w:rsid w:val="00E03D3F"/>
    <w:rsid w:val="00E040D1"/>
    <w:rsid w:val="00E076ED"/>
    <w:rsid w:val="00E07FE0"/>
    <w:rsid w:val="00E1068B"/>
    <w:rsid w:val="00E10E88"/>
    <w:rsid w:val="00E10F07"/>
    <w:rsid w:val="00E1112A"/>
    <w:rsid w:val="00E1159E"/>
    <w:rsid w:val="00E11649"/>
    <w:rsid w:val="00E11E68"/>
    <w:rsid w:val="00E130A3"/>
    <w:rsid w:val="00E141B7"/>
    <w:rsid w:val="00E14C6A"/>
    <w:rsid w:val="00E154EC"/>
    <w:rsid w:val="00E15D4C"/>
    <w:rsid w:val="00E20ECA"/>
    <w:rsid w:val="00E22067"/>
    <w:rsid w:val="00E22110"/>
    <w:rsid w:val="00E227B8"/>
    <w:rsid w:val="00E2319F"/>
    <w:rsid w:val="00E231BC"/>
    <w:rsid w:val="00E245E1"/>
    <w:rsid w:val="00E250DC"/>
    <w:rsid w:val="00E25425"/>
    <w:rsid w:val="00E2567D"/>
    <w:rsid w:val="00E25E55"/>
    <w:rsid w:val="00E260AF"/>
    <w:rsid w:val="00E26547"/>
    <w:rsid w:val="00E275C0"/>
    <w:rsid w:val="00E27631"/>
    <w:rsid w:val="00E279C2"/>
    <w:rsid w:val="00E30A3A"/>
    <w:rsid w:val="00E31DA4"/>
    <w:rsid w:val="00E31ED4"/>
    <w:rsid w:val="00E31F44"/>
    <w:rsid w:val="00E342D4"/>
    <w:rsid w:val="00E35278"/>
    <w:rsid w:val="00E356C6"/>
    <w:rsid w:val="00E356E7"/>
    <w:rsid w:val="00E35D07"/>
    <w:rsid w:val="00E37659"/>
    <w:rsid w:val="00E37AC8"/>
    <w:rsid w:val="00E40C3A"/>
    <w:rsid w:val="00E430B1"/>
    <w:rsid w:val="00E43873"/>
    <w:rsid w:val="00E44E28"/>
    <w:rsid w:val="00E46867"/>
    <w:rsid w:val="00E47431"/>
    <w:rsid w:val="00E50EA6"/>
    <w:rsid w:val="00E510E5"/>
    <w:rsid w:val="00E51537"/>
    <w:rsid w:val="00E515A5"/>
    <w:rsid w:val="00E52805"/>
    <w:rsid w:val="00E52BFB"/>
    <w:rsid w:val="00E530BD"/>
    <w:rsid w:val="00E53816"/>
    <w:rsid w:val="00E53B8D"/>
    <w:rsid w:val="00E54D05"/>
    <w:rsid w:val="00E55B68"/>
    <w:rsid w:val="00E571FA"/>
    <w:rsid w:val="00E6073C"/>
    <w:rsid w:val="00E60849"/>
    <w:rsid w:val="00E60C2E"/>
    <w:rsid w:val="00E60C3C"/>
    <w:rsid w:val="00E61578"/>
    <w:rsid w:val="00E6211D"/>
    <w:rsid w:val="00E6343F"/>
    <w:rsid w:val="00E6435E"/>
    <w:rsid w:val="00E6464B"/>
    <w:rsid w:val="00E660E4"/>
    <w:rsid w:val="00E670BE"/>
    <w:rsid w:val="00E67583"/>
    <w:rsid w:val="00E67C2C"/>
    <w:rsid w:val="00E70B4C"/>
    <w:rsid w:val="00E70CAE"/>
    <w:rsid w:val="00E7111A"/>
    <w:rsid w:val="00E738E2"/>
    <w:rsid w:val="00E74069"/>
    <w:rsid w:val="00E7453F"/>
    <w:rsid w:val="00E75A30"/>
    <w:rsid w:val="00E75DD3"/>
    <w:rsid w:val="00E762F7"/>
    <w:rsid w:val="00E76FEA"/>
    <w:rsid w:val="00E77C61"/>
    <w:rsid w:val="00E77FD7"/>
    <w:rsid w:val="00E835C9"/>
    <w:rsid w:val="00E841BE"/>
    <w:rsid w:val="00E86913"/>
    <w:rsid w:val="00E86D2E"/>
    <w:rsid w:val="00E87458"/>
    <w:rsid w:val="00E874C9"/>
    <w:rsid w:val="00E90D63"/>
    <w:rsid w:val="00E91E98"/>
    <w:rsid w:val="00E927CE"/>
    <w:rsid w:val="00E93C7A"/>
    <w:rsid w:val="00E93EDF"/>
    <w:rsid w:val="00E957DF"/>
    <w:rsid w:val="00E960A3"/>
    <w:rsid w:val="00E97E25"/>
    <w:rsid w:val="00EA018F"/>
    <w:rsid w:val="00EA0493"/>
    <w:rsid w:val="00EA0C07"/>
    <w:rsid w:val="00EA0C15"/>
    <w:rsid w:val="00EA15CB"/>
    <w:rsid w:val="00EA1A0A"/>
    <w:rsid w:val="00EA2B63"/>
    <w:rsid w:val="00EA3C1D"/>
    <w:rsid w:val="00EA3DEE"/>
    <w:rsid w:val="00EA4658"/>
    <w:rsid w:val="00EA4668"/>
    <w:rsid w:val="00EA54F6"/>
    <w:rsid w:val="00EA588C"/>
    <w:rsid w:val="00EA62F3"/>
    <w:rsid w:val="00EA7066"/>
    <w:rsid w:val="00EA753B"/>
    <w:rsid w:val="00EB00D7"/>
    <w:rsid w:val="00EB01D5"/>
    <w:rsid w:val="00EB04D4"/>
    <w:rsid w:val="00EB0A1F"/>
    <w:rsid w:val="00EB10AD"/>
    <w:rsid w:val="00EB1538"/>
    <w:rsid w:val="00EB1908"/>
    <w:rsid w:val="00EB3B57"/>
    <w:rsid w:val="00EB3EC0"/>
    <w:rsid w:val="00EB4778"/>
    <w:rsid w:val="00EB49B9"/>
    <w:rsid w:val="00EB4D2B"/>
    <w:rsid w:val="00EB50F1"/>
    <w:rsid w:val="00EB74CC"/>
    <w:rsid w:val="00EB7664"/>
    <w:rsid w:val="00EC1D91"/>
    <w:rsid w:val="00EC27E4"/>
    <w:rsid w:val="00EC2F9E"/>
    <w:rsid w:val="00EC3604"/>
    <w:rsid w:val="00EC4575"/>
    <w:rsid w:val="00EC510C"/>
    <w:rsid w:val="00EC602C"/>
    <w:rsid w:val="00EC6D31"/>
    <w:rsid w:val="00EC6DE5"/>
    <w:rsid w:val="00ED032D"/>
    <w:rsid w:val="00ED070D"/>
    <w:rsid w:val="00ED131F"/>
    <w:rsid w:val="00ED1813"/>
    <w:rsid w:val="00ED3741"/>
    <w:rsid w:val="00ED58B4"/>
    <w:rsid w:val="00ED722F"/>
    <w:rsid w:val="00EE069A"/>
    <w:rsid w:val="00EE204A"/>
    <w:rsid w:val="00EE2161"/>
    <w:rsid w:val="00EE2BD5"/>
    <w:rsid w:val="00EE2C93"/>
    <w:rsid w:val="00EE3674"/>
    <w:rsid w:val="00EE4217"/>
    <w:rsid w:val="00EE43ED"/>
    <w:rsid w:val="00EE4418"/>
    <w:rsid w:val="00EE469C"/>
    <w:rsid w:val="00EE5021"/>
    <w:rsid w:val="00EE50AD"/>
    <w:rsid w:val="00EE5AAA"/>
    <w:rsid w:val="00EE5E45"/>
    <w:rsid w:val="00EF0A96"/>
    <w:rsid w:val="00EF0B43"/>
    <w:rsid w:val="00EF1F5E"/>
    <w:rsid w:val="00EF3EC6"/>
    <w:rsid w:val="00EF47D9"/>
    <w:rsid w:val="00EF650B"/>
    <w:rsid w:val="00EF7844"/>
    <w:rsid w:val="00F0007D"/>
    <w:rsid w:val="00F00731"/>
    <w:rsid w:val="00F019AD"/>
    <w:rsid w:val="00F01C8F"/>
    <w:rsid w:val="00F01E28"/>
    <w:rsid w:val="00F026CC"/>
    <w:rsid w:val="00F0288A"/>
    <w:rsid w:val="00F03B7D"/>
    <w:rsid w:val="00F03C32"/>
    <w:rsid w:val="00F04612"/>
    <w:rsid w:val="00F04927"/>
    <w:rsid w:val="00F0603A"/>
    <w:rsid w:val="00F06415"/>
    <w:rsid w:val="00F06497"/>
    <w:rsid w:val="00F10AF1"/>
    <w:rsid w:val="00F10CBE"/>
    <w:rsid w:val="00F1185F"/>
    <w:rsid w:val="00F11C13"/>
    <w:rsid w:val="00F12DE7"/>
    <w:rsid w:val="00F12E5D"/>
    <w:rsid w:val="00F139A7"/>
    <w:rsid w:val="00F13B41"/>
    <w:rsid w:val="00F13CFC"/>
    <w:rsid w:val="00F13DA1"/>
    <w:rsid w:val="00F15212"/>
    <w:rsid w:val="00F16576"/>
    <w:rsid w:val="00F21136"/>
    <w:rsid w:val="00F21661"/>
    <w:rsid w:val="00F243C2"/>
    <w:rsid w:val="00F25FFD"/>
    <w:rsid w:val="00F26C80"/>
    <w:rsid w:val="00F273FE"/>
    <w:rsid w:val="00F279B7"/>
    <w:rsid w:val="00F3193C"/>
    <w:rsid w:val="00F31B46"/>
    <w:rsid w:val="00F3386B"/>
    <w:rsid w:val="00F338C9"/>
    <w:rsid w:val="00F339DC"/>
    <w:rsid w:val="00F3753A"/>
    <w:rsid w:val="00F376BD"/>
    <w:rsid w:val="00F37FF0"/>
    <w:rsid w:val="00F400D2"/>
    <w:rsid w:val="00F40B25"/>
    <w:rsid w:val="00F42A8D"/>
    <w:rsid w:val="00F42D22"/>
    <w:rsid w:val="00F4369E"/>
    <w:rsid w:val="00F4397D"/>
    <w:rsid w:val="00F439D2"/>
    <w:rsid w:val="00F43BA3"/>
    <w:rsid w:val="00F44BA4"/>
    <w:rsid w:val="00F44DC9"/>
    <w:rsid w:val="00F44F48"/>
    <w:rsid w:val="00F4526D"/>
    <w:rsid w:val="00F4712B"/>
    <w:rsid w:val="00F4740E"/>
    <w:rsid w:val="00F47753"/>
    <w:rsid w:val="00F4777E"/>
    <w:rsid w:val="00F47996"/>
    <w:rsid w:val="00F500FE"/>
    <w:rsid w:val="00F505AC"/>
    <w:rsid w:val="00F5074C"/>
    <w:rsid w:val="00F519F7"/>
    <w:rsid w:val="00F51B1C"/>
    <w:rsid w:val="00F52A4A"/>
    <w:rsid w:val="00F55BEB"/>
    <w:rsid w:val="00F561DB"/>
    <w:rsid w:val="00F56BB4"/>
    <w:rsid w:val="00F575BF"/>
    <w:rsid w:val="00F602FC"/>
    <w:rsid w:val="00F60B1A"/>
    <w:rsid w:val="00F60F5C"/>
    <w:rsid w:val="00F612AF"/>
    <w:rsid w:val="00F616A0"/>
    <w:rsid w:val="00F61A64"/>
    <w:rsid w:val="00F620E4"/>
    <w:rsid w:val="00F62921"/>
    <w:rsid w:val="00F631C1"/>
    <w:rsid w:val="00F63982"/>
    <w:rsid w:val="00F63A26"/>
    <w:rsid w:val="00F64C67"/>
    <w:rsid w:val="00F654A9"/>
    <w:rsid w:val="00F654E2"/>
    <w:rsid w:val="00F6786E"/>
    <w:rsid w:val="00F70174"/>
    <w:rsid w:val="00F701AD"/>
    <w:rsid w:val="00F70D39"/>
    <w:rsid w:val="00F724AB"/>
    <w:rsid w:val="00F72AB3"/>
    <w:rsid w:val="00F7302A"/>
    <w:rsid w:val="00F7596C"/>
    <w:rsid w:val="00F80B66"/>
    <w:rsid w:val="00F80FCC"/>
    <w:rsid w:val="00F8228A"/>
    <w:rsid w:val="00F83449"/>
    <w:rsid w:val="00F83AB9"/>
    <w:rsid w:val="00F844D4"/>
    <w:rsid w:val="00F84E64"/>
    <w:rsid w:val="00F85F9E"/>
    <w:rsid w:val="00F86314"/>
    <w:rsid w:val="00F86A22"/>
    <w:rsid w:val="00F86EBF"/>
    <w:rsid w:val="00F91F60"/>
    <w:rsid w:val="00F92A9F"/>
    <w:rsid w:val="00F93632"/>
    <w:rsid w:val="00F93950"/>
    <w:rsid w:val="00F950FF"/>
    <w:rsid w:val="00F969B8"/>
    <w:rsid w:val="00F9707C"/>
    <w:rsid w:val="00FA04B3"/>
    <w:rsid w:val="00FA04CA"/>
    <w:rsid w:val="00FA130E"/>
    <w:rsid w:val="00FA16EF"/>
    <w:rsid w:val="00FA22DF"/>
    <w:rsid w:val="00FA519E"/>
    <w:rsid w:val="00FA552C"/>
    <w:rsid w:val="00FA5BF7"/>
    <w:rsid w:val="00FA5C58"/>
    <w:rsid w:val="00FA5F78"/>
    <w:rsid w:val="00FA5FEE"/>
    <w:rsid w:val="00FA62BF"/>
    <w:rsid w:val="00FA6554"/>
    <w:rsid w:val="00FA71A5"/>
    <w:rsid w:val="00FA7E00"/>
    <w:rsid w:val="00FB098B"/>
    <w:rsid w:val="00FB2675"/>
    <w:rsid w:val="00FB2B81"/>
    <w:rsid w:val="00FB3302"/>
    <w:rsid w:val="00FB59C3"/>
    <w:rsid w:val="00FB5B67"/>
    <w:rsid w:val="00FB5F96"/>
    <w:rsid w:val="00FB669B"/>
    <w:rsid w:val="00FB75A4"/>
    <w:rsid w:val="00FC0735"/>
    <w:rsid w:val="00FC09CB"/>
    <w:rsid w:val="00FC157F"/>
    <w:rsid w:val="00FC1A76"/>
    <w:rsid w:val="00FC20DA"/>
    <w:rsid w:val="00FC402E"/>
    <w:rsid w:val="00FC5F7D"/>
    <w:rsid w:val="00FC6F43"/>
    <w:rsid w:val="00FC74FF"/>
    <w:rsid w:val="00FD162E"/>
    <w:rsid w:val="00FD22CD"/>
    <w:rsid w:val="00FD2985"/>
    <w:rsid w:val="00FD37FE"/>
    <w:rsid w:val="00FD3852"/>
    <w:rsid w:val="00FD47B3"/>
    <w:rsid w:val="00FD52B8"/>
    <w:rsid w:val="00FD5412"/>
    <w:rsid w:val="00FD5946"/>
    <w:rsid w:val="00FD59A8"/>
    <w:rsid w:val="00FD6D56"/>
    <w:rsid w:val="00FD71D5"/>
    <w:rsid w:val="00FD7238"/>
    <w:rsid w:val="00FE031E"/>
    <w:rsid w:val="00FE0D15"/>
    <w:rsid w:val="00FE1204"/>
    <w:rsid w:val="00FE1A63"/>
    <w:rsid w:val="00FE1B5C"/>
    <w:rsid w:val="00FE2E95"/>
    <w:rsid w:val="00FE4C00"/>
    <w:rsid w:val="00FE4F8A"/>
    <w:rsid w:val="00FE522F"/>
    <w:rsid w:val="00FE52DE"/>
    <w:rsid w:val="00FE5836"/>
    <w:rsid w:val="00FE71C5"/>
    <w:rsid w:val="00FE7EFB"/>
    <w:rsid w:val="00FF0C5E"/>
    <w:rsid w:val="00FF0F39"/>
    <w:rsid w:val="00FF2250"/>
    <w:rsid w:val="00FF276D"/>
    <w:rsid w:val="00FF6872"/>
    <w:rsid w:val="00FF747F"/>
    <w:rsid w:val="00FF7BEE"/>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D91715D"/>
  <w15:chartTrackingRefBased/>
  <w15:docId w15:val="{4D470C33-5C94-5F43-9698-559BCB770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8BA"/>
    <w:rPr>
      <w:rFonts w:ascii="Times New Roman" w:eastAsia="Times New Roman" w:hAnsi="Times New Roman" w:cs="Times New Roman"/>
      <w:kern w:val="0"/>
      <w:lang w:eastAsia="es-ES_tradnl"/>
      <w14:ligatures w14:val="none"/>
    </w:rPr>
  </w:style>
  <w:style w:type="paragraph" w:styleId="Ttulo1">
    <w:name w:val="heading 1"/>
    <w:basedOn w:val="Normal"/>
    <w:next w:val="Normal"/>
    <w:link w:val="Ttulo1Car"/>
    <w:uiPriority w:val="9"/>
    <w:qFormat/>
    <w:rsid w:val="00E762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E762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E762F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762F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762F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762F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762F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762F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762F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762F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E762F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E762F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762F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762F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762F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762F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762F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762F7"/>
    <w:rPr>
      <w:rFonts w:eastAsiaTheme="majorEastAsia" w:cstheme="majorBidi"/>
      <w:color w:val="272727" w:themeColor="text1" w:themeTint="D8"/>
    </w:rPr>
  </w:style>
  <w:style w:type="paragraph" w:styleId="Ttulo">
    <w:name w:val="Title"/>
    <w:basedOn w:val="Normal"/>
    <w:next w:val="Normal"/>
    <w:link w:val="TtuloCar"/>
    <w:uiPriority w:val="10"/>
    <w:qFormat/>
    <w:rsid w:val="00E762F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762F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762F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762F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762F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762F7"/>
    <w:rPr>
      <w:i/>
      <w:iCs/>
      <w:color w:val="404040" w:themeColor="text1" w:themeTint="BF"/>
    </w:rPr>
  </w:style>
  <w:style w:type="paragraph" w:styleId="Prrafodelista">
    <w:name w:val="List Paragraph"/>
    <w:basedOn w:val="Normal"/>
    <w:uiPriority w:val="34"/>
    <w:qFormat/>
    <w:rsid w:val="00E762F7"/>
    <w:pPr>
      <w:ind w:left="720"/>
      <w:contextualSpacing/>
    </w:pPr>
  </w:style>
  <w:style w:type="character" w:styleId="nfasisintenso">
    <w:name w:val="Intense Emphasis"/>
    <w:basedOn w:val="Fuentedeprrafopredeter"/>
    <w:uiPriority w:val="21"/>
    <w:qFormat/>
    <w:rsid w:val="00E762F7"/>
    <w:rPr>
      <w:i/>
      <w:iCs/>
      <w:color w:val="0F4761" w:themeColor="accent1" w:themeShade="BF"/>
    </w:rPr>
  </w:style>
  <w:style w:type="paragraph" w:styleId="Citadestacada">
    <w:name w:val="Intense Quote"/>
    <w:basedOn w:val="Normal"/>
    <w:next w:val="Normal"/>
    <w:link w:val="CitadestacadaCar"/>
    <w:uiPriority w:val="30"/>
    <w:qFormat/>
    <w:rsid w:val="00E762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762F7"/>
    <w:rPr>
      <w:i/>
      <w:iCs/>
      <w:color w:val="0F4761" w:themeColor="accent1" w:themeShade="BF"/>
    </w:rPr>
  </w:style>
  <w:style w:type="character" w:styleId="Referenciaintensa">
    <w:name w:val="Intense Reference"/>
    <w:basedOn w:val="Fuentedeprrafopredeter"/>
    <w:uiPriority w:val="32"/>
    <w:qFormat/>
    <w:rsid w:val="00E762F7"/>
    <w:rPr>
      <w:b/>
      <w:bCs/>
      <w:smallCaps/>
      <w:color w:val="0F4761" w:themeColor="accent1" w:themeShade="BF"/>
      <w:spacing w:val="5"/>
    </w:rPr>
  </w:style>
  <w:style w:type="paragraph" w:styleId="TtuloTDC">
    <w:name w:val="TOC Heading"/>
    <w:basedOn w:val="Ttulo1"/>
    <w:next w:val="Normal"/>
    <w:uiPriority w:val="39"/>
    <w:unhideWhenUsed/>
    <w:qFormat/>
    <w:rsid w:val="000F0719"/>
    <w:pPr>
      <w:spacing w:before="480" w:after="0" w:line="276" w:lineRule="auto"/>
      <w:outlineLvl w:val="9"/>
    </w:pPr>
    <w:rPr>
      <w:b/>
      <w:bCs/>
      <w:sz w:val="28"/>
      <w:szCs w:val="28"/>
    </w:rPr>
  </w:style>
  <w:style w:type="paragraph" w:styleId="TDC1">
    <w:name w:val="toc 1"/>
    <w:basedOn w:val="Normal"/>
    <w:next w:val="Normal"/>
    <w:autoRedefine/>
    <w:uiPriority w:val="39"/>
    <w:unhideWhenUsed/>
    <w:rsid w:val="000F0719"/>
    <w:pPr>
      <w:spacing w:before="120"/>
    </w:pPr>
    <w:rPr>
      <w:rFonts w:asciiTheme="minorHAnsi" w:hAnsiTheme="minorHAnsi"/>
      <w:b/>
      <w:bCs/>
      <w:i/>
      <w:iCs/>
    </w:rPr>
  </w:style>
  <w:style w:type="paragraph" w:styleId="TDC2">
    <w:name w:val="toc 2"/>
    <w:basedOn w:val="Normal"/>
    <w:next w:val="Normal"/>
    <w:autoRedefine/>
    <w:uiPriority w:val="39"/>
    <w:unhideWhenUsed/>
    <w:rsid w:val="000F0719"/>
    <w:pPr>
      <w:spacing w:before="120"/>
      <w:ind w:left="240"/>
    </w:pPr>
    <w:rPr>
      <w:rFonts w:asciiTheme="minorHAnsi" w:hAnsiTheme="minorHAnsi"/>
      <w:b/>
      <w:bCs/>
      <w:sz w:val="22"/>
      <w:szCs w:val="22"/>
    </w:rPr>
  </w:style>
  <w:style w:type="character" w:styleId="Hipervnculo">
    <w:name w:val="Hyperlink"/>
    <w:basedOn w:val="Fuentedeprrafopredeter"/>
    <w:uiPriority w:val="99"/>
    <w:unhideWhenUsed/>
    <w:rsid w:val="000F0719"/>
    <w:rPr>
      <w:color w:val="467886" w:themeColor="hyperlink"/>
      <w:u w:val="single"/>
    </w:rPr>
  </w:style>
  <w:style w:type="paragraph" w:styleId="TDC3">
    <w:name w:val="toc 3"/>
    <w:basedOn w:val="Normal"/>
    <w:next w:val="Normal"/>
    <w:autoRedefine/>
    <w:uiPriority w:val="39"/>
    <w:unhideWhenUsed/>
    <w:rsid w:val="000F0719"/>
    <w:pPr>
      <w:ind w:left="480"/>
    </w:pPr>
    <w:rPr>
      <w:rFonts w:asciiTheme="minorHAnsi" w:hAnsiTheme="minorHAnsi"/>
      <w:sz w:val="20"/>
      <w:szCs w:val="20"/>
    </w:rPr>
  </w:style>
  <w:style w:type="paragraph" w:styleId="TDC4">
    <w:name w:val="toc 4"/>
    <w:basedOn w:val="Normal"/>
    <w:next w:val="Normal"/>
    <w:autoRedefine/>
    <w:uiPriority w:val="39"/>
    <w:semiHidden/>
    <w:unhideWhenUsed/>
    <w:rsid w:val="000F0719"/>
    <w:pPr>
      <w:ind w:left="720"/>
    </w:pPr>
    <w:rPr>
      <w:rFonts w:asciiTheme="minorHAnsi" w:hAnsiTheme="minorHAnsi"/>
      <w:sz w:val="20"/>
      <w:szCs w:val="20"/>
    </w:rPr>
  </w:style>
  <w:style w:type="paragraph" w:styleId="TDC5">
    <w:name w:val="toc 5"/>
    <w:basedOn w:val="Normal"/>
    <w:next w:val="Normal"/>
    <w:autoRedefine/>
    <w:uiPriority w:val="39"/>
    <w:semiHidden/>
    <w:unhideWhenUsed/>
    <w:rsid w:val="000F0719"/>
    <w:pPr>
      <w:ind w:left="960"/>
    </w:pPr>
    <w:rPr>
      <w:rFonts w:asciiTheme="minorHAnsi" w:hAnsiTheme="minorHAnsi"/>
      <w:sz w:val="20"/>
      <w:szCs w:val="20"/>
    </w:rPr>
  </w:style>
  <w:style w:type="paragraph" w:styleId="TDC6">
    <w:name w:val="toc 6"/>
    <w:basedOn w:val="Normal"/>
    <w:next w:val="Normal"/>
    <w:autoRedefine/>
    <w:uiPriority w:val="39"/>
    <w:semiHidden/>
    <w:unhideWhenUsed/>
    <w:rsid w:val="000F0719"/>
    <w:pPr>
      <w:ind w:left="1200"/>
    </w:pPr>
    <w:rPr>
      <w:rFonts w:asciiTheme="minorHAnsi" w:hAnsiTheme="minorHAnsi"/>
      <w:sz w:val="20"/>
      <w:szCs w:val="20"/>
    </w:rPr>
  </w:style>
  <w:style w:type="paragraph" w:styleId="TDC7">
    <w:name w:val="toc 7"/>
    <w:basedOn w:val="Normal"/>
    <w:next w:val="Normal"/>
    <w:autoRedefine/>
    <w:uiPriority w:val="39"/>
    <w:semiHidden/>
    <w:unhideWhenUsed/>
    <w:rsid w:val="000F0719"/>
    <w:pPr>
      <w:ind w:left="1440"/>
    </w:pPr>
    <w:rPr>
      <w:rFonts w:asciiTheme="minorHAnsi" w:hAnsiTheme="minorHAnsi"/>
      <w:sz w:val="20"/>
      <w:szCs w:val="20"/>
    </w:rPr>
  </w:style>
  <w:style w:type="paragraph" w:styleId="TDC8">
    <w:name w:val="toc 8"/>
    <w:basedOn w:val="Normal"/>
    <w:next w:val="Normal"/>
    <w:autoRedefine/>
    <w:uiPriority w:val="39"/>
    <w:semiHidden/>
    <w:unhideWhenUsed/>
    <w:rsid w:val="000F0719"/>
    <w:pPr>
      <w:ind w:left="1680"/>
    </w:pPr>
    <w:rPr>
      <w:rFonts w:asciiTheme="minorHAnsi" w:hAnsiTheme="minorHAnsi"/>
      <w:sz w:val="20"/>
      <w:szCs w:val="20"/>
    </w:rPr>
  </w:style>
  <w:style w:type="paragraph" w:styleId="TDC9">
    <w:name w:val="toc 9"/>
    <w:basedOn w:val="Normal"/>
    <w:next w:val="Normal"/>
    <w:autoRedefine/>
    <w:uiPriority w:val="39"/>
    <w:semiHidden/>
    <w:unhideWhenUsed/>
    <w:rsid w:val="000F0719"/>
    <w:pPr>
      <w:ind w:left="1920"/>
    </w:pPr>
    <w:rPr>
      <w:rFonts w:asciiTheme="minorHAnsi" w:hAnsiTheme="minorHAnsi"/>
      <w:sz w:val="20"/>
      <w:szCs w:val="20"/>
    </w:rPr>
  </w:style>
  <w:style w:type="paragraph" w:styleId="NormalWeb">
    <w:name w:val="Normal (Web)"/>
    <w:basedOn w:val="Normal"/>
    <w:uiPriority w:val="99"/>
    <w:unhideWhenUsed/>
    <w:rsid w:val="00EE5AAA"/>
    <w:pPr>
      <w:spacing w:before="100" w:beforeAutospacing="1" w:after="100" w:afterAutospacing="1"/>
    </w:pPr>
  </w:style>
  <w:style w:type="paragraph" w:customStyle="1" w:styleId="p1">
    <w:name w:val="p1"/>
    <w:basedOn w:val="Normal"/>
    <w:rsid w:val="00225E2F"/>
    <w:rPr>
      <w:color w:val="000000"/>
      <w:sz w:val="17"/>
      <w:szCs w:val="17"/>
    </w:rPr>
  </w:style>
  <w:style w:type="character" w:customStyle="1" w:styleId="apple-converted-space">
    <w:name w:val="apple-converted-space"/>
    <w:basedOn w:val="Fuentedeprrafopredeter"/>
    <w:rsid w:val="00150363"/>
  </w:style>
  <w:style w:type="character" w:styleId="Mencinsinresolver">
    <w:name w:val="Unresolved Mention"/>
    <w:basedOn w:val="Fuentedeprrafopredeter"/>
    <w:uiPriority w:val="99"/>
    <w:semiHidden/>
    <w:unhideWhenUsed/>
    <w:rsid w:val="00CA4844"/>
    <w:rPr>
      <w:color w:val="605E5C"/>
      <w:shd w:val="clear" w:color="auto" w:fill="E1DFDD"/>
    </w:rPr>
  </w:style>
  <w:style w:type="paragraph" w:customStyle="1" w:styleId="p2">
    <w:name w:val="p2"/>
    <w:basedOn w:val="Normal"/>
    <w:rsid w:val="0053642C"/>
    <w:rPr>
      <w:rFonts w:ascii="Georgia" w:hAnsi="Georgia"/>
      <w:color w:val="000000"/>
      <w:sz w:val="42"/>
      <w:szCs w:val="42"/>
    </w:rPr>
  </w:style>
  <w:style w:type="character" w:customStyle="1" w:styleId="s1">
    <w:name w:val="s1"/>
    <w:basedOn w:val="Fuentedeprrafopredeter"/>
    <w:rsid w:val="0053642C"/>
    <w:rPr>
      <w:color w:val="A21B12"/>
    </w:rPr>
  </w:style>
  <w:style w:type="character" w:customStyle="1" w:styleId="topicparatopictextcub0d">
    <w:name w:val="topicpara_topictext__cub0d"/>
    <w:basedOn w:val="Fuentedeprrafopredeter"/>
    <w:rsid w:val="00E10E88"/>
  </w:style>
  <w:style w:type="character" w:styleId="Hipervnculovisitado">
    <w:name w:val="FollowedHyperlink"/>
    <w:basedOn w:val="Fuentedeprrafopredeter"/>
    <w:uiPriority w:val="99"/>
    <w:semiHidden/>
    <w:unhideWhenUsed/>
    <w:rsid w:val="00767EDC"/>
    <w:rPr>
      <w:color w:val="96607D" w:themeColor="followedHyperlink"/>
      <w:u w:val="single"/>
    </w:rPr>
  </w:style>
  <w:style w:type="character" w:customStyle="1" w:styleId="vkekvd">
    <w:name w:val="vkekvd"/>
    <w:basedOn w:val="Fuentedeprrafopredeter"/>
    <w:rsid w:val="005C3911"/>
  </w:style>
  <w:style w:type="character" w:customStyle="1" w:styleId="article-title">
    <w:name w:val="article-title"/>
    <w:basedOn w:val="Fuentedeprrafopredeter"/>
    <w:rsid w:val="00AF01DF"/>
  </w:style>
  <w:style w:type="character" w:styleId="nfasis">
    <w:name w:val="Emphasis"/>
    <w:basedOn w:val="Fuentedeprrafopredeter"/>
    <w:uiPriority w:val="20"/>
    <w:qFormat/>
    <w:rsid w:val="00A62F48"/>
    <w:rPr>
      <w:i/>
      <w:iCs/>
    </w:rPr>
  </w:style>
  <w:style w:type="character" w:styleId="Fuerte">
    <w:name w:val="Strong"/>
    <w:basedOn w:val="Fuentedeprrafopredeter"/>
    <w:uiPriority w:val="22"/>
    <w:qFormat/>
    <w:rsid w:val="007749AE"/>
    <w:rPr>
      <w:b/>
      <w:bCs/>
    </w:rPr>
  </w:style>
  <w:style w:type="character" w:customStyle="1" w:styleId="highlight">
    <w:name w:val="highlight"/>
    <w:basedOn w:val="Fuentedeprrafopredeter"/>
    <w:rsid w:val="002328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1wqtxts1xzle7.cloudfront.net/117258108/230440235-libre.pdf" TargetMode="External"/><Relationship Id="rId13" Type="http://schemas.openxmlformats.org/officeDocument/2006/relationships/hyperlink" Target="https://www.boe.es/buscar/act.php?id=BOE-A-1995-25444" TargetMode="External"/><Relationship Id="rId18" Type="http://schemas.openxmlformats.org/officeDocument/2006/relationships/hyperlink" Target="https://doi.org/10.11144/Javeriana.upsy18-3.vgpa"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forense.org/wp-content/uploads/2020/12/evaluacion-del-estado-psicoemocional-en-menores-testigos-de-vg-2020-12-22.pdf" TargetMode="External"/><Relationship Id="rId7" Type="http://schemas.openxmlformats.org/officeDocument/2006/relationships/hyperlink" Target="https://dehesa.unex.es/entities/publication/1849dd37-aec8-4f50-a8dc-9d96fcd7e48e" TargetMode="External"/><Relationship Id="rId12" Type="http://schemas.openxmlformats.org/officeDocument/2006/relationships/hyperlink" Target="https://scholar.google.com/scholar?hl=es&amp;as_sdt=0%2C5&amp;q=menores+expuestos+a+violencia+de+genero+ambito+criminol%C3%B3gico+&amp;btnG=" TargetMode="External"/><Relationship Id="rId17" Type="http://schemas.openxmlformats.org/officeDocument/2006/relationships/hyperlink" Target="https://doi.org/10.22267/rus.202202.189"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ine.es/dyngs/Prensa/ECAECM2024.htm" TargetMode="External"/><Relationship Id="rId20" Type="http://schemas.openxmlformats.org/officeDocument/2006/relationships/hyperlink" Target="https://espanol.womenshealth.gov/relationships-and-safety/domestic-violence/effects-domestic-violence-children"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violenciagenero.igualdad.gob.es/statistics/macroencusta2019.htm" TargetMode="External"/><Relationship Id="rId24" Type="http://schemas.openxmlformats.org/officeDocument/2006/relationships/hyperlink" Target="https://scielo.isciii.es/pdf/cmf/n43-44/11.pdf" TargetMode="External"/><Relationship Id="rId5" Type="http://schemas.openxmlformats.org/officeDocument/2006/relationships/webSettings" Target="webSettings.xml"/><Relationship Id="rId15" Type="http://schemas.openxmlformats.org/officeDocument/2006/relationships/hyperlink" Target="https://dx.doi.org/10.5027/psicoperspectivas-vol23-issue2-fulltext-3029" TargetMode="External"/><Relationship Id="rId23" Type="http://schemas.openxmlformats.org/officeDocument/2006/relationships/hyperlink" Target="https://psicologiaymente.com/desarrollo/violencia-intafamiliar-efectos-ninos" TargetMode="External"/><Relationship Id="rId10" Type="http://schemas.openxmlformats.org/officeDocument/2006/relationships/hyperlink" Target="https://www.researchgate.net/profile/Sandra-Carracedo/publication/277007138_Menores_expuestos_a_situaciones_de_violencia_de_genero_Evaluacion_referenciada_y_autoinformada/links/555da36908ae9963a1127dbb/Menores-expuestos-a-situaciones-de-violencia-de-genero-Evaluacion-referenciada-y-autoinformada.pdf" TargetMode="External"/><Relationship Id="rId19" Type="http://schemas.openxmlformats.org/officeDocument/2006/relationships/hyperlink" Target="https://violenciagenero.igualdad.gob.es/wp-content/uploads/VMortalesmenores_2024_11_29.pdf" TargetMode="External"/><Relationship Id="rId4" Type="http://schemas.openxmlformats.org/officeDocument/2006/relationships/settings" Target="settings.xml"/><Relationship Id="rId9" Type="http://schemas.openxmlformats.org/officeDocument/2006/relationships/hyperlink" Target="http://dx.doi.org/10.18259/acs.2017002" TargetMode="External"/><Relationship Id="rId14" Type="http://schemas.openxmlformats.org/officeDocument/2006/relationships/hyperlink" Target="https://www.boe.es/buscar/act.php?id=BOE-A-2004-21760" TargetMode="External"/><Relationship Id="rId22" Type="http://schemas.openxmlformats.org/officeDocument/2006/relationships/hyperlink" Target="https://www.inmujeres.gob.es/publicacioneselectronicas/documentacion/Revistas/ANALITICAS/DEA0180.pdf" TargetMode="External"/><Relationship Id="rId27" Type="http://schemas.microsoft.com/office/2020/10/relationships/intelligence" Target="intelligence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9E7C7D-5A40-F044-BCEA-1188A1EA6A02}">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34</Pages>
  <Words>10345</Words>
  <Characters>56899</Characters>
  <Application>Microsoft Office Word</Application>
  <DocSecurity>0</DocSecurity>
  <Lines>474</Lines>
  <Paragraphs>134</Paragraphs>
  <ScaleCrop>false</ScaleCrop>
  <Company/>
  <LinksUpToDate>false</LinksUpToDate>
  <CharactersWithSpaces>67110</CharactersWithSpaces>
  <SharedDoc>false</SharedDoc>
  <HLinks>
    <vt:vector size="156" baseType="variant">
      <vt:variant>
        <vt:i4>524359</vt:i4>
      </vt:variant>
      <vt:variant>
        <vt:i4>75</vt:i4>
      </vt:variant>
      <vt:variant>
        <vt:i4>0</vt:i4>
      </vt:variant>
      <vt:variant>
        <vt:i4>5</vt:i4>
      </vt:variant>
      <vt:variant>
        <vt:lpwstr>https://dehesa.unex.es/entities/publication/1849dd37-aec8-4f50-a8dc-9d96fcd7e48e</vt:lpwstr>
      </vt:variant>
      <vt:variant>
        <vt:lpwstr/>
      </vt:variant>
      <vt:variant>
        <vt:i4>4915269</vt:i4>
      </vt:variant>
      <vt:variant>
        <vt:i4>72</vt:i4>
      </vt:variant>
      <vt:variant>
        <vt:i4>0</vt:i4>
      </vt:variant>
      <vt:variant>
        <vt:i4>5</vt:i4>
      </vt:variant>
      <vt:variant>
        <vt:lpwstr>https://gredos.usal.es/bitstream/handle/10366/140057/72899-236124-2-PB.pdf?sequence=1&amp;isAllowed=y</vt:lpwstr>
      </vt:variant>
      <vt:variant>
        <vt:lpwstr/>
      </vt:variant>
      <vt:variant>
        <vt:i4>3276833</vt:i4>
      </vt:variant>
      <vt:variant>
        <vt:i4>69</vt:i4>
      </vt:variant>
      <vt:variant>
        <vt:i4>0</vt:i4>
      </vt:variant>
      <vt:variant>
        <vt:i4>5</vt:i4>
      </vt:variant>
      <vt:variant>
        <vt:lpwstr>https://www.savethechildren.es/publicaciones/en-la-violencia-de-genero-no-hay-una-sola-victima</vt:lpwstr>
      </vt:variant>
      <vt:variant>
        <vt:lpwstr/>
      </vt:variant>
      <vt:variant>
        <vt:i4>3407998</vt:i4>
      </vt:variant>
      <vt:variant>
        <vt:i4>66</vt:i4>
      </vt:variant>
      <vt:variant>
        <vt:i4>0</vt:i4>
      </vt:variant>
      <vt:variant>
        <vt:i4>5</vt:i4>
      </vt:variant>
      <vt:variant>
        <vt:lpwstr>https://scielo.isciii.es/pdf/cmf/n43-44/11.pdf</vt:lpwstr>
      </vt:variant>
      <vt:variant>
        <vt:lpwstr/>
      </vt:variant>
      <vt:variant>
        <vt:i4>3473469</vt:i4>
      </vt:variant>
      <vt:variant>
        <vt:i4>63</vt:i4>
      </vt:variant>
      <vt:variant>
        <vt:i4>0</vt:i4>
      </vt:variant>
      <vt:variant>
        <vt:i4>5</vt:i4>
      </vt:variant>
      <vt:variant>
        <vt:lpwstr>https://d1wqtxts1xzle7.cloudfront.net/117258108/230440235-libre.pdf</vt:lpwstr>
      </vt:variant>
      <vt:variant>
        <vt:lpwstr/>
      </vt:variant>
      <vt:variant>
        <vt:i4>3277049</vt:i4>
      </vt:variant>
      <vt:variant>
        <vt:i4>60</vt:i4>
      </vt:variant>
      <vt:variant>
        <vt:i4>0</vt:i4>
      </vt:variant>
      <vt:variant>
        <vt:i4>5</vt:i4>
      </vt:variant>
      <vt:variant>
        <vt:lpwstr>https://www.es.amnesty.org/en-que-estamos/espana/violencia-contra-las-mujeres/</vt:lpwstr>
      </vt:variant>
      <vt:variant>
        <vt:lpwstr>:~:text=La%20vergüenza%2C%20el%20miedo%20al,física%20de%20sus%20actuales%20parejas.&amp;text=Un%20paso%20muy%20positivo%20para,mujeres%20deciden%20denunciar%20la%20agresión</vt:lpwstr>
      </vt:variant>
      <vt:variant>
        <vt:i4>1245300</vt:i4>
      </vt:variant>
      <vt:variant>
        <vt:i4>57</vt:i4>
      </vt:variant>
      <vt:variant>
        <vt:i4>0</vt:i4>
      </vt:variant>
      <vt:variant>
        <vt:i4>5</vt:i4>
      </vt:variant>
      <vt:variant>
        <vt:lpwstr>https://www.inmujeres.gob.es/servRecursos/formacion/Pymes/docs/Introduccion/02_Definicion_de_violencia_de_genero.pdf</vt:lpwstr>
      </vt:variant>
      <vt:variant>
        <vt:lpwstr/>
      </vt:variant>
      <vt:variant>
        <vt:i4>4522051</vt:i4>
      </vt:variant>
      <vt:variant>
        <vt:i4>54</vt:i4>
      </vt:variant>
      <vt:variant>
        <vt:i4>0</vt:i4>
      </vt:variant>
      <vt:variant>
        <vt:i4>5</vt:i4>
      </vt:variant>
      <vt:variant>
        <vt:lpwstr>https://scielo.isciii.es/pdf/inter/v19n2/v19n2a03.pdf</vt:lpwstr>
      </vt:variant>
      <vt:variant>
        <vt:lpwstr/>
      </vt:variant>
      <vt:variant>
        <vt:i4>1245269</vt:i4>
      </vt:variant>
      <vt:variant>
        <vt:i4>51</vt:i4>
      </vt:variant>
      <vt:variant>
        <vt:i4>0</vt:i4>
      </vt:variant>
      <vt:variant>
        <vt:i4>5</vt:i4>
      </vt:variant>
      <vt:variant>
        <vt:lpwstr>https://psicologiaymente.com/desarrollo/violencia-intrafamiliar-efectos-ninos</vt:lpwstr>
      </vt:variant>
      <vt:variant>
        <vt:lpwstr/>
      </vt:variant>
      <vt:variant>
        <vt:i4>851973</vt:i4>
      </vt:variant>
      <vt:variant>
        <vt:i4>48</vt:i4>
      </vt:variant>
      <vt:variant>
        <vt:i4>0</vt:i4>
      </vt:variant>
      <vt:variant>
        <vt:i4>5</vt:i4>
      </vt:variant>
      <vt:variant>
        <vt:lpwstr>https://www.inmujeres.gob.es/publicacioneselectronicas/documentacion/Revistas/ANALITICAS/DEA0180.pdf</vt:lpwstr>
      </vt:variant>
      <vt:variant>
        <vt:lpwstr/>
      </vt:variant>
      <vt:variant>
        <vt:i4>5701723</vt:i4>
      </vt:variant>
      <vt:variant>
        <vt:i4>45</vt:i4>
      </vt:variant>
      <vt:variant>
        <vt:i4>0</vt:i4>
      </vt:variant>
      <vt:variant>
        <vt:i4>5</vt:i4>
      </vt:variant>
      <vt:variant>
        <vt:lpwstr>https://uforense.org/wp-content/uploads/2020/12/evaluacion-del-estado-psicoemocional-en-menores-testigos-de-vg-2020-12-22.pdf</vt:lpwstr>
      </vt:variant>
      <vt:variant>
        <vt:lpwstr/>
      </vt:variant>
      <vt:variant>
        <vt:i4>2883616</vt:i4>
      </vt:variant>
      <vt:variant>
        <vt:i4>42</vt:i4>
      </vt:variant>
      <vt:variant>
        <vt:i4>0</vt:i4>
      </vt:variant>
      <vt:variant>
        <vt:i4>5</vt:i4>
      </vt:variant>
      <vt:variant>
        <vt:lpwstr>https://espanol.womenshealth.gov/relationships-and-safety/domestic-violence/effects-domestic-violence-children</vt:lpwstr>
      </vt:variant>
      <vt:variant>
        <vt:lpwstr/>
      </vt:variant>
      <vt:variant>
        <vt:i4>7274503</vt:i4>
      </vt:variant>
      <vt:variant>
        <vt:i4>39</vt:i4>
      </vt:variant>
      <vt:variant>
        <vt:i4>0</vt:i4>
      </vt:variant>
      <vt:variant>
        <vt:i4>5</vt:i4>
      </vt:variant>
      <vt:variant>
        <vt:lpwstr>https://violenciagenero.igualdad.gob.es/wp-content/uploads/VMortalesmenores_2024_11_29.pdf</vt:lpwstr>
      </vt:variant>
      <vt:variant>
        <vt:lpwstr/>
      </vt:variant>
      <vt:variant>
        <vt:i4>1376326</vt:i4>
      </vt:variant>
      <vt:variant>
        <vt:i4>36</vt:i4>
      </vt:variant>
      <vt:variant>
        <vt:i4>0</vt:i4>
      </vt:variant>
      <vt:variant>
        <vt:i4>5</vt:i4>
      </vt:variant>
      <vt:variant>
        <vt:lpwstr>https://www.boe.es/buscar/act.php?id=BOE-A-2004-21760</vt:lpwstr>
      </vt:variant>
      <vt:variant>
        <vt:lpwstr/>
      </vt:variant>
      <vt:variant>
        <vt:i4>7536660</vt:i4>
      </vt:variant>
      <vt:variant>
        <vt:i4>33</vt:i4>
      </vt:variant>
      <vt:variant>
        <vt:i4>0</vt:i4>
      </vt:variant>
      <vt:variant>
        <vt:i4>5</vt:i4>
      </vt:variant>
      <vt:variant>
        <vt:lpwstr>https://www.boe.es/buscar/act.php?id=BOE-A-1995-25444&amp;utm_source=chatgpt.com</vt:lpwstr>
      </vt:variant>
      <vt:variant>
        <vt:lpwstr/>
      </vt:variant>
      <vt:variant>
        <vt:i4>7077965</vt:i4>
      </vt:variant>
      <vt:variant>
        <vt:i4>30</vt:i4>
      </vt:variant>
      <vt:variant>
        <vt:i4>0</vt:i4>
      </vt:variant>
      <vt:variant>
        <vt:i4>5</vt:i4>
      </vt:variant>
      <vt:variant>
        <vt:lpwstr>https://scholar.google.com/scholar?hl=es&amp;as_sdt=0%2C5&amp;q=menores+expuestos+a+violencia+de+genero+ambito+criminol%C3%B3gico+&amp;btnG=</vt:lpwstr>
      </vt:variant>
      <vt:variant>
        <vt:lpwstr/>
      </vt:variant>
      <vt:variant>
        <vt:i4>131138</vt:i4>
      </vt:variant>
      <vt:variant>
        <vt:i4>27</vt:i4>
      </vt:variant>
      <vt:variant>
        <vt:i4>0</vt:i4>
      </vt:variant>
      <vt:variant>
        <vt:i4>5</vt:i4>
      </vt:variant>
      <vt:variant>
        <vt:lpwstr>https://violenciagenero.igualdad.gob.es/statistics/macroencuesta2019.htm</vt:lpwstr>
      </vt:variant>
      <vt:variant>
        <vt:lpwstr/>
      </vt:variant>
      <vt:variant>
        <vt:i4>5111825</vt:i4>
      </vt:variant>
      <vt:variant>
        <vt:i4>24</vt:i4>
      </vt:variant>
      <vt:variant>
        <vt:i4>0</vt:i4>
      </vt:variant>
      <vt:variant>
        <vt:i4>5</vt:i4>
      </vt:variant>
      <vt:variant>
        <vt:lpwstr>https://www.researchgate.net/profile/Sandra-Carracedo/publication/277007138_Menores_expuestos_a_situaciones_de_violencia_de_genero_Evaluacion_referenciada_y_autoinformada/links/555da36908ae9963a1127dbb/Menores-expuestos-a-situaciones-de-violencia-de-genero-Evaluacion-referenciada-y-autoinformada.pdf</vt:lpwstr>
      </vt:variant>
      <vt:variant>
        <vt:lpwstr/>
      </vt:variant>
      <vt:variant>
        <vt:i4>4980841</vt:i4>
      </vt:variant>
      <vt:variant>
        <vt:i4>21</vt:i4>
      </vt:variant>
      <vt:variant>
        <vt:i4>0</vt:i4>
      </vt:variant>
      <vt:variant>
        <vt:i4>5</vt:i4>
      </vt:variant>
      <vt:variant>
        <vt:lpwstr>https://www.ine.es/dyngs/Prensa/ECAECM2024.htm?utm_source=chatgpt.com</vt:lpwstr>
      </vt:variant>
      <vt:variant>
        <vt:lpwstr/>
      </vt:variant>
      <vt:variant>
        <vt:i4>2162807</vt:i4>
      </vt:variant>
      <vt:variant>
        <vt:i4>18</vt:i4>
      </vt:variant>
      <vt:variant>
        <vt:i4>0</vt:i4>
      </vt:variant>
      <vt:variant>
        <vt:i4>5</vt:i4>
      </vt:variant>
      <vt:variant>
        <vt:lpwstr>https://www.ine.es/dyngs/Prensa/ECAECM2024.htm</vt:lpwstr>
      </vt:variant>
      <vt:variant>
        <vt:lpwstr/>
      </vt:variant>
      <vt:variant>
        <vt:i4>393244</vt:i4>
      </vt:variant>
      <vt:variant>
        <vt:i4>15</vt:i4>
      </vt:variant>
      <vt:variant>
        <vt:i4>0</vt:i4>
      </vt:variant>
      <vt:variant>
        <vt:i4>5</vt:i4>
      </vt:variant>
      <vt:variant>
        <vt:lpwstr>https://joseolavarria.cl/wp-content/uploads/downloads/2014/08/Masculinidad-poder-y-crisis-Valdes-y-Olavarria.pdf</vt:lpwstr>
      </vt:variant>
      <vt:variant>
        <vt:lpwstr/>
      </vt:variant>
      <vt:variant>
        <vt:i4>7471221</vt:i4>
      </vt:variant>
      <vt:variant>
        <vt:i4>12</vt:i4>
      </vt:variant>
      <vt:variant>
        <vt:i4>0</vt:i4>
      </vt:variant>
      <vt:variant>
        <vt:i4>5</vt:i4>
      </vt:variant>
      <vt:variant>
        <vt:lpwstr>https://dx.doi.org/10.5027/psicoperspectivas-vol23-issue2-fulltext-3029</vt:lpwstr>
      </vt:variant>
      <vt:variant>
        <vt:lpwstr/>
      </vt:variant>
      <vt:variant>
        <vt:i4>2949163</vt:i4>
      </vt:variant>
      <vt:variant>
        <vt:i4>9</vt:i4>
      </vt:variant>
      <vt:variant>
        <vt:i4>0</vt:i4>
      </vt:variant>
      <vt:variant>
        <vt:i4>5</vt:i4>
      </vt:variant>
      <vt:variant>
        <vt:lpwstr>https://doi.org/10.22267/rus.202202.189</vt:lpwstr>
      </vt:variant>
      <vt:variant>
        <vt:lpwstr/>
      </vt:variant>
      <vt:variant>
        <vt:i4>1441825</vt:i4>
      </vt:variant>
      <vt:variant>
        <vt:i4>6</vt:i4>
      </vt:variant>
      <vt:variant>
        <vt:i4>0</vt:i4>
      </vt:variant>
      <vt:variant>
        <vt:i4>5</vt:i4>
      </vt:variant>
      <vt:variant>
        <vt:lpwstr>https://www.emakunde.euskadi.eus/contenidos/informacion/publicaciones_guias2/es_emakunde/adjuntos/35.guia.memoria_historica_perspectiva_genero.pdf</vt:lpwstr>
      </vt:variant>
      <vt:variant>
        <vt:lpwstr/>
      </vt:variant>
      <vt:variant>
        <vt:i4>4849722</vt:i4>
      </vt:variant>
      <vt:variant>
        <vt:i4>3</vt:i4>
      </vt:variant>
      <vt:variant>
        <vt:i4>0</vt:i4>
      </vt:variant>
      <vt:variant>
        <vt:i4>5</vt:i4>
      </vt:variant>
      <vt:variant>
        <vt:lpwstr>https://conductitlan.org.mx/10_psicologiainfantil/SINDROMES/Apego.pdf</vt:lpwstr>
      </vt:variant>
      <vt:variant>
        <vt:lpwstr/>
      </vt:variant>
      <vt:variant>
        <vt:i4>3932205</vt:i4>
      </vt:variant>
      <vt:variant>
        <vt:i4>0</vt:i4>
      </vt:variant>
      <vt:variant>
        <vt:i4>0</vt:i4>
      </vt:variant>
      <vt:variant>
        <vt:i4>5</vt:i4>
      </vt:variant>
      <vt:variant>
        <vt:lpwstr>https://online.elderecho.com/login.do?nref=2015/125943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María de la Hoz Pérez-Traverso</dc:creator>
  <cp:keywords/>
  <dc:description/>
  <cp:lastModifiedBy>Natalia María de la Hoz Pérez-Traverso</cp:lastModifiedBy>
  <cp:revision>2</cp:revision>
  <dcterms:created xsi:type="dcterms:W3CDTF">2026-02-06T21:30:00Z</dcterms:created>
  <dcterms:modified xsi:type="dcterms:W3CDTF">2026-02-06T21:30:00Z</dcterms:modified>
</cp:coreProperties>
</file>