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B1D2F" w14:textId="77777777" w:rsidR="0005566F" w:rsidRPr="00EF7217" w:rsidRDefault="0005566F" w:rsidP="0005566F">
      <w:pPr>
        <w:jc w:val="center"/>
        <w:rPr>
          <w:sz w:val="44"/>
          <w:szCs w:val="44"/>
        </w:rPr>
      </w:pPr>
      <w:r>
        <w:rPr>
          <w:noProof/>
          <w:sz w:val="44"/>
          <w:szCs w:val="44"/>
        </w:rPr>
        <w:drawing>
          <wp:anchor distT="0" distB="0" distL="114300" distR="114300" simplePos="0" relativeHeight="251659264" behindDoc="0" locked="0" layoutInCell="1" allowOverlap="1" wp14:anchorId="7E8346D7" wp14:editId="508486F5">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sz w:val="44"/>
          <w:szCs w:val="44"/>
        </w:rPr>
        <w:t>FACULTAD DE CIENCIAS HUMANAS Y SOCIALES</w:t>
      </w:r>
    </w:p>
    <w:p w14:paraId="0E1B4B60" w14:textId="77777777" w:rsidR="0005566F" w:rsidRDefault="0005566F" w:rsidP="0005566F">
      <w:pPr>
        <w:jc w:val="center"/>
        <w:rPr>
          <w:sz w:val="48"/>
          <w:szCs w:val="48"/>
        </w:rPr>
      </w:pPr>
    </w:p>
    <w:p w14:paraId="4827574D" w14:textId="5AF78FD2" w:rsidR="0005566F" w:rsidRPr="00EF7929" w:rsidRDefault="0005566F" w:rsidP="0005566F">
      <w:pPr>
        <w:jc w:val="center"/>
        <w:rPr>
          <w:b/>
          <w:sz w:val="36"/>
          <w:szCs w:val="36"/>
        </w:rPr>
      </w:pPr>
      <w:r>
        <w:rPr>
          <w:b/>
          <w:sz w:val="36"/>
          <w:szCs w:val="36"/>
        </w:rPr>
        <w:t>La violencia vicaria: el papel de la victimología infantil en la violencia de género</w:t>
      </w:r>
    </w:p>
    <w:p w14:paraId="284CF782" w14:textId="77777777" w:rsidR="0005566F" w:rsidRDefault="0005566F" w:rsidP="0005566F">
      <w:pPr>
        <w:jc w:val="center"/>
        <w:rPr>
          <w:b/>
          <w:sz w:val="40"/>
          <w:szCs w:val="40"/>
        </w:rPr>
      </w:pPr>
    </w:p>
    <w:p w14:paraId="2BBFFFE2" w14:textId="2F568D29" w:rsidR="0005566F" w:rsidRDefault="0005566F" w:rsidP="0005566F">
      <w:pPr>
        <w:jc w:val="center"/>
        <w:rPr>
          <w:sz w:val="36"/>
          <w:szCs w:val="36"/>
        </w:rPr>
      </w:pPr>
      <w:r>
        <w:rPr>
          <w:sz w:val="36"/>
          <w:szCs w:val="36"/>
        </w:rPr>
        <w:t xml:space="preserve">Autor/a: Marina López Corps </w:t>
      </w:r>
    </w:p>
    <w:p w14:paraId="7FC849C7" w14:textId="43D3A8AE" w:rsidR="0005566F" w:rsidRPr="00601C8F" w:rsidRDefault="0005566F" w:rsidP="0005566F">
      <w:pPr>
        <w:jc w:val="center"/>
        <w:rPr>
          <w:sz w:val="36"/>
          <w:szCs w:val="36"/>
          <w:lang w:val="en-US"/>
        </w:rPr>
      </w:pPr>
      <w:r w:rsidRPr="00601C8F">
        <w:rPr>
          <w:sz w:val="36"/>
          <w:szCs w:val="36"/>
          <w:lang w:val="en-US"/>
        </w:rPr>
        <w:t xml:space="preserve">Director/a: </w:t>
      </w:r>
      <w:r>
        <w:rPr>
          <w:sz w:val="36"/>
          <w:szCs w:val="36"/>
          <w:lang w:val="en-US"/>
        </w:rPr>
        <w:t xml:space="preserve">Sandra </w:t>
      </w:r>
      <w:r w:rsidR="00A67936">
        <w:rPr>
          <w:sz w:val="36"/>
          <w:szCs w:val="36"/>
          <w:lang w:val="en-US"/>
        </w:rPr>
        <w:t>Calvo Jiménez</w:t>
      </w:r>
    </w:p>
    <w:p w14:paraId="41C35ED7" w14:textId="77777777" w:rsidR="0005566F" w:rsidRPr="00601C8F" w:rsidRDefault="0005566F" w:rsidP="0005566F">
      <w:pPr>
        <w:jc w:val="center"/>
        <w:rPr>
          <w:sz w:val="36"/>
          <w:szCs w:val="36"/>
          <w:lang w:val="en-US"/>
        </w:rPr>
      </w:pPr>
    </w:p>
    <w:p w14:paraId="7F1A2835" w14:textId="77777777" w:rsidR="0005566F" w:rsidRPr="00601C8F" w:rsidRDefault="0005566F" w:rsidP="0005566F">
      <w:pPr>
        <w:jc w:val="center"/>
        <w:rPr>
          <w:sz w:val="36"/>
          <w:szCs w:val="36"/>
          <w:lang w:val="en-US"/>
        </w:rPr>
      </w:pPr>
      <w:r w:rsidRPr="00601C8F">
        <w:rPr>
          <w:sz w:val="36"/>
          <w:szCs w:val="36"/>
          <w:lang w:val="en-US"/>
        </w:rPr>
        <w:t>Madrid</w:t>
      </w:r>
    </w:p>
    <w:p w14:paraId="29856BBF" w14:textId="18DA985F" w:rsidR="0005566F" w:rsidRPr="00601C8F" w:rsidRDefault="0005566F" w:rsidP="0005566F">
      <w:pPr>
        <w:jc w:val="center"/>
        <w:rPr>
          <w:sz w:val="36"/>
          <w:szCs w:val="36"/>
          <w:lang w:val="en-US"/>
        </w:rPr>
      </w:pPr>
      <w:r>
        <w:rPr>
          <w:sz w:val="36"/>
          <w:szCs w:val="36"/>
          <w:lang w:val="en-US"/>
        </w:rPr>
        <w:t>2025</w:t>
      </w:r>
      <w:r w:rsidRPr="00601C8F">
        <w:rPr>
          <w:sz w:val="36"/>
          <w:szCs w:val="36"/>
          <w:lang w:val="en-US"/>
        </w:rPr>
        <w:t>/20</w:t>
      </w:r>
      <w:r>
        <w:rPr>
          <w:sz w:val="36"/>
          <w:szCs w:val="36"/>
          <w:lang w:val="en-US"/>
        </w:rPr>
        <w:t>26</w:t>
      </w:r>
    </w:p>
    <w:p w14:paraId="2514B3D1" w14:textId="215622A0" w:rsidR="006C0858" w:rsidRDefault="006C0858" w:rsidP="008639D5">
      <w:pPr>
        <w:spacing w:line="360" w:lineRule="auto"/>
        <w:jc w:val="both"/>
        <w:rPr>
          <w:b/>
          <w:bCs/>
          <w:color w:val="000000" w:themeColor="text1"/>
        </w:rPr>
      </w:pPr>
    </w:p>
    <w:p w14:paraId="7858F965" w14:textId="77777777" w:rsidR="006C0858" w:rsidRDefault="006C0858" w:rsidP="008639D5">
      <w:pPr>
        <w:spacing w:line="360" w:lineRule="auto"/>
        <w:jc w:val="both"/>
        <w:rPr>
          <w:b/>
          <w:bCs/>
          <w:color w:val="000000" w:themeColor="text1"/>
        </w:rPr>
      </w:pPr>
    </w:p>
    <w:p w14:paraId="125869A7" w14:textId="77777777" w:rsidR="006C0858" w:rsidRDefault="006C0858" w:rsidP="008639D5">
      <w:pPr>
        <w:spacing w:line="360" w:lineRule="auto"/>
        <w:jc w:val="both"/>
        <w:rPr>
          <w:b/>
          <w:bCs/>
          <w:color w:val="000000" w:themeColor="text1"/>
        </w:rPr>
      </w:pPr>
    </w:p>
    <w:p w14:paraId="1812A06E" w14:textId="77777777" w:rsidR="006C0858" w:rsidRDefault="006C0858" w:rsidP="008639D5">
      <w:pPr>
        <w:spacing w:line="360" w:lineRule="auto"/>
        <w:jc w:val="both"/>
        <w:rPr>
          <w:b/>
          <w:bCs/>
          <w:color w:val="000000" w:themeColor="text1"/>
        </w:rPr>
      </w:pPr>
    </w:p>
    <w:p w14:paraId="544B4100" w14:textId="77777777" w:rsidR="006C0858" w:rsidRDefault="006C0858" w:rsidP="008639D5">
      <w:pPr>
        <w:spacing w:line="360" w:lineRule="auto"/>
        <w:jc w:val="both"/>
        <w:rPr>
          <w:b/>
          <w:bCs/>
          <w:color w:val="000000" w:themeColor="text1"/>
        </w:rPr>
      </w:pPr>
    </w:p>
    <w:p w14:paraId="14F2BE57" w14:textId="77777777" w:rsidR="006C0858" w:rsidRDefault="006C0858" w:rsidP="008639D5">
      <w:pPr>
        <w:spacing w:line="360" w:lineRule="auto"/>
        <w:jc w:val="both"/>
        <w:rPr>
          <w:b/>
          <w:bCs/>
          <w:color w:val="000000" w:themeColor="text1"/>
        </w:rPr>
      </w:pPr>
    </w:p>
    <w:p w14:paraId="312C649A" w14:textId="77777777" w:rsidR="006C0858" w:rsidRDefault="006C0858" w:rsidP="008639D5">
      <w:pPr>
        <w:spacing w:line="360" w:lineRule="auto"/>
        <w:jc w:val="both"/>
        <w:rPr>
          <w:b/>
          <w:bCs/>
          <w:color w:val="000000" w:themeColor="text1"/>
        </w:rPr>
      </w:pPr>
    </w:p>
    <w:p w14:paraId="49AFF238" w14:textId="77777777" w:rsidR="006C0858" w:rsidRDefault="006C0858" w:rsidP="008639D5">
      <w:pPr>
        <w:spacing w:line="360" w:lineRule="auto"/>
        <w:jc w:val="both"/>
        <w:rPr>
          <w:b/>
          <w:bCs/>
          <w:color w:val="000000" w:themeColor="text1"/>
        </w:rPr>
      </w:pPr>
    </w:p>
    <w:p w14:paraId="665B956D" w14:textId="77777777" w:rsidR="006C0858" w:rsidRDefault="006C0858" w:rsidP="008639D5">
      <w:pPr>
        <w:spacing w:line="360" w:lineRule="auto"/>
        <w:jc w:val="both"/>
        <w:rPr>
          <w:b/>
          <w:bCs/>
          <w:color w:val="000000" w:themeColor="text1"/>
        </w:rPr>
      </w:pPr>
    </w:p>
    <w:p w14:paraId="63318919" w14:textId="77777777" w:rsidR="006C0858" w:rsidRDefault="006C0858" w:rsidP="008639D5">
      <w:pPr>
        <w:spacing w:line="360" w:lineRule="auto"/>
        <w:jc w:val="both"/>
        <w:rPr>
          <w:b/>
          <w:bCs/>
          <w:color w:val="000000" w:themeColor="text1"/>
        </w:rPr>
      </w:pPr>
    </w:p>
    <w:sdt>
      <w:sdtPr>
        <w:id w:val="-1068573733"/>
        <w:docPartObj>
          <w:docPartGallery w:val="Table of Contents"/>
          <w:docPartUnique/>
        </w:docPartObj>
      </w:sdtPr>
      <w:sdtEndPr>
        <w:rPr>
          <w:rFonts w:eastAsia="Times New Roman"/>
          <w:b/>
          <w:bCs/>
          <w:noProof/>
          <w:color w:val="auto"/>
          <w:sz w:val="24"/>
          <w:szCs w:val="24"/>
        </w:rPr>
      </w:sdtEndPr>
      <w:sdtContent>
        <w:p w14:paraId="0D07BFE6" w14:textId="31201D2F" w:rsidR="00F74995" w:rsidRPr="00250DB5" w:rsidRDefault="00F74995" w:rsidP="00610D00">
          <w:pPr>
            <w:pStyle w:val="TtuloTDC"/>
            <w:spacing w:line="360" w:lineRule="auto"/>
            <w:jc w:val="both"/>
            <w:rPr>
              <w:b/>
              <w:bCs/>
              <w:sz w:val="24"/>
              <w:szCs w:val="24"/>
            </w:rPr>
          </w:pPr>
          <w:r w:rsidRPr="00250DB5">
            <w:rPr>
              <w:b/>
              <w:bCs/>
            </w:rPr>
            <w:t>Tabla de contenido</w:t>
          </w:r>
        </w:p>
        <w:p w14:paraId="1AAF69CA" w14:textId="218DD2D7"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r w:rsidRPr="00610D00">
            <w:rPr>
              <w:rFonts w:ascii="Times New Roman" w:hAnsi="Times New Roman"/>
              <w:b w:val="0"/>
              <w:bCs w:val="0"/>
              <w:sz w:val="24"/>
              <w:szCs w:val="24"/>
            </w:rPr>
            <w:fldChar w:fldCharType="begin"/>
          </w:r>
          <w:r w:rsidRPr="00610D00">
            <w:rPr>
              <w:rFonts w:ascii="Times New Roman" w:hAnsi="Times New Roman"/>
              <w:sz w:val="24"/>
              <w:szCs w:val="24"/>
            </w:rPr>
            <w:instrText>TOC \o "1-3" \h \z \u</w:instrText>
          </w:r>
          <w:r w:rsidRPr="00610D00">
            <w:rPr>
              <w:rFonts w:ascii="Times New Roman" w:hAnsi="Times New Roman"/>
              <w:b w:val="0"/>
              <w:bCs w:val="0"/>
              <w:sz w:val="24"/>
              <w:szCs w:val="24"/>
            </w:rPr>
            <w:fldChar w:fldCharType="separate"/>
          </w:r>
          <w:hyperlink w:anchor="_Toc221271101" w:history="1">
            <w:r w:rsidRPr="00610D00">
              <w:rPr>
                <w:rStyle w:val="Hipervnculo"/>
                <w:rFonts w:ascii="Times New Roman" w:hAnsi="Times New Roman"/>
                <w:noProof/>
                <w:sz w:val="24"/>
                <w:szCs w:val="24"/>
              </w:rPr>
              <w:t>RESUMEN</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_Toc221271101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4</w:t>
            </w:r>
            <w:r w:rsidRPr="00610D00">
              <w:rPr>
                <w:rFonts w:ascii="Times New Roman" w:hAnsi="Times New Roman"/>
                <w:noProof/>
                <w:webHidden/>
                <w:sz w:val="24"/>
                <w:szCs w:val="24"/>
              </w:rPr>
              <w:fldChar w:fldCharType="end"/>
            </w:r>
          </w:hyperlink>
        </w:p>
        <w:p w14:paraId="567A1CD0" w14:textId="21B962AC"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02" w:history="1">
            <w:r w:rsidRPr="00610D00">
              <w:rPr>
                <w:rStyle w:val="Hipervnculo"/>
                <w:rFonts w:ascii="Times New Roman" w:hAnsi="Times New Roman"/>
                <w:noProof/>
                <w:sz w:val="24"/>
                <w:szCs w:val="24"/>
              </w:rPr>
              <w:t>INTRODUCCIÓN</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_Toc221271102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4</w:t>
            </w:r>
            <w:r w:rsidRPr="00610D00">
              <w:rPr>
                <w:rFonts w:ascii="Times New Roman" w:hAnsi="Times New Roman"/>
                <w:noProof/>
                <w:webHidden/>
                <w:sz w:val="24"/>
                <w:szCs w:val="24"/>
              </w:rPr>
              <w:fldChar w:fldCharType="end"/>
            </w:r>
          </w:hyperlink>
        </w:p>
        <w:p w14:paraId="25B02B69" w14:textId="294AD984"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03" w:history="1">
            <w:r w:rsidRPr="00610D00">
              <w:rPr>
                <w:rStyle w:val="Hipervnculo"/>
                <w:rFonts w:ascii="Times New Roman" w:hAnsi="Times New Roman"/>
                <w:noProof/>
                <w:sz w:val="24"/>
                <w:szCs w:val="24"/>
              </w:rPr>
              <w:t>METODOLOGÍA: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_Toc221271103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5</w:t>
            </w:r>
            <w:r w:rsidRPr="00610D00">
              <w:rPr>
                <w:rFonts w:ascii="Times New Roman" w:hAnsi="Times New Roman"/>
                <w:noProof/>
                <w:webHidden/>
                <w:sz w:val="24"/>
                <w:szCs w:val="24"/>
              </w:rPr>
              <w:fldChar w:fldCharType="end"/>
            </w:r>
          </w:hyperlink>
        </w:p>
        <w:p w14:paraId="727E186F" w14:textId="61416E4C"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04" w:history="1">
            <w:r w:rsidRPr="00610D00">
              <w:rPr>
                <w:rStyle w:val="Hipervnculo"/>
                <w:rFonts w:ascii="Times New Roman" w:hAnsi="Times New Roman"/>
                <w:noProof/>
                <w:sz w:val="24"/>
                <w:szCs w:val="24"/>
              </w:rPr>
              <w:t>CAPÍTULO I: CONCEPTUALIZACIÓN Y CONTEXTO DE VIOLENCIA DE GÉNERO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_Toc221271104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6</w:t>
            </w:r>
            <w:r w:rsidRPr="00610D00">
              <w:rPr>
                <w:rFonts w:ascii="Times New Roman" w:hAnsi="Times New Roman"/>
                <w:noProof/>
                <w:webHidden/>
                <w:sz w:val="24"/>
                <w:szCs w:val="24"/>
              </w:rPr>
              <w:fldChar w:fldCharType="end"/>
            </w:r>
          </w:hyperlink>
        </w:p>
        <w:p w14:paraId="6A7C4A7D" w14:textId="4C6C67F6" w:rsidR="00F74995" w:rsidRPr="00610D00" w:rsidRDefault="00F74995" w:rsidP="00610D00">
          <w:pPr>
            <w:pStyle w:val="TDC2"/>
            <w:tabs>
              <w:tab w:val="left" w:pos="720"/>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05" w:history="1">
            <w:r w:rsidRPr="00610D00">
              <w:rPr>
                <w:rStyle w:val="Hipervnculo"/>
                <w:rFonts w:ascii="Times New Roman" w:hAnsi="Times New Roman"/>
                <w:noProof/>
                <w:sz w:val="24"/>
                <w:szCs w:val="24"/>
              </w:rPr>
              <w:t>1.</w:t>
            </w:r>
            <w:r w:rsidRPr="00610D00">
              <w:rPr>
                <w:rFonts w:ascii="Times New Roman" w:eastAsiaTheme="minorEastAsia" w:hAnsi="Times New Roman"/>
                <w:smallCaps w:val="0"/>
                <w:noProof/>
                <w:kern w:val="2"/>
                <w:sz w:val="24"/>
                <w:szCs w:val="24"/>
                <w14:ligatures w14:val="standardContextual"/>
              </w:rPr>
              <w:tab/>
            </w:r>
            <w:r w:rsidRPr="00610D00">
              <w:rPr>
                <w:rStyle w:val="Hipervnculo"/>
                <w:rFonts w:ascii="Times New Roman" w:hAnsi="Times New Roman"/>
                <w:noProof/>
                <w:sz w:val="24"/>
                <w:szCs w:val="24"/>
              </w:rPr>
              <w:t>Relevancia y planteamiento del problema. Definición y tipología de la violencia de género.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_Toc221271105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6</w:t>
            </w:r>
            <w:r w:rsidRPr="00610D00">
              <w:rPr>
                <w:rFonts w:ascii="Times New Roman" w:hAnsi="Times New Roman"/>
                <w:noProof/>
                <w:webHidden/>
                <w:sz w:val="24"/>
                <w:szCs w:val="24"/>
              </w:rPr>
              <w:fldChar w:fldCharType="end"/>
            </w:r>
          </w:hyperlink>
        </w:p>
        <w:p w14:paraId="3D429A77" w14:textId="3FA9DA99" w:rsidR="00F74995" w:rsidRPr="00610D00" w:rsidRDefault="00F74995" w:rsidP="00610D00">
          <w:pPr>
            <w:pStyle w:val="TDC2"/>
            <w:tabs>
              <w:tab w:val="left" w:pos="720"/>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06" w:history="1">
            <w:r w:rsidRPr="00610D00">
              <w:rPr>
                <w:rStyle w:val="Hipervnculo"/>
                <w:rFonts w:ascii="Times New Roman" w:hAnsi="Times New Roman"/>
                <w:noProof/>
                <w:sz w:val="24"/>
                <w:szCs w:val="24"/>
              </w:rPr>
              <w:t>2.</w:t>
            </w:r>
            <w:r w:rsidRPr="00610D00">
              <w:rPr>
                <w:rFonts w:ascii="Times New Roman" w:eastAsiaTheme="minorEastAsia" w:hAnsi="Times New Roman"/>
                <w:smallCaps w:val="0"/>
                <w:noProof/>
                <w:kern w:val="2"/>
                <w:sz w:val="24"/>
                <w:szCs w:val="24"/>
                <w14:ligatures w14:val="standardContextual"/>
              </w:rPr>
              <w:tab/>
            </w:r>
            <w:r w:rsidRPr="00610D00">
              <w:rPr>
                <w:rStyle w:val="Hipervnculo"/>
                <w:rFonts w:ascii="Times New Roman" w:hAnsi="Times New Roman"/>
                <w:noProof/>
                <w:sz w:val="24"/>
                <w:szCs w:val="24"/>
              </w:rPr>
              <w:t>Diferencias y semejanzas entre la violencia doméstica y la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_Toc221271106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8</w:t>
            </w:r>
            <w:r w:rsidRPr="00610D00">
              <w:rPr>
                <w:rFonts w:ascii="Times New Roman" w:hAnsi="Times New Roman"/>
                <w:noProof/>
                <w:webHidden/>
                <w:sz w:val="24"/>
                <w:szCs w:val="24"/>
              </w:rPr>
              <w:fldChar w:fldCharType="end"/>
            </w:r>
          </w:hyperlink>
        </w:p>
        <w:p w14:paraId="3F2CA724" w14:textId="4F44F249" w:rsidR="00F74995" w:rsidRPr="00610D00" w:rsidRDefault="00F74995" w:rsidP="00610D00">
          <w:pPr>
            <w:pStyle w:val="TDC2"/>
            <w:tabs>
              <w:tab w:val="left" w:pos="720"/>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07" w:history="1">
            <w:r w:rsidRPr="00610D00">
              <w:rPr>
                <w:rStyle w:val="Hipervnculo"/>
                <w:rFonts w:ascii="Times New Roman" w:hAnsi="Times New Roman"/>
                <w:noProof/>
                <w:sz w:val="24"/>
                <w:szCs w:val="24"/>
              </w:rPr>
              <w:t>3.</w:t>
            </w:r>
            <w:r w:rsidRPr="00610D00">
              <w:rPr>
                <w:rFonts w:ascii="Times New Roman" w:eastAsiaTheme="minorEastAsia" w:hAnsi="Times New Roman"/>
                <w:smallCaps w:val="0"/>
                <w:noProof/>
                <w:kern w:val="2"/>
                <w:sz w:val="24"/>
                <w:szCs w:val="24"/>
                <w14:ligatures w14:val="standardContextual"/>
              </w:rPr>
              <w:tab/>
            </w:r>
            <w:r w:rsidRPr="00610D00">
              <w:rPr>
                <w:rStyle w:val="Hipervnculo"/>
                <w:rFonts w:ascii="Times New Roman" w:hAnsi="Times New Roman"/>
                <w:noProof/>
                <w:sz w:val="24"/>
                <w:szCs w:val="24"/>
              </w:rPr>
              <w:t>Magnitud y prevalencia. Datos sobre la violencia de género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_Toc221271107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9</w:t>
            </w:r>
            <w:r w:rsidRPr="00610D00">
              <w:rPr>
                <w:rFonts w:ascii="Times New Roman" w:hAnsi="Times New Roman"/>
                <w:noProof/>
                <w:webHidden/>
                <w:sz w:val="24"/>
                <w:szCs w:val="24"/>
              </w:rPr>
              <w:fldChar w:fldCharType="end"/>
            </w:r>
          </w:hyperlink>
        </w:p>
        <w:p w14:paraId="2F14D6BD" w14:textId="2C6A4063" w:rsidR="00F74995" w:rsidRPr="00610D00" w:rsidRDefault="00F74995" w:rsidP="00610D00">
          <w:pPr>
            <w:pStyle w:val="TDC2"/>
            <w:tabs>
              <w:tab w:val="left" w:pos="720"/>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08" w:history="1">
            <w:r w:rsidRPr="00610D00">
              <w:rPr>
                <w:rStyle w:val="Hipervnculo"/>
                <w:rFonts w:ascii="Times New Roman" w:hAnsi="Times New Roman"/>
                <w:noProof/>
                <w:sz w:val="24"/>
                <w:szCs w:val="24"/>
              </w:rPr>
              <w:t>4.</w:t>
            </w:r>
            <w:r w:rsidRPr="00610D00">
              <w:rPr>
                <w:rFonts w:ascii="Times New Roman" w:eastAsiaTheme="minorEastAsia" w:hAnsi="Times New Roman"/>
                <w:smallCaps w:val="0"/>
                <w:noProof/>
                <w:kern w:val="2"/>
                <w:sz w:val="24"/>
                <w:szCs w:val="24"/>
                <w14:ligatures w14:val="standardContextual"/>
              </w:rPr>
              <w:tab/>
            </w:r>
            <w:r w:rsidRPr="00610D00">
              <w:rPr>
                <w:rStyle w:val="Hipervnculo"/>
                <w:rFonts w:ascii="Times New Roman" w:hAnsi="Times New Roman"/>
                <w:noProof/>
                <w:sz w:val="24"/>
                <w:szCs w:val="24"/>
              </w:rPr>
              <w:t>CONSECUENCIAS PSICOSOCIALES Y FÍSICAS: impacto psicológico y social. Repercusiones en menores y mujeres.</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_Toc221271108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10</w:t>
            </w:r>
            <w:r w:rsidRPr="00610D00">
              <w:rPr>
                <w:rFonts w:ascii="Times New Roman" w:hAnsi="Times New Roman"/>
                <w:noProof/>
                <w:webHidden/>
                <w:sz w:val="24"/>
                <w:szCs w:val="24"/>
              </w:rPr>
              <w:fldChar w:fldCharType="end"/>
            </w:r>
          </w:hyperlink>
        </w:p>
        <w:p w14:paraId="4D7ECF26" w14:textId="213C7F5F" w:rsidR="00F74995" w:rsidRPr="00610D00" w:rsidRDefault="00F74995" w:rsidP="00610D00">
          <w:pPr>
            <w:pStyle w:val="TDC3"/>
            <w:tabs>
              <w:tab w:val="left" w:pos="960"/>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09" w:history="1">
            <w:r w:rsidRPr="00610D00">
              <w:rPr>
                <w:rStyle w:val="Hipervnculo"/>
                <w:rFonts w:ascii="Times New Roman" w:hAnsi="Times New Roman"/>
                <w:noProof/>
                <w:sz w:val="24"/>
                <w:szCs w:val="24"/>
              </w:rPr>
              <w:t>1.</w:t>
            </w:r>
            <w:r w:rsidRPr="00610D00">
              <w:rPr>
                <w:rFonts w:ascii="Times New Roman" w:eastAsiaTheme="minorEastAsia" w:hAnsi="Times New Roman"/>
                <w:i/>
                <w:iCs/>
                <w:noProof/>
                <w:kern w:val="2"/>
                <w:sz w:val="24"/>
                <w:szCs w:val="24"/>
                <w14:ligatures w14:val="standardContextual"/>
              </w:rPr>
              <w:tab/>
            </w:r>
            <w:r w:rsidRPr="00610D00">
              <w:rPr>
                <w:rStyle w:val="Hipervnculo"/>
                <w:rFonts w:ascii="Times New Roman" w:hAnsi="Times New Roman"/>
                <w:noProof/>
                <w:sz w:val="24"/>
                <w:szCs w:val="24"/>
              </w:rPr>
              <w:t>Consecuencias psicológicas y en la salud mental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_Toc221271109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10</w:t>
            </w:r>
            <w:r w:rsidRPr="00610D00">
              <w:rPr>
                <w:rFonts w:ascii="Times New Roman" w:hAnsi="Times New Roman"/>
                <w:noProof/>
                <w:webHidden/>
                <w:sz w:val="24"/>
                <w:szCs w:val="24"/>
              </w:rPr>
              <w:fldChar w:fldCharType="end"/>
            </w:r>
          </w:hyperlink>
        </w:p>
        <w:p w14:paraId="14DDD161" w14:textId="79E2F81D" w:rsidR="00F74995" w:rsidRPr="00610D00" w:rsidRDefault="00F74995" w:rsidP="00610D00">
          <w:pPr>
            <w:pStyle w:val="TDC3"/>
            <w:tabs>
              <w:tab w:val="left" w:pos="960"/>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0" w:history="1">
            <w:r w:rsidRPr="00610D00">
              <w:rPr>
                <w:rStyle w:val="Hipervnculo"/>
                <w:rFonts w:ascii="Times New Roman" w:hAnsi="Times New Roman"/>
                <w:noProof/>
                <w:sz w:val="24"/>
                <w:szCs w:val="24"/>
              </w:rPr>
              <w:t>2.</w:t>
            </w:r>
            <w:r w:rsidRPr="00610D00">
              <w:rPr>
                <w:rFonts w:ascii="Times New Roman" w:eastAsiaTheme="minorEastAsia" w:hAnsi="Times New Roman"/>
                <w:i/>
                <w:iCs/>
                <w:noProof/>
                <w:kern w:val="2"/>
                <w:sz w:val="24"/>
                <w:szCs w:val="24"/>
                <w14:ligatures w14:val="standardContextual"/>
              </w:rPr>
              <w:tab/>
            </w:r>
            <w:r w:rsidRPr="00610D00">
              <w:rPr>
                <w:rStyle w:val="Hipervnculo"/>
                <w:rFonts w:ascii="Times New Roman" w:hAnsi="Times New Roman"/>
                <w:noProof/>
                <w:sz w:val="24"/>
                <w:szCs w:val="24"/>
              </w:rPr>
              <w:t>Consecuencias mortales</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_Toc221271110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11</w:t>
            </w:r>
            <w:r w:rsidRPr="00610D00">
              <w:rPr>
                <w:rFonts w:ascii="Times New Roman" w:hAnsi="Times New Roman"/>
                <w:noProof/>
                <w:webHidden/>
                <w:sz w:val="24"/>
                <w:szCs w:val="24"/>
              </w:rPr>
              <w:fldChar w:fldCharType="end"/>
            </w:r>
          </w:hyperlink>
        </w:p>
        <w:p w14:paraId="1CB63149" w14:textId="4CB69828" w:rsidR="00F74995" w:rsidRPr="00610D00" w:rsidRDefault="00F74995" w:rsidP="00610D00">
          <w:pPr>
            <w:pStyle w:val="TDC3"/>
            <w:tabs>
              <w:tab w:val="left" w:pos="960"/>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1" w:history="1">
            <w:r w:rsidRPr="00610D00">
              <w:rPr>
                <w:rStyle w:val="Hipervnculo"/>
                <w:rFonts w:ascii="Times New Roman" w:hAnsi="Times New Roman"/>
                <w:noProof/>
                <w:sz w:val="24"/>
                <w:szCs w:val="24"/>
              </w:rPr>
              <w:t>3.</w:t>
            </w:r>
            <w:r w:rsidRPr="00610D00">
              <w:rPr>
                <w:rFonts w:ascii="Times New Roman" w:eastAsiaTheme="minorEastAsia" w:hAnsi="Times New Roman"/>
                <w:i/>
                <w:iCs/>
                <w:noProof/>
                <w:kern w:val="2"/>
                <w:sz w:val="24"/>
                <w:szCs w:val="24"/>
                <w14:ligatures w14:val="standardContextual"/>
              </w:rPr>
              <w:tab/>
            </w:r>
            <w:r w:rsidRPr="00610D00">
              <w:rPr>
                <w:rStyle w:val="Hipervnculo"/>
                <w:rFonts w:ascii="Times New Roman" w:hAnsi="Times New Roman"/>
                <w:noProof/>
                <w:sz w:val="24"/>
                <w:szCs w:val="24"/>
              </w:rPr>
              <w:t>Consecuencias para la salud física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_Toc221271111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11</w:t>
            </w:r>
            <w:r w:rsidRPr="00610D00">
              <w:rPr>
                <w:rFonts w:ascii="Times New Roman" w:hAnsi="Times New Roman"/>
                <w:noProof/>
                <w:webHidden/>
                <w:sz w:val="24"/>
                <w:szCs w:val="24"/>
              </w:rPr>
              <w:fldChar w:fldCharType="end"/>
            </w:r>
          </w:hyperlink>
        </w:p>
        <w:p w14:paraId="148D7618" w14:textId="2D204F20" w:rsidR="00F74995" w:rsidRPr="00610D00" w:rsidRDefault="00F74995" w:rsidP="00610D00">
          <w:pPr>
            <w:pStyle w:val="TDC3"/>
            <w:tabs>
              <w:tab w:val="left" w:pos="960"/>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2" w:history="1">
            <w:r w:rsidRPr="00610D00">
              <w:rPr>
                <w:rStyle w:val="Hipervnculo"/>
                <w:rFonts w:ascii="Times New Roman" w:hAnsi="Times New Roman"/>
                <w:noProof/>
                <w:sz w:val="24"/>
                <w:szCs w:val="24"/>
              </w:rPr>
              <w:t>4.</w:t>
            </w:r>
            <w:r w:rsidRPr="00610D00">
              <w:rPr>
                <w:rFonts w:ascii="Times New Roman" w:eastAsiaTheme="minorEastAsia" w:hAnsi="Times New Roman"/>
                <w:i/>
                <w:iCs/>
                <w:noProof/>
                <w:kern w:val="2"/>
                <w:sz w:val="24"/>
                <w:szCs w:val="24"/>
                <w14:ligatures w14:val="standardContextual"/>
              </w:rPr>
              <w:tab/>
            </w:r>
            <w:r w:rsidRPr="00610D00">
              <w:rPr>
                <w:rStyle w:val="Hipervnculo"/>
                <w:rFonts w:ascii="Times New Roman" w:hAnsi="Times New Roman"/>
                <w:noProof/>
                <w:sz w:val="24"/>
                <w:szCs w:val="24"/>
              </w:rPr>
              <w:t>Consecuencias para los hijos/as expuestos a la violencia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_Toc221271112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12</w:t>
            </w:r>
            <w:r w:rsidRPr="00610D00">
              <w:rPr>
                <w:rFonts w:ascii="Times New Roman" w:hAnsi="Times New Roman"/>
                <w:noProof/>
                <w:webHidden/>
                <w:sz w:val="24"/>
                <w:szCs w:val="24"/>
              </w:rPr>
              <w:fldChar w:fldCharType="end"/>
            </w:r>
          </w:hyperlink>
        </w:p>
        <w:p w14:paraId="11F82F84" w14:textId="490FBAE5" w:rsidR="00F74995" w:rsidRPr="00610D00" w:rsidRDefault="00F74995" w:rsidP="00610D00">
          <w:pPr>
            <w:pStyle w:val="TDC3"/>
            <w:tabs>
              <w:tab w:val="left" w:pos="960"/>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3" w:history="1">
            <w:r w:rsidRPr="00610D00">
              <w:rPr>
                <w:rStyle w:val="Hipervnculo"/>
                <w:rFonts w:ascii="Times New Roman" w:hAnsi="Times New Roman"/>
                <w:noProof/>
                <w:sz w:val="24"/>
                <w:szCs w:val="24"/>
              </w:rPr>
              <w:t>5.</w:t>
            </w:r>
            <w:r w:rsidRPr="00610D00">
              <w:rPr>
                <w:rFonts w:ascii="Times New Roman" w:eastAsiaTheme="minorEastAsia" w:hAnsi="Times New Roman"/>
                <w:i/>
                <w:iCs/>
                <w:noProof/>
                <w:kern w:val="2"/>
                <w:sz w:val="24"/>
                <w:szCs w:val="24"/>
                <w14:ligatures w14:val="standardContextual"/>
              </w:rPr>
              <w:tab/>
            </w:r>
            <w:r w:rsidRPr="00610D00">
              <w:rPr>
                <w:rStyle w:val="Hipervnculo"/>
                <w:rFonts w:ascii="Times New Roman" w:hAnsi="Times New Roman"/>
                <w:noProof/>
                <w:sz w:val="24"/>
                <w:szCs w:val="24"/>
              </w:rPr>
              <w:t>Consecuencias en los servicios de salud</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_Toc221271113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12</w:t>
            </w:r>
            <w:r w:rsidRPr="00610D00">
              <w:rPr>
                <w:rFonts w:ascii="Times New Roman" w:hAnsi="Times New Roman"/>
                <w:noProof/>
                <w:webHidden/>
                <w:sz w:val="24"/>
                <w:szCs w:val="24"/>
              </w:rPr>
              <w:fldChar w:fldCharType="end"/>
            </w:r>
          </w:hyperlink>
        </w:p>
        <w:p w14:paraId="7943A8A7" w14:textId="3946A436"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14" w:history="1">
            <w:r w:rsidRPr="00610D00">
              <w:rPr>
                <w:rStyle w:val="Hipervnculo"/>
                <w:rFonts w:ascii="Times New Roman" w:hAnsi="Times New Roman"/>
                <w:noProof/>
                <w:sz w:val="24"/>
                <w:szCs w:val="24"/>
              </w:rPr>
              <w:t>CAPÍTULO II: MARCO NORMATIVO Y RESPUESTA INTERNACIONAL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_Toc221271114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13</w:t>
            </w:r>
            <w:r w:rsidRPr="00610D00">
              <w:rPr>
                <w:rFonts w:ascii="Times New Roman" w:hAnsi="Times New Roman"/>
                <w:noProof/>
                <w:webHidden/>
                <w:sz w:val="24"/>
                <w:szCs w:val="24"/>
              </w:rPr>
              <w:fldChar w:fldCharType="end"/>
            </w:r>
          </w:hyperlink>
        </w:p>
        <w:p w14:paraId="33A9F65F" w14:textId="07D43926" w:rsidR="00F74995" w:rsidRPr="00610D00" w:rsidRDefault="00F74995" w:rsidP="00610D00">
          <w:pPr>
            <w:pStyle w:val="TDC2"/>
            <w:tabs>
              <w:tab w:val="left" w:pos="720"/>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15" w:history="1">
            <w:r w:rsidRPr="00610D00">
              <w:rPr>
                <w:rStyle w:val="Hipervnculo"/>
                <w:rFonts w:ascii="Times New Roman" w:hAnsi="Times New Roman"/>
                <w:noProof/>
                <w:sz w:val="24"/>
                <w:szCs w:val="24"/>
              </w:rPr>
              <w:t>5.</w:t>
            </w:r>
            <w:r w:rsidRPr="00610D00">
              <w:rPr>
                <w:rFonts w:ascii="Times New Roman" w:eastAsiaTheme="minorEastAsia" w:hAnsi="Times New Roman"/>
                <w:smallCaps w:val="0"/>
                <w:noProof/>
                <w:kern w:val="2"/>
                <w:sz w:val="24"/>
                <w:szCs w:val="24"/>
                <w14:ligatures w14:val="standardContextual"/>
              </w:rPr>
              <w:tab/>
            </w:r>
            <w:r w:rsidRPr="00610D00">
              <w:rPr>
                <w:rStyle w:val="Hipervnculo"/>
                <w:rFonts w:ascii="Times New Roman" w:hAnsi="Times New Roman"/>
                <w:noProof/>
                <w:sz w:val="24"/>
                <w:szCs w:val="24"/>
              </w:rPr>
              <w:t>Legislación vigente: normativa internacional, europea y nacional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_Toc221271115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13</w:t>
            </w:r>
            <w:r w:rsidRPr="00610D00">
              <w:rPr>
                <w:rFonts w:ascii="Times New Roman" w:hAnsi="Times New Roman"/>
                <w:noProof/>
                <w:webHidden/>
                <w:sz w:val="24"/>
                <w:szCs w:val="24"/>
              </w:rPr>
              <w:fldChar w:fldCharType="end"/>
            </w:r>
          </w:hyperlink>
        </w:p>
        <w:p w14:paraId="1A5D5CFA" w14:textId="041E68FE"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6" w:history="1">
            <w:r w:rsidRPr="00610D00">
              <w:rPr>
                <w:rStyle w:val="Hipervnculo"/>
                <w:rFonts w:ascii="Times New Roman" w:hAnsi="Times New Roman"/>
                <w:noProof/>
                <w:sz w:val="24"/>
                <w:szCs w:val="24"/>
              </w:rPr>
              <w:t>1.1 A nivel internacional: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_Toc221271116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13</w:t>
            </w:r>
            <w:r w:rsidRPr="00610D00">
              <w:rPr>
                <w:rFonts w:ascii="Times New Roman" w:hAnsi="Times New Roman"/>
                <w:noProof/>
                <w:webHidden/>
                <w:sz w:val="24"/>
                <w:szCs w:val="24"/>
              </w:rPr>
              <w:fldChar w:fldCharType="end"/>
            </w:r>
          </w:hyperlink>
        </w:p>
        <w:p w14:paraId="0AC49AB8" w14:textId="4999346D"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7" w:history="1">
            <w:r w:rsidRPr="00610D00">
              <w:rPr>
                <w:rStyle w:val="Hipervnculo"/>
                <w:rFonts w:ascii="Times New Roman" w:hAnsi="Times New Roman"/>
                <w:noProof/>
                <w:sz w:val="24"/>
                <w:szCs w:val="24"/>
              </w:rPr>
              <w:t>1.2 Legislación Nacional: Europa y España.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_Toc221271117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14</w:t>
            </w:r>
            <w:r w:rsidRPr="00610D00">
              <w:rPr>
                <w:rFonts w:ascii="Times New Roman" w:hAnsi="Times New Roman"/>
                <w:noProof/>
                <w:webHidden/>
                <w:sz w:val="24"/>
                <w:szCs w:val="24"/>
              </w:rPr>
              <w:fldChar w:fldCharType="end"/>
            </w:r>
          </w:hyperlink>
        </w:p>
        <w:p w14:paraId="33704BA7" w14:textId="79DB474E"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8" w:history="1">
            <w:r w:rsidRPr="00610D00">
              <w:rPr>
                <w:rStyle w:val="Hipervnculo"/>
                <w:rFonts w:ascii="Times New Roman" w:hAnsi="Times New Roman"/>
                <w:noProof/>
                <w:sz w:val="24"/>
                <w:szCs w:val="24"/>
              </w:rPr>
              <w:t>Ley Orgánica 8/2021 de Protección Integral a la Infancia y Adolescencia frente a la violencia (LOPIVI)</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_Toc221271118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15</w:t>
            </w:r>
            <w:r w:rsidRPr="00610D00">
              <w:rPr>
                <w:rFonts w:ascii="Times New Roman" w:hAnsi="Times New Roman"/>
                <w:noProof/>
                <w:webHidden/>
                <w:sz w:val="24"/>
                <w:szCs w:val="24"/>
              </w:rPr>
              <w:fldChar w:fldCharType="end"/>
            </w:r>
          </w:hyperlink>
        </w:p>
        <w:p w14:paraId="76131218" w14:textId="2667B38A"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19" w:history="1">
            <w:r w:rsidRPr="00610D00">
              <w:rPr>
                <w:rStyle w:val="Hipervnculo"/>
                <w:rFonts w:ascii="Times New Roman" w:hAnsi="Times New Roman"/>
                <w:noProof/>
                <w:sz w:val="24"/>
                <w:szCs w:val="24"/>
              </w:rPr>
              <w:t>Derechos de los menores y protección legal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_Toc221271119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16</w:t>
            </w:r>
            <w:r w:rsidRPr="00610D00">
              <w:rPr>
                <w:rFonts w:ascii="Times New Roman" w:hAnsi="Times New Roman"/>
                <w:noProof/>
                <w:webHidden/>
                <w:sz w:val="24"/>
                <w:szCs w:val="24"/>
              </w:rPr>
              <w:fldChar w:fldCharType="end"/>
            </w:r>
          </w:hyperlink>
        </w:p>
        <w:p w14:paraId="54AA070C" w14:textId="2E7677C2"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20" w:history="1">
            <w:r w:rsidRPr="00610D00">
              <w:rPr>
                <w:rStyle w:val="Hipervnculo"/>
                <w:rFonts w:ascii="Times New Roman" w:hAnsi="Times New Roman"/>
                <w:noProof/>
                <w:sz w:val="24"/>
                <w:szCs w:val="24"/>
              </w:rPr>
              <w:t>Protocolos y recursos: actuaciones de proyección y atención.</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_Toc221271120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17</w:t>
            </w:r>
            <w:r w:rsidRPr="00610D00">
              <w:rPr>
                <w:rFonts w:ascii="Times New Roman" w:hAnsi="Times New Roman"/>
                <w:noProof/>
                <w:webHidden/>
                <w:sz w:val="24"/>
                <w:szCs w:val="24"/>
              </w:rPr>
              <w:fldChar w:fldCharType="end"/>
            </w:r>
          </w:hyperlink>
        </w:p>
        <w:p w14:paraId="19DD3998" w14:textId="6B4E6AB3"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21" w:history="1">
            <w:r w:rsidRPr="00610D00">
              <w:rPr>
                <w:rStyle w:val="Hipervnculo"/>
                <w:rFonts w:ascii="Times New Roman" w:hAnsi="Times New Roman"/>
                <w:noProof/>
                <w:sz w:val="24"/>
                <w:szCs w:val="24"/>
              </w:rPr>
              <w:t>CAPÍTULO III: VIOLENCIA VICARIA: EL PAPEL DE LA VICTIMOLOGÍA INFANTIL</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_Toc221271121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18</w:t>
            </w:r>
            <w:r w:rsidRPr="00610D00">
              <w:rPr>
                <w:rFonts w:ascii="Times New Roman" w:hAnsi="Times New Roman"/>
                <w:noProof/>
                <w:webHidden/>
                <w:sz w:val="24"/>
                <w:szCs w:val="24"/>
              </w:rPr>
              <w:fldChar w:fldCharType="end"/>
            </w:r>
          </w:hyperlink>
        </w:p>
        <w:p w14:paraId="56F734B7" w14:textId="1B8797A2"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2" w:history="1">
            <w:r w:rsidRPr="00610D00">
              <w:rPr>
                <w:rStyle w:val="Hipervnculo"/>
                <w:rFonts w:ascii="Times New Roman" w:hAnsi="Times New Roman"/>
                <w:noProof/>
                <w:sz w:val="24"/>
                <w:szCs w:val="24"/>
              </w:rPr>
              <w:t>Concepto jurídico y criminológico de la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_Toc221271122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18</w:t>
            </w:r>
            <w:r w:rsidRPr="00610D00">
              <w:rPr>
                <w:rFonts w:ascii="Times New Roman" w:hAnsi="Times New Roman"/>
                <w:noProof/>
                <w:webHidden/>
                <w:sz w:val="24"/>
                <w:szCs w:val="24"/>
              </w:rPr>
              <w:fldChar w:fldCharType="end"/>
            </w:r>
          </w:hyperlink>
        </w:p>
        <w:p w14:paraId="64AE28AB" w14:textId="578BD28E"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3" w:history="1">
            <w:r w:rsidRPr="00610D00">
              <w:rPr>
                <w:rStyle w:val="Hipervnculo"/>
                <w:rFonts w:ascii="Times New Roman" w:hAnsi="Times New Roman"/>
                <w:noProof/>
                <w:sz w:val="24"/>
                <w:szCs w:val="24"/>
              </w:rPr>
              <w:t>Características diferenciales frente a otras violencias</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_Toc221271123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20</w:t>
            </w:r>
            <w:r w:rsidRPr="00610D00">
              <w:rPr>
                <w:rFonts w:ascii="Times New Roman" w:hAnsi="Times New Roman"/>
                <w:noProof/>
                <w:webHidden/>
                <w:sz w:val="24"/>
                <w:szCs w:val="24"/>
              </w:rPr>
              <w:fldChar w:fldCharType="end"/>
            </w:r>
          </w:hyperlink>
        </w:p>
        <w:p w14:paraId="085B204F" w14:textId="2D51D9BA"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4" w:history="1">
            <w:r w:rsidRPr="00610D00">
              <w:rPr>
                <w:rStyle w:val="Hipervnculo"/>
                <w:rFonts w:ascii="Times New Roman" w:hAnsi="Times New Roman"/>
                <w:noProof/>
                <w:sz w:val="24"/>
                <w:szCs w:val="24"/>
              </w:rPr>
              <w:t>Manifestaciones de la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_Toc221271124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21</w:t>
            </w:r>
            <w:r w:rsidRPr="00610D00">
              <w:rPr>
                <w:rFonts w:ascii="Times New Roman" w:hAnsi="Times New Roman"/>
                <w:noProof/>
                <w:webHidden/>
                <w:sz w:val="24"/>
                <w:szCs w:val="24"/>
              </w:rPr>
              <w:fldChar w:fldCharType="end"/>
            </w:r>
          </w:hyperlink>
        </w:p>
        <w:p w14:paraId="2AF337AA" w14:textId="6B5AE065"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25" w:history="1">
            <w:r w:rsidRPr="00610D00">
              <w:rPr>
                <w:rStyle w:val="Hipervnculo"/>
                <w:rFonts w:ascii="Times New Roman" w:hAnsi="Times New Roman"/>
                <w:noProof/>
                <w:sz w:val="24"/>
                <w:szCs w:val="24"/>
              </w:rPr>
              <w:t>Tipos de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_Toc221271125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21</w:t>
            </w:r>
            <w:r w:rsidRPr="00610D00">
              <w:rPr>
                <w:rFonts w:ascii="Times New Roman" w:hAnsi="Times New Roman"/>
                <w:noProof/>
                <w:webHidden/>
                <w:sz w:val="24"/>
                <w:szCs w:val="24"/>
              </w:rPr>
              <w:fldChar w:fldCharType="end"/>
            </w:r>
          </w:hyperlink>
        </w:p>
        <w:p w14:paraId="4FAB3ABD" w14:textId="219DCED7"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6" w:history="1">
            <w:r w:rsidRPr="00610D00">
              <w:rPr>
                <w:rStyle w:val="Hipervnculo"/>
                <w:rFonts w:ascii="Times New Roman" w:hAnsi="Times New Roman"/>
                <w:noProof/>
                <w:sz w:val="24"/>
                <w:szCs w:val="24"/>
              </w:rPr>
              <w:t>Impacto psicológico y emocional en los menores</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_Toc221271126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22</w:t>
            </w:r>
            <w:r w:rsidRPr="00610D00">
              <w:rPr>
                <w:rFonts w:ascii="Times New Roman" w:hAnsi="Times New Roman"/>
                <w:noProof/>
                <w:webHidden/>
                <w:sz w:val="24"/>
                <w:szCs w:val="24"/>
              </w:rPr>
              <w:fldChar w:fldCharType="end"/>
            </w:r>
          </w:hyperlink>
        </w:p>
        <w:p w14:paraId="76F95786" w14:textId="429D25E3"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27" w:history="1">
            <w:r w:rsidRPr="00610D00">
              <w:rPr>
                <w:rStyle w:val="Hipervnculo"/>
                <w:rFonts w:ascii="Times New Roman" w:hAnsi="Times New Roman"/>
                <w:noProof/>
                <w:sz w:val="24"/>
                <w:szCs w:val="24"/>
              </w:rPr>
              <w:t>Indicadores para la detección de la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_Toc221271127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23</w:t>
            </w:r>
            <w:r w:rsidRPr="00610D00">
              <w:rPr>
                <w:rFonts w:ascii="Times New Roman" w:hAnsi="Times New Roman"/>
                <w:noProof/>
                <w:webHidden/>
                <w:sz w:val="24"/>
                <w:szCs w:val="24"/>
              </w:rPr>
              <w:fldChar w:fldCharType="end"/>
            </w:r>
          </w:hyperlink>
        </w:p>
        <w:p w14:paraId="569F9AFA" w14:textId="5F07FB03"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8" w:history="1">
            <w:r w:rsidRPr="00610D00">
              <w:rPr>
                <w:rStyle w:val="Hipervnculo"/>
                <w:rFonts w:ascii="Times New Roman" w:hAnsi="Times New Roman"/>
                <w:noProof/>
                <w:sz w:val="24"/>
                <w:szCs w:val="24"/>
              </w:rPr>
              <w:t>Perfil de las víctimas de violencia vicaria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_Toc221271128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23</w:t>
            </w:r>
            <w:r w:rsidRPr="00610D00">
              <w:rPr>
                <w:rFonts w:ascii="Times New Roman" w:hAnsi="Times New Roman"/>
                <w:noProof/>
                <w:webHidden/>
                <w:sz w:val="24"/>
                <w:szCs w:val="24"/>
              </w:rPr>
              <w:fldChar w:fldCharType="end"/>
            </w:r>
          </w:hyperlink>
        </w:p>
        <w:p w14:paraId="440946DB" w14:textId="3127B0E1" w:rsidR="00F74995" w:rsidRPr="00610D00" w:rsidRDefault="00F74995" w:rsidP="00610D00">
          <w:pPr>
            <w:pStyle w:val="TDC2"/>
            <w:tabs>
              <w:tab w:val="right" w:leader="dot" w:pos="8494"/>
            </w:tabs>
            <w:spacing w:line="360" w:lineRule="auto"/>
            <w:jc w:val="both"/>
            <w:rPr>
              <w:rFonts w:ascii="Times New Roman" w:eastAsiaTheme="minorEastAsia" w:hAnsi="Times New Roman"/>
              <w:smallCaps w:val="0"/>
              <w:noProof/>
              <w:kern w:val="2"/>
              <w:sz w:val="24"/>
              <w:szCs w:val="24"/>
              <w14:ligatures w14:val="standardContextual"/>
            </w:rPr>
          </w:pPr>
          <w:hyperlink w:anchor="_Toc221271129" w:history="1">
            <w:r w:rsidRPr="00610D00">
              <w:rPr>
                <w:rStyle w:val="Hipervnculo"/>
                <w:rFonts w:ascii="Times New Roman" w:hAnsi="Times New Roman"/>
                <w:noProof/>
                <w:sz w:val="24"/>
                <w:szCs w:val="24"/>
              </w:rPr>
              <w:t>Victimología infantil en contextos de violencia vicaria: de la exposición al daño directo.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_Toc221271129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24</w:t>
            </w:r>
            <w:r w:rsidRPr="00610D00">
              <w:rPr>
                <w:rFonts w:ascii="Times New Roman" w:hAnsi="Times New Roman"/>
                <w:noProof/>
                <w:webHidden/>
                <w:sz w:val="24"/>
                <w:szCs w:val="24"/>
              </w:rPr>
              <w:fldChar w:fldCharType="end"/>
            </w:r>
          </w:hyperlink>
        </w:p>
        <w:p w14:paraId="32F017D3" w14:textId="1AB8306A"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30" w:history="1">
            <w:r w:rsidRPr="00610D00">
              <w:rPr>
                <w:rStyle w:val="Hipervnculo"/>
                <w:rFonts w:ascii="Times New Roman" w:hAnsi="Times New Roman"/>
                <w:noProof/>
                <w:sz w:val="24"/>
                <w:szCs w:val="24"/>
              </w:rPr>
              <w:t>El menor como víctima directa de la violencia de género.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_Toc221271130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24</w:t>
            </w:r>
            <w:r w:rsidRPr="00610D00">
              <w:rPr>
                <w:rFonts w:ascii="Times New Roman" w:hAnsi="Times New Roman"/>
                <w:noProof/>
                <w:webHidden/>
                <w:sz w:val="24"/>
                <w:szCs w:val="24"/>
              </w:rPr>
              <w:fldChar w:fldCharType="end"/>
            </w:r>
          </w:hyperlink>
        </w:p>
        <w:p w14:paraId="3FCED271" w14:textId="78BD8658"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31" w:history="1">
            <w:r w:rsidRPr="00610D00">
              <w:rPr>
                <w:rStyle w:val="Hipervnculo"/>
                <w:rFonts w:ascii="Times New Roman" w:hAnsi="Times New Roman"/>
                <w:noProof/>
                <w:sz w:val="24"/>
                <w:szCs w:val="24"/>
              </w:rPr>
              <w:t>La victimización en menores: la violencia familiar como modelo de aprendizaje.</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_Toc221271131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25</w:t>
            </w:r>
            <w:r w:rsidRPr="00610D00">
              <w:rPr>
                <w:rFonts w:ascii="Times New Roman" w:hAnsi="Times New Roman"/>
                <w:noProof/>
                <w:webHidden/>
                <w:sz w:val="24"/>
                <w:szCs w:val="24"/>
              </w:rPr>
              <w:fldChar w:fldCharType="end"/>
            </w:r>
          </w:hyperlink>
        </w:p>
        <w:p w14:paraId="7C6C1C41" w14:textId="09FFE953"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32" w:history="1">
            <w:r w:rsidRPr="00610D00">
              <w:rPr>
                <w:rStyle w:val="Hipervnculo"/>
                <w:rFonts w:ascii="Times New Roman" w:hAnsi="Times New Roman"/>
                <w:noProof/>
                <w:sz w:val="24"/>
                <w:szCs w:val="24"/>
              </w:rPr>
              <w:t>Protección en la infancia. Indicadores de detección.</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_Toc221271132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26</w:t>
            </w:r>
            <w:r w:rsidRPr="00610D00">
              <w:rPr>
                <w:rFonts w:ascii="Times New Roman" w:hAnsi="Times New Roman"/>
                <w:noProof/>
                <w:webHidden/>
                <w:sz w:val="24"/>
                <w:szCs w:val="24"/>
              </w:rPr>
              <w:fldChar w:fldCharType="end"/>
            </w:r>
          </w:hyperlink>
        </w:p>
        <w:p w14:paraId="5A84D655" w14:textId="4CD64C65" w:rsidR="00F74995" w:rsidRPr="00610D00" w:rsidRDefault="00F74995" w:rsidP="00610D00">
          <w:pPr>
            <w:pStyle w:val="TDC3"/>
            <w:tabs>
              <w:tab w:val="right" w:leader="dot" w:pos="8494"/>
            </w:tabs>
            <w:spacing w:line="360" w:lineRule="auto"/>
            <w:jc w:val="both"/>
            <w:rPr>
              <w:rFonts w:ascii="Times New Roman" w:eastAsiaTheme="minorEastAsia" w:hAnsi="Times New Roman"/>
              <w:i/>
              <w:iCs/>
              <w:noProof/>
              <w:kern w:val="2"/>
              <w:sz w:val="24"/>
              <w:szCs w:val="24"/>
              <w14:ligatures w14:val="standardContextual"/>
            </w:rPr>
          </w:pPr>
          <w:hyperlink w:anchor="_Toc221271133" w:history="1">
            <w:r w:rsidRPr="00610D00">
              <w:rPr>
                <w:rStyle w:val="Hipervnculo"/>
                <w:rFonts w:ascii="Times New Roman" w:hAnsi="Times New Roman"/>
                <w:noProof/>
                <w:sz w:val="24"/>
                <w:szCs w:val="24"/>
              </w:rPr>
              <w:t>Detección o sospecha de la situación de violencia: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_Toc221271133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26</w:t>
            </w:r>
            <w:r w:rsidRPr="00610D00">
              <w:rPr>
                <w:rFonts w:ascii="Times New Roman" w:hAnsi="Times New Roman"/>
                <w:noProof/>
                <w:webHidden/>
                <w:sz w:val="24"/>
                <w:szCs w:val="24"/>
              </w:rPr>
              <w:fldChar w:fldCharType="end"/>
            </w:r>
          </w:hyperlink>
        </w:p>
        <w:p w14:paraId="351F6A4C" w14:textId="5AD7C227"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34" w:history="1">
            <w:r w:rsidRPr="00610D00">
              <w:rPr>
                <w:rStyle w:val="Hipervnculo"/>
                <w:rFonts w:ascii="Times New Roman" w:hAnsi="Times New Roman"/>
                <w:noProof/>
                <w:sz w:val="24"/>
                <w:szCs w:val="24"/>
              </w:rPr>
              <w:t>CONCLUSIONES Y DISCUSIÓN</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_Toc221271134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29</w:t>
            </w:r>
            <w:r w:rsidRPr="00610D00">
              <w:rPr>
                <w:rFonts w:ascii="Times New Roman" w:hAnsi="Times New Roman"/>
                <w:noProof/>
                <w:webHidden/>
                <w:sz w:val="24"/>
                <w:szCs w:val="24"/>
              </w:rPr>
              <w:fldChar w:fldCharType="end"/>
            </w:r>
          </w:hyperlink>
        </w:p>
        <w:p w14:paraId="113DC346" w14:textId="16351440"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35" w:history="1">
            <w:r w:rsidRPr="00610D00">
              <w:rPr>
                <w:rStyle w:val="Hipervnculo"/>
                <w:rFonts w:ascii="Times New Roman" w:hAnsi="Times New Roman"/>
                <w:noProof/>
                <w:sz w:val="24"/>
                <w:szCs w:val="24"/>
              </w:rPr>
              <w:t>Anexo</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_Toc221271135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31</w:t>
            </w:r>
            <w:r w:rsidRPr="00610D00">
              <w:rPr>
                <w:rFonts w:ascii="Times New Roman" w:hAnsi="Times New Roman"/>
                <w:noProof/>
                <w:webHidden/>
                <w:sz w:val="24"/>
                <w:szCs w:val="24"/>
              </w:rPr>
              <w:fldChar w:fldCharType="end"/>
            </w:r>
          </w:hyperlink>
        </w:p>
        <w:p w14:paraId="097909DB" w14:textId="4E661374" w:rsidR="00F74995" w:rsidRPr="00610D00" w:rsidRDefault="00F74995" w:rsidP="00610D00">
          <w:pPr>
            <w:pStyle w:val="TDC1"/>
            <w:tabs>
              <w:tab w:val="right" w:leader="dot" w:pos="8494"/>
            </w:tabs>
            <w:spacing w:line="360" w:lineRule="auto"/>
            <w:jc w:val="both"/>
            <w:rPr>
              <w:rFonts w:ascii="Times New Roman" w:eastAsiaTheme="minorEastAsia" w:hAnsi="Times New Roman"/>
              <w:b w:val="0"/>
              <w:bCs w:val="0"/>
              <w:caps w:val="0"/>
              <w:noProof/>
              <w:kern w:val="2"/>
              <w:sz w:val="24"/>
              <w:szCs w:val="24"/>
              <w14:ligatures w14:val="standardContextual"/>
            </w:rPr>
          </w:pPr>
          <w:hyperlink w:anchor="_Toc221271136" w:history="1">
            <w:r w:rsidRPr="00610D00">
              <w:rPr>
                <w:rStyle w:val="Hipervnculo"/>
                <w:rFonts w:ascii="Times New Roman" w:hAnsi="Times New Roman"/>
                <w:noProof/>
                <w:sz w:val="24"/>
                <w:szCs w:val="24"/>
              </w:rPr>
              <w:t>Bibliografía</w:t>
            </w:r>
            <w:r w:rsidRPr="00610D00">
              <w:rPr>
                <w:rFonts w:ascii="Times New Roman" w:hAnsi="Times New Roman"/>
                <w:noProof/>
                <w:webHidden/>
                <w:sz w:val="24"/>
                <w:szCs w:val="24"/>
              </w:rPr>
              <w:tab/>
            </w:r>
            <w:r w:rsidRPr="00610D00">
              <w:rPr>
                <w:rFonts w:ascii="Times New Roman" w:hAnsi="Times New Roman"/>
                <w:noProof/>
                <w:webHidden/>
                <w:sz w:val="24"/>
                <w:szCs w:val="24"/>
              </w:rPr>
              <w:fldChar w:fldCharType="begin"/>
            </w:r>
            <w:r w:rsidRPr="00610D00">
              <w:rPr>
                <w:rFonts w:ascii="Times New Roman" w:hAnsi="Times New Roman"/>
                <w:noProof/>
                <w:webHidden/>
                <w:sz w:val="24"/>
                <w:szCs w:val="24"/>
              </w:rPr>
              <w:instrText xml:space="preserve"> PAGEREF _Toc221271136 \h </w:instrText>
            </w:r>
            <w:r w:rsidRPr="00610D00">
              <w:rPr>
                <w:rFonts w:ascii="Times New Roman" w:hAnsi="Times New Roman"/>
                <w:noProof/>
                <w:webHidden/>
                <w:sz w:val="24"/>
                <w:szCs w:val="24"/>
              </w:rPr>
            </w:r>
            <w:r w:rsidRPr="00610D00">
              <w:rPr>
                <w:rFonts w:ascii="Times New Roman" w:hAnsi="Times New Roman"/>
                <w:noProof/>
                <w:webHidden/>
                <w:sz w:val="24"/>
                <w:szCs w:val="24"/>
              </w:rPr>
              <w:fldChar w:fldCharType="separate"/>
            </w:r>
            <w:r w:rsidR="009B6449">
              <w:rPr>
                <w:rFonts w:ascii="Times New Roman" w:hAnsi="Times New Roman"/>
                <w:noProof/>
                <w:webHidden/>
                <w:sz w:val="24"/>
                <w:szCs w:val="24"/>
              </w:rPr>
              <w:t>31</w:t>
            </w:r>
            <w:r w:rsidRPr="00610D00">
              <w:rPr>
                <w:rFonts w:ascii="Times New Roman" w:hAnsi="Times New Roman"/>
                <w:noProof/>
                <w:webHidden/>
                <w:sz w:val="24"/>
                <w:szCs w:val="24"/>
              </w:rPr>
              <w:fldChar w:fldCharType="end"/>
            </w:r>
          </w:hyperlink>
        </w:p>
        <w:p w14:paraId="1F3CC316" w14:textId="77777777" w:rsidR="00610D00" w:rsidRDefault="00F74995" w:rsidP="00610D00">
          <w:pPr>
            <w:spacing w:line="360" w:lineRule="auto"/>
            <w:jc w:val="both"/>
            <w:rPr>
              <w:b/>
              <w:bCs/>
              <w:noProof/>
            </w:rPr>
          </w:pPr>
          <w:r w:rsidRPr="00610D00">
            <w:rPr>
              <w:b/>
              <w:bCs/>
              <w:noProof/>
            </w:rPr>
            <w:fldChar w:fldCharType="end"/>
          </w:r>
        </w:p>
        <w:p w14:paraId="31435672" w14:textId="77777777" w:rsidR="00610D00" w:rsidRDefault="00610D00" w:rsidP="00610D00">
          <w:pPr>
            <w:spacing w:line="360" w:lineRule="auto"/>
            <w:jc w:val="both"/>
            <w:rPr>
              <w:b/>
              <w:bCs/>
              <w:noProof/>
            </w:rPr>
          </w:pPr>
        </w:p>
        <w:p w14:paraId="730C7C75" w14:textId="77777777" w:rsidR="00610D00" w:rsidRDefault="00610D00" w:rsidP="00610D00">
          <w:pPr>
            <w:spacing w:line="360" w:lineRule="auto"/>
            <w:jc w:val="both"/>
            <w:rPr>
              <w:b/>
              <w:bCs/>
              <w:noProof/>
            </w:rPr>
          </w:pPr>
        </w:p>
        <w:p w14:paraId="0C530651" w14:textId="77777777" w:rsidR="00610D00" w:rsidRDefault="00610D00" w:rsidP="00610D00">
          <w:pPr>
            <w:spacing w:line="360" w:lineRule="auto"/>
            <w:jc w:val="both"/>
            <w:rPr>
              <w:b/>
              <w:bCs/>
              <w:noProof/>
            </w:rPr>
          </w:pPr>
        </w:p>
        <w:p w14:paraId="165D3AAB" w14:textId="77777777" w:rsidR="00610D00" w:rsidRDefault="00610D00" w:rsidP="00610D00">
          <w:pPr>
            <w:spacing w:line="360" w:lineRule="auto"/>
            <w:jc w:val="both"/>
            <w:rPr>
              <w:b/>
              <w:bCs/>
              <w:noProof/>
            </w:rPr>
          </w:pPr>
        </w:p>
        <w:p w14:paraId="54B66A1A" w14:textId="77777777" w:rsidR="00610D00" w:rsidRDefault="00610D00" w:rsidP="00610D00">
          <w:pPr>
            <w:spacing w:line="360" w:lineRule="auto"/>
            <w:jc w:val="both"/>
            <w:rPr>
              <w:b/>
              <w:bCs/>
              <w:noProof/>
            </w:rPr>
          </w:pPr>
        </w:p>
        <w:p w14:paraId="33BA2B68" w14:textId="77777777" w:rsidR="00610D00" w:rsidRDefault="00610D00" w:rsidP="00610D00">
          <w:pPr>
            <w:spacing w:line="360" w:lineRule="auto"/>
            <w:jc w:val="both"/>
            <w:rPr>
              <w:b/>
              <w:bCs/>
              <w:noProof/>
            </w:rPr>
          </w:pPr>
        </w:p>
        <w:p w14:paraId="4E4E58EB" w14:textId="77777777" w:rsidR="00610D00" w:rsidRDefault="00610D00" w:rsidP="00610D00">
          <w:pPr>
            <w:spacing w:line="360" w:lineRule="auto"/>
            <w:jc w:val="both"/>
            <w:rPr>
              <w:b/>
              <w:bCs/>
              <w:noProof/>
            </w:rPr>
          </w:pPr>
        </w:p>
        <w:p w14:paraId="6D503ADF" w14:textId="081FFD8A" w:rsidR="00610D00" w:rsidRDefault="00F74995" w:rsidP="00610D00">
          <w:pPr>
            <w:spacing w:line="360" w:lineRule="auto"/>
            <w:jc w:val="both"/>
          </w:pPr>
        </w:p>
      </w:sdtContent>
    </w:sdt>
    <w:bookmarkStart w:id="0" w:name="_Toc221271101" w:displacedByCustomXml="prev"/>
    <w:p w14:paraId="5C265E3A" w14:textId="2007FBB6" w:rsidR="00DA17EC" w:rsidRPr="00304425" w:rsidRDefault="00DA17EC" w:rsidP="00304425">
      <w:pPr>
        <w:pStyle w:val="Ttulo1"/>
      </w:pPr>
      <w:r w:rsidRPr="00304425">
        <w:lastRenderedPageBreak/>
        <w:t>RESUMEN</w:t>
      </w:r>
      <w:bookmarkEnd w:id="0"/>
      <w:r w:rsidRPr="00304425">
        <w:t xml:space="preserve"> </w:t>
      </w:r>
    </w:p>
    <w:p w14:paraId="51773DA9" w14:textId="77777777" w:rsidR="0022341C" w:rsidRDefault="0022341C" w:rsidP="00974ADB">
      <w:pPr>
        <w:shd w:val="clear" w:color="auto" w:fill="FFFFFF" w:themeFill="background1"/>
        <w:spacing w:line="360" w:lineRule="auto"/>
        <w:jc w:val="both"/>
        <w:rPr>
          <w:rFonts w:eastAsia="inter"/>
          <w:b/>
          <w:color w:val="000000"/>
        </w:rPr>
      </w:pPr>
    </w:p>
    <w:p w14:paraId="608DB8F9" w14:textId="77777777" w:rsidR="00F61D0A" w:rsidRPr="00B9114B" w:rsidRDefault="002F5ACA" w:rsidP="00974ADB">
      <w:pPr>
        <w:shd w:val="clear" w:color="auto" w:fill="FFFFFF" w:themeFill="background1"/>
        <w:spacing w:line="360" w:lineRule="auto"/>
        <w:ind w:firstLine="708"/>
        <w:jc w:val="both"/>
        <w:rPr>
          <w:rFonts w:eastAsia="inter"/>
          <w:bCs/>
          <w:color w:val="000000"/>
        </w:rPr>
      </w:pPr>
      <w:r w:rsidRPr="00B9114B">
        <w:rPr>
          <w:rFonts w:eastAsia="inter"/>
          <w:bCs/>
          <w:color w:val="000000"/>
        </w:rPr>
        <w:t>La</w:t>
      </w:r>
      <w:r w:rsidRPr="00B9114B">
        <w:rPr>
          <w:rFonts w:eastAsia="inter"/>
          <w:b/>
          <w:color w:val="000000"/>
        </w:rPr>
        <w:t xml:space="preserve"> violencia vicaria </w:t>
      </w:r>
      <w:r w:rsidRPr="00B9114B">
        <w:rPr>
          <w:rFonts w:eastAsia="inter"/>
          <w:bCs/>
          <w:color w:val="000000"/>
        </w:rPr>
        <w:t>constituye una de las manifestaciones más graves de la violencia de género</w:t>
      </w:r>
      <w:r w:rsidR="00CC075B" w:rsidRPr="00B9114B">
        <w:rPr>
          <w:rFonts w:eastAsia="inter"/>
          <w:bCs/>
          <w:color w:val="000000"/>
        </w:rPr>
        <w:t>, en la que el agresor utiliza a los hijos e hijas como instrumento para causar el mayor daño posible a la mujer.</w:t>
      </w:r>
      <w:r w:rsidR="00F61D0A" w:rsidRPr="00B9114B">
        <w:rPr>
          <w:rFonts w:eastAsia="inter"/>
          <w:bCs/>
          <w:color w:val="000000"/>
        </w:rPr>
        <w:t xml:space="preserve"> Este trabajo tiene como objetivo analizar la violencia vicaria desde una perspectiva criminológica, atendiendo a su conceptualización, características, consecuencias en las víctimas y las respuestas institucionales. </w:t>
      </w:r>
    </w:p>
    <w:p w14:paraId="0F0C54C0" w14:textId="77777777" w:rsidR="00DF0E7D" w:rsidRPr="00B9114B" w:rsidRDefault="00DF0E7D" w:rsidP="00974ADB">
      <w:pPr>
        <w:shd w:val="clear" w:color="auto" w:fill="FFFFFF" w:themeFill="background1"/>
        <w:spacing w:line="360" w:lineRule="auto"/>
        <w:ind w:firstLine="708"/>
        <w:jc w:val="both"/>
        <w:rPr>
          <w:rFonts w:eastAsia="inter"/>
          <w:bCs/>
          <w:color w:val="000000"/>
        </w:rPr>
      </w:pPr>
    </w:p>
    <w:p w14:paraId="25A68036" w14:textId="77777777" w:rsidR="008E4376" w:rsidRPr="00B9114B" w:rsidRDefault="006C729E" w:rsidP="00974ADB">
      <w:pPr>
        <w:shd w:val="clear" w:color="auto" w:fill="FFFFFF" w:themeFill="background1"/>
        <w:spacing w:line="360" w:lineRule="auto"/>
        <w:ind w:firstLine="708"/>
        <w:jc w:val="both"/>
        <w:rPr>
          <w:rFonts w:eastAsia="inter"/>
          <w:bCs/>
          <w:color w:val="000000"/>
        </w:rPr>
      </w:pPr>
      <w:r w:rsidRPr="00B9114B">
        <w:rPr>
          <w:rFonts w:eastAsia="inter"/>
          <w:bCs/>
          <w:color w:val="000000"/>
        </w:rPr>
        <w:t xml:space="preserve">En </w:t>
      </w:r>
      <w:r w:rsidR="002D4EAA" w:rsidRPr="00B9114B">
        <w:rPr>
          <w:rFonts w:eastAsia="inter"/>
          <w:bCs/>
          <w:color w:val="000000"/>
        </w:rPr>
        <w:t>primer</w:t>
      </w:r>
      <w:r w:rsidRPr="00B9114B">
        <w:rPr>
          <w:rFonts w:eastAsia="inter"/>
          <w:bCs/>
          <w:color w:val="000000"/>
        </w:rPr>
        <w:t xml:space="preserve"> lugar, se </w:t>
      </w:r>
      <w:r w:rsidR="00A80545" w:rsidRPr="00B9114B">
        <w:rPr>
          <w:rFonts w:eastAsia="inter"/>
          <w:bCs/>
          <w:color w:val="000000"/>
        </w:rPr>
        <w:t>sitúa</w:t>
      </w:r>
      <w:r w:rsidRPr="00B9114B">
        <w:rPr>
          <w:rFonts w:eastAsia="inter"/>
          <w:bCs/>
          <w:color w:val="000000"/>
        </w:rPr>
        <w:t xml:space="preserve"> la violencia vicaria dentro del marco más amplio de la violencia de género, diferenciándola de conceptos que pueden resultar similares como la violencia doméstica y del maltrato infantil directo. Se analizará la magnitud y las principales manifestaciones a través de daños físicos, psicológicos y sociales en mujeres, menores y seres queridos </w:t>
      </w:r>
      <w:r w:rsidR="00E25180" w:rsidRPr="00B9114B">
        <w:rPr>
          <w:rFonts w:eastAsia="inter"/>
          <w:bCs/>
          <w:color w:val="000000"/>
        </w:rPr>
        <w:t xml:space="preserve">relacionados con la mujer víctima de violencia. </w:t>
      </w:r>
    </w:p>
    <w:p w14:paraId="05CC5472" w14:textId="77777777" w:rsidR="008E4376" w:rsidRPr="00B9114B" w:rsidRDefault="008E4376" w:rsidP="00974ADB">
      <w:pPr>
        <w:shd w:val="clear" w:color="auto" w:fill="FFFFFF" w:themeFill="background1"/>
        <w:spacing w:line="360" w:lineRule="auto"/>
        <w:ind w:firstLine="708"/>
        <w:jc w:val="both"/>
        <w:rPr>
          <w:rFonts w:eastAsia="inter"/>
          <w:bCs/>
          <w:color w:val="000000"/>
        </w:rPr>
      </w:pPr>
    </w:p>
    <w:p w14:paraId="6C6A828F" w14:textId="2B0426E7" w:rsidR="00DF0E7D" w:rsidRPr="00B9114B" w:rsidRDefault="00E25180" w:rsidP="00974ADB">
      <w:pPr>
        <w:shd w:val="clear" w:color="auto" w:fill="FFFFFF" w:themeFill="background1"/>
        <w:spacing w:line="360" w:lineRule="auto"/>
        <w:ind w:firstLine="708"/>
        <w:jc w:val="both"/>
        <w:rPr>
          <w:rFonts w:eastAsia="inter"/>
          <w:bCs/>
          <w:color w:val="000000"/>
        </w:rPr>
      </w:pPr>
      <w:r w:rsidRPr="00B9114B">
        <w:rPr>
          <w:rFonts w:eastAsia="inter"/>
          <w:bCs/>
          <w:color w:val="000000"/>
        </w:rPr>
        <w:t xml:space="preserve">En segundo lugar, se revisa el desarrollo del marco normativo internacional, europeo y español </w:t>
      </w:r>
      <w:r w:rsidR="008E4376" w:rsidRPr="00B9114B">
        <w:rPr>
          <w:rFonts w:eastAsia="inter"/>
          <w:bCs/>
          <w:color w:val="000000"/>
        </w:rPr>
        <w:t>co</w:t>
      </w:r>
      <w:r w:rsidRPr="00B9114B">
        <w:rPr>
          <w:rFonts w:eastAsia="inter"/>
          <w:bCs/>
          <w:color w:val="000000"/>
        </w:rPr>
        <w:t xml:space="preserve">n el objetivo de comprender cómo se ha ido reconociendo progresivamente a los menores como víctimas directas y </w:t>
      </w:r>
      <w:r w:rsidR="00A3127C">
        <w:rPr>
          <w:rFonts w:eastAsia="inter"/>
          <w:bCs/>
          <w:color w:val="000000"/>
        </w:rPr>
        <w:t>la forma en que</w:t>
      </w:r>
      <w:r w:rsidRPr="00B9114B">
        <w:rPr>
          <w:rFonts w:eastAsia="inter"/>
          <w:bCs/>
          <w:color w:val="000000"/>
        </w:rPr>
        <w:t xml:space="preserve"> se han ido incorporando medidas específicas de protección para intervenir en estos casos. </w:t>
      </w:r>
    </w:p>
    <w:p w14:paraId="3954C288" w14:textId="77777777" w:rsidR="00E25180" w:rsidRPr="00B9114B" w:rsidRDefault="00E25180" w:rsidP="00974ADB">
      <w:pPr>
        <w:shd w:val="clear" w:color="auto" w:fill="FFFFFF" w:themeFill="background1"/>
        <w:spacing w:line="360" w:lineRule="auto"/>
        <w:ind w:firstLine="708"/>
        <w:jc w:val="both"/>
        <w:rPr>
          <w:rFonts w:eastAsia="inter"/>
          <w:bCs/>
          <w:color w:val="000000"/>
        </w:rPr>
      </w:pPr>
    </w:p>
    <w:p w14:paraId="314918B0" w14:textId="0AC9170B" w:rsidR="00DA17EC" w:rsidRDefault="00E25180" w:rsidP="00B9114B">
      <w:pPr>
        <w:shd w:val="clear" w:color="auto" w:fill="FFFFFF" w:themeFill="background1"/>
        <w:spacing w:line="360" w:lineRule="auto"/>
        <w:ind w:firstLine="708"/>
        <w:jc w:val="both"/>
        <w:rPr>
          <w:rFonts w:eastAsia="inter"/>
          <w:b/>
          <w:color w:val="000000"/>
        </w:rPr>
      </w:pPr>
      <w:r w:rsidRPr="00B9114B">
        <w:rPr>
          <w:rFonts w:eastAsia="inter"/>
          <w:bCs/>
          <w:color w:val="000000"/>
        </w:rPr>
        <w:t xml:space="preserve">Finalmente, el trabajo </w:t>
      </w:r>
      <w:r w:rsidR="008E4376" w:rsidRPr="00B9114B">
        <w:rPr>
          <w:rFonts w:eastAsia="inter"/>
          <w:bCs/>
          <w:color w:val="000000"/>
        </w:rPr>
        <w:t>aborda en especial</w:t>
      </w:r>
      <w:r w:rsidRPr="00B9114B">
        <w:rPr>
          <w:rFonts w:eastAsia="inter"/>
          <w:bCs/>
          <w:color w:val="000000"/>
        </w:rPr>
        <w:t xml:space="preserve"> </w:t>
      </w:r>
      <w:r w:rsidR="006D3EBE" w:rsidRPr="00B9114B">
        <w:rPr>
          <w:rFonts w:eastAsia="inter"/>
          <w:bCs/>
          <w:color w:val="000000"/>
        </w:rPr>
        <w:t>la victimología infantil</w:t>
      </w:r>
      <w:r w:rsidR="008E4376" w:rsidRPr="00B9114B">
        <w:rPr>
          <w:rFonts w:eastAsia="inter"/>
          <w:bCs/>
          <w:color w:val="000000"/>
        </w:rPr>
        <w:t xml:space="preserve">. Se describe </w:t>
      </w:r>
      <w:r w:rsidR="006D3EBE" w:rsidRPr="00B9114B">
        <w:rPr>
          <w:rFonts w:eastAsia="inter"/>
          <w:bCs/>
          <w:color w:val="000000"/>
        </w:rPr>
        <w:t xml:space="preserve">las formas de </w:t>
      </w:r>
      <w:r w:rsidR="002D4EAA" w:rsidRPr="00B9114B">
        <w:rPr>
          <w:rFonts w:eastAsia="inter"/>
          <w:bCs/>
          <w:color w:val="000000"/>
        </w:rPr>
        <w:t>instrumentalización</w:t>
      </w:r>
      <w:r w:rsidR="006D3EBE" w:rsidRPr="00B9114B">
        <w:rPr>
          <w:rFonts w:eastAsia="inter"/>
          <w:bCs/>
          <w:color w:val="000000"/>
        </w:rPr>
        <w:t xml:space="preserve"> que sufren los menores y sus consecuencias e impacto </w:t>
      </w:r>
      <w:r w:rsidR="002D4EAA" w:rsidRPr="00B9114B">
        <w:rPr>
          <w:rFonts w:eastAsia="inter"/>
          <w:bCs/>
          <w:color w:val="000000"/>
        </w:rPr>
        <w:t>emocional</w:t>
      </w:r>
      <w:r w:rsidR="006D3EBE" w:rsidRPr="00B9114B">
        <w:rPr>
          <w:rFonts w:eastAsia="inter"/>
          <w:bCs/>
          <w:color w:val="000000"/>
        </w:rPr>
        <w:t xml:space="preserve"> y evolutivo. Asimismo, se </w:t>
      </w:r>
      <w:r w:rsidR="002D4EAA" w:rsidRPr="00B9114B">
        <w:rPr>
          <w:rFonts w:eastAsia="inter"/>
          <w:bCs/>
          <w:color w:val="000000"/>
        </w:rPr>
        <w:t>analizarán</w:t>
      </w:r>
      <w:r w:rsidR="006D3EBE" w:rsidRPr="00B9114B">
        <w:rPr>
          <w:rFonts w:eastAsia="inter"/>
          <w:bCs/>
          <w:color w:val="000000"/>
        </w:rPr>
        <w:t xml:space="preserve"> los indicadores de riesgo y la forma de actuar para proteger al menor</w:t>
      </w:r>
      <w:r w:rsidR="002D4EAA" w:rsidRPr="00B9114B">
        <w:rPr>
          <w:rFonts w:eastAsia="inter"/>
          <w:bCs/>
          <w:color w:val="000000"/>
        </w:rPr>
        <w:t xml:space="preserve"> de forma interinstitucional coordinada.</w:t>
      </w:r>
      <w:r w:rsidR="002D4EAA">
        <w:rPr>
          <w:rFonts w:eastAsia="inter"/>
          <w:bCs/>
          <w:color w:val="000000"/>
        </w:rPr>
        <w:t xml:space="preserve"> </w:t>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r w:rsidR="001240C5">
        <w:rPr>
          <w:rFonts w:eastAsia="inter"/>
          <w:b/>
          <w:color w:val="000000"/>
        </w:rPr>
        <w:tab/>
      </w:r>
    </w:p>
    <w:p w14:paraId="2A74FD79" w14:textId="0B78A75A" w:rsidR="00CC0E57" w:rsidRPr="00CC0E57" w:rsidRDefault="00CC0E57" w:rsidP="00B9114B">
      <w:pPr>
        <w:shd w:val="clear" w:color="auto" w:fill="FFFFFF" w:themeFill="background1"/>
        <w:spacing w:line="360" w:lineRule="auto"/>
        <w:ind w:firstLine="708"/>
        <w:jc w:val="both"/>
        <w:rPr>
          <w:rFonts w:eastAsia="inter"/>
          <w:bCs/>
          <w:color w:val="000000"/>
        </w:rPr>
      </w:pPr>
      <w:r w:rsidRPr="00CC0E57">
        <w:rPr>
          <w:rFonts w:eastAsia="inter"/>
          <w:bCs/>
          <w:color w:val="000000"/>
          <w:highlight w:val="yellow"/>
        </w:rPr>
        <w:t>(Del resumen no estoy muy segura, no me termina de gustar)</w:t>
      </w:r>
    </w:p>
    <w:p w14:paraId="41632221" w14:textId="783C02EC" w:rsidR="00C43AFC" w:rsidRDefault="00DC22B9" w:rsidP="00407BE9">
      <w:pPr>
        <w:pStyle w:val="Ttulo1"/>
      </w:pPr>
      <w:bookmarkStart w:id="1" w:name="_Toc221271102"/>
      <w:r w:rsidRPr="00C1483E">
        <w:t>INTRODUCCIÓN</w:t>
      </w:r>
      <w:bookmarkEnd w:id="1"/>
    </w:p>
    <w:p w14:paraId="7A75CC74" w14:textId="77777777" w:rsidR="00C1483E" w:rsidRPr="00C1483E" w:rsidRDefault="00C1483E" w:rsidP="00C1483E">
      <w:pPr>
        <w:spacing w:line="360" w:lineRule="auto"/>
        <w:jc w:val="both"/>
        <w:rPr>
          <w:rFonts w:eastAsia="inter"/>
          <w:b/>
          <w:color w:val="000000"/>
        </w:rPr>
      </w:pPr>
    </w:p>
    <w:p w14:paraId="49D0B83E" w14:textId="197E492F" w:rsidR="00DC22B9" w:rsidRPr="00C1483E" w:rsidRDefault="00DC22B9" w:rsidP="00C1483E">
      <w:pPr>
        <w:spacing w:line="360" w:lineRule="auto"/>
        <w:ind w:firstLine="708"/>
        <w:jc w:val="both"/>
      </w:pPr>
      <w:r w:rsidRPr="008639D5">
        <w:t>La violencia de género sigue siendo una de las principales problemáticas sociales y criminológicas de nuestro tiempo.</w:t>
      </w:r>
      <w:r w:rsidR="00C1483E">
        <w:t xml:space="preserve"> </w:t>
      </w:r>
      <w:r w:rsidRPr="008639D5">
        <w:t xml:space="preserve">A pesar de los avances legislativos y de sensibilización, continúa afectando a miles de mujeres de cada año y generando graves consecuencias también en su entorno familiar. Dentro de este fenómeno se encuentra </w:t>
      </w:r>
      <w:r w:rsidRPr="008639D5">
        <w:rPr>
          <w:i/>
          <w:iCs/>
        </w:rPr>
        <w:t>La violencia vicaria</w:t>
      </w:r>
      <w:r w:rsidR="00C43AFC" w:rsidRPr="008639D5">
        <w:rPr>
          <w:i/>
          <w:iCs/>
        </w:rPr>
        <w:t xml:space="preserve">. </w:t>
      </w:r>
      <w:r w:rsidR="00C43AFC" w:rsidRPr="008639D5">
        <w:t xml:space="preserve">En </w:t>
      </w:r>
      <w:r w:rsidR="00C43AFC" w:rsidRPr="003747D7">
        <w:t>estos últimos años</w:t>
      </w:r>
      <w:r w:rsidR="00C43AFC" w:rsidRPr="008639D5">
        <w:t xml:space="preserve"> </w:t>
      </w:r>
      <w:r w:rsidR="00861010" w:rsidRPr="008639D5">
        <w:t xml:space="preserve">se proyectan </w:t>
      </w:r>
      <w:r w:rsidR="00C43AFC" w:rsidRPr="008639D5">
        <w:t xml:space="preserve">cada vez más </w:t>
      </w:r>
      <w:r w:rsidR="00861010" w:rsidRPr="008639D5">
        <w:t xml:space="preserve">casos en las noticias donde un progenitor mata o hace daño a sus propios hijos con el objetivo de hacer daño </w:t>
      </w:r>
      <w:r w:rsidR="00861010" w:rsidRPr="008639D5">
        <w:lastRenderedPageBreak/>
        <w:t xml:space="preserve">al otro progenitor, así como el caso de Tomás Gimeno, José Bretón o el caso de Almería.  </w:t>
      </w:r>
      <w:r w:rsidR="00300020">
        <w:t>En las últimas décadas, la violencia vicaria se ha considerado</w:t>
      </w:r>
      <w:r w:rsidRPr="008639D5">
        <w:t xml:space="preserve"> como una de las formas más graves y dolorosas de expresar la violencia de género mediante el uso de los hijos o hijas como instrumentos para herir a la madre. Pero la violencia vicaria no debe limitarse únicamente a los hijos/as, pues puede dirigirse contra personas con las que la mujer tiene relaciones más significativas o cercanas. </w:t>
      </w:r>
    </w:p>
    <w:p w14:paraId="54BC359F" w14:textId="77777777" w:rsidR="00863B2F" w:rsidRPr="008639D5" w:rsidRDefault="00863B2F" w:rsidP="005272AC">
      <w:pPr>
        <w:spacing w:line="360" w:lineRule="auto"/>
        <w:jc w:val="both"/>
      </w:pPr>
    </w:p>
    <w:p w14:paraId="3F678F13" w14:textId="4CBA0CA8" w:rsidR="00863B2F" w:rsidRPr="008639D5" w:rsidRDefault="00863B2F" w:rsidP="00C1483E">
      <w:pPr>
        <w:spacing w:line="360" w:lineRule="auto"/>
        <w:ind w:firstLine="708"/>
        <w:jc w:val="both"/>
      </w:pPr>
      <w:r w:rsidRPr="008639D5">
        <w:t>El presente trabajo tiene como finalidad analizar la violencia vicaria desde la perspectiva de la victimología infantil, considerando a los menores no solo como testigos de violencia de género, sino también víctimas directas de la misma. A</w:t>
      </w:r>
      <w:r w:rsidR="00625C86">
        <w:t>simismo,</w:t>
      </w:r>
      <w:r w:rsidRPr="008639D5">
        <w:t xml:space="preserve"> se </w:t>
      </w:r>
      <w:r w:rsidR="00625C86">
        <w:t>destacará</w:t>
      </w:r>
      <w:r w:rsidRPr="008639D5">
        <w:t xml:space="preserve"> las consecuencias psicológicas, emocionales y sociales que pueden impactar en su desarrollo emocional y psico-social</w:t>
      </w:r>
      <w:r w:rsidR="00861010" w:rsidRPr="008639D5">
        <w:t xml:space="preserve"> de las víctimas de </w:t>
      </w:r>
      <w:proofErr w:type="gramStart"/>
      <w:r w:rsidR="00861010" w:rsidRPr="008639D5">
        <w:t>la misma</w:t>
      </w:r>
      <w:proofErr w:type="gramEnd"/>
      <w:r w:rsidR="00861010" w:rsidRPr="008639D5">
        <w:t xml:space="preserve">. </w:t>
      </w:r>
    </w:p>
    <w:p w14:paraId="712AA32C" w14:textId="77777777" w:rsidR="00863B2F" w:rsidRPr="008639D5" w:rsidRDefault="00863B2F" w:rsidP="005272AC">
      <w:pPr>
        <w:spacing w:line="360" w:lineRule="auto"/>
        <w:jc w:val="both"/>
      </w:pPr>
    </w:p>
    <w:p w14:paraId="7316FD99" w14:textId="798F76C5" w:rsidR="008676AA" w:rsidRDefault="00863B2F" w:rsidP="00C1483E">
      <w:pPr>
        <w:spacing w:line="360" w:lineRule="auto"/>
        <w:ind w:firstLine="708"/>
        <w:jc w:val="both"/>
      </w:pPr>
      <w:r w:rsidRPr="008639D5">
        <w:t>El interés de esta investigación radica en visibilizar la vulnerabilidad infantil en los contextos de violencia de género y en la necesidad de reconocer sus derechos de protecció</w:t>
      </w:r>
      <w:r w:rsidR="00D12248">
        <w:t>n</w:t>
      </w:r>
      <w:r w:rsidRPr="008639D5">
        <w:t xml:space="preserve">. El impacto de la violencia vicaria sobre los menores y sus madres son múltiples y afectan a su desarrollo evolutivo a veces de forma irreversible. La victimología nos permite encontrar herramientas para identificar factores de riesgo, patrones de victimización, estrategias de intervención y abordar el daño sufrido por los menores. </w:t>
      </w:r>
    </w:p>
    <w:p w14:paraId="406FB0CA" w14:textId="70A3530A" w:rsidR="00863B2F" w:rsidRPr="008639D5" w:rsidRDefault="00863B2F" w:rsidP="00C1483E">
      <w:pPr>
        <w:spacing w:line="360" w:lineRule="auto"/>
        <w:ind w:firstLine="708"/>
        <w:jc w:val="both"/>
      </w:pPr>
      <w:r w:rsidRPr="008639D5">
        <w:t xml:space="preserve">Este daño no es solo como consecuencia indirecta, sino directa y persistente. A través de este trabajo se </w:t>
      </w:r>
      <w:r w:rsidR="002E1454">
        <w:t xml:space="preserve">propondrá </w:t>
      </w:r>
      <w:r w:rsidRPr="008639D5">
        <w:t xml:space="preserve">una perspectiva victimológica, </w:t>
      </w:r>
      <w:r w:rsidR="002411AE">
        <w:t xml:space="preserve">que </w:t>
      </w:r>
      <w:r w:rsidRPr="008639D5">
        <w:t xml:space="preserve">destacará la importancia de la coordinación interinstitucional para garantizar una respuesta integral y efectiva, así como exponer tratados internacionales implicados como la Convención sobre los Derechos del Niño (1989). </w:t>
      </w:r>
    </w:p>
    <w:p w14:paraId="783E4AC2" w14:textId="51F93C27" w:rsidR="00CC1BF4" w:rsidRPr="008639D5" w:rsidRDefault="00CC1BF4" w:rsidP="005272AC">
      <w:pPr>
        <w:spacing w:line="360" w:lineRule="auto"/>
        <w:jc w:val="both"/>
      </w:pPr>
    </w:p>
    <w:p w14:paraId="3C48264A" w14:textId="64BFD165" w:rsidR="00861010" w:rsidRDefault="00CC1BF4" w:rsidP="00EF457A">
      <w:pPr>
        <w:spacing w:line="360" w:lineRule="auto"/>
        <w:ind w:firstLine="360"/>
        <w:jc w:val="both"/>
      </w:pPr>
      <w:r w:rsidRPr="008639D5">
        <w:t xml:space="preserve">En definitiva, este trabajo de fin de Grado tiene el fin de </w:t>
      </w:r>
      <w:r w:rsidR="00D348EE">
        <w:t>visibilizar</w:t>
      </w:r>
      <w:r w:rsidRPr="008639D5">
        <w:t xml:space="preserve"> el impacto de la violencia vicaria en la infancia, resaltando la necesidad de un encuadre victimológico que garantice la firmeza y justicia para las víctimas. Solo a través del reconociendo a </w:t>
      </w:r>
      <w:proofErr w:type="gramStart"/>
      <w:r w:rsidRPr="008639D5">
        <w:t>los niños y niñas</w:t>
      </w:r>
      <w:proofErr w:type="gramEnd"/>
      <w:r w:rsidRPr="008639D5">
        <w:t xml:space="preserve"> como sujetos de derecho podremos evolucionar hacia una sociedad más justa y libre de violencia. </w:t>
      </w:r>
    </w:p>
    <w:p w14:paraId="1387BF1C" w14:textId="77777777" w:rsidR="001512B6" w:rsidRDefault="001512B6" w:rsidP="00D94863">
      <w:pPr>
        <w:spacing w:line="360" w:lineRule="auto"/>
        <w:jc w:val="both"/>
      </w:pPr>
    </w:p>
    <w:p w14:paraId="6F187B55" w14:textId="5845122D" w:rsidR="00BB3743" w:rsidRPr="00BB3743" w:rsidRDefault="00127544" w:rsidP="00407BE9">
      <w:pPr>
        <w:pStyle w:val="Ttulo1"/>
      </w:pPr>
      <w:bookmarkStart w:id="2" w:name="_Toc221271103"/>
      <w:r w:rsidRPr="00EF457A">
        <w:lastRenderedPageBreak/>
        <w:t>METODOLOGÍA:</w:t>
      </w:r>
      <w:bookmarkEnd w:id="2"/>
      <w:r>
        <w:t xml:space="preserve"> </w:t>
      </w:r>
    </w:p>
    <w:p w14:paraId="20E33167" w14:textId="2E466D24" w:rsidR="00BB3743" w:rsidRDefault="00BB3743" w:rsidP="00EF457A">
      <w:pPr>
        <w:pStyle w:val="NormalWeb"/>
        <w:spacing w:line="360" w:lineRule="auto"/>
        <w:ind w:firstLine="708"/>
        <w:jc w:val="both"/>
      </w:pPr>
      <w:r>
        <w:t>El pre</w:t>
      </w:r>
      <w:r>
        <w:t>s</w:t>
      </w:r>
      <w:r>
        <w:t xml:space="preserve">ente Trabajo de Fin de Grado se ha desarrollado mediante una </w:t>
      </w:r>
      <w:r>
        <w:rPr>
          <w:rStyle w:val="Fuerte"/>
          <w:rFonts w:eastAsiaTheme="majorEastAsia"/>
        </w:rPr>
        <w:t>metodología de revisión bibliográfica y documental</w:t>
      </w:r>
      <w:r>
        <w:t>, con un enfoque cualitativo y descriptivo. El objetivo</w:t>
      </w:r>
      <w:r w:rsidR="00B2765A">
        <w:t xml:space="preserve"> propuesto fue </w:t>
      </w:r>
      <w:r>
        <w:t>analizar la violencia vicaria desde una perspectiva criminológica y victimológica</w:t>
      </w:r>
      <w:r w:rsidR="00B2765A">
        <w:t xml:space="preserve">. </w:t>
      </w:r>
    </w:p>
    <w:p w14:paraId="46EB0194" w14:textId="5D039ABA" w:rsidR="00BB3743" w:rsidRPr="000560BD" w:rsidRDefault="00CB3F3D" w:rsidP="00EF457A">
      <w:pPr>
        <w:pStyle w:val="NormalWeb"/>
        <w:spacing w:line="360" w:lineRule="auto"/>
        <w:ind w:firstLine="708"/>
        <w:jc w:val="both"/>
        <w:rPr>
          <w:b/>
          <w:bCs/>
        </w:rPr>
      </w:pPr>
      <w:r>
        <w:t>La búsqueda</w:t>
      </w:r>
      <w:r w:rsidR="00BB3743">
        <w:t xml:space="preserve"> de información se </w:t>
      </w:r>
      <w:r>
        <w:t>llevó a cabo mediante</w:t>
      </w:r>
      <w:r w:rsidR="00BB3743">
        <w:t xml:space="preserve"> diversas </w:t>
      </w:r>
      <w:r w:rsidR="00BB3743">
        <w:rPr>
          <w:rStyle w:val="Fuerte"/>
          <w:rFonts w:eastAsiaTheme="majorEastAsia"/>
        </w:rPr>
        <w:t>bases de datos científicas y jurídicas</w:t>
      </w:r>
      <w:r w:rsidR="00BB3743">
        <w:t xml:space="preserve">, </w:t>
      </w:r>
      <w:r w:rsidR="00BB3743" w:rsidRPr="000560BD">
        <w:t xml:space="preserve">entre las que destacan </w:t>
      </w:r>
      <w:r w:rsidR="00BB3743" w:rsidRPr="000560BD">
        <w:rPr>
          <w:rStyle w:val="Fuerte"/>
          <w:rFonts w:eastAsiaTheme="majorEastAsia"/>
          <w:b w:val="0"/>
          <w:bCs w:val="0"/>
        </w:rPr>
        <w:t xml:space="preserve">Dialnet, Google </w:t>
      </w:r>
      <w:proofErr w:type="spellStart"/>
      <w:r w:rsidR="00BB3743" w:rsidRPr="000560BD">
        <w:rPr>
          <w:rStyle w:val="Fuerte"/>
          <w:rFonts w:eastAsiaTheme="majorEastAsia"/>
          <w:b w:val="0"/>
          <w:bCs w:val="0"/>
        </w:rPr>
        <w:t>Scholar</w:t>
      </w:r>
      <w:proofErr w:type="spellEnd"/>
      <w:r w:rsidR="00BB3743" w:rsidRPr="000560BD">
        <w:rPr>
          <w:rStyle w:val="Fuerte"/>
          <w:rFonts w:eastAsiaTheme="majorEastAsia"/>
          <w:b w:val="0"/>
          <w:bCs w:val="0"/>
        </w:rPr>
        <w:t xml:space="preserve">, </w:t>
      </w:r>
      <w:proofErr w:type="spellStart"/>
      <w:r w:rsidR="00BB3743" w:rsidRPr="000560BD">
        <w:rPr>
          <w:rStyle w:val="Fuerte"/>
          <w:rFonts w:eastAsiaTheme="majorEastAsia"/>
          <w:b w:val="0"/>
          <w:bCs w:val="0"/>
        </w:rPr>
        <w:t>Scopus</w:t>
      </w:r>
      <w:proofErr w:type="spellEnd"/>
      <w:r w:rsidR="00BB3743" w:rsidRPr="000560BD">
        <w:rPr>
          <w:rStyle w:val="Fuerte"/>
          <w:rFonts w:eastAsiaTheme="majorEastAsia"/>
          <w:b w:val="0"/>
          <w:bCs w:val="0"/>
        </w:rPr>
        <w:t xml:space="preserve"> y </w:t>
      </w:r>
      <w:proofErr w:type="spellStart"/>
      <w:r w:rsidR="00BB3743" w:rsidRPr="000560BD">
        <w:rPr>
          <w:rStyle w:val="Fuerte"/>
          <w:rFonts w:eastAsiaTheme="majorEastAsia"/>
          <w:b w:val="0"/>
          <w:bCs w:val="0"/>
        </w:rPr>
        <w:t>PsycINFO</w:t>
      </w:r>
      <w:proofErr w:type="spellEnd"/>
      <w:r w:rsidR="008C6FE1" w:rsidRPr="000560BD">
        <w:t xml:space="preserve">. A su vez, se emplearon fuentes </w:t>
      </w:r>
      <w:r w:rsidR="00BB3743" w:rsidRPr="000560BD">
        <w:t xml:space="preserve">institucionales oficiales como el </w:t>
      </w:r>
      <w:r w:rsidR="00BB3743" w:rsidRPr="000560BD">
        <w:rPr>
          <w:rStyle w:val="Fuerte"/>
          <w:rFonts w:eastAsiaTheme="majorEastAsia"/>
          <w:b w:val="0"/>
          <w:bCs w:val="0"/>
        </w:rPr>
        <w:t>Boletín Oficial del Estado (BOE)</w:t>
      </w:r>
      <w:r w:rsidR="00BB3743" w:rsidRPr="000560BD">
        <w:rPr>
          <w:b/>
          <w:bCs/>
        </w:rPr>
        <w:t xml:space="preserve">, </w:t>
      </w:r>
      <w:r w:rsidR="00BB3743" w:rsidRPr="000560BD">
        <w:t xml:space="preserve">el </w:t>
      </w:r>
      <w:r w:rsidR="00BB3743" w:rsidRPr="000560BD">
        <w:rPr>
          <w:rStyle w:val="Fuerte"/>
          <w:rFonts w:eastAsiaTheme="majorEastAsia"/>
          <w:b w:val="0"/>
          <w:bCs w:val="0"/>
        </w:rPr>
        <w:t>Instituto Nacional de Estadística (INE)</w:t>
      </w:r>
      <w:r w:rsidR="00BB3743" w:rsidRPr="000560BD">
        <w:t xml:space="preserve">, el </w:t>
      </w:r>
      <w:r w:rsidR="00BB3743" w:rsidRPr="000560BD">
        <w:rPr>
          <w:rStyle w:val="Fuerte"/>
          <w:rFonts w:eastAsiaTheme="majorEastAsia"/>
          <w:b w:val="0"/>
          <w:bCs w:val="0"/>
        </w:rPr>
        <w:t>Consejo General del Poder Judicial (CGPJ</w:t>
      </w:r>
      <w:r w:rsidR="00BB3743" w:rsidRPr="000560BD">
        <w:rPr>
          <w:rStyle w:val="Fuerte"/>
          <w:rFonts w:eastAsiaTheme="majorEastAsia"/>
        </w:rPr>
        <w:t>)</w:t>
      </w:r>
      <w:r w:rsidR="00BB3743" w:rsidRPr="000560BD">
        <w:t>, la</w:t>
      </w:r>
      <w:r w:rsidR="00BB3743" w:rsidRPr="000560BD">
        <w:rPr>
          <w:b/>
          <w:bCs/>
        </w:rPr>
        <w:t xml:space="preserve"> </w:t>
      </w:r>
      <w:r w:rsidR="00BB3743" w:rsidRPr="000560BD">
        <w:rPr>
          <w:rStyle w:val="Fuerte"/>
          <w:rFonts w:eastAsiaTheme="majorEastAsia"/>
          <w:b w:val="0"/>
          <w:bCs w:val="0"/>
        </w:rPr>
        <w:t>Delegación del Gobierno contra la Violencia de Género</w:t>
      </w:r>
      <w:r w:rsidR="00BB3743" w:rsidRPr="000560BD">
        <w:rPr>
          <w:b/>
          <w:bCs/>
        </w:rPr>
        <w:t xml:space="preserve">, </w:t>
      </w:r>
      <w:r w:rsidR="00BB3743" w:rsidRPr="000560BD">
        <w:t xml:space="preserve">y organismos internacionales como </w:t>
      </w:r>
      <w:r w:rsidR="00BB3743" w:rsidRPr="000560BD">
        <w:rPr>
          <w:rStyle w:val="Fuerte"/>
          <w:rFonts w:eastAsiaTheme="majorEastAsia"/>
          <w:b w:val="0"/>
          <w:bCs w:val="0"/>
        </w:rPr>
        <w:t>Naciones Unidas</w:t>
      </w:r>
      <w:r w:rsidR="00BB3743" w:rsidRPr="000560BD">
        <w:rPr>
          <w:b/>
          <w:bCs/>
        </w:rPr>
        <w:t xml:space="preserve">, </w:t>
      </w:r>
      <w:r w:rsidR="00BB3743" w:rsidRPr="000560BD">
        <w:rPr>
          <w:rStyle w:val="Fuerte"/>
          <w:rFonts w:eastAsiaTheme="majorEastAsia"/>
          <w:b w:val="0"/>
          <w:bCs w:val="0"/>
        </w:rPr>
        <w:t>ONU Mujeres</w:t>
      </w:r>
      <w:r w:rsidR="00BB3743" w:rsidRPr="000560BD">
        <w:rPr>
          <w:b/>
          <w:bCs/>
        </w:rPr>
        <w:t xml:space="preserve"> y el </w:t>
      </w:r>
      <w:r w:rsidR="00BB3743" w:rsidRPr="000560BD">
        <w:rPr>
          <w:rStyle w:val="Fuerte"/>
          <w:rFonts w:eastAsiaTheme="majorEastAsia"/>
          <w:b w:val="0"/>
          <w:bCs w:val="0"/>
        </w:rPr>
        <w:t>Consejo de Europa</w:t>
      </w:r>
      <w:r w:rsidR="00BB3743" w:rsidRPr="000560BD">
        <w:rPr>
          <w:b/>
          <w:bCs/>
        </w:rPr>
        <w:t>.</w:t>
      </w:r>
    </w:p>
    <w:p w14:paraId="40A85758" w14:textId="221E9CCB" w:rsidR="00BB3743" w:rsidRDefault="00BB3743" w:rsidP="00EF457A">
      <w:pPr>
        <w:pStyle w:val="NormalWeb"/>
        <w:spacing w:line="360" w:lineRule="auto"/>
        <w:ind w:firstLine="708"/>
        <w:jc w:val="both"/>
      </w:pPr>
      <w:r>
        <w:t xml:space="preserve">Las </w:t>
      </w:r>
      <w:r>
        <w:rPr>
          <w:rStyle w:val="Fuerte"/>
          <w:rFonts w:eastAsiaTheme="majorEastAsia"/>
        </w:rPr>
        <w:t>palabras clave</w:t>
      </w:r>
      <w:r>
        <w:t xml:space="preserve"> </w:t>
      </w:r>
      <w:r w:rsidR="008C6FE1">
        <w:t>que se emplearon</w:t>
      </w:r>
      <w:r>
        <w:t xml:space="preserve"> en las búsquedas incluyeron, entre otras: </w:t>
      </w:r>
      <w:r>
        <w:rPr>
          <w:rStyle w:val="nfasis"/>
          <w:rFonts w:eastAsiaTheme="majorEastAsia"/>
        </w:rPr>
        <w:t>violencia vicaria</w:t>
      </w:r>
      <w:r>
        <w:t xml:space="preserve">, </w:t>
      </w:r>
      <w:r>
        <w:rPr>
          <w:rStyle w:val="nfasis"/>
          <w:rFonts w:eastAsiaTheme="majorEastAsia"/>
        </w:rPr>
        <w:t>violencia de género</w:t>
      </w:r>
      <w:r>
        <w:t xml:space="preserve">, </w:t>
      </w:r>
      <w:r>
        <w:rPr>
          <w:rStyle w:val="nfasis"/>
          <w:rFonts w:eastAsiaTheme="majorEastAsia"/>
        </w:rPr>
        <w:t>victimología infantil</w:t>
      </w:r>
      <w:r>
        <w:t xml:space="preserve">, </w:t>
      </w:r>
      <w:r>
        <w:rPr>
          <w:rStyle w:val="nfasis"/>
          <w:rFonts w:eastAsiaTheme="majorEastAsia"/>
        </w:rPr>
        <w:t>menores víctimas</w:t>
      </w:r>
      <w:r>
        <w:t xml:space="preserve">, </w:t>
      </w:r>
      <w:r>
        <w:rPr>
          <w:rStyle w:val="nfasis"/>
          <w:rFonts w:eastAsiaTheme="majorEastAsia"/>
        </w:rPr>
        <w:t>derechos del niño</w:t>
      </w:r>
      <w:r>
        <w:t xml:space="preserve">, </w:t>
      </w:r>
      <w:r>
        <w:rPr>
          <w:rStyle w:val="nfasis"/>
          <w:rFonts w:eastAsiaTheme="majorEastAsia"/>
        </w:rPr>
        <w:t>violencia familiar</w:t>
      </w:r>
      <w:r>
        <w:t xml:space="preserve"> y </w:t>
      </w:r>
      <w:r>
        <w:rPr>
          <w:rStyle w:val="nfasis"/>
          <w:rFonts w:eastAsiaTheme="majorEastAsia"/>
        </w:rPr>
        <w:t>protección de la infancia</w:t>
      </w:r>
      <w:r>
        <w:t>. Estas se combinaron</w:t>
      </w:r>
      <w:r w:rsidR="008C6FE1">
        <w:t xml:space="preserve">, además, </w:t>
      </w:r>
      <w:r>
        <w:t>en español como en inglés</w:t>
      </w:r>
      <w:r w:rsidR="008C6FE1">
        <w:t xml:space="preserve">, intentando así alcanzar un número mayor de resultados. </w:t>
      </w:r>
    </w:p>
    <w:p w14:paraId="152B96E0" w14:textId="3E9E2916" w:rsidR="00BB3743" w:rsidRDefault="00BB3743" w:rsidP="00EF457A">
      <w:pPr>
        <w:pStyle w:val="NormalWeb"/>
        <w:spacing w:line="360" w:lineRule="auto"/>
        <w:ind w:firstLine="708"/>
        <w:jc w:val="both"/>
      </w:pPr>
      <w:r>
        <w:t xml:space="preserve">Como </w:t>
      </w:r>
      <w:r>
        <w:rPr>
          <w:rStyle w:val="Fuerte"/>
          <w:rFonts w:eastAsiaTheme="majorEastAsia"/>
        </w:rPr>
        <w:t>criterios de inclusión</w:t>
      </w:r>
      <w:r>
        <w:t xml:space="preserve">, se seleccionaron artículos científicos, informes institucionales y textos legales publicados principalmente en los últimos años, que abordaran la violencia vicaria, la violencia de género y sus consecuencias psicológicas, sociales y jurídicas en menores. Asimismo, se incluyeron trabajos </w:t>
      </w:r>
      <w:r w:rsidR="00984951">
        <w:t xml:space="preserve">principalmente recientes, así como, entre otros, también se incluirían trabajos asumiendo como de referencia los de los autores. </w:t>
      </w:r>
    </w:p>
    <w:p w14:paraId="4447C2ED" w14:textId="3BFA121C" w:rsidR="00BB3743" w:rsidRDefault="00BB3743" w:rsidP="00EF457A">
      <w:pPr>
        <w:pStyle w:val="NormalWeb"/>
        <w:spacing w:line="360" w:lineRule="auto"/>
        <w:ind w:firstLine="708"/>
        <w:jc w:val="both"/>
      </w:pPr>
      <w:r>
        <w:t xml:space="preserve">Como </w:t>
      </w:r>
      <w:r>
        <w:rPr>
          <w:rStyle w:val="Fuerte"/>
          <w:rFonts w:eastAsiaTheme="majorEastAsia"/>
        </w:rPr>
        <w:t>criterios de exclusión</w:t>
      </w:r>
      <w:r>
        <w:t xml:space="preserve">, se </w:t>
      </w:r>
      <w:r w:rsidR="00597659">
        <w:t>descartaron</w:t>
      </w:r>
      <w:r>
        <w:t xml:space="preserve"> aquellos estudios que no </w:t>
      </w:r>
      <w:r w:rsidR="00597659">
        <w:t>estuviesen</w:t>
      </w:r>
      <w:r>
        <w:t xml:space="preserve"> directamente relacionados con la violencia vicaria, que presentaran información duplicada o que carecieran de rigor científico.</w:t>
      </w:r>
    </w:p>
    <w:p w14:paraId="4935BE46" w14:textId="40695BCA" w:rsidR="00861010" w:rsidRPr="008639D5" w:rsidRDefault="00BB3743" w:rsidP="00384D1F">
      <w:pPr>
        <w:pStyle w:val="NormalWeb"/>
        <w:spacing w:line="360" w:lineRule="auto"/>
        <w:ind w:firstLine="708"/>
        <w:jc w:val="both"/>
      </w:pPr>
      <w:r>
        <w:t xml:space="preserve">Finalmente, la información recopilada fue analizada de forma crítica y </w:t>
      </w:r>
      <w:r w:rsidR="00144926">
        <w:t>clasificada</w:t>
      </w:r>
      <w:r>
        <w:t xml:space="preserve"> en </w:t>
      </w:r>
      <w:r w:rsidR="00144926">
        <w:t>diferentes</w:t>
      </w:r>
      <w:r>
        <w:t xml:space="preserve"> capítulos </w:t>
      </w:r>
      <w:r w:rsidR="00144926">
        <w:t xml:space="preserve">de tipo </w:t>
      </w:r>
      <w:r>
        <w:t>temático, con el fin de ofrecer una visión integral del fenómeno y de los retos actuales en la protección de los menores víctimas de violencia vicaria.</w:t>
      </w:r>
    </w:p>
    <w:p w14:paraId="06E580DD" w14:textId="034EA361" w:rsidR="00DC22B9" w:rsidRPr="00C1483E" w:rsidRDefault="00C1483E" w:rsidP="00407BE9">
      <w:pPr>
        <w:pStyle w:val="Ttulo1"/>
      </w:pPr>
      <w:bookmarkStart w:id="3" w:name="_Toc221271104"/>
      <w:r>
        <w:lastRenderedPageBreak/>
        <w:t xml:space="preserve">CAPÍTULO I: </w:t>
      </w:r>
      <w:r w:rsidR="00DC22B9" w:rsidRPr="00C1483E">
        <w:t>CONCEPTUALIZACIÓN Y CONTEXTO DE VIOLENCIA DE GÉNERO</w:t>
      </w:r>
      <w:bookmarkEnd w:id="3"/>
    </w:p>
    <w:p w14:paraId="76A61852" w14:textId="77777777" w:rsidR="00430D36" w:rsidRPr="008639D5" w:rsidRDefault="00430D36" w:rsidP="00EF457A">
      <w:pPr>
        <w:spacing w:line="360" w:lineRule="auto"/>
        <w:jc w:val="both"/>
        <w:rPr>
          <w:rFonts w:eastAsia="inter"/>
          <w:b/>
          <w:color w:val="000000"/>
        </w:rPr>
      </w:pPr>
    </w:p>
    <w:p w14:paraId="243F9DA2" w14:textId="1E035582" w:rsidR="00CC1BF4" w:rsidRPr="00407BE9" w:rsidRDefault="00CC1BF4" w:rsidP="00407BE9">
      <w:pPr>
        <w:pStyle w:val="Ttulo2"/>
      </w:pPr>
      <w:bookmarkStart w:id="4" w:name="_Toc221271105"/>
      <w:r w:rsidRPr="00407BE9">
        <w:t>Relevancia y planteamiento del problema. Definición y tipología de la violencia de género.</w:t>
      </w:r>
      <w:bookmarkEnd w:id="4"/>
      <w:r w:rsidRPr="00407BE9">
        <w:t xml:space="preserve"> </w:t>
      </w:r>
    </w:p>
    <w:p w14:paraId="070921F7" w14:textId="77777777" w:rsidR="00CC1BF4" w:rsidRPr="008639D5" w:rsidRDefault="00CC1BF4" w:rsidP="00EF457A">
      <w:pPr>
        <w:spacing w:line="360" w:lineRule="auto"/>
        <w:jc w:val="both"/>
        <w:rPr>
          <w:rFonts w:eastAsia="inter"/>
          <w:b/>
          <w:color w:val="000000"/>
        </w:rPr>
      </w:pPr>
    </w:p>
    <w:p w14:paraId="1C51CEB2" w14:textId="53B9A50B" w:rsidR="008F6A61" w:rsidRDefault="00CC1BF4" w:rsidP="00EF457A">
      <w:pPr>
        <w:spacing w:line="360" w:lineRule="auto"/>
        <w:ind w:firstLine="360"/>
        <w:jc w:val="both"/>
        <w:rPr>
          <w:rFonts w:eastAsia="inter"/>
          <w:bCs/>
          <w:color w:val="000000"/>
        </w:rPr>
      </w:pPr>
      <w:r w:rsidRPr="0009644E">
        <w:rPr>
          <w:rFonts w:eastAsia="inter"/>
          <w:bCs/>
          <w:color w:val="000000"/>
        </w:rPr>
        <w:t xml:space="preserve">La violencia </w:t>
      </w:r>
      <w:r w:rsidR="00C216C5" w:rsidRPr="0009644E">
        <w:rPr>
          <w:rFonts w:eastAsia="inter"/>
          <w:bCs/>
          <w:color w:val="000000"/>
        </w:rPr>
        <w:t>hacia</w:t>
      </w:r>
      <w:r w:rsidRPr="0009644E">
        <w:rPr>
          <w:rFonts w:eastAsia="inter"/>
          <w:bCs/>
          <w:color w:val="000000"/>
        </w:rPr>
        <w:t xml:space="preserve"> la mujer</w:t>
      </w:r>
      <w:r w:rsidR="008F6A61" w:rsidRPr="0009644E">
        <w:rPr>
          <w:rFonts w:eastAsia="inter"/>
          <w:bCs/>
          <w:color w:val="000000"/>
        </w:rPr>
        <w:t xml:space="preserve"> </w:t>
      </w:r>
      <w:r w:rsidR="00F25E49" w:rsidRPr="0009644E">
        <w:rPr>
          <w:rFonts w:eastAsia="inter"/>
          <w:bCs/>
          <w:color w:val="000000"/>
        </w:rPr>
        <w:t>ha estado presente desde siempre</w:t>
      </w:r>
      <w:r w:rsidR="008F6A61" w:rsidRPr="0009644E">
        <w:rPr>
          <w:rFonts w:eastAsia="inter"/>
          <w:bCs/>
          <w:color w:val="000000"/>
        </w:rPr>
        <w:t xml:space="preserve">, y ésta se ha </w:t>
      </w:r>
      <w:r w:rsidR="00F25E49" w:rsidRPr="0009644E">
        <w:rPr>
          <w:rFonts w:eastAsia="inter"/>
          <w:bCs/>
          <w:color w:val="000000"/>
        </w:rPr>
        <w:t>expresado</w:t>
      </w:r>
      <w:r w:rsidR="008F6A61" w:rsidRPr="0009644E">
        <w:rPr>
          <w:rFonts w:eastAsia="inter"/>
          <w:bCs/>
          <w:color w:val="000000"/>
        </w:rPr>
        <w:t xml:space="preserve"> de distintas maneras a través del paso de las décadas, si bien</w:t>
      </w:r>
      <w:r w:rsidR="00F25E49" w:rsidRPr="0009644E">
        <w:rPr>
          <w:rFonts w:eastAsia="inter"/>
          <w:bCs/>
          <w:color w:val="000000"/>
        </w:rPr>
        <w:t>,</w:t>
      </w:r>
      <w:r w:rsidR="008F6A61" w:rsidRPr="0009644E">
        <w:rPr>
          <w:rFonts w:eastAsia="inter"/>
          <w:bCs/>
          <w:color w:val="000000"/>
        </w:rPr>
        <w:t xml:space="preserve"> actualmente se ha convertido en un problema de primer orden</w:t>
      </w:r>
      <w:r w:rsidR="008F6A61" w:rsidRPr="0009644E">
        <w:rPr>
          <w:rFonts w:eastAsia="inter"/>
          <w:b/>
          <w:color w:val="000000"/>
        </w:rPr>
        <w:t xml:space="preserve"> </w:t>
      </w:r>
      <w:r w:rsidR="008F6A61" w:rsidRPr="0009644E">
        <w:rPr>
          <w:rFonts w:eastAsia="inter"/>
          <w:bCs/>
          <w:color w:val="000000"/>
        </w:rPr>
        <w:t>(</w:t>
      </w:r>
      <w:proofErr w:type="spellStart"/>
      <w:r w:rsidR="008F6A61" w:rsidRPr="0009644E">
        <w:rPr>
          <w:rFonts w:eastAsia="inter"/>
          <w:bCs/>
          <w:color w:val="000000"/>
        </w:rPr>
        <w:t>Perela</w:t>
      </w:r>
      <w:proofErr w:type="spellEnd"/>
      <w:r w:rsidR="008F6A61" w:rsidRPr="0009644E">
        <w:rPr>
          <w:rFonts w:eastAsia="inter"/>
          <w:bCs/>
          <w:color w:val="000000"/>
        </w:rPr>
        <w:t xml:space="preserve"> Larrosa, 2010). </w:t>
      </w:r>
    </w:p>
    <w:p w14:paraId="0F738430" w14:textId="77777777" w:rsidR="0009644E" w:rsidRPr="0009644E" w:rsidRDefault="0009644E" w:rsidP="005272AC">
      <w:pPr>
        <w:spacing w:line="360" w:lineRule="auto"/>
        <w:jc w:val="both"/>
        <w:rPr>
          <w:rFonts w:eastAsia="inter"/>
          <w:bCs/>
          <w:color w:val="000000"/>
        </w:rPr>
      </w:pPr>
    </w:p>
    <w:p w14:paraId="6B5C0ECB" w14:textId="535E9896" w:rsidR="008F6A61" w:rsidRDefault="00385954" w:rsidP="0009644E">
      <w:pPr>
        <w:spacing w:line="360" w:lineRule="auto"/>
        <w:ind w:firstLine="360"/>
        <w:jc w:val="both"/>
      </w:pPr>
      <w:r>
        <w:t>La violencia</w:t>
      </w:r>
      <w:r w:rsidR="007E6EE2">
        <w:t xml:space="preserve"> por parte de los maridos</w:t>
      </w:r>
      <w:r>
        <w:t>, compañero</w:t>
      </w:r>
      <w:r w:rsidR="007E6EE2">
        <w:t>s</w:t>
      </w:r>
      <w:r>
        <w:t>, novio o padre</w:t>
      </w:r>
      <w:r w:rsidR="007E6EE2">
        <w:t>s</w:t>
      </w:r>
      <w:r>
        <w:t xml:space="preserve"> es la principal razón de muerte y discapacidad entre mujeres de 16 a 44 años en todo el mundo, según un informe del Consejo Europeo que fue publicado por el Observatorio Italiano Criminal y Multidisciplinar de la Violencia de Género. La violencia de género produce más muertes en mujeres de esa franja de edad que el cáncer, los accidentes viales o la guerra (</w:t>
      </w:r>
      <w:proofErr w:type="spellStart"/>
      <w:r>
        <w:t>Perela</w:t>
      </w:r>
      <w:proofErr w:type="spellEnd"/>
      <w:r>
        <w:t xml:space="preserve"> Larrosa, 2010).</w:t>
      </w:r>
    </w:p>
    <w:p w14:paraId="4B92CD66" w14:textId="77777777" w:rsidR="00385954" w:rsidRPr="00B01760" w:rsidRDefault="00385954" w:rsidP="005272AC">
      <w:pPr>
        <w:spacing w:line="360" w:lineRule="auto"/>
        <w:jc w:val="both"/>
        <w:rPr>
          <w:rFonts w:eastAsia="inter"/>
          <w:b/>
          <w:color w:val="000000"/>
        </w:rPr>
      </w:pPr>
    </w:p>
    <w:p w14:paraId="6C0CAA0A" w14:textId="7810056D" w:rsidR="00AC6B3E" w:rsidRPr="00B01760" w:rsidRDefault="008F6A61" w:rsidP="0009644E">
      <w:pPr>
        <w:spacing w:line="360" w:lineRule="auto"/>
        <w:ind w:firstLine="360"/>
        <w:jc w:val="both"/>
        <w:rPr>
          <w:bCs/>
          <w:color w:val="222222"/>
          <w:shd w:val="clear" w:color="auto" w:fill="FFFFFF"/>
        </w:rPr>
      </w:pPr>
      <w:r w:rsidRPr="00B01760">
        <w:rPr>
          <w:rFonts w:eastAsia="inter"/>
          <w:bCs/>
          <w:color w:val="000000"/>
        </w:rPr>
        <w:t xml:space="preserve">La definición más </w:t>
      </w:r>
      <w:r w:rsidR="007E6EE2">
        <w:rPr>
          <w:rFonts w:eastAsia="inter"/>
          <w:bCs/>
          <w:color w:val="000000"/>
        </w:rPr>
        <w:t>utilizada de</w:t>
      </w:r>
      <w:r w:rsidRPr="00B01760">
        <w:rPr>
          <w:rFonts w:eastAsia="inter"/>
          <w:bCs/>
          <w:color w:val="000000"/>
        </w:rPr>
        <w:t xml:space="preserve"> violencia de Género es la desarrollada por la Unión de Naciones Unidas, “son l</w:t>
      </w:r>
      <w:r w:rsidRPr="00B01760">
        <w:rPr>
          <w:bCs/>
        </w:rPr>
        <w:t xml:space="preserve">os </w:t>
      </w:r>
      <w:r w:rsidRPr="00B01760">
        <w:rPr>
          <w:bCs/>
          <w:color w:val="222222"/>
          <w:shd w:val="clear" w:color="auto" w:fill="FFFFFF"/>
        </w:rPr>
        <w:t xml:space="preserve">actos dañinos dirigidos contra una persona o un grupo de personas </w:t>
      </w:r>
      <w:proofErr w:type="gramStart"/>
      <w:r w:rsidRPr="00B01760">
        <w:rPr>
          <w:bCs/>
          <w:color w:val="222222"/>
          <w:shd w:val="clear" w:color="auto" w:fill="FFFFFF"/>
        </w:rPr>
        <w:t>en razón de</w:t>
      </w:r>
      <w:proofErr w:type="gramEnd"/>
      <w:r w:rsidRPr="00B01760">
        <w:rPr>
          <w:bCs/>
          <w:color w:val="222222"/>
          <w:shd w:val="clear" w:color="auto" w:fill="FFFFFF"/>
        </w:rPr>
        <w:t xml:space="preserve"> su género. Tiene su origen en la desigualdad de género, el abuso de poder y la existencia de normas dañinas. El término se utiliza principalmente para subrayar el hecho de que las diferencias estructurales de poder basadas en el género colocan a las mujeres y niñas en situación de riesgo frente a múltiples formas de violencia. Si bien las mujeres y niñas sufren violencia de género de manera desproporcionada, los hombres y los niños también pueden ser blanco de ella”</w:t>
      </w:r>
    </w:p>
    <w:p w14:paraId="7C93ACF4" w14:textId="77777777" w:rsidR="00B01760" w:rsidRPr="00FC0A87" w:rsidRDefault="00B01760" w:rsidP="005272AC">
      <w:pPr>
        <w:spacing w:line="360" w:lineRule="auto"/>
        <w:jc w:val="both"/>
        <w:rPr>
          <w:bCs/>
          <w:color w:val="222222"/>
          <w:highlight w:val="yellow"/>
          <w:shd w:val="clear" w:color="auto" w:fill="FFFFFF"/>
        </w:rPr>
      </w:pPr>
    </w:p>
    <w:p w14:paraId="55FC452C" w14:textId="01CE757A" w:rsidR="00AC6B3E" w:rsidRPr="008639D5" w:rsidRDefault="00AC6B3E" w:rsidP="0009644E">
      <w:pPr>
        <w:spacing w:line="360" w:lineRule="auto"/>
        <w:ind w:firstLine="360"/>
        <w:jc w:val="both"/>
      </w:pPr>
      <w:r w:rsidRPr="00873759">
        <w:t xml:space="preserve">En el contexto español, la </w:t>
      </w:r>
      <w:r w:rsidRPr="00873759">
        <w:rPr>
          <w:rStyle w:val="Fuerte"/>
          <w:rFonts w:eastAsiaTheme="majorEastAsia"/>
        </w:rPr>
        <w:t>Ley Orgánica 1/2004</w:t>
      </w:r>
      <w:r w:rsidRPr="00873759">
        <w:t>, de Medidas de Protección Integral contra la Violencia de Género, define esta violencia como aquella ejercida sobre las mujeres por quienes sean o hayan sido sus parejas sentimentales, cuando dicha violencia tenga como resultado o propósito mantener su subordinación (Boletín Oficial del Estado [BOE], 2004).</w:t>
      </w:r>
    </w:p>
    <w:p w14:paraId="4A720F47" w14:textId="77777777" w:rsidR="00AC6B3E" w:rsidRPr="008639D5" w:rsidRDefault="00AC6B3E" w:rsidP="005272AC">
      <w:pPr>
        <w:spacing w:line="360" w:lineRule="auto"/>
        <w:jc w:val="both"/>
        <w:rPr>
          <w:bCs/>
          <w:color w:val="222222"/>
          <w:shd w:val="clear" w:color="auto" w:fill="FFFFFF"/>
        </w:rPr>
      </w:pPr>
    </w:p>
    <w:p w14:paraId="7AF25ECE" w14:textId="029AE626" w:rsidR="00E918CC" w:rsidRDefault="00E918CC" w:rsidP="0009644E">
      <w:pPr>
        <w:spacing w:line="360" w:lineRule="auto"/>
        <w:ind w:firstLine="360"/>
        <w:jc w:val="both"/>
      </w:pPr>
      <w:r>
        <w:t xml:space="preserve">A la vez, Rico (1996) sostiene que es una violación de los derechos humanos al privar a las mujeres de sus derechos y al rebajar su dignidad humana al considerarlas como </w:t>
      </w:r>
      <w:r>
        <w:lastRenderedPageBreak/>
        <w:t xml:space="preserve">objetos sometidos a decisiones machistas que afectan no solo su propio ámbito de derechos, sino también el de sus seres queridos. </w:t>
      </w:r>
    </w:p>
    <w:p w14:paraId="2D8514DB" w14:textId="61E9BFEF" w:rsidR="00E918CC" w:rsidRDefault="00E918CC" w:rsidP="005272AC">
      <w:pPr>
        <w:spacing w:line="360" w:lineRule="auto"/>
        <w:jc w:val="both"/>
      </w:pPr>
    </w:p>
    <w:p w14:paraId="427DB9C5" w14:textId="7DE3C22D" w:rsidR="005B0279" w:rsidRPr="008639D5" w:rsidRDefault="00FC0CF0" w:rsidP="0009644E">
      <w:pPr>
        <w:spacing w:line="360" w:lineRule="auto"/>
        <w:ind w:firstLine="360"/>
        <w:jc w:val="both"/>
      </w:pPr>
      <w:r w:rsidRPr="00FC0CF0">
        <w:t>Según la ONU, las formas más comunes de violencia de género incluyen la violencia física, psicológica, económica y sexual. La violencia de género puede presentarse de diversas maneras, incluyendo la violencia sexual, la violencia de pareja, el matrimonio infantil, la mutilación femenina y la violencia vicaria. Se abordará este último caso más adelante.</w:t>
      </w:r>
      <w:r>
        <w:t xml:space="preserve"> </w:t>
      </w:r>
      <w:r w:rsidR="005B0279" w:rsidRPr="008639D5">
        <w:t xml:space="preserve">En el ámbito criminológico, estas categorías se traducen en </w:t>
      </w:r>
      <w:r w:rsidR="005B0279" w:rsidRPr="00947530">
        <w:rPr>
          <w:b/>
          <w:bCs/>
        </w:rPr>
        <w:t>tipologías delictivas</w:t>
      </w:r>
      <w:r w:rsidR="005B0279" w:rsidRPr="008639D5">
        <w:t xml:space="preserve">. </w:t>
      </w:r>
      <w:r w:rsidR="00AC6B3E" w:rsidRPr="008639D5">
        <w:t xml:space="preserve">En </w:t>
      </w:r>
      <w:r w:rsidR="005B0279" w:rsidRPr="008639D5">
        <w:t xml:space="preserve">el año 2015, los datos </w:t>
      </w:r>
      <w:r w:rsidR="00670A4D" w:rsidRPr="008639D5">
        <w:t>muestra</w:t>
      </w:r>
      <w:r w:rsidR="005B0279" w:rsidRPr="008639D5">
        <w:t xml:space="preserve">n </w:t>
      </w:r>
      <w:r w:rsidR="00670A4D" w:rsidRPr="008639D5">
        <w:t xml:space="preserve">que la mayoría de los delitos instruidos corresponden a lesiones y malos tratos, </w:t>
      </w:r>
      <w:r w:rsidR="005B0279" w:rsidRPr="008639D5">
        <w:t xml:space="preserve">(que </w:t>
      </w:r>
      <w:r w:rsidR="00670A4D" w:rsidRPr="008639D5">
        <w:t>representan más del 65% del t</w:t>
      </w:r>
      <w:r w:rsidR="005B0279" w:rsidRPr="008639D5">
        <w:t xml:space="preserve">otal), asociándose principalmente a la violencia física y psicológica. </w:t>
      </w:r>
      <w:r w:rsidR="00670A4D" w:rsidRPr="008639D5">
        <w:t xml:space="preserve">Asimismo, </w:t>
      </w:r>
      <w:r w:rsidR="005B0279" w:rsidRPr="008639D5">
        <w:t>la agresión psicológica y coercitiva también se ve reflejada en l</w:t>
      </w:r>
      <w:r w:rsidR="00670A4D" w:rsidRPr="008639D5">
        <w:t xml:space="preserve">os </w:t>
      </w:r>
      <w:r w:rsidR="00670A4D" w:rsidRPr="008639D5">
        <w:rPr>
          <w:rStyle w:val="Fuerte"/>
          <w:rFonts w:eastAsiaTheme="majorEastAsia"/>
        </w:rPr>
        <w:t>quebrantamientos de medidas y penas</w:t>
      </w:r>
      <w:r w:rsidR="00670A4D" w:rsidRPr="008639D5">
        <w:t xml:space="preserve"> con un porcentaje de 16,5</w:t>
      </w:r>
      <w:r w:rsidR="005B0279" w:rsidRPr="008639D5">
        <w:t xml:space="preserve">. La violencia económica o simbólica corresponde a los delitos contra la libertad e indemnidad sexual; y la violencia económica se observa en delitos contra la integridad moral. </w:t>
      </w:r>
    </w:p>
    <w:p w14:paraId="182412ED" w14:textId="0B4DDD36" w:rsidR="00670A4D" w:rsidRPr="008639D5" w:rsidRDefault="00670A4D" w:rsidP="005272AC">
      <w:pPr>
        <w:spacing w:line="360" w:lineRule="auto"/>
        <w:jc w:val="both"/>
      </w:pPr>
      <w:r w:rsidRPr="008639D5">
        <w:t>En conjunto, los datos reflejan que la violencia de género se manifiesta en múltiples formas —física, psicológica, sexual y económica—, muchas veces entrelazadas dentro de una misma dinámica de dominación.</w:t>
      </w:r>
    </w:p>
    <w:p w14:paraId="373962D2" w14:textId="7F205CB1" w:rsidR="00AC6B3E" w:rsidRPr="008639D5" w:rsidRDefault="00AC6B3E" w:rsidP="00F767DD">
      <w:pPr>
        <w:spacing w:line="360" w:lineRule="auto"/>
        <w:jc w:val="center"/>
      </w:pPr>
      <w:r w:rsidRPr="008639D5">
        <w:rPr>
          <w:noProof/>
        </w:rPr>
        <w:drawing>
          <wp:inline distT="0" distB="0" distL="0" distR="0" wp14:anchorId="0876697B" wp14:editId="117F9664">
            <wp:extent cx="3640359" cy="2538919"/>
            <wp:effectExtent l="0" t="0" r="5080" b="1270"/>
            <wp:docPr id="369178328"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78328" name="Imagen 1" descr="Imagen que contiene Interfaz de usuario gráfica&#10;&#10;El contenido generado por IA puede ser incorrecto."/>
                    <pic:cNvPicPr/>
                  </pic:nvPicPr>
                  <pic:blipFill>
                    <a:blip r:embed="rId9"/>
                    <a:stretch>
                      <a:fillRect/>
                    </a:stretch>
                  </pic:blipFill>
                  <pic:spPr>
                    <a:xfrm>
                      <a:off x="0" y="0"/>
                      <a:ext cx="3691180" cy="2574363"/>
                    </a:xfrm>
                    <a:prstGeom prst="rect">
                      <a:avLst/>
                    </a:prstGeom>
                  </pic:spPr>
                </pic:pic>
              </a:graphicData>
            </a:graphic>
          </wp:inline>
        </w:drawing>
      </w:r>
    </w:p>
    <w:p w14:paraId="6662AE9A" w14:textId="527F4163" w:rsidR="00AC6B3E" w:rsidRPr="00870EE2" w:rsidRDefault="00870EE2" w:rsidP="005272AC">
      <w:pPr>
        <w:spacing w:line="360" w:lineRule="auto"/>
        <w:jc w:val="both"/>
      </w:pPr>
      <w:r w:rsidRPr="00870EE2">
        <w:t xml:space="preserve">(Consejo General del Poder Judicial, 2025) </w:t>
      </w:r>
    </w:p>
    <w:p w14:paraId="3C7C5EE7" w14:textId="77777777" w:rsidR="003C4F06" w:rsidRPr="008639D5" w:rsidRDefault="003C4F06" w:rsidP="005272AC">
      <w:pPr>
        <w:spacing w:line="360" w:lineRule="auto"/>
        <w:jc w:val="both"/>
      </w:pPr>
    </w:p>
    <w:p w14:paraId="5D9E1747" w14:textId="578FE4D0" w:rsidR="00AC6B3E" w:rsidRPr="00E201A2" w:rsidRDefault="005B0279" w:rsidP="00407BE9">
      <w:pPr>
        <w:pStyle w:val="Ttulo2"/>
      </w:pPr>
      <w:bookmarkStart w:id="5" w:name="_Toc221271106"/>
      <w:r w:rsidRPr="00E201A2">
        <w:t xml:space="preserve">Diferencias </w:t>
      </w:r>
      <w:r w:rsidR="00FE5D3F" w:rsidRPr="00E201A2">
        <w:t xml:space="preserve">y semejanzas </w:t>
      </w:r>
      <w:r w:rsidR="000132E9">
        <w:t>entre la violencia doméstica y la violencia vicaria</w:t>
      </w:r>
      <w:bookmarkEnd w:id="5"/>
      <w:r w:rsidR="000132E9">
        <w:t xml:space="preserve"> </w:t>
      </w:r>
    </w:p>
    <w:p w14:paraId="561875C6" w14:textId="77777777" w:rsidR="003C4F06" w:rsidRPr="008639D5" w:rsidRDefault="003C4F06" w:rsidP="005272AC">
      <w:pPr>
        <w:spacing w:line="360" w:lineRule="auto"/>
        <w:jc w:val="both"/>
        <w:rPr>
          <w:b/>
          <w:bCs/>
          <w:color w:val="222222"/>
        </w:rPr>
      </w:pPr>
    </w:p>
    <w:p w14:paraId="2FA161DD" w14:textId="745DA87E" w:rsidR="005B0279" w:rsidRPr="008639D5" w:rsidRDefault="003C4F06" w:rsidP="00A50752">
      <w:pPr>
        <w:spacing w:line="360" w:lineRule="auto"/>
        <w:ind w:firstLine="360"/>
        <w:jc w:val="both"/>
        <w:rPr>
          <w:color w:val="222222"/>
        </w:rPr>
      </w:pPr>
      <w:r w:rsidRPr="008639D5">
        <w:rPr>
          <w:color w:val="222222"/>
        </w:rPr>
        <w:lastRenderedPageBreak/>
        <w:t xml:space="preserve">Los datos presentados anteriormente evidencian que la </w:t>
      </w:r>
      <w:r w:rsidRPr="00C26205">
        <w:rPr>
          <w:color w:val="222222"/>
        </w:rPr>
        <w:t>violencia de género</w:t>
      </w:r>
      <w:r w:rsidRPr="008639D5">
        <w:rPr>
          <w:color w:val="222222"/>
        </w:rPr>
        <w:t xml:space="preserve"> abarca múltiples formas delictivas que se entrelazan en una misma dinámica de dominación y desigualdad estructural. A partir de esta fase, resulta fundamental diferenciar fenómenos relevantes, como la violencia doméstica y la violencia vicaria</w:t>
      </w:r>
      <w:r w:rsidR="00FE5D3F" w:rsidRPr="008639D5">
        <w:rPr>
          <w:color w:val="222222"/>
        </w:rPr>
        <w:t xml:space="preserve">; ambos relacionados, pero con características y finalidades distintas. </w:t>
      </w:r>
    </w:p>
    <w:p w14:paraId="0B4C015A" w14:textId="77777777" w:rsidR="00FE5D3F" w:rsidRPr="008639D5" w:rsidRDefault="00FE5D3F" w:rsidP="005272AC">
      <w:pPr>
        <w:spacing w:line="360" w:lineRule="auto"/>
        <w:jc w:val="both"/>
        <w:rPr>
          <w:color w:val="222222"/>
        </w:rPr>
      </w:pPr>
    </w:p>
    <w:p w14:paraId="0B62FDC0" w14:textId="09A72AFD" w:rsidR="003C4F06" w:rsidRPr="008639D5" w:rsidRDefault="003C4F06" w:rsidP="00A50752">
      <w:pPr>
        <w:spacing w:line="360" w:lineRule="auto"/>
        <w:ind w:firstLine="360"/>
        <w:jc w:val="both"/>
      </w:pPr>
      <w:r w:rsidRPr="008639D5">
        <w:rPr>
          <w:color w:val="222222"/>
        </w:rPr>
        <w:t>Por un lado, la violencia vicaria se considera la violencia ejercida por unos miembros de la familia sobre otros (</w:t>
      </w:r>
      <w:proofErr w:type="spellStart"/>
      <w:r w:rsidRPr="008639D5">
        <w:t>Langhinrichsen</w:t>
      </w:r>
      <w:proofErr w:type="spellEnd"/>
      <w:r w:rsidR="00C43AFC" w:rsidRPr="008639D5">
        <w:t xml:space="preserve"> </w:t>
      </w:r>
      <w:proofErr w:type="spellStart"/>
      <w:r w:rsidRPr="008639D5">
        <w:t>Rohling</w:t>
      </w:r>
      <w:proofErr w:type="spellEnd"/>
      <w:r w:rsidRPr="008639D5">
        <w:t>, 2005</w:t>
      </w:r>
      <w:r w:rsidR="00FE5D3F" w:rsidRPr="008639D5">
        <w:t xml:space="preserve">). En este sentido, Bogantes Rojas (2008) la define como la acción u omisión, directa o indirecta ejercida contra un pariente por consanguinidad, afinidad o adopción hasta el tercer grado inclusive, por vínculo jurídico o de hecho o por una relación de guarda, tutela o curatela que produzca como consecuencia el menoscabo de su integridad física, sexual, psicológica o patrimonial. </w:t>
      </w:r>
    </w:p>
    <w:p w14:paraId="30A90111" w14:textId="77777777" w:rsidR="00FE5D3F" w:rsidRPr="008639D5" w:rsidRDefault="00FE5D3F" w:rsidP="005272AC">
      <w:pPr>
        <w:spacing w:line="360" w:lineRule="auto"/>
        <w:jc w:val="both"/>
      </w:pPr>
    </w:p>
    <w:p w14:paraId="63A063C1" w14:textId="3B9429FF" w:rsidR="00C43AFC" w:rsidRPr="008639D5" w:rsidRDefault="00FE5D3F" w:rsidP="00A50752">
      <w:pPr>
        <w:pStyle w:val="p1"/>
        <w:spacing w:line="360" w:lineRule="auto"/>
        <w:ind w:firstLine="360"/>
        <w:jc w:val="both"/>
        <w:rPr>
          <w:sz w:val="24"/>
          <w:szCs w:val="24"/>
        </w:rPr>
      </w:pPr>
      <w:r w:rsidRPr="008639D5">
        <w:rPr>
          <w:sz w:val="24"/>
          <w:szCs w:val="24"/>
        </w:rPr>
        <w:t xml:space="preserve">Por otro lado, </w:t>
      </w:r>
      <w:r w:rsidR="00D44E22">
        <w:rPr>
          <w:sz w:val="24"/>
          <w:szCs w:val="24"/>
        </w:rPr>
        <w:t xml:space="preserve">la </w:t>
      </w:r>
      <w:r w:rsidRPr="008639D5">
        <w:rPr>
          <w:sz w:val="24"/>
          <w:szCs w:val="24"/>
        </w:rPr>
        <w:t>psicóloga Sonia</w:t>
      </w:r>
      <w:r w:rsidR="00C43AFC" w:rsidRPr="008639D5">
        <w:rPr>
          <w:sz w:val="24"/>
          <w:szCs w:val="24"/>
        </w:rPr>
        <w:t xml:space="preserve"> </w:t>
      </w:r>
      <w:r w:rsidRPr="008639D5">
        <w:rPr>
          <w:sz w:val="24"/>
          <w:szCs w:val="24"/>
        </w:rPr>
        <w:t>Vaccaro (2016)</w:t>
      </w:r>
      <w:r w:rsidR="00C43AFC" w:rsidRPr="008639D5">
        <w:rPr>
          <w:sz w:val="24"/>
          <w:szCs w:val="24"/>
        </w:rPr>
        <w:t xml:space="preserve"> desarrolla que</w:t>
      </w:r>
      <w:r w:rsidRPr="008639D5">
        <w:rPr>
          <w:sz w:val="24"/>
          <w:szCs w:val="24"/>
        </w:rPr>
        <w:t xml:space="preserve"> los hombres a lo largo de la historia han ejercido violencia de género hacia su pareja en casos como cuando se produce la separación o divorcio, al perder el control o poder sobre la misma. Éstos emplean la autoridad y derechos judiciales que tiene sobre sus hijas e hijos para conservar ese control sobre ella, y los instrumentalizan para hacer daño a éstas, </w:t>
      </w:r>
      <w:r w:rsidR="00C43AFC" w:rsidRPr="008639D5">
        <w:rPr>
          <w:sz w:val="24"/>
          <w:szCs w:val="24"/>
        </w:rPr>
        <w:t xml:space="preserve">trasladando el daño hacia los menores y convirtiéndolos en víctimas directas de la violencia. </w:t>
      </w:r>
    </w:p>
    <w:p w14:paraId="2E978C2C" w14:textId="77777777" w:rsidR="00C43AFC" w:rsidRPr="008639D5" w:rsidRDefault="00C43AFC" w:rsidP="005272AC">
      <w:pPr>
        <w:pStyle w:val="p1"/>
        <w:spacing w:line="360" w:lineRule="auto"/>
        <w:jc w:val="both"/>
        <w:rPr>
          <w:sz w:val="24"/>
          <w:szCs w:val="24"/>
        </w:rPr>
      </w:pPr>
    </w:p>
    <w:p w14:paraId="0B7147E9" w14:textId="1B7B1DB2" w:rsidR="00FE5D3F" w:rsidRPr="00E201A2" w:rsidRDefault="00C43AFC" w:rsidP="00407BE9">
      <w:pPr>
        <w:pStyle w:val="Ttulo2"/>
      </w:pPr>
      <w:bookmarkStart w:id="6" w:name="_Toc221271107"/>
      <w:r w:rsidRPr="00E201A2">
        <w:t>Magnitud y prevalencia. Datos sobre la violencia de género</w:t>
      </w:r>
      <w:bookmarkEnd w:id="6"/>
    </w:p>
    <w:p w14:paraId="149FE398" w14:textId="77777777" w:rsidR="00C43AFC" w:rsidRPr="008639D5" w:rsidRDefault="00C43AFC" w:rsidP="005272AC">
      <w:pPr>
        <w:spacing w:line="360" w:lineRule="auto"/>
        <w:jc w:val="both"/>
      </w:pPr>
    </w:p>
    <w:p w14:paraId="41B142C4" w14:textId="77777777" w:rsidR="00AF79E0" w:rsidRDefault="00861010" w:rsidP="00A50752">
      <w:pPr>
        <w:spacing w:line="360" w:lineRule="auto"/>
        <w:ind w:firstLine="360"/>
        <w:jc w:val="both"/>
        <w:rPr>
          <w:color w:val="222222"/>
        </w:rPr>
      </w:pPr>
      <w:r w:rsidRPr="008639D5">
        <w:rPr>
          <w:color w:val="222222"/>
        </w:rPr>
        <w:t>Los datos judiciales</w:t>
      </w:r>
      <w:r w:rsidR="001769C3" w:rsidRPr="008639D5">
        <w:rPr>
          <w:color w:val="222222"/>
        </w:rPr>
        <w:t xml:space="preserve"> del Instituto Nacional de Estadística</w:t>
      </w:r>
      <w:r w:rsidRPr="008639D5">
        <w:rPr>
          <w:color w:val="222222"/>
        </w:rPr>
        <w:t xml:space="preserve"> muestran que en España las sentencias firmes por violencia de género han aumentado progresivamente entre 2015 y </w:t>
      </w:r>
      <w:r w:rsidRPr="00B77EC8">
        <w:rPr>
          <w:color w:val="222222"/>
        </w:rPr>
        <w:t>2024</w:t>
      </w:r>
      <w:r w:rsidR="001769C3" w:rsidRPr="00B77EC8">
        <w:rPr>
          <w:color w:val="222222"/>
        </w:rPr>
        <w:t>, encontrando en dicho año un total de</w:t>
      </w:r>
      <w:r w:rsidR="00EA7448" w:rsidRPr="00B77EC8">
        <w:rPr>
          <w:color w:val="222222"/>
        </w:rPr>
        <w:t xml:space="preserve"> </w:t>
      </w:r>
      <w:r w:rsidR="001769C3" w:rsidRPr="00B77EC8">
        <w:rPr>
          <w:color w:val="222222"/>
        </w:rPr>
        <w:t>34. 684 víctimas en el estudio recogido</w:t>
      </w:r>
      <w:r w:rsidR="00B77EC8" w:rsidRPr="00B77EC8">
        <w:rPr>
          <w:color w:val="222222"/>
        </w:rPr>
        <w:t xml:space="preserve"> </w:t>
      </w:r>
      <w:r w:rsidR="00B77EC8" w:rsidRPr="00B77EC8">
        <w:t>(</w:t>
      </w:r>
      <w:r w:rsidR="00B77EC8" w:rsidRPr="00B77EC8">
        <w:rPr>
          <w:rStyle w:val="Fuerte"/>
          <w:rFonts w:eastAsiaTheme="majorEastAsia"/>
          <w:b w:val="0"/>
          <w:bCs w:val="0"/>
        </w:rPr>
        <w:t>Instituto Nacional de Estadística [INE], 2025</w:t>
      </w:r>
      <w:r w:rsidR="00B77EC8" w:rsidRPr="00B77EC8">
        <w:t>)</w:t>
      </w:r>
      <w:r w:rsidR="001769C3" w:rsidRPr="00B77EC8">
        <w:rPr>
          <w:color w:val="222222"/>
        </w:rPr>
        <w:t>.</w:t>
      </w:r>
      <w:r w:rsidR="001769C3" w:rsidRPr="008639D5">
        <w:rPr>
          <w:color w:val="222222"/>
        </w:rPr>
        <w:t xml:space="preserve"> </w:t>
      </w:r>
      <w:r w:rsidR="00EA7448" w:rsidRPr="008639D5">
        <w:rPr>
          <w:color w:val="222222"/>
        </w:rPr>
        <w:t xml:space="preserve">En la </w:t>
      </w:r>
      <w:r w:rsidR="00EA7448" w:rsidRPr="00EC19F0">
        <w:rPr>
          <w:i/>
          <w:iCs/>
          <w:color w:val="222222"/>
        </w:rPr>
        <w:t xml:space="preserve">Estadística de </w:t>
      </w:r>
      <w:r w:rsidR="00F032B7" w:rsidRPr="00EC19F0">
        <w:rPr>
          <w:i/>
          <w:iCs/>
          <w:color w:val="222222"/>
        </w:rPr>
        <w:t>v</w:t>
      </w:r>
      <w:r w:rsidR="002C79D5" w:rsidRPr="00EC19F0">
        <w:rPr>
          <w:i/>
          <w:iCs/>
          <w:color w:val="222222"/>
        </w:rPr>
        <w:t>í</w:t>
      </w:r>
      <w:r w:rsidR="00EA7448" w:rsidRPr="00EC19F0">
        <w:rPr>
          <w:i/>
          <w:iCs/>
          <w:color w:val="222222"/>
        </w:rPr>
        <w:t xml:space="preserve">ctimas </w:t>
      </w:r>
      <w:r w:rsidR="00F032B7" w:rsidRPr="00EC19F0">
        <w:rPr>
          <w:i/>
          <w:iCs/>
          <w:color w:val="222222"/>
        </w:rPr>
        <w:t>m</w:t>
      </w:r>
      <w:r w:rsidR="00EA7448" w:rsidRPr="00EC19F0">
        <w:rPr>
          <w:i/>
          <w:iCs/>
          <w:color w:val="222222"/>
        </w:rPr>
        <w:t>ortales por violencia de género</w:t>
      </w:r>
      <w:r w:rsidR="00EA7448" w:rsidRPr="008639D5">
        <w:rPr>
          <w:color w:val="222222"/>
        </w:rPr>
        <w:t xml:space="preserve"> de 2025, se muestra c</w:t>
      </w:r>
      <w:r w:rsidR="00EC19F0">
        <w:rPr>
          <w:color w:val="222222"/>
        </w:rPr>
        <w:t>ó</w:t>
      </w:r>
      <w:r w:rsidR="00EA7448" w:rsidRPr="008639D5">
        <w:rPr>
          <w:color w:val="222222"/>
        </w:rPr>
        <w:t>mo hasta el mes de junio de dicho año ya se habían registrado tres menores fallecidos</w:t>
      </w:r>
      <w:r w:rsidR="00EC19F0">
        <w:rPr>
          <w:color w:val="222222"/>
        </w:rPr>
        <w:t xml:space="preserve"> (Delegación del Gobierno contra la Violencia de Género, 2025)</w:t>
      </w:r>
      <w:r w:rsidR="00EA7448" w:rsidRPr="008639D5">
        <w:rPr>
          <w:color w:val="222222"/>
        </w:rPr>
        <w:t xml:space="preserve">. </w:t>
      </w:r>
    </w:p>
    <w:p w14:paraId="6D8B611F" w14:textId="77777777" w:rsidR="00AF79E0" w:rsidRDefault="00AF79E0" w:rsidP="00A50752">
      <w:pPr>
        <w:spacing w:line="360" w:lineRule="auto"/>
        <w:ind w:firstLine="360"/>
        <w:jc w:val="both"/>
        <w:rPr>
          <w:color w:val="222222"/>
        </w:rPr>
      </w:pPr>
    </w:p>
    <w:p w14:paraId="75A73AA3" w14:textId="0DFFB03E" w:rsidR="00EF2A65" w:rsidRPr="008639D5" w:rsidRDefault="00EA7448" w:rsidP="00A50752">
      <w:pPr>
        <w:spacing w:line="360" w:lineRule="auto"/>
        <w:ind w:firstLine="360"/>
        <w:jc w:val="both"/>
        <w:rPr>
          <w:color w:val="222222"/>
        </w:rPr>
      </w:pPr>
      <w:r w:rsidRPr="008639D5">
        <w:rPr>
          <w:color w:val="222222"/>
        </w:rPr>
        <w:t xml:space="preserve">En términos territoriales, se observa que las comunidades de Andalucía, Comunidad Valenciana y Cataluña presentan </w:t>
      </w:r>
      <w:r w:rsidR="001E7E5C">
        <w:rPr>
          <w:color w:val="222222"/>
        </w:rPr>
        <w:t>mayor incidencia</w:t>
      </w:r>
      <w:r w:rsidRPr="008639D5">
        <w:rPr>
          <w:color w:val="222222"/>
        </w:rPr>
        <w:t xml:space="preserve"> en mujeres víctimas de violencia de género, </w:t>
      </w:r>
      <w:r w:rsidR="000730AB">
        <w:rPr>
          <w:color w:val="222222"/>
        </w:rPr>
        <w:t>Andalucía la que registra mayor número,</w:t>
      </w:r>
      <w:r w:rsidRPr="008639D5">
        <w:rPr>
          <w:color w:val="222222"/>
        </w:rPr>
        <w:t xml:space="preserve"> con 11 fallecidas en 2025</w:t>
      </w:r>
      <w:r w:rsidR="00AF79E0">
        <w:rPr>
          <w:color w:val="222222"/>
        </w:rPr>
        <w:t xml:space="preserve"> (Consejo </w:t>
      </w:r>
      <w:r w:rsidR="00AF79E0">
        <w:rPr>
          <w:color w:val="222222"/>
        </w:rPr>
        <w:lastRenderedPageBreak/>
        <w:t xml:space="preserve">General del Poder Judicial </w:t>
      </w:r>
      <w:r w:rsidR="00AF79E0">
        <w:t>[CGPJ], 2025).</w:t>
      </w:r>
      <w:r w:rsidRPr="008639D5">
        <w:rPr>
          <w:color w:val="222222"/>
        </w:rPr>
        <w:t xml:space="preserve"> Estos datos se </w:t>
      </w:r>
      <w:r w:rsidR="000730AB">
        <w:rPr>
          <w:color w:val="222222"/>
        </w:rPr>
        <w:t>podrían</w:t>
      </w:r>
      <w:r w:rsidRPr="008639D5">
        <w:rPr>
          <w:color w:val="222222"/>
        </w:rPr>
        <w:t xml:space="preserve"> deber a variables demográficas y sociales de cada comunidad (coincide que estas presentan mayor </w:t>
      </w:r>
      <w:r w:rsidR="000730AB">
        <w:rPr>
          <w:color w:val="222222"/>
        </w:rPr>
        <w:t>volumen</w:t>
      </w:r>
      <w:r w:rsidRPr="008639D5">
        <w:rPr>
          <w:color w:val="222222"/>
        </w:rPr>
        <w:t xml:space="preserve"> poblacional). El fenómeno afecta a diferentes grupos de edad</w:t>
      </w:r>
      <w:r w:rsidR="00095B4F">
        <w:rPr>
          <w:color w:val="222222"/>
        </w:rPr>
        <w:t>. En el caso de los</w:t>
      </w:r>
      <w:r w:rsidRPr="008639D5">
        <w:rPr>
          <w:color w:val="222222"/>
        </w:rPr>
        <w:t xml:space="preserve"> menores se observa una </w:t>
      </w:r>
      <w:r w:rsidR="000730AB">
        <w:rPr>
          <w:color w:val="222222"/>
        </w:rPr>
        <w:t xml:space="preserve">mayor prevalencia </w:t>
      </w:r>
      <w:r w:rsidR="00E4323D">
        <w:rPr>
          <w:color w:val="222222"/>
        </w:rPr>
        <w:t>en el tramo comprendido</w:t>
      </w:r>
      <w:r w:rsidR="000730AB">
        <w:rPr>
          <w:color w:val="222222"/>
        </w:rPr>
        <w:t xml:space="preserve"> entre </w:t>
      </w:r>
      <w:r w:rsidRPr="008639D5">
        <w:rPr>
          <w:color w:val="222222"/>
        </w:rPr>
        <w:t xml:space="preserve">4 y 10 años. Adicionalmente, en los datos observamos </w:t>
      </w:r>
      <w:r w:rsidR="00EF2A65" w:rsidRPr="008639D5">
        <w:rPr>
          <w:color w:val="222222"/>
        </w:rPr>
        <w:t xml:space="preserve">que los padres biológicos o las parejas/esposos de la madre son los perpetradores más comunes, y en gran número de estas situaciones hay antecedentes de violencia previa hacia la mujer o su círculo familiar. </w:t>
      </w:r>
    </w:p>
    <w:p w14:paraId="57D3A0F0" w14:textId="77777777" w:rsidR="00EF2A65" w:rsidRPr="008639D5" w:rsidRDefault="00EF2A65" w:rsidP="005272AC">
      <w:pPr>
        <w:spacing w:line="360" w:lineRule="auto"/>
        <w:jc w:val="both"/>
        <w:rPr>
          <w:color w:val="222222"/>
        </w:rPr>
      </w:pPr>
    </w:p>
    <w:p w14:paraId="54F3809A" w14:textId="1E84356F" w:rsidR="00EF2A65" w:rsidRPr="008639D5" w:rsidRDefault="00EF2A65" w:rsidP="00A50752">
      <w:pPr>
        <w:spacing w:line="360" w:lineRule="auto"/>
        <w:ind w:firstLine="360"/>
        <w:jc w:val="both"/>
      </w:pPr>
      <w:r w:rsidRPr="008639D5">
        <w:rPr>
          <w:color w:val="222222"/>
        </w:rPr>
        <w:t xml:space="preserve">Respecto a las sentencias y condenas de delitos, en 2023 los </w:t>
      </w:r>
      <w:r w:rsidR="007F1E9E">
        <w:rPr>
          <w:color w:val="222222"/>
        </w:rPr>
        <w:t>órganos judiciales</w:t>
      </w:r>
      <w:r w:rsidRPr="008639D5">
        <w:rPr>
          <w:color w:val="222222"/>
        </w:rPr>
        <w:t xml:space="preserve"> dictaron 16</w:t>
      </w:r>
      <w:r w:rsidR="007F1E9E">
        <w:rPr>
          <w:color w:val="222222"/>
        </w:rPr>
        <w:t>.</w:t>
      </w:r>
      <w:r w:rsidRPr="008639D5">
        <w:rPr>
          <w:color w:val="222222"/>
        </w:rPr>
        <w:t xml:space="preserve">206 </w:t>
      </w:r>
      <w:r w:rsidR="00A4216F">
        <w:rPr>
          <w:color w:val="222222"/>
        </w:rPr>
        <w:t>resoluciones</w:t>
      </w:r>
      <w:r w:rsidRPr="008639D5">
        <w:rPr>
          <w:color w:val="222222"/>
        </w:rPr>
        <w:t xml:space="preserve"> relacionadas con violencia sobre la mujer, siendo un 82,58% la proporción de sentencias </w:t>
      </w:r>
      <w:r w:rsidR="004C2871">
        <w:rPr>
          <w:color w:val="222222"/>
        </w:rPr>
        <w:t xml:space="preserve">dictadas </w:t>
      </w:r>
      <w:r w:rsidR="004C2871" w:rsidRPr="008639D5">
        <w:rPr>
          <w:color w:val="222222"/>
        </w:rPr>
        <w:t>(</w:t>
      </w:r>
      <w:r w:rsidRPr="008639D5">
        <w:rPr>
          <w:color w:val="222222"/>
        </w:rPr>
        <w:t xml:space="preserve">Consejo General del Poder Judicial </w:t>
      </w:r>
      <w:r w:rsidRPr="008639D5">
        <w:t xml:space="preserve">[CGPJ], 2024). Este alto porcentaje muestra una tendencia en estos últimos años de reconocer la violencia de género como un problema </w:t>
      </w:r>
      <w:r w:rsidR="003F6B8F" w:rsidRPr="008639D5">
        <w:t xml:space="preserve">realmente reconocido y sancionado de manera efectiva por el sistema judicial. </w:t>
      </w:r>
    </w:p>
    <w:p w14:paraId="65B334F5" w14:textId="77777777" w:rsidR="003F6B8F" w:rsidRPr="008639D5" w:rsidRDefault="003F6B8F" w:rsidP="005272AC">
      <w:pPr>
        <w:spacing w:line="360" w:lineRule="auto"/>
        <w:jc w:val="both"/>
      </w:pPr>
    </w:p>
    <w:p w14:paraId="7C68A655" w14:textId="73475E58" w:rsidR="00976EAD" w:rsidRPr="008639D5" w:rsidRDefault="003F6B8F" w:rsidP="00F70D12">
      <w:pPr>
        <w:spacing w:line="360" w:lineRule="auto"/>
        <w:ind w:firstLine="360"/>
        <w:jc w:val="both"/>
      </w:pPr>
      <w:r w:rsidRPr="008639D5">
        <w:t xml:space="preserve">Por último, el sistema </w:t>
      </w:r>
      <w:proofErr w:type="spellStart"/>
      <w:r w:rsidRPr="008639D5">
        <w:t>VioGén</w:t>
      </w:r>
      <w:proofErr w:type="spellEnd"/>
      <w:r w:rsidRPr="008639D5">
        <w:t xml:space="preserve"> (Sistema de Seguimiento Integral en los casos de Violencia de Género de la </w:t>
      </w:r>
      <w:r w:rsidR="0074563F">
        <w:t>S</w:t>
      </w:r>
      <w:r w:rsidR="008639D5" w:rsidRPr="008639D5">
        <w:t>ecretar</w:t>
      </w:r>
      <w:r w:rsidR="0074563F">
        <w:t>í</w:t>
      </w:r>
      <w:r w:rsidR="008639D5" w:rsidRPr="008639D5">
        <w:t>a</w:t>
      </w:r>
      <w:r w:rsidRPr="008639D5">
        <w:t xml:space="preserve"> de Estado de Seguridad del Ministerio del Interior), registró hasta octubre de 2025 más de 102.000 casos activos de seguimiento, con diferentes </w:t>
      </w:r>
      <w:r w:rsidR="0074563F">
        <w:t>niveles</w:t>
      </w:r>
      <w:r w:rsidRPr="008639D5">
        <w:t xml:space="preserve"> de riesgo para las víctimas. </w:t>
      </w:r>
    </w:p>
    <w:p w14:paraId="0F72230D" w14:textId="77777777" w:rsidR="008639D5" w:rsidRPr="008639D5" w:rsidRDefault="008639D5" w:rsidP="005272AC">
      <w:pPr>
        <w:spacing w:line="360" w:lineRule="auto"/>
        <w:jc w:val="both"/>
      </w:pPr>
    </w:p>
    <w:p w14:paraId="1C516CC8" w14:textId="55148543" w:rsidR="008639D5" w:rsidRDefault="008639D5" w:rsidP="005272AC">
      <w:pPr>
        <w:spacing w:line="360" w:lineRule="auto"/>
        <w:jc w:val="both"/>
        <w:rPr>
          <w:u w:val="single"/>
        </w:rPr>
      </w:pPr>
      <w:r w:rsidRPr="008639D5">
        <w:rPr>
          <w:u w:val="single"/>
        </w:rPr>
        <w:t xml:space="preserve">Consecuencias y costes sociales: </w:t>
      </w:r>
    </w:p>
    <w:p w14:paraId="730CFD05" w14:textId="77777777" w:rsidR="00A50752" w:rsidRDefault="00A50752" w:rsidP="005272AC">
      <w:pPr>
        <w:spacing w:line="360" w:lineRule="auto"/>
        <w:jc w:val="both"/>
        <w:rPr>
          <w:u w:val="single"/>
        </w:rPr>
      </w:pPr>
    </w:p>
    <w:p w14:paraId="3072D54B" w14:textId="4E1E185D" w:rsidR="00A657A8" w:rsidRPr="005E07D3" w:rsidRDefault="00192B5B" w:rsidP="005E07D3">
      <w:pPr>
        <w:spacing w:line="360" w:lineRule="auto"/>
        <w:ind w:firstLine="708"/>
        <w:jc w:val="both"/>
      </w:pPr>
      <w:r>
        <w:t>Más allá del daño individual, la violencia vicaria presenta un gran</w:t>
      </w:r>
      <w:r w:rsidR="008639D5" w:rsidRPr="008639D5">
        <w:t xml:space="preserve"> impacto en </w:t>
      </w:r>
      <w:r w:rsidR="006F6856">
        <w:t xml:space="preserve">la cantidad </w:t>
      </w:r>
      <w:r w:rsidR="008639D5" w:rsidRPr="008639D5">
        <w:t xml:space="preserve">de huérfanos: 486 menores han perdido a su madre por violencia de género desde 2013, y 17 solo en lo que va de 2025. </w:t>
      </w:r>
      <w:r w:rsidR="008639D5">
        <w:t>Esto</w:t>
      </w:r>
      <w:r w:rsidR="00A261A0">
        <w:t>s números muestran</w:t>
      </w:r>
      <w:r w:rsidR="008639D5">
        <w:t xml:space="preserve"> </w:t>
      </w:r>
      <w:r w:rsidR="00A261A0">
        <w:t>el impacto de la violencia, que va más allá de la víctima directa, ya que tiene un efecto profundo sobre la estabilidad psicológica y el bienestar emocional. Los</w:t>
      </w:r>
      <w:r w:rsidR="008639D5">
        <w:t xml:space="preserve"> menores huérfanos </w:t>
      </w:r>
      <w:r w:rsidR="00A261A0">
        <w:t>debido a</w:t>
      </w:r>
      <w:r w:rsidR="008639D5">
        <w:t xml:space="preserve"> violencia de género </w:t>
      </w:r>
      <w:r w:rsidR="00A261A0">
        <w:t>corren un alto</w:t>
      </w:r>
      <w:r w:rsidR="008639D5">
        <w:t xml:space="preserve"> riesgo</w:t>
      </w:r>
      <w:r w:rsidR="00A261A0">
        <w:t xml:space="preserve"> </w:t>
      </w:r>
      <w:r w:rsidR="008639D5">
        <w:t>de</w:t>
      </w:r>
      <w:r w:rsidR="00A261A0">
        <w:t xml:space="preserve"> sufrir</w:t>
      </w:r>
      <w:r w:rsidR="008639D5">
        <w:t xml:space="preserve"> trauma, dificultades </w:t>
      </w:r>
      <w:r w:rsidR="00A261A0">
        <w:t>en la escuela</w:t>
      </w:r>
      <w:r w:rsidR="008639D5">
        <w:t xml:space="preserve"> y problemas de salud mental, lo </w:t>
      </w:r>
      <w:r w:rsidR="00A261A0">
        <w:t xml:space="preserve">cual acarrea un importante coste social y económico relacionado con la necesidad de protección institucional, apoyo psicológico y ayuda social. </w:t>
      </w:r>
    </w:p>
    <w:p w14:paraId="3FA455C8" w14:textId="77777777" w:rsidR="00F4629F" w:rsidRDefault="00F4629F" w:rsidP="00F8390F">
      <w:pPr>
        <w:spacing w:line="360" w:lineRule="auto"/>
        <w:jc w:val="both"/>
      </w:pPr>
    </w:p>
    <w:p w14:paraId="0AD2BE9D" w14:textId="47EF50EC" w:rsidR="00F4629F" w:rsidRPr="00A56657" w:rsidRDefault="00B92EDD" w:rsidP="008C4218">
      <w:pPr>
        <w:pStyle w:val="Ttulo2"/>
      </w:pPr>
      <w:bookmarkStart w:id="7" w:name="_Toc221271108"/>
      <w:r w:rsidRPr="00A56657">
        <w:t xml:space="preserve">CONSECUENCIAS PSICOSOCIALES </w:t>
      </w:r>
      <w:r w:rsidR="00353B30">
        <w:t xml:space="preserve">Y </w:t>
      </w:r>
      <w:r w:rsidR="00755DE3">
        <w:t>FÍSICAS:</w:t>
      </w:r>
      <w:r w:rsidR="00F4629F" w:rsidRPr="00A56657">
        <w:t xml:space="preserve"> impacto psicológico y social. Repercusiones en menores y mujeres.</w:t>
      </w:r>
      <w:bookmarkEnd w:id="7"/>
      <w:r w:rsidR="00F4629F" w:rsidRPr="00A56657">
        <w:t xml:space="preserve"> </w:t>
      </w:r>
    </w:p>
    <w:p w14:paraId="30914887" w14:textId="77777777" w:rsidR="00F4629F" w:rsidRDefault="00F4629F" w:rsidP="00BE701D">
      <w:pPr>
        <w:spacing w:line="360" w:lineRule="auto"/>
        <w:jc w:val="both"/>
      </w:pPr>
    </w:p>
    <w:p w14:paraId="0BE6A522" w14:textId="73D2E212" w:rsidR="00F018B9" w:rsidRDefault="004B0D2F" w:rsidP="00CC2815">
      <w:pPr>
        <w:spacing w:line="360" w:lineRule="auto"/>
        <w:ind w:firstLine="360"/>
        <w:jc w:val="both"/>
        <w:rPr>
          <w:color w:val="000000" w:themeColor="text1"/>
        </w:rPr>
      </w:pPr>
      <w:r>
        <w:rPr>
          <w:color w:val="000000" w:themeColor="text1"/>
        </w:rPr>
        <w:lastRenderedPageBreak/>
        <w:t xml:space="preserve">La trayectoria investigativa que comenzaba después de la declaración de la </w:t>
      </w:r>
      <w:r w:rsidR="00CC2815">
        <w:rPr>
          <w:color w:val="000000" w:themeColor="text1"/>
        </w:rPr>
        <w:t>Organización Mundial de la Salud (</w:t>
      </w:r>
      <w:r>
        <w:rPr>
          <w:color w:val="000000" w:themeColor="text1"/>
        </w:rPr>
        <w:t>OMS</w:t>
      </w:r>
      <w:r w:rsidR="00CC2815">
        <w:rPr>
          <w:color w:val="000000" w:themeColor="text1"/>
        </w:rPr>
        <w:t>)</w:t>
      </w:r>
      <w:r>
        <w:rPr>
          <w:color w:val="000000" w:themeColor="text1"/>
        </w:rPr>
        <w:t xml:space="preserve"> en 1996 ha hecho posible determinar una relación clara entre la </w:t>
      </w:r>
      <w:r w:rsidR="00CC2815">
        <w:rPr>
          <w:color w:val="000000" w:themeColor="text1"/>
        </w:rPr>
        <w:t>violencia en la pareja o hacia la mujer (</w:t>
      </w:r>
      <w:r>
        <w:rPr>
          <w:color w:val="000000" w:themeColor="text1"/>
        </w:rPr>
        <w:t>VPM</w:t>
      </w:r>
      <w:r w:rsidR="00CC2815">
        <w:rPr>
          <w:color w:val="000000" w:themeColor="text1"/>
        </w:rPr>
        <w:t>)</w:t>
      </w:r>
      <w:r>
        <w:rPr>
          <w:color w:val="000000" w:themeColor="text1"/>
        </w:rPr>
        <w:t xml:space="preserve"> y el efecto perjudicial sobre el bienestar de las víctimas. </w:t>
      </w:r>
      <w:r w:rsidR="00DC6816">
        <w:rPr>
          <w:color w:val="000000" w:themeColor="text1"/>
        </w:rPr>
        <w:t>En este apartado se analizarán</w:t>
      </w:r>
      <w:r w:rsidR="00DF0124">
        <w:rPr>
          <w:color w:val="000000" w:themeColor="text1"/>
        </w:rPr>
        <w:t xml:space="preserve"> </w:t>
      </w:r>
      <w:r w:rsidR="006E5F04">
        <w:rPr>
          <w:color w:val="000000" w:themeColor="text1"/>
        </w:rPr>
        <w:t xml:space="preserve">las </w:t>
      </w:r>
      <w:r w:rsidR="00DC6816">
        <w:rPr>
          <w:color w:val="000000" w:themeColor="text1"/>
        </w:rPr>
        <w:t xml:space="preserve">principales </w:t>
      </w:r>
      <w:r w:rsidR="006E5F04" w:rsidRPr="006E5F04">
        <w:rPr>
          <w:b/>
          <w:bCs/>
          <w:color w:val="000000" w:themeColor="text1"/>
        </w:rPr>
        <w:t>c</w:t>
      </w:r>
      <w:r w:rsidR="00075A05" w:rsidRPr="006E5F04">
        <w:rPr>
          <w:b/>
          <w:bCs/>
          <w:color w:val="000000" w:themeColor="text1"/>
        </w:rPr>
        <w:t>onsecuencias de los malos tratos en la salud</w:t>
      </w:r>
      <w:r w:rsidR="00075A05">
        <w:rPr>
          <w:color w:val="000000" w:themeColor="text1"/>
        </w:rPr>
        <w:t xml:space="preserve"> </w:t>
      </w:r>
      <w:r w:rsidR="00353B30">
        <w:rPr>
          <w:color w:val="000000" w:themeColor="text1"/>
        </w:rPr>
        <w:t xml:space="preserve">psicológica, física y social de las mujeres. </w:t>
      </w:r>
    </w:p>
    <w:p w14:paraId="413CD9DC" w14:textId="77777777" w:rsidR="006F309B" w:rsidRDefault="006F309B" w:rsidP="00CC2815">
      <w:pPr>
        <w:spacing w:line="360" w:lineRule="auto"/>
        <w:ind w:firstLine="360"/>
        <w:jc w:val="both"/>
        <w:rPr>
          <w:color w:val="000000" w:themeColor="text1"/>
        </w:rPr>
      </w:pPr>
    </w:p>
    <w:p w14:paraId="4CCEC946" w14:textId="5353027A" w:rsidR="00284C64" w:rsidRPr="008C4218" w:rsidRDefault="00B9747F" w:rsidP="008C4218">
      <w:pPr>
        <w:pStyle w:val="Ttulo3"/>
      </w:pPr>
      <w:bookmarkStart w:id="8" w:name="_Toc221271109"/>
      <w:r w:rsidRPr="008C4218">
        <w:t>Consecuencias</w:t>
      </w:r>
      <w:r w:rsidR="00F018B9" w:rsidRPr="008C4218">
        <w:t xml:space="preserve"> psicológicas y en la salud mental</w:t>
      </w:r>
      <w:bookmarkEnd w:id="8"/>
    </w:p>
    <w:p w14:paraId="7F9DCB1C" w14:textId="77777777" w:rsidR="00DD5204" w:rsidRPr="00BB02DE" w:rsidRDefault="00DD5204" w:rsidP="00DD5204">
      <w:pPr>
        <w:pStyle w:val="Prrafodelista"/>
        <w:spacing w:line="360" w:lineRule="auto"/>
        <w:jc w:val="both"/>
        <w:rPr>
          <w:b/>
          <w:bCs/>
          <w:color w:val="000000" w:themeColor="text1"/>
        </w:rPr>
      </w:pPr>
    </w:p>
    <w:p w14:paraId="0905206E" w14:textId="5B0E577D" w:rsidR="00F257BC" w:rsidRDefault="000845A1" w:rsidP="0009021C">
      <w:pPr>
        <w:spacing w:line="360" w:lineRule="auto"/>
        <w:ind w:firstLine="360"/>
        <w:jc w:val="both"/>
        <w:rPr>
          <w:b/>
          <w:bCs/>
        </w:rPr>
      </w:pPr>
      <w:r w:rsidRPr="00632FA1">
        <w:rPr>
          <w:color w:val="000000" w:themeColor="text1"/>
        </w:rPr>
        <w:t xml:space="preserve">Respecto a las respuestas </w:t>
      </w:r>
      <w:r w:rsidR="00632FA1" w:rsidRPr="00632FA1">
        <w:rPr>
          <w:color w:val="000000" w:themeColor="text1"/>
        </w:rPr>
        <w:t>adaptativas que generan las víctimas</w:t>
      </w:r>
      <w:r w:rsidR="00A1038E">
        <w:rPr>
          <w:color w:val="000000" w:themeColor="text1"/>
        </w:rPr>
        <w:t xml:space="preserve">, se desarrollan reacciones psicobiológicas automáticas como permanecer alerta para luchar o escapar, también el mostrar sumisión para </w:t>
      </w:r>
      <w:r w:rsidR="003714E1">
        <w:rPr>
          <w:color w:val="000000" w:themeColor="text1"/>
        </w:rPr>
        <w:t>calmar al maltratador, la disociación, amnesia o alteraciones de la conducta alimentaria. Desde un punto más social, es común que las víctimas eviten relaciones sociales</w:t>
      </w:r>
      <w:r w:rsidR="00AF1258">
        <w:rPr>
          <w:color w:val="000000" w:themeColor="text1"/>
        </w:rPr>
        <w:t>, aislamiento, absentismo y repercusión en el ámbito laboral</w:t>
      </w:r>
      <w:r w:rsidR="001A5AE0">
        <w:rPr>
          <w:color w:val="000000" w:themeColor="text1"/>
        </w:rPr>
        <w:t xml:space="preserve">, cambio de domicilio al buscar protección, entre </w:t>
      </w:r>
      <w:proofErr w:type="gramStart"/>
      <w:r w:rsidR="001A5AE0">
        <w:rPr>
          <w:color w:val="000000" w:themeColor="text1"/>
        </w:rPr>
        <w:t xml:space="preserve">otros, </w:t>
      </w:r>
      <w:r w:rsidR="0009021C">
        <w:rPr>
          <w:color w:val="000000" w:themeColor="text1"/>
        </w:rPr>
        <w:t xml:space="preserve"> para</w:t>
      </w:r>
      <w:proofErr w:type="gramEnd"/>
      <w:r w:rsidR="0009021C">
        <w:rPr>
          <w:color w:val="000000" w:themeColor="text1"/>
        </w:rPr>
        <w:t xml:space="preserve"> evitar cualquier consecuencia negativa que puedan tener éstas en el maltratador. </w:t>
      </w:r>
      <w:r w:rsidR="00E04F5E">
        <w:rPr>
          <w:color w:val="000000" w:themeColor="text1"/>
        </w:rPr>
        <w:t xml:space="preserve">Para continuar, </w:t>
      </w:r>
      <w:r w:rsidR="00A74AC4">
        <w:rPr>
          <w:color w:val="000000" w:themeColor="text1"/>
        </w:rPr>
        <w:t>las víctimas también podrían recurrir a consumo de sustancias o alcohol, autolesiones o creencias irracionales o motivación para quitarse la vida como escape ante la situación que están viviendo</w:t>
      </w:r>
      <w:r w:rsidR="007D7D0B">
        <w:rPr>
          <w:color w:val="000000" w:themeColor="text1"/>
        </w:rPr>
        <w:t xml:space="preserve"> </w:t>
      </w:r>
      <w:r w:rsidR="00B137B4" w:rsidRPr="00B137B4">
        <w:rPr>
          <w:rStyle w:val="Fuerte"/>
          <w:rFonts w:eastAsiaTheme="majorEastAsia"/>
          <w:b w:val="0"/>
          <w:bCs w:val="0"/>
        </w:rPr>
        <w:t>(</w:t>
      </w:r>
      <w:proofErr w:type="spellStart"/>
      <w:r w:rsidR="00B137B4" w:rsidRPr="00B137B4">
        <w:rPr>
          <w:rStyle w:val="Fuerte"/>
          <w:rFonts w:eastAsiaTheme="majorEastAsia"/>
          <w:b w:val="0"/>
          <w:bCs w:val="0"/>
        </w:rPr>
        <w:t>Tourné</w:t>
      </w:r>
      <w:proofErr w:type="spellEnd"/>
      <w:r w:rsidR="00B137B4" w:rsidRPr="00B137B4">
        <w:rPr>
          <w:rStyle w:val="Fuerte"/>
          <w:rFonts w:eastAsiaTheme="majorEastAsia"/>
          <w:b w:val="0"/>
          <w:bCs w:val="0"/>
        </w:rPr>
        <w:t xml:space="preserve"> García et al., 2024)</w:t>
      </w:r>
      <w:r w:rsidR="00B137B4" w:rsidRPr="00B137B4">
        <w:rPr>
          <w:b/>
          <w:bCs/>
        </w:rPr>
        <w:t>.</w:t>
      </w:r>
    </w:p>
    <w:p w14:paraId="576B494C" w14:textId="77777777" w:rsidR="006F309B" w:rsidRDefault="006F309B" w:rsidP="0009021C">
      <w:pPr>
        <w:spacing w:line="360" w:lineRule="auto"/>
        <w:ind w:firstLine="360"/>
        <w:jc w:val="both"/>
        <w:rPr>
          <w:color w:val="000000" w:themeColor="text1"/>
        </w:rPr>
      </w:pPr>
    </w:p>
    <w:p w14:paraId="2A4FE7FA" w14:textId="45912807" w:rsidR="00CA1BCE" w:rsidRPr="00CA1BCE" w:rsidRDefault="007F0AA4" w:rsidP="00EF39AA">
      <w:pPr>
        <w:spacing w:line="360" w:lineRule="auto"/>
        <w:ind w:firstLine="360"/>
        <w:jc w:val="both"/>
        <w:rPr>
          <w:color w:val="000000" w:themeColor="text1"/>
        </w:rPr>
      </w:pPr>
      <w:r>
        <w:rPr>
          <w:color w:val="000000" w:themeColor="text1"/>
        </w:rPr>
        <w:t xml:space="preserve">Como consecuencia, dichos síntomas se podrían ver plasmados en los criterios de un Trastorno </w:t>
      </w:r>
      <w:r w:rsidR="00EF39AA">
        <w:rPr>
          <w:color w:val="000000" w:themeColor="text1"/>
        </w:rPr>
        <w:t>Mental. Asimismo</w:t>
      </w:r>
      <w:r w:rsidR="00632FA1">
        <w:rPr>
          <w:color w:val="000000" w:themeColor="text1"/>
        </w:rPr>
        <w:t>, l</w:t>
      </w:r>
      <w:r w:rsidR="00CA1BCE" w:rsidRPr="00CA1BCE">
        <w:rPr>
          <w:color w:val="000000" w:themeColor="text1"/>
        </w:rPr>
        <w:t xml:space="preserve">os </w:t>
      </w:r>
      <w:r w:rsidR="00CA1BCE">
        <w:rPr>
          <w:b/>
          <w:bCs/>
          <w:color w:val="000000" w:themeColor="text1"/>
        </w:rPr>
        <w:t xml:space="preserve">Trastornos Mentales </w:t>
      </w:r>
      <w:r w:rsidR="00CA1BCE" w:rsidRPr="00CA1BCE">
        <w:rPr>
          <w:color w:val="000000" w:themeColor="text1"/>
        </w:rPr>
        <w:t xml:space="preserve">con más frecuencia se asocian son los siguientes: </w:t>
      </w:r>
    </w:p>
    <w:p w14:paraId="6B4E458C" w14:textId="3D05C8DF" w:rsidR="00CA1BCE" w:rsidRDefault="00CA1BCE" w:rsidP="00CA1BCE">
      <w:pPr>
        <w:pStyle w:val="Prrafodelista"/>
        <w:numPr>
          <w:ilvl w:val="0"/>
          <w:numId w:val="25"/>
        </w:numPr>
        <w:spacing w:line="360" w:lineRule="auto"/>
        <w:jc w:val="both"/>
        <w:rPr>
          <w:b/>
          <w:bCs/>
          <w:color w:val="000000" w:themeColor="text1"/>
        </w:rPr>
      </w:pPr>
      <w:r>
        <w:rPr>
          <w:b/>
          <w:bCs/>
          <w:color w:val="000000" w:themeColor="text1"/>
        </w:rPr>
        <w:t>La depresión</w:t>
      </w:r>
      <w:r w:rsidRPr="00EF39AA">
        <w:rPr>
          <w:color w:val="000000" w:themeColor="text1"/>
        </w:rPr>
        <w:t>.</w:t>
      </w:r>
      <w:r w:rsidR="00EF39AA">
        <w:rPr>
          <w:color w:val="000000" w:themeColor="text1"/>
        </w:rPr>
        <w:t xml:space="preserve"> Es el t</w:t>
      </w:r>
      <w:r w:rsidR="00EF39AA" w:rsidRPr="00EF39AA">
        <w:rPr>
          <w:color w:val="000000" w:themeColor="text1"/>
        </w:rPr>
        <w:t>rastorno de mayor prevalencia en estos casos. Su precursor suele ser la violencia psicológica.</w:t>
      </w:r>
      <w:r w:rsidR="00EF39AA">
        <w:rPr>
          <w:b/>
          <w:bCs/>
          <w:color w:val="000000" w:themeColor="text1"/>
        </w:rPr>
        <w:t xml:space="preserve"> </w:t>
      </w:r>
    </w:p>
    <w:p w14:paraId="2C9C249D" w14:textId="4D435679" w:rsidR="00CA1BCE" w:rsidRDefault="00CA1BCE" w:rsidP="00CA1BCE">
      <w:pPr>
        <w:pStyle w:val="Prrafodelista"/>
        <w:numPr>
          <w:ilvl w:val="0"/>
          <w:numId w:val="25"/>
        </w:numPr>
        <w:spacing w:line="360" w:lineRule="auto"/>
        <w:jc w:val="both"/>
        <w:rPr>
          <w:b/>
          <w:bCs/>
          <w:color w:val="000000" w:themeColor="text1"/>
        </w:rPr>
      </w:pPr>
      <w:r>
        <w:rPr>
          <w:b/>
          <w:bCs/>
          <w:color w:val="000000" w:themeColor="text1"/>
        </w:rPr>
        <w:t>La ansiedad</w:t>
      </w:r>
      <w:r w:rsidR="00EF39AA">
        <w:rPr>
          <w:b/>
          <w:bCs/>
          <w:color w:val="000000" w:themeColor="text1"/>
        </w:rPr>
        <w:t xml:space="preserve">. </w:t>
      </w:r>
      <w:r w:rsidR="00EF39AA" w:rsidRPr="00EF39AA">
        <w:rPr>
          <w:color w:val="000000" w:themeColor="text1"/>
        </w:rPr>
        <w:t>Está más vinculada al miedo continuo que experimenta la víctima.</w:t>
      </w:r>
      <w:r w:rsidR="00EF39AA">
        <w:rPr>
          <w:b/>
          <w:bCs/>
          <w:color w:val="000000" w:themeColor="text1"/>
        </w:rPr>
        <w:t xml:space="preserve"> </w:t>
      </w:r>
    </w:p>
    <w:p w14:paraId="5AD189B2" w14:textId="4EAFA281" w:rsidR="00CA1BCE" w:rsidRPr="00EF39AA" w:rsidRDefault="00CA1BCE" w:rsidP="00CA1BCE">
      <w:pPr>
        <w:pStyle w:val="Prrafodelista"/>
        <w:numPr>
          <w:ilvl w:val="0"/>
          <w:numId w:val="25"/>
        </w:numPr>
        <w:spacing w:line="360" w:lineRule="auto"/>
        <w:jc w:val="both"/>
        <w:rPr>
          <w:color w:val="000000" w:themeColor="text1"/>
        </w:rPr>
      </w:pPr>
      <w:r>
        <w:rPr>
          <w:b/>
          <w:bCs/>
          <w:color w:val="000000" w:themeColor="text1"/>
        </w:rPr>
        <w:t>El</w:t>
      </w:r>
      <w:r w:rsidR="003918C9">
        <w:rPr>
          <w:b/>
          <w:bCs/>
          <w:color w:val="000000" w:themeColor="text1"/>
        </w:rPr>
        <w:t xml:space="preserve"> Trastorno de Estrés Postraumático</w:t>
      </w:r>
      <w:r>
        <w:rPr>
          <w:b/>
          <w:bCs/>
          <w:color w:val="000000" w:themeColor="text1"/>
        </w:rPr>
        <w:t xml:space="preserve"> </w:t>
      </w:r>
      <w:r w:rsidR="003918C9">
        <w:rPr>
          <w:b/>
          <w:bCs/>
          <w:color w:val="000000" w:themeColor="text1"/>
        </w:rPr>
        <w:t>(</w:t>
      </w:r>
      <w:r>
        <w:rPr>
          <w:b/>
          <w:bCs/>
          <w:color w:val="000000" w:themeColor="text1"/>
        </w:rPr>
        <w:t>TEPT</w:t>
      </w:r>
      <w:r w:rsidR="003918C9">
        <w:rPr>
          <w:b/>
          <w:bCs/>
          <w:color w:val="000000" w:themeColor="text1"/>
        </w:rPr>
        <w:t>)</w:t>
      </w:r>
      <w:r>
        <w:rPr>
          <w:b/>
          <w:bCs/>
          <w:color w:val="000000" w:themeColor="text1"/>
        </w:rPr>
        <w:t xml:space="preserve">. </w:t>
      </w:r>
      <w:r w:rsidR="00EF39AA" w:rsidRPr="00EF39AA">
        <w:rPr>
          <w:color w:val="000000" w:themeColor="text1"/>
        </w:rPr>
        <w:t xml:space="preserve">Con riesgo de evolución a TEPT complejo. </w:t>
      </w:r>
    </w:p>
    <w:p w14:paraId="5A958538" w14:textId="77777777" w:rsidR="00284C64" w:rsidRPr="00284C64" w:rsidRDefault="00284C64" w:rsidP="00284C64">
      <w:pPr>
        <w:spacing w:line="360" w:lineRule="auto"/>
        <w:jc w:val="both"/>
        <w:rPr>
          <w:b/>
          <w:bCs/>
          <w:color w:val="000000" w:themeColor="text1"/>
        </w:rPr>
      </w:pPr>
    </w:p>
    <w:p w14:paraId="4AEF8E4E" w14:textId="70206379" w:rsidR="00BB02DE" w:rsidRDefault="00B15662" w:rsidP="008C4218">
      <w:pPr>
        <w:pStyle w:val="Ttulo3"/>
      </w:pPr>
      <w:bookmarkStart w:id="9" w:name="_Toc221271110"/>
      <w:r w:rsidRPr="00B9747F">
        <w:t>Consecuencias mortales</w:t>
      </w:r>
      <w:bookmarkEnd w:id="9"/>
      <w:r w:rsidRPr="00B9747F">
        <w:t xml:space="preserve"> </w:t>
      </w:r>
    </w:p>
    <w:p w14:paraId="1C13D47D" w14:textId="77777777" w:rsidR="00DD5204" w:rsidRPr="00BB02DE" w:rsidRDefault="00DD5204" w:rsidP="00DD5204">
      <w:pPr>
        <w:pStyle w:val="Prrafodelista"/>
        <w:spacing w:line="360" w:lineRule="auto"/>
        <w:jc w:val="both"/>
        <w:rPr>
          <w:b/>
          <w:bCs/>
          <w:color w:val="000000" w:themeColor="text1"/>
        </w:rPr>
      </w:pPr>
    </w:p>
    <w:p w14:paraId="17420852" w14:textId="5F709F5C" w:rsidR="00010FC7" w:rsidRDefault="00127FDC" w:rsidP="004B28FB">
      <w:pPr>
        <w:spacing w:line="360" w:lineRule="auto"/>
        <w:ind w:firstLine="360"/>
        <w:jc w:val="both"/>
        <w:rPr>
          <w:b/>
          <w:bCs/>
          <w:color w:val="000000" w:themeColor="text1"/>
        </w:rPr>
      </w:pPr>
      <w:r>
        <w:t xml:space="preserve">Como recogen </w:t>
      </w:r>
      <w:r w:rsidR="00B819E3">
        <w:t>diversos informes</w:t>
      </w:r>
      <w:r>
        <w:t xml:space="preserve"> de la OMS y de </w:t>
      </w:r>
      <w:r w:rsidR="004C2871">
        <w:t>la ONU</w:t>
      </w:r>
      <w:r w:rsidR="00334F7B">
        <w:t xml:space="preserve"> MUJERES (UN </w:t>
      </w:r>
      <w:proofErr w:type="spellStart"/>
      <w:r w:rsidR="00334F7B">
        <w:t>Women</w:t>
      </w:r>
      <w:proofErr w:type="spellEnd"/>
      <w:proofErr w:type="gramStart"/>
      <w:r w:rsidR="00334F7B">
        <w:t xml:space="preserve">) </w:t>
      </w:r>
      <w:r>
        <w:t>,</w:t>
      </w:r>
      <w:proofErr w:type="gramEnd"/>
      <w:r>
        <w:t xml:space="preserve"> a nivel mundial, la mayor</w:t>
      </w:r>
      <w:r w:rsidR="00B819E3">
        <w:t>ía de</w:t>
      </w:r>
      <w:r>
        <w:t xml:space="preserve"> los asesinatos de mujeres </w:t>
      </w:r>
      <w:r w:rsidR="002C6F40" w:rsidRPr="004B28FB">
        <w:t>se cometen</w:t>
      </w:r>
      <w:r w:rsidRPr="004B28FB">
        <w:t xml:space="preserve"> po</w:t>
      </w:r>
      <w:r w:rsidR="002C6F40" w:rsidRPr="004B28FB">
        <w:t>r parte de</w:t>
      </w:r>
      <w:r w:rsidRPr="004B28FB">
        <w:t xml:space="preserve"> sus parejas. </w:t>
      </w:r>
      <w:r w:rsidR="00373C9C" w:rsidRPr="004B28FB">
        <w:t xml:space="preserve">Según el Instituto </w:t>
      </w:r>
      <w:r w:rsidR="00D53005" w:rsidRPr="004B28FB">
        <w:t xml:space="preserve">Nacional de Estadística (INE) las mujeres que han sido </w:t>
      </w:r>
      <w:r w:rsidR="00D53005" w:rsidRPr="004B28FB">
        <w:lastRenderedPageBreak/>
        <w:t xml:space="preserve">asesinadas por violencia de género durante el último año registrado (2024) son un total de 48 </w:t>
      </w:r>
      <w:r w:rsidR="009C0863">
        <w:t>víctimas mortales</w:t>
      </w:r>
      <w:r w:rsidR="00D53005" w:rsidRPr="004B28FB">
        <w:t>; siendo la cantidad total del año anterior (2023) de 58 mujeres</w:t>
      </w:r>
      <w:r w:rsidR="00B162EE" w:rsidRPr="004B28FB">
        <w:t xml:space="preserve"> </w:t>
      </w:r>
      <w:r w:rsidR="004B28FB" w:rsidRPr="004B28FB">
        <w:t>(Instituto Nacional de Estadística [INE], 2025).</w:t>
      </w:r>
    </w:p>
    <w:p w14:paraId="6DD129E9" w14:textId="77777777" w:rsidR="00BB02DE" w:rsidRPr="00010FC7" w:rsidRDefault="00BB02DE" w:rsidP="00BB02DE">
      <w:pPr>
        <w:spacing w:line="360" w:lineRule="auto"/>
        <w:jc w:val="both"/>
        <w:rPr>
          <w:b/>
          <w:bCs/>
          <w:color w:val="000000" w:themeColor="text1"/>
        </w:rPr>
      </w:pPr>
    </w:p>
    <w:p w14:paraId="4F707EB7" w14:textId="35EC49C6" w:rsidR="00BB02DE" w:rsidRDefault="00BB02DE" w:rsidP="008C4218">
      <w:pPr>
        <w:pStyle w:val="Ttulo3"/>
      </w:pPr>
      <w:bookmarkStart w:id="10" w:name="_Toc221271111"/>
      <w:r>
        <w:t>Consecuencias para la salud física</w:t>
      </w:r>
      <w:bookmarkEnd w:id="10"/>
      <w:r>
        <w:t xml:space="preserve"> </w:t>
      </w:r>
    </w:p>
    <w:p w14:paraId="066C3445" w14:textId="2489AE66" w:rsidR="00BB02DE" w:rsidRPr="008A0B05" w:rsidRDefault="00B33581" w:rsidP="00A50752">
      <w:pPr>
        <w:spacing w:line="360" w:lineRule="auto"/>
        <w:ind w:firstLine="360"/>
        <w:jc w:val="both"/>
        <w:rPr>
          <w:color w:val="000000" w:themeColor="text1"/>
        </w:rPr>
      </w:pPr>
      <w:r w:rsidRPr="008A0B05">
        <w:rPr>
          <w:color w:val="000000" w:themeColor="text1"/>
        </w:rPr>
        <w:t xml:space="preserve">Las consecuencias en la salud física de las víctimas son </w:t>
      </w:r>
      <w:r w:rsidR="008A0B05" w:rsidRPr="008A0B05">
        <w:rPr>
          <w:color w:val="000000" w:themeColor="text1"/>
        </w:rPr>
        <w:t xml:space="preserve">diversas, entre las que destacaremos las siguientes: </w:t>
      </w:r>
    </w:p>
    <w:p w14:paraId="435D3BEA" w14:textId="4CB35E9D" w:rsidR="008A0B05" w:rsidRDefault="008A0B05" w:rsidP="008A0B05">
      <w:pPr>
        <w:pStyle w:val="Prrafodelista"/>
        <w:numPr>
          <w:ilvl w:val="0"/>
          <w:numId w:val="26"/>
        </w:numPr>
        <w:spacing w:line="360" w:lineRule="auto"/>
        <w:jc w:val="both"/>
        <w:rPr>
          <w:b/>
          <w:bCs/>
          <w:color w:val="000000" w:themeColor="text1"/>
        </w:rPr>
      </w:pPr>
      <w:r>
        <w:rPr>
          <w:b/>
          <w:bCs/>
          <w:color w:val="000000" w:themeColor="text1"/>
        </w:rPr>
        <w:t xml:space="preserve">Lesiones por agresiones. </w:t>
      </w:r>
      <w:r w:rsidR="004D6F9C" w:rsidRPr="001364D4">
        <w:rPr>
          <w:color w:val="000000" w:themeColor="text1"/>
        </w:rPr>
        <w:t xml:space="preserve">En especial este tipo de </w:t>
      </w:r>
      <w:r w:rsidR="006F51FD">
        <w:rPr>
          <w:color w:val="000000" w:themeColor="text1"/>
        </w:rPr>
        <w:t>ataques</w:t>
      </w:r>
      <w:r w:rsidR="004D6F9C" w:rsidRPr="001364D4">
        <w:rPr>
          <w:color w:val="000000" w:themeColor="text1"/>
        </w:rPr>
        <w:t xml:space="preserve"> suelen darse con más frecuencia en la cabeza, cara y cuello, extremidades, </w:t>
      </w:r>
      <w:r w:rsidR="006F51FD">
        <w:rPr>
          <w:color w:val="000000" w:themeColor="text1"/>
        </w:rPr>
        <w:t>partes bilaterales</w:t>
      </w:r>
      <w:r w:rsidR="004D6F9C" w:rsidRPr="001364D4">
        <w:rPr>
          <w:color w:val="000000" w:themeColor="text1"/>
        </w:rPr>
        <w:t xml:space="preserve">, </w:t>
      </w:r>
      <w:r w:rsidR="001364D4" w:rsidRPr="001364D4">
        <w:rPr>
          <w:color w:val="000000" w:themeColor="text1"/>
        </w:rPr>
        <w:t xml:space="preserve">en </w:t>
      </w:r>
      <w:r w:rsidR="006F51FD">
        <w:rPr>
          <w:color w:val="000000" w:themeColor="text1"/>
        </w:rPr>
        <w:t xml:space="preserve">áreas </w:t>
      </w:r>
      <w:r w:rsidR="001364D4" w:rsidRPr="001364D4">
        <w:rPr>
          <w:color w:val="000000" w:themeColor="text1"/>
        </w:rPr>
        <w:t>defensivas, hematomas o lesiones en diferente periodo evolutivo, fracturas, quemaduras, etc.</w:t>
      </w:r>
      <w:r w:rsidR="001364D4">
        <w:rPr>
          <w:b/>
          <w:bCs/>
          <w:color w:val="000000" w:themeColor="text1"/>
        </w:rPr>
        <w:t xml:space="preserve"> </w:t>
      </w:r>
    </w:p>
    <w:p w14:paraId="7753227C" w14:textId="228B70F1" w:rsidR="008A0B05" w:rsidRDefault="00AF38D2" w:rsidP="008A0B05">
      <w:pPr>
        <w:pStyle w:val="Prrafodelista"/>
        <w:numPr>
          <w:ilvl w:val="0"/>
          <w:numId w:val="26"/>
        </w:numPr>
        <w:spacing w:line="360" w:lineRule="auto"/>
        <w:jc w:val="both"/>
        <w:rPr>
          <w:b/>
          <w:bCs/>
          <w:color w:val="000000" w:themeColor="text1"/>
        </w:rPr>
      </w:pPr>
      <w:r>
        <w:rPr>
          <w:b/>
          <w:bCs/>
          <w:color w:val="000000" w:themeColor="text1"/>
        </w:rPr>
        <w:t>Condiciones crónicas de la salud:</w:t>
      </w:r>
      <w:r w:rsidRPr="0057430D">
        <w:rPr>
          <w:color w:val="000000" w:themeColor="text1"/>
        </w:rPr>
        <w:t xml:space="preserve"> </w:t>
      </w:r>
      <w:r w:rsidR="0057430D" w:rsidRPr="0057430D">
        <w:rPr>
          <w:color w:val="000000" w:themeColor="text1"/>
        </w:rPr>
        <w:t>El dolor crónico es uno de los síntomas más frecuentes</w:t>
      </w:r>
      <w:r w:rsidR="0057430D">
        <w:rPr>
          <w:color w:val="000000" w:themeColor="text1"/>
        </w:rPr>
        <w:t xml:space="preserve"> en estos casos. Entre ellos, </w:t>
      </w:r>
      <w:r w:rsidR="001E5B9C">
        <w:rPr>
          <w:color w:val="000000" w:themeColor="text1"/>
        </w:rPr>
        <w:t xml:space="preserve">encontramos alteraciones gastrointestinales, problemas relacionados con el sistema cardiovascular, problemas osteomusculares (dolor de cuello, dolor de espalda, fibromialgia, cansancio </w:t>
      </w:r>
      <w:r w:rsidR="00F813E0">
        <w:rPr>
          <w:color w:val="000000" w:themeColor="text1"/>
        </w:rPr>
        <w:t>crónico</w:t>
      </w:r>
      <w:r w:rsidR="001E5B9C">
        <w:rPr>
          <w:color w:val="000000" w:themeColor="text1"/>
        </w:rPr>
        <w:t xml:space="preserve">…), enfermedades neurológicas recurrentes como mareos o dolores de cabeza; etc. </w:t>
      </w:r>
    </w:p>
    <w:p w14:paraId="3EFF2529" w14:textId="1F0D9B45" w:rsidR="00AF38D2" w:rsidRPr="00F6279B" w:rsidRDefault="00AF38D2" w:rsidP="008A0B05">
      <w:pPr>
        <w:pStyle w:val="Prrafodelista"/>
        <w:numPr>
          <w:ilvl w:val="0"/>
          <w:numId w:val="26"/>
        </w:numPr>
        <w:spacing w:line="360" w:lineRule="auto"/>
        <w:jc w:val="both"/>
        <w:rPr>
          <w:b/>
          <w:bCs/>
          <w:color w:val="000000" w:themeColor="text1"/>
        </w:rPr>
      </w:pPr>
      <w:r>
        <w:rPr>
          <w:b/>
          <w:bCs/>
          <w:color w:val="000000" w:themeColor="text1"/>
        </w:rPr>
        <w:t xml:space="preserve">Consecuencias en la salud sexual y reproductiva: </w:t>
      </w:r>
      <w:r w:rsidR="00DF221C" w:rsidRPr="00DF221C">
        <w:rPr>
          <w:color w:val="000000" w:themeColor="text1"/>
        </w:rPr>
        <w:t>el embarazo es una condición de riesgo para el</w:t>
      </w:r>
      <w:r w:rsidR="00EB1BA2">
        <w:rPr>
          <w:color w:val="000000" w:themeColor="text1"/>
        </w:rPr>
        <w:t xml:space="preserve"> Volumen Plaquetario Medio</w:t>
      </w:r>
      <w:r w:rsidR="00DF221C" w:rsidRPr="00DF221C">
        <w:rPr>
          <w:color w:val="000000" w:themeColor="text1"/>
        </w:rPr>
        <w:t xml:space="preserve"> </w:t>
      </w:r>
      <w:r w:rsidR="00F6279B">
        <w:rPr>
          <w:color w:val="000000" w:themeColor="text1"/>
        </w:rPr>
        <w:t>(</w:t>
      </w:r>
      <w:r w:rsidR="00DF221C" w:rsidRPr="00DF221C">
        <w:rPr>
          <w:color w:val="000000" w:themeColor="text1"/>
        </w:rPr>
        <w:t>VPM</w:t>
      </w:r>
      <w:r w:rsidR="004C2871">
        <w:rPr>
          <w:color w:val="000000" w:themeColor="text1"/>
        </w:rPr>
        <w:t>).</w:t>
      </w:r>
      <w:r w:rsidR="00DF221C" w:rsidRPr="00DF221C">
        <w:rPr>
          <w:color w:val="000000" w:themeColor="text1"/>
        </w:rPr>
        <w:t xml:space="preserve"> En ocasiones, significa el comienza de la violencia física, en la que el agresor aplica estrategias de castigo para aprovechar la vulnerabilidad del agraviado. </w:t>
      </w:r>
      <w:r w:rsidR="00F813E0">
        <w:rPr>
          <w:color w:val="000000" w:themeColor="text1"/>
        </w:rPr>
        <w:t xml:space="preserve">En los casos de violencia de género puede </w:t>
      </w:r>
      <w:r w:rsidR="006B5D8B">
        <w:rPr>
          <w:color w:val="000000" w:themeColor="text1"/>
        </w:rPr>
        <w:t>producirse</w:t>
      </w:r>
      <w:r w:rsidR="00F813E0">
        <w:rPr>
          <w:color w:val="000000" w:themeColor="text1"/>
        </w:rPr>
        <w:t xml:space="preserve"> relaciones sexuales no protegidas o forzadas, lo que </w:t>
      </w:r>
      <w:r w:rsidR="006B5D8B">
        <w:rPr>
          <w:color w:val="000000" w:themeColor="text1"/>
        </w:rPr>
        <w:t xml:space="preserve">podría generar problemas menstruales, dispareunia, disminución del deseo sexual o enfermedades de transmisión sexual como el VIH. </w:t>
      </w:r>
    </w:p>
    <w:p w14:paraId="0F009567" w14:textId="77777777" w:rsidR="00F6279B" w:rsidRPr="00AB46CE" w:rsidRDefault="00F6279B" w:rsidP="00F6279B">
      <w:pPr>
        <w:pStyle w:val="Prrafodelista"/>
        <w:spacing w:line="360" w:lineRule="auto"/>
        <w:jc w:val="both"/>
        <w:rPr>
          <w:b/>
          <w:bCs/>
          <w:color w:val="000000" w:themeColor="text1"/>
        </w:rPr>
      </w:pPr>
    </w:p>
    <w:p w14:paraId="7DF02A08" w14:textId="057B5BE7" w:rsidR="00AB46CE" w:rsidRPr="00AB46CE" w:rsidRDefault="009F5548" w:rsidP="00F6279B">
      <w:pPr>
        <w:pStyle w:val="Prrafodelista"/>
        <w:spacing w:line="360" w:lineRule="auto"/>
        <w:ind w:left="360" w:firstLine="348"/>
        <w:jc w:val="both"/>
        <w:rPr>
          <w:color w:val="000000" w:themeColor="text1"/>
        </w:rPr>
      </w:pPr>
      <w:r>
        <w:rPr>
          <w:color w:val="000000" w:themeColor="text1"/>
        </w:rPr>
        <w:t>Desde una perspectiva clínica, s</w:t>
      </w:r>
      <w:r w:rsidR="00AB46CE" w:rsidRPr="00AB46CE">
        <w:rPr>
          <w:color w:val="000000" w:themeColor="text1"/>
        </w:rPr>
        <w:t xml:space="preserve">e considera </w:t>
      </w:r>
      <w:r w:rsidR="00AB46CE">
        <w:rPr>
          <w:color w:val="000000" w:themeColor="text1"/>
        </w:rPr>
        <w:t xml:space="preserve">de alto riesgo cualquier embarazo en una mujer que ha sido víctima de </w:t>
      </w:r>
      <w:r w:rsidR="00966632">
        <w:rPr>
          <w:color w:val="000000" w:themeColor="text1"/>
        </w:rPr>
        <w:t>v</w:t>
      </w:r>
      <w:r w:rsidR="00AB46CE">
        <w:rPr>
          <w:color w:val="000000" w:themeColor="text1"/>
        </w:rPr>
        <w:t xml:space="preserve">iolencia de </w:t>
      </w:r>
      <w:r w:rsidR="00966632">
        <w:rPr>
          <w:color w:val="000000" w:themeColor="text1"/>
        </w:rPr>
        <w:t>g</w:t>
      </w:r>
      <w:r w:rsidR="00AB46CE">
        <w:rPr>
          <w:color w:val="000000" w:themeColor="text1"/>
        </w:rPr>
        <w:t xml:space="preserve">énero, pues está relacionado con una mayor mortalidad materna y hemorragia. </w:t>
      </w:r>
    </w:p>
    <w:p w14:paraId="3DC72325" w14:textId="77777777" w:rsidR="00BB02DE" w:rsidRPr="00BB02DE" w:rsidRDefault="00BB02DE" w:rsidP="00BB02DE">
      <w:pPr>
        <w:spacing w:line="360" w:lineRule="auto"/>
        <w:jc w:val="both"/>
        <w:rPr>
          <w:b/>
          <w:bCs/>
          <w:color w:val="000000" w:themeColor="text1"/>
        </w:rPr>
      </w:pPr>
    </w:p>
    <w:p w14:paraId="48B9A85D" w14:textId="621C908F" w:rsidR="00B03F94" w:rsidRDefault="00F018B9" w:rsidP="008C4218">
      <w:pPr>
        <w:pStyle w:val="Ttulo3"/>
      </w:pPr>
      <w:bookmarkStart w:id="11" w:name="_Toc221271112"/>
      <w:r w:rsidRPr="00B9747F">
        <w:t xml:space="preserve">Consecuencias para los hijos/as expuestos a la </w:t>
      </w:r>
      <w:r w:rsidR="00B03F94">
        <w:t>violencia</w:t>
      </w:r>
      <w:bookmarkEnd w:id="11"/>
    </w:p>
    <w:p w14:paraId="677BDEAF" w14:textId="77777777" w:rsidR="00DD5204" w:rsidRPr="00B03F94" w:rsidRDefault="00DD5204" w:rsidP="00DD5204">
      <w:pPr>
        <w:pStyle w:val="Prrafodelista"/>
        <w:spacing w:line="360" w:lineRule="auto"/>
        <w:jc w:val="both"/>
        <w:rPr>
          <w:b/>
          <w:bCs/>
          <w:color w:val="000000" w:themeColor="text1"/>
        </w:rPr>
      </w:pPr>
    </w:p>
    <w:p w14:paraId="6AC9BF8C" w14:textId="64C64C1B" w:rsidR="00AB46CE" w:rsidRDefault="00B03F94" w:rsidP="00AB5E81">
      <w:pPr>
        <w:spacing w:line="360" w:lineRule="auto"/>
        <w:ind w:firstLine="360"/>
        <w:jc w:val="both"/>
        <w:rPr>
          <w:color w:val="000000" w:themeColor="text1"/>
        </w:rPr>
      </w:pPr>
      <w:r w:rsidRPr="00B03F94">
        <w:rPr>
          <w:color w:val="000000" w:themeColor="text1"/>
        </w:rPr>
        <w:t xml:space="preserve">La exposición a la violencia de género por parte de los hijos también tendría sus consecuencias en su socialización y desarrollo. </w:t>
      </w:r>
      <w:r w:rsidR="00363BBE">
        <w:rPr>
          <w:color w:val="000000" w:themeColor="text1"/>
        </w:rPr>
        <w:t xml:space="preserve">Estos menores debido al clima doméstico </w:t>
      </w:r>
      <w:r w:rsidR="00363BBE">
        <w:rPr>
          <w:color w:val="000000" w:themeColor="text1"/>
        </w:rPr>
        <w:lastRenderedPageBreak/>
        <w:t xml:space="preserve">en el que se </w:t>
      </w:r>
      <w:r w:rsidR="00AB5E81">
        <w:rPr>
          <w:color w:val="000000" w:themeColor="text1"/>
        </w:rPr>
        <w:t>desarrollan</w:t>
      </w:r>
      <w:r w:rsidR="00363BBE">
        <w:rPr>
          <w:color w:val="000000" w:themeColor="text1"/>
        </w:rPr>
        <w:t xml:space="preserve"> viven en un estado de alerta permanente y de terror, con sensación de amenaza </w:t>
      </w:r>
      <w:r w:rsidR="00AB5E81">
        <w:rPr>
          <w:color w:val="000000" w:themeColor="text1"/>
        </w:rPr>
        <w:t xml:space="preserve">hacia la que es su figura de apoyo, su madre, en incluso hacia ellos mismos. </w:t>
      </w:r>
    </w:p>
    <w:p w14:paraId="659A3815" w14:textId="77777777" w:rsidR="00DE1BC0" w:rsidRDefault="00DE1BC0" w:rsidP="00AB5E81">
      <w:pPr>
        <w:spacing w:line="360" w:lineRule="auto"/>
        <w:ind w:firstLine="360"/>
        <w:jc w:val="both"/>
        <w:rPr>
          <w:color w:val="000000" w:themeColor="text1"/>
        </w:rPr>
      </w:pPr>
    </w:p>
    <w:p w14:paraId="19193D20" w14:textId="58FDCC47" w:rsidR="00AB5E81" w:rsidRPr="00AB5E81" w:rsidRDefault="00001722" w:rsidP="00AB5E81">
      <w:pPr>
        <w:spacing w:line="360" w:lineRule="auto"/>
        <w:ind w:firstLine="360"/>
        <w:jc w:val="both"/>
        <w:rPr>
          <w:color w:val="000000" w:themeColor="text1"/>
        </w:rPr>
      </w:pPr>
      <w:r>
        <w:rPr>
          <w:color w:val="000000" w:themeColor="text1"/>
        </w:rPr>
        <w:t>Estos menores se encuentran en mayor riesgo de sufrir abuso directo, y además se ha evidenciado un riesgo más elevado de que los niños padezcan o ejerzan violencia durante su vida (violencia transgeneracional)</w:t>
      </w:r>
    </w:p>
    <w:p w14:paraId="177C54AC" w14:textId="77777777" w:rsidR="00AB5E81" w:rsidRPr="00AB5E81" w:rsidRDefault="00AB5E81" w:rsidP="00AB5E81">
      <w:pPr>
        <w:spacing w:line="360" w:lineRule="auto"/>
        <w:jc w:val="both"/>
        <w:rPr>
          <w:b/>
          <w:bCs/>
          <w:color w:val="000000" w:themeColor="text1"/>
        </w:rPr>
      </w:pPr>
    </w:p>
    <w:p w14:paraId="3E5C57B5" w14:textId="11858E0E" w:rsidR="00755DE3" w:rsidRDefault="00755DE3" w:rsidP="008C4218">
      <w:pPr>
        <w:pStyle w:val="Ttulo3"/>
      </w:pPr>
      <w:bookmarkStart w:id="12" w:name="_Toc221271113"/>
      <w:r>
        <w:t>Consecuencias en los servicios de salud</w:t>
      </w:r>
      <w:bookmarkEnd w:id="12"/>
      <w:r>
        <w:t xml:space="preserve"> </w:t>
      </w:r>
    </w:p>
    <w:p w14:paraId="0A40FB74" w14:textId="77777777" w:rsidR="00755DE3" w:rsidRDefault="00755DE3" w:rsidP="00755DE3">
      <w:pPr>
        <w:pStyle w:val="Prrafodelista"/>
        <w:spacing w:line="360" w:lineRule="auto"/>
        <w:jc w:val="both"/>
        <w:rPr>
          <w:b/>
          <w:bCs/>
          <w:color w:val="000000" w:themeColor="text1"/>
        </w:rPr>
      </w:pPr>
    </w:p>
    <w:p w14:paraId="481F6290" w14:textId="77777777" w:rsidR="00755DE3" w:rsidRPr="00755DE3" w:rsidRDefault="00755DE3" w:rsidP="00755DE3">
      <w:pPr>
        <w:spacing w:line="360" w:lineRule="auto"/>
        <w:ind w:left="360" w:firstLine="348"/>
        <w:jc w:val="both"/>
        <w:rPr>
          <w:color w:val="000000" w:themeColor="text1"/>
        </w:rPr>
      </w:pPr>
      <w:r w:rsidRPr="00755DE3">
        <w:rPr>
          <w:color w:val="000000" w:themeColor="text1"/>
        </w:rPr>
        <w:t xml:space="preserve">Cabe destacar, una vez expuestas todas las consecuencias anteriores el </w:t>
      </w:r>
      <w:r w:rsidRPr="00752BAD">
        <w:rPr>
          <w:color w:val="000000" w:themeColor="text1"/>
        </w:rPr>
        <w:t xml:space="preserve">impacto de la violencia de género en los servicios de salud. </w:t>
      </w:r>
      <w:r w:rsidRPr="00755DE3">
        <w:rPr>
          <w:color w:val="000000" w:themeColor="text1"/>
        </w:rPr>
        <w:t xml:space="preserve">Las mujeres víctimas de violencia acuden más a los servicios sanitarios que las demás. Diversas investigaciones efectuadas en diferentes países indican que una proporción significativa de mujeres que asisten a los servicios están expuestas a violencia por parte de su pareja. </w:t>
      </w:r>
    </w:p>
    <w:p w14:paraId="77150EE4" w14:textId="77777777" w:rsidR="00755DE3" w:rsidRPr="00755DE3" w:rsidRDefault="00755DE3" w:rsidP="00755DE3">
      <w:pPr>
        <w:spacing w:line="360" w:lineRule="auto"/>
        <w:ind w:left="360"/>
        <w:jc w:val="both"/>
        <w:rPr>
          <w:color w:val="000000" w:themeColor="text1"/>
        </w:rPr>
      </w:pPr>
    </w:p>
    <w:p w14:paraId="7FC0CD8E" w14:textId="567FD2E6" w:rsidR="00B15662" w:rsidRDefault="00755DE3" w:rsidP="005C0C8D">
      <w:pPr>
        <w:spacing w:line="360" w:lineRule="auto"/>
        <w:ind w:left="360" w:firstLine="348"/>
        <w:jc w:val="both"/>
        <w:rPr>
          <w:color w:val="000000" w:themeColor="text1"/>
        </w:rPr>
      </w:pPr>
      <w:r w:rsidRPr="00755DE3">
        <w:rPr>
          <w:color w:val="000000" w:themeColor="text1"/>
        </w:rPr>
        <w:t xml:space="preserve">En concreto, en España se realizó un estudio en un centro de salud de Granada. En dicho estudio se señala que un 22,8% de las mujeres que habían acudido a consulta habían padecido algún tipo de maltrato, ente las cuales el 43,3% lo había sufrido durante más de 5 años. Numerosas investigaciones también manifiestan que las mujeres sometidas a violencia acuden a más servicios sanitarios y se someten a más cirugías, prolongando más su estancia hospitalaria y su consumo de fármacos.  </w:t>
      </w:r>
      <w:r w:rsidRPr="00755DE3">
        <w:rPr>
          <w:b/>
          <w:bCs/>
        </w:rPr>
        <w:t>(</w:t>
      </w:r>
      <w:r w:rsidRPr="00755DE3">
        <w:rPr>
          <w:rStyle w:val="Fuerte"/>
          <w:rFonts w:eastAsiaTheme="majorEastAsia"/>
          <w:b w:val="0"/>
          <w:bCs w:val="0"/>
        </w:rPr>
        <w:t>Blanco et al., 2004</w:t>
      </w:r>
      <w:r w:rsidRPr="00755DE3">
        <w:rPr>
          <w:b/>
          <w:bCs/>
        </w:rPr>
        <w:t>)</w:t>
      </w:r>
    </w:p>
    <w:p w14:paraId="7ED93ABD" w14:textId="77777777" w:rsidR="00A56657" w:rsidRPr="00352C65" w:rsidRDefault="00A56657" w:rsidP="002D053C">
      <w:pPr>
        <w:spacing w:line="360" w:lineRule="auto"/>
        <w:jc w:val="both"/>
        <w:rPr>
          <w:color w:val="000000" w:themeColor="text1"/>
        </w:rPr>
      </w:pPr>
    </w:p>
    <w:p w14:paraId="44D141C9" w14:textId="26E31A60" w:rsidR="00AB69A9" w:rsidRPr="00E201A2" w:rsidRDefault="00E201A2" w:rsidP="008C4218">
      <w:pPr>
        <w:pStyle w:val="Ttulo1"/>
      </w:pPr>
      <w:bookmarkStart w:id="13" w:name="_Toc221271114"/>
      <w:r>
        <w:t xml:space="preserve">CAPÍTULO II: </w:t>
      </w:r>
      <w:r w:rsidR="00DC22B9" w:rsidRPr="00E201A2">
        <w:t>MARCO NORMATIVO</w:t>
      </w:r>
      <w:r>
        <w:t xml:space="preserve"> Y RESPUESTA INTERNACIONAL</w:t>
      </w:r>
      <w:bookmarkEnd w:id="13"/>
      <w:r>
        <w:t xml:space="preserve"> </w:t>
      </w:r>
    </w:p>
    <w:p w14:paraId="40CECDD3" w14:textId="77777777" w:rsidR="008C4218" w:rsidRDefault="008C4218" w:rsidP="008C4218">
      <w:pPr>
        <w:pStyle w:val="Ttulo2"/>
        <w:numPr>
          <w:ilvl w:val="0"/>
          <w:numId w:val="0"/>
        </w:numPr>
        <w:ind w:left="720" w:hanging="360"/>
      </w:pPr>
    </w:p>
    <w:p w14:paraId="2AD5A3F2" w14:textId="0104B24D" w:rsidR="00AB69A9" w:rsidRPr="008C4218" w:rsidRDefault="00AB69A9" w:rsidP="008C4218">
      <w:pPr>
        <w:pStyle w:val="Ttulo2"/>
      </w:pPr>
      <w:bookmarkStart w:id="14" w:name="_Toc221271115"/>
      <w:r w:rsidRPr="008C4218">
        <w:t>Legislación vigente: normativa internacional, europea y nacional</w:t>
      </w:r>
      <w:bookmarkEnd w:id="14"/>
    </w:p>
    <w:p w14:paraId="5F3890BC" w14:textId="77777777" w:rsidR="003B0439" w:rsidRPr="00352C65" w:rsidRDefault="003B0439" w:rsidP="005272AC">
      <w:pPr>
        <w:spacing w:line="360" w:lineRule="auto"/>
        <w:jc w:val="both"/>
        <w:rPr>
          <w:color w:val="000000" w:themeColor="text1"/>
        </w:rPr>
      </w:pPr>
    </w:p>
    <w:p w14:paraId="72C02AF8" w14:textId="28DFDCDE" w:rsidR="00352C65" w:rsidRPr="00352C65" w:rsidRDefault="00924B55" w:rsidP="0059333F">
      <w:pPr>
        <w:pStyle w:val="Ttulo3"/>
        <w:numPr>
          <w:ilvl w:val="0"/>
          <w:numId w:val="0"/>
        </w:numPr>
        <w:ind w:left="720" w:hanging="360"/>
      </w:pPr>
      <w:bookmarkStart w:id="15" w:name="_Toc221271116"/>
      <w:r>
        <w:t xml:space="preserve">1.1 </w:t>
      </w:r>
      <w:r w:rsidR="00352C65" w:rsidRPr="00352C65">
        <w:t>A nivel internacional:</w:t>
      </w:r>
      <w:bookmarkEnd w:id="15"/>
      <w:r w:rsidR="00352C65" w:rsidRPr="00352C65">
        <w:t xml:space="preserve"> </w:t>
      </w:r>
    </w:p>
    <w:p w14:paraId="0A153E59" w14:textId="77777777" w:rsidR="00352C65" w:rsidRDefault="00352C65" w:rsidP="005272AC">
      <w:pPr>
        <w:spacing w:line="360" w:lineRule="auto"/>
        <w:jc w:val="both"/>
        <w:rPr>
          <w:color w:val="000000" w:themeColor="text1"/>
        </w:rPr>
      </w:pPr>
    </w:p>
    <w:p w14:paraId="09DA9D3F" w14:textId="02B4F24D" w:rsidR="003B0439" w:rsidRPr="00932240" w:rsidRDefault="003B0439" w:rsidP="005272AC">
      <w:pPr>
        <w:spacing w:line="360" w:lineRule="auto"/>
        <w:ind w:firstLine="708"/>
        <w:jc w:val="both"/>
        <w:rPr>
          <w:color w:val="000000" w:themeColor="text1"/>
        </w:rPr>
      </w:pPr>
      <w:r w:rsidRPr="00352C65">
        <w:rPr>
          <w:color w:val="000000" w:themeColor="text1"/>
        </w:rPr>
        <w:t xml:space="preserve">La protección de los derechos de los menores frente a la violencia está sustentada en varios instrumentos internacionales </w:t>
      </w:r>
      <w:r>
        <w:t xml:space="preserve">vinculantes y ampliamente conocidos por los Estados miembros. </w:t>
      </w:r>
    </w:p>
    <w:p w14:paraId="6FB8CCCF" w14:textId="77777777" w:rsidR="003B0439" w:rsidRPr="00932240" w:rsidRDefault="003B0439" w:rsidP="005272AC">
      <w:pPr>
        <w:spacing w:line="360" w:lineRule="auto"/>
        <w:jc w:val="both"/>
        <w:rPr>
          <w:color w:val="000000" w:themeColor="text1"/>
        </w:rPr>
      </w:pPr>
    </w:p>
    <w:p w14:paraId="2ECE2CBA" w14:textId="1D482828" w:rsidR="006115A8" w:rsidRPr="00932240" w:rsidRDefault="00D4534F" w:rsidP="005272AC">
      <w:pPr>
        <w:spacing w:line="360" w:lineRule="auto"/>
        <w:ind w:firstLine="708"/>
        <w:jc w:val="both"/>
        <w:rPr>
          <w:color w:val="000000" w:themeColor="text1"/>
        </w:rPr>
      </w:pPr>
      <w:r w:rsidRPr="00932240">
        <w:rPr>
          <w:color w:val="000000" w:themeColor="text1"/>
        </w:rPr>
        <w:t xml:space="preserve">En primer lugar, a nivel internacional, la </w:t>
      </w:r>
      <w:r w:rsidRPr="00932240">
        <w:rPr>
          <w:b/>
          <w:bCs/>
          <w:color w:val="000000" w:themeColor="text1"/>
        </w:rPr>
        <w:t>Convención sobre los Derechos del niño</w:t>
      </w:r>
      <w:r w:rsidRPr="00932240">
        <w:rPr>
          <w:color w:val="000000" w:themeColor="text1"/>
        </w:rPr>
        <w:t xml:space="preserve"> de las Naciones Unidas (ONU), que fue adoptada en 1989, proporciona un marco legal fundamental para garantizar una protección completa hacia la infancia. En concreto esto se observa en el artículo 19, en el que obliga a los Estados Partes a </w:t>
      </w:r>
      <w:r w:rsidR="00112A9A" w:rsidRPr="00932240">
        <w:rPr>
          <w:color w:val="000000" w:themeColor="text1"/>
          <w:spacing w:val="4"/>
        </w:rPr>
        <w:t>adoptar todas las medidas legislativas, administrativas, sociales y educativas apropiadas para proteger al niño contra toda forma de perjuicio o abuso físico o mental, descuido o trato negligente, malos tratos o explotación, incluido el abuso sexual</w:t>
      </w:r>
      <w:r w:rsidR="0001649D" w:rsidRPr="00932240">
        <w:rPr>
          <w:color w:val="000000" w:themeColor="text1"/>
        </w:rPr>
        <w:t xml:space="preserve"> (ONU, 1989). Asimismo, el artículo 34 protege a los niños de todas las formas de abuso y explotación sexual</w:t>
      </w:r>
      <w:r w:rsidR="00932240" w:rsidRPr="00932240">
        <w:rPr>
          <w:color w:val="000000" w:themeColor="text1"/>
        </w:rPr>
        <w:t>.</w:t>
      </w:r>
    </w:p>
    <w:p w14:paraId="02034F57" w14:textId="77777777" w:rsidR="003B0439" w:rsidRDefault="003B0439" w:rsidP="005272AC">
      <w:pPr>
        <w:spacing w:line="360" w:lineRule="auto"/>
        <w:jc w:val="both"/>
      </w:pPr>
    </w:p>
    <w:p w14:paraId="4E9C1C2C" w14:textId="77777777" w:rsidR="00871816" w:rsidRDefault="007C1517" w:rsidP="005272AC">
      <w:pPr>
        <w:shd w:val="clear" w:color="auto" w:fill="FFFFFF" w:themeFill="background1"/>
        <w:spacing w:line="360" w:lineRule="auto"/>
        <w:ind w:firstLine="708"/>
        <w:jc w:val="both"/>
      </w:pPr>
      <w:r w:rsidRPr="00DD73E1">
        <w:rPr>
          <w:b/>
          <w:bCs/>
        </w:rPr>
        <w:t>La Convención de Estambul</w:t>
      </w:r>
      <w:r w:rsidR="00980E1A" w:rsidRPr="00DD73E1">
        <w:rPr>
          <w:b/>
          <w:bCs/>
        </w:rPr>
        <w:t xml:space="preserve"> “</w:t>
      </w:r>
      <w:r w:rsidR="00980E1A" w:rsidRPr="003A5314">
        <w:rPr>
          <w:i/>
          <w:iCs/>
        </w:rPr>
        <w:t>Convenio del Consejo de Europa sobre prevención y lucha contra la violencia contra las mujeres y la violencia doméstica</w:t>
      </w:r>
      <w:r w:rsidR="00980E1A" w:rsidRPr="003A5314">
        <w:t>”,</w:t>
      </w:r>
      <w:r w:rsidRPr="003A5314">
        <w:t xml:space="preserve"> del Consejo de Europa y que data de 2011, es el primer instrumento regional </w:t>
      </w:r>
      <w:r w:rsidR="0029135A" w:rsidRPr="003A5314">
        <w:t xml:space="preserve">en vigor </w:t>
      </w:r>
      <w:r w:rsidRPr="003A5314">
        <w:t xml:space="preserve">que establece un vínculo jurídico y se ocupa de la violencia contra las mujeres y la violencia doméstica en general. </w:t>
      </w:r>
      <w:r w:rsidR="000A7C3A" w:rsidRPr="003A5314">
        <w:t xml:space="preserve">Su importancia reside </w:t>
      </w:r>
      <w:r w:rsidR="00C81F8F" w:rsidRPr="003A5314">
        <w:t xml:space="preserve">en que la violencia contra la mujer se comienza a reconocer debido a este Convenio como una violación de los derechos humanos y </w:t>
      </w:r>
      <w:r w:rsidR="003D417C" w:rsidRPr="003A5314">
        <w:t>como</w:t>
      </w:r>
      <w:r w:rsidR="00C81F8F" w:rsidRPr="003A5314">
        <w:t xml:space="preserve"> una gran forma de discriminación hacia las mujeres</w:t>
      </w:r>
      <w:r w:rsidR="003D417C" w:rsidRPr="003A5314">
        <w:t xml:space="preserve">. Esta convención considera responsables a los Estados si aún a sabiendas de situaciones de este estilo no responden de manera adecuada. </w:t>
      </w:r>
      <w:r w:rsidRPr="003A5314">
        <w:t xml:space="preserve"> </w:t>
      </w:r>
    </w:p>
    <w:p w14:paraId="30DBDDDA" w14:textId="77777777" w:rsidR="00871816" w:rsidRDefault="00871816" w:rsidP="005272AC">
      <w:pPr>
        <w:shd w:val="clear" w:color="auto" w:fill="FFFFFF" w:themeFill="background1"/>
        <w:spacing w:line="360" w:lineRule="auto"/>
        <w:ind w:firstLine="708"/>
        <w:jc w:val="both"/>
      </w:pPr>
    </w:p>
    <w:p w14:paraId="74A417E5" w14:textId="17C12BBC" w:rsidR="0037369B" w:rsidRPr="008B55E7" w:rsidRDefault="00871816" w:rsidP="003E4CEB">
      <w:pPr>
        <w:shd w:val="clear" w:color="auto" w:fill="FFFFFF" w:themeFill="background1"/>
        <w:spacing w:line="360" w:lineRule="auto"/>
        <w:ind w:firstLine="708"/>
        <w:jc w:val="both"/>
      </w:pPr>
      <w:r w:rsidRPr="00367890">
        <w:t>Ambos instrumentos internacionales se</w:t>
      </w:r>
      <w:r w:rsidR="00713006">
        <w:t xml:space="preserve"> fundamentan en principios comunes orientados</w:t>
      </w:r>
      <w:r w:rsidR="00671B03">
        <w:t xml:space="preserve"> a la protección de los derechos de la infancia y de las mujeres</w:t>
      </w:r>
      <w:r>
        <w:t>, estableciendo así un firme marco de referencia global para luchar contra la violencia vicaria, asegurar el bienestar y la protección de los más jóvenes e impulsar que los Estados asuman su responsabilidad en la eliminación de esta clase de violencia.</w:t>
      </w:r>
    </w:p>
    <w:p w14:paraId="2CD6F69C" w14:textId="5B3760ED" w:rsidR="00017037" w:rsidRPr="00C90888" w:rsidRDefault="00924B55" w:rsidP="0059333F">
      <w:pPr>
        <w:pStyle w:val="Ttulo3"/>
        <w:numPr>
          <w:ilvl w:val="0"/>
          <w:numId w:val="0"/>
        </w:numPr>
        <w:ind w:left="720" w:hanging="360"/>
      </w:pPr>
      <w:bookmarkStart w:id="16" w:name="_Toc221271117"/>
      <w:r>
        <w:t xml:space="preserve">1.2 </w:t>
      </w:r>
      <w:r w:rsidR="00B43D2F">
        <w:t xml:space="preserve">Legislación Nacional: </w:t>
      </w:r>
      <w:r w:rsidR="00AB69A9" w:rsidRPr="00352C65">
        <w:t>Europa y España</w:t>
      </w:r>
      <w:r w:rsidR="00B43D2F">
        <w:t>.</w:t>
      </w:r>
      <w:bookmarkEnd w:id="16"/>
      <w:r w:rsidR="00B43D2F">
        <w:t xml:space="preserve"> </w:t>
      </w:r>
    </w:p>
    <w:p w14:paraId="72FA87C4" w14:textId="1532DA5E" w:rsidR="00AB69A9" w:rsidRDefault="00AB69A9" w:rsidP="005272AC">
      <w:pPr>
        <w:pStyle w:val="my-2"/>
        <w:spacing w:line="360" w:lineRule="auto"/>
        <w:jc w:val="both"/>
      </w:pPr>
      <w:r w:rsidRPr="008B55E7">
        <w:rPr>
          <w:rStyle w:val="Fuerte"/>
          <w:rFonts w:eastAsiaTheme="majorEastAsia"/>
        </w:rPr>
        <w:t>Ley Orgánica 1/2004 de Medidas de Protección Integral contra la Violencia de Género</w:t>
      </w:r>
      <w:r w:rsidRPr="008B55E7">
        <w:t>: Marco básico para protección de víctimas, incluyendo menores.</w:t>
      </w:r>
      <w:r w:rsidR="00332784">
        <w:t xml:space="preserve"> </w:t>
      </w:r>
      <w:hyperlink r:id="rId10" w:history="1">
        <w:r w:rsidR="00017037" w:rsidRPr="0024753B">
          <w:rPr>
            <w:rStyle w:val="Hipervnculo"/>
          </w:rPr>
          <w:t>https://www.boe.es/buscar/act.php?id=BOE-A-2004-21760</w:t>
        </w:r>
      </w:hyperlink>
    </w:p>
    <w:p w14:paraId="6EB688B4" w14:textId="3FAD7474" w:rsidR="00733F71" w:rsidRDefault="00671B03" w:rsidP="00BD792C">
      <w:pPr>
        <w:pStyle w:val="my-2"/>
        <w:spacing w:line="360" w:lineRule="auto"/>
        <w:ind w:firstLine="708"/>
        <w:jc w:val="both"/>
      </w:pPr>
      <w:r>
        <w:t>Esta norma constituye</w:t>
      </w:r>
      <w:r w:rsidR="00494DA1">
        <w:t xml:space="preserve"> el</w:t>
      </w:r>
      <w:r w:rsidR="008B69E0">
        <w:t xml:space="preserve"> pilar fundamental del marco </w:t>
      </w:r>
      <w:r w:rsidR="00494DA1">
        <w:t>jurídico</w:t>
      </w:r>
      <w:r w:rsidR="008B69E0">
        <w:t xml:space="preserve"> español en materia de violencia contra las mujeres. Su relevancia se debe a que</w:t>
      </w:r>
      <w:r w:rsidR="006169E7">
        <w:t>, entre otras cuestiones,</w:t>
      </w:r>
      <w:r w:rsidR="00DD73E1">
        <w:t xml:space="preserve"> es</w:t>
      </w:r>
      <w:r w:rsidR="00CB4B4B">
        <w:t xml:space="preserve"> </w:t>
      </w:r>
      <w:r w:rsidR="006169E7">
        <w:lastRenderedPageBreak/>
        <w:t>una de</w:t>
      </w:r>
      <w:r w:rsidR="00CB4B4B">
        <w:t xml:space="preserve"> las primeras que reconoce que los </w:t>
      </w:r>
      <w:r w:rsidR="00CB4B4B" w:rsidRPr="0026606A">
        <w:rPr>
          <w:u w:val="single"/>
        </w:rPr>
        <w:t>menores</w:t>
      </w:r>
      <w:r w:rsidR="00CB4B4B">
        <w:t xml:space="preserve"> pueden ser víctimas indirectas </w:t>
      </w:r>
      <w:r w:rsidR="00541579">
        <w:t>cuando son utilizados para perjudicar a la mujer.</w:t>
      </w:r>
      <w:r w:rsidR="00BD792C">
        <w:t xml:space="preserve"> </w:t>
      </w:r>
      <w:r w:rsidR="00DD73E1">
        <w:t xml:space="preserve">Aunque la ley no emplea explícitamente el término </w:t>
      </w:r>
      <w:r w:rsidR="00DD73E1" w:rsidRPr="00DD73E1">
        <w:rPr>
          <w:i/>
          <w:iCs/>
        </w:rPr>
        <w:t>violencia vicaria</w:t>
      </w:r>
      <w:r w:rsidR="00DD73E1">
        <w:t>, contempla situaciones similares en las</w:t>
      </w:r>
      <w:r w:rsidR="00E80E62">
        <w:t xml:space="preserve"> que el maltratador podría usar a sus hijos como medio mediante el cual herir a la madre</w:t>
      </w:r>
      <w:r w:rsidR="00DD73E1">
        <w:t xml:space="preserve">. De este modo, la LO 1/2004 establece las bases para un entendimiento más allá de la relación exclusiva entre el agresor y la víctima mujer. </w:t>
      </w:r>
      <w:r w:rsidR="00365566">
        <w:t xml:space="preserve"> </w:t>
      </w:r>
    </w:p>
    <w:p w14:paraId="711E0A35" w14:textId="4B292445" w:rsidR="00354CC8" w:rsidRDefault="003C0ABE" w:rsidP="005272AC">
      <w:pPr>
        <w:pStyle w:val="my-2"/>
        <w:spacing w:line="360" w:lineRule="auto"/>
        <w:ind w:firstLine="708"/>
        <w:jc w:val="both"/>
      </w:pPr>
      <w:r>
        <w:t xml:space="preserve">A su vez, </w:t>
      </w:r>
      <w:r w:rsidR="00DD73E1">
        <w:t xml:space="preserve">la norma reconoce </w:t>
      </w:r>
      <w:r>
        <w:t xml:space="preserve">el </w:t>
      </w:r>
      <w:r w:rsidRPr="0026606A">
        <w:rPr>
          <w:u w:val="single"/>
        </w:rPr>
        <w:t>derecho a asistencia social integral</w:t>
      </w:r>
      <w:r>
        <w:t xml:space="preserve"> para las víctima</w:t>
      </w:r>
      <w:r w:rsidR="00354CC8">
        <w:t>s</w:t>
      </w:r>
      <w:r w:rsidR="00DD73E1">
        <w:t xml:space="preserve">, es decir, un </w:t>
      </w:r>
      <w:r w:rsidR="00365566">
        <w:t>sistema de protección integral, articulado en ámbitos sanitario, social, penal, judicial y educativo</w:t>
      </w:r>
      <w:r w:rsidR="00DD73E1">
        <w:t xml:space="preserve">, incluyendo </w:t>
      </w:r>
      <w:r w:rsidR="00B42A91">
        <w:t>la atención psicológica a menore</w:t>
      </w:r>
      <w:r w:rsidR="00DD73E1">
        <w:t xml:space="preserve">s, </w:t>
      </w:r>
      <w:r w:rsidR="00B42A91">
        <w:t>la formación especializada de</w:t>
      </w:r>
      <w:r w:rsidR="00E854A4">
        <w:t xml:space="preserve"> los</w:t>
      </w:r>
      <w:r w:rsidR="00B42A91">
        <w:t xml:space="preserve"> profesionales y la protección específica </w:t>
      </w:r>
      <w:r w:rsidR="009F465F">
        <w:t>destinada a los hijos e hijas de las víctimas</w:t>
      </w:r>
      <w:r w:rsidR="00DD73E1">
        <w:t xml:space="preserve">. </w:t>
      </w:r>
    </w:p>
    <w:p w14:paraId="546DE3D3" w14:textId="04B2B9E7" w:rsidR="000B1424" w:rsidRDefault="000A4D57" w:rsidP="005272AC">
      <w:pPr>
        <w:pStyle w:val="my-2"/>
        <w:spacing w:line="360" w:lineRule="auto"/>
        <w:ind w:firstLine="708"/>
        <w:jc w:val="both"/>
        <w:rPr>
          <w:color w:val="000000"/>
          <w:shd w:val="clear" w:color="auto" w:fill="FFFFFF"/>
        </w:rPr>
      </w:pPr>
      <w:r>
        <w:rPr>
          <w:color w:val="000000"/>
          <w:shd w:val="clear" w:color="auto" w:fill="FFFFFF"/>
        </w:rPr>
        <w:t xml:space="preserve">En el ámbito judicial, la ley crea los </w:t>
      </w:r>
      <w:r w:rsidRPr="000A4D57">
        <w:rPr>
          <w:color w:val="000000"/>
          <w:u w:val="single"/>
          <w:shd w:val="clear" w:color="auto" w:fill="FFFFFF"/>
        </w:rPr>
        <w:t>Juzgados de Violencia sobre la Mujer</w:t>
      </w:r>
      <w:r w:rsidR="00840367">
        <w:rPr>
          <w:color w:val="000000"/>
          <w:shd w:val="clear" w:color="auto" w:fill="FFFFFF"/>
        </w:rPr>
        <w:t xml:space="preserve">. Se trata de entidades especializadas que tienen como objetivo </w:t>
      </w:r>
      <w:r w:rsidR="00B97F79">
        <w:rPr>
          <w:color w:val="000000"/>
          <w:shd w:val="clear" w:color="auto" w:fill="FFFFFF"/>
        </w:rPr>
        <w:t>centralizar</w:t>
      </w:r>
      <w:r w:rsidR="00840367">
        <w:rPr>
          <w:color w:val="000000"/>
          <w:shd w:val="clear" w:color="auto" w:fill="FFFFFF"/>
        </w:rPr>
        <w:t xml:space="preserve"> las competencias civiles y penales vinculadas a la violencia de género con el fin de asegurar</w:t>
      </w:r>
      <w:r w:rsidR="00862F01">
        <w:rPr>
          <w:color w:val="000000"/>
          <w:shd w:val="clear" w:color="auto" w:fill="FFFFFF"/>
        </w:rPr>
        <w:t xml:space="preserve"> </w:t>
      </w:r>
      <w:r w:rsidR="00FC52D2">
        <w:rPr>
          <w:color w:val="000000"/>
          <w:shd w:val="clear" w:color="auto" w:fill="FFFFFF"/>
        </w:rPr>
        <w:t xml:space="preserve">una respuesta unificada y efectiva. </w:t>
      </w:r>
      <w:r w:rsidR="00AF6EAC">
        <w:rPr>
          <w:color w:val="000000"/>
          <w:shd w:val="clear" w:color="auto" w:fill="FFFFFF"/>
        </w:rPr>
        <w:t xml:space="preserve">Esta estructura especializada </w:t>
      </w:r>
      <w:r w:rsidR="00DD2548">
        <w:rPr>
          <w:color w:val="000000"/>
          <w:shd w:val="clear" w:color="auto" w:fill="FFFFFF"/>
        </w:rPr>
        <w:t>facilita</w:t>
      </w:r>
      <w:r w:rsidR="00AF6EAC">
        <w:rPr>
          <w:color w:val="000000"/>
          <w:shd w:val="clear" w:color="auto" w:fill="FFFFFF"/>
        </w:rPr>
        <w:t xml:space="preserve"> una </w:t>
      </w:r>
      <w:r w:rsidR="00DD2548">
        <w:rPr>
          <w:color w:val="000000"/>
          <w:shd w:val="clear" w:color="auto" w:fill="FFFFFF"/>
        </w:rPr>
        <w:t>mejor</w:t>
      </w:r>
      <w:r w:rsidR="00AF6EAC">
        <w:rPr>
          <w:color w:val="000000"/>
          <w:shd w:val="clear" w:color="auto" w:fill="FFFFFF"/>
        </w:rPr>
        <w:t xml:space="preserve"> coordinación </w:t>
      </w:r>
      <w:r w:rsidR="00DD2548">
        <w:rPr>
          <w:color w:val="000000"/>
          <w:shd w:val="clear" w:color="auto" w:fill="FFFFFF"/>
        </w:rPr>
        <w:t xml:space="preserve">de los procesos, un análisis más certero del riesgo y una atención más apropiada para las mujeres y los menores que sufren violencia de género. </w:t>
      </w:r>
    </w:p>
    <w:p w14:paraId="254EA491" w14:textId="2DA59729" w:rsidR="003862AD" w:rsidRPr="003862AD" w:rsidRDefault="00DD73E1" w:rsidP="005272AC">
      <w:pPr>
        <w:pStyle w:val="my-2"/>
        <w:spacing w:line="360" w:lineRule="auto"/>
        <w:ind w:firstLine="708"/>
        <w:jc w:val="both"/>
        <w:rPr>
          <w:color w:val="000000"/>
          <w:shd w:val="clear" w:color="auto" w:fill="FFFFFF"/>
        </w:rPr>
      </w:pPr>
      <w:r>
        <w:rPr>
          <w:color w:val="000000"/>
          <w:shd w:val="clear" w:color="auto" w:fill="FFFFFF"/>
        </w:rPr>
        <w:t>En conjunto,</w:t>
      </w:r>
      <w:r w:rsidR="000B1424">
        <w:rPr>
          <w:color w:val="000000"/>
          <w:shd w:val="clear" w:color="auto" w:fill="FFFFFF"/>
        </w:rPr>
        <w:t xml:space="preserve"> la Ley Orgánica 1/2004 </w:t>
      </w:r>
      <w:r w:rsidR="003862AD">
        <w:rPr>
          <w:color w:val="000000"/>
          <w:shd w:val="clear" w:color="auto" w:fill="FFFFFF"/>
        </w:rPr>
        <w:t xml:space="preserve">es una muestra primordial para entender cómo el sistema legal español reconoce y tipifica la violencia vicaria, incorporando una visión de la victimología infantil de la violencia machista. </w:t>
      </w:r>
    </w:p>
    <w:p w14:paraId="2A5A42D9" w14:textId="77777777" w:rsidR="00DD73E1" w:rsidRPr="0059333F" w:rsidRDefault="00AB69A9" w:rsidP="0059333F">
      <w:pPr>
        <w:pStyle w:val="Ttulo3"/>
        <w:numPr>
          <w:ilvl w:val="0"/>
          <w:numId w:val="0"/>
        </w:numPr>
        <w:ind w:left="360"/>
        <w:rPr>
          <w:rStyle w:val="Fuerte"/>
          <w:b/>
          <w:bCs/>
        </w:rPr>
      </w:pPr>
      <w:bookmarkStart w:id="17" w:name="_Toc221271118"/>
      <w:r w:rsidRPr="0059333F">
        <w:rPr>
          <w:rStyle w:val="Fuerte"/>
          <w:b/>
          <w:bCs/>
        </w:rPr>
        <w:t>Ley Orgánica 8/2021 de Protección Integral a la Infancia y Adolescencia frente a la violencia</w:t>
      </w:r>
      <w:r w:rsidR="001528FE" w:rsidRPr="0059333F">
        <w:rPr>
          <w:rStyle w:val="Fuerte"/>
          <w:b/>
          <w:bCs/>
        </w:rPr>
        <w:t xml:space="preserve"> (LOPIVI</w:t>
      </w:r>
      <w:r w:rsidR="00DD73E1" w:rsidRPr="0059333F">
        <w:rPr>
          <w:rStyle w:val="Fuerte"/>
          <w:b/>
          <w:bCs/>
        </w:rPr>
        <w:t>)</w:t>
      </w:r>
      <w:bookmarkEnd w:id="17"/>
      <w:r w:rsidR="00DD73E1" w:rsidRPr="0059333F">
        <w:rPr>
          <w:rStyle w:val="Fuerte"/>
          <w:b/>
          <w:bCs/>
        </w:rPr>
        <w:t xml:space="preserve"> </w:t>
      </w:r>
    </w:p>
    <w:p w14:paraId="7E369A7C" w14:textId="77777777" w:rsidR="00DD73E1" w:rsidRDefault="005272AC" w:rsidP="00DD73E1">
      <w:pPr>
        <w:pStyle w:val="my-2"/>
        <w:spacing w:line="360" w:lineRule="auto"/>
        <w:ind w:firstLine="708"/>
        <w:jc w:val="both"/>
      </w:pPr>
      <w:r>
        <w:t xml:space="preserve">La </w:t>
      </w:r>
      <w:r w:rsidR="00DD73E1">
        <w:t>Ley Orgánica 8/2021 supone un cambio de paradigma en la protección jurídica de la infancia y la adolescencia, pues comienza a reconocer de manera expresa a los menores como víctimas directas de cualquier forma de violencia. La ley</w:t>
      </w:r>
      <w:r>
        <w:t xml:space="preserve"> fija medidas de asistencia, reintegración de derechos vulnerados, detección temprana, recuperación de la víctima y protección. </w:t>
      </w:r>
    </w:p>
    <w:p w14:paraId="2C27F6D2" w14:textId="127DA4FA" w:rsidR="00DD73E1" w:rsidRDefault="005272AC" w:rsidP="00DD73E1">
      <w:pPr>
        <w:pStyle w:val="my-2"/>
        <w:spacing w:line="360" w:lineRule="auto"/>
        <w:ind w:firstLine="708"/>
        <w:jc w:val="both"/>
      </w:pPr>
      <w:r>
        <w:t xml:space="preserve">Estas medidas se basan en los modelos integrales de atención que han sido considerados como buenas prácticas en el momento de prevenir la victimización secundaria. </w:t>
      </w:r>
      <w:r w:rsidR="001B78D8">
        <w:t>Según la meta 16.2 del Pacto de Estado contra la violencia de género</w:t>
      </w:r>
      <w:r w:rsidR="009E781A">
        <w:t xml:space="preserve"> “</w:t>
      </w:r>
      <w:r w:rsidR="009E781A" w:rsidRPr="009E781A">
        <w:rPr>
          <w:i/>
          <w:iCs/>
        </w:rPr>
        <w:t xml:space="preserve">Poner </w:t>
      </w:r>
      <w:r w:rsidR="009E781A" w:rsidRPr="009E781A">
        <w:rPr>
          <w:i/>
          <w:iCs/>
        </w:rPr>
        <w:lastRenderedPageBreak/>
        <w:t>fin al maltrato, la explotación, la trata y todas las formas de violencia y tortura contra los niños</w:t>
      </w:r>
      <w:r w:rsidR="00FE1A5F">
        <w:t xml:space="preserve">. La ley </w:t>
      </w:r>
      <w:r w:rsidR="00576948">
        <w:t>va</w:t>
      </w:r>
      <w:r w:rsidR="00FE1A5F">
        <w:t xml:space="preserve"> más allá al ser integral en las materias que asocia a su marco de efectividad, tanto en su realidad estrictamente sustantiva como en su intención didáctica</w:t>
      </w:r>
      <w:r w:rsidR="00AF3BB3">
        <w:t xml:space="preserve">. </w:t>
      </w:r>
      <w:r w:rsidR="00E3101B">
        <w:t>También</w:t>
      </w:r>
      <w:r w:rsidR="00FE5471">
        <w:t xml:space="preserve"> establece cómo ser un buen profesional si trabajas con meno</w:t>
      </w:r>
      <w:r w:rsidR="00F53C78">
        <w:t>res</w:t>
      </w:r>
      <w:r w:rsidR="00E3101B">
        <w:t xml:space="preserve"> y apuesta por un modelo de trabajo conjunto entre instituciones profesionales. </w:t>
      </w:r>
      <w:r w:rsidR="00063490">
        <w:t>Tiene impacto directo en diferentes sectores, entre ellos: educación, sanidad, servicios</w:t>
      </w:r>
      <w:r w:rsidR="00731CC2">
        <w:t xml:space="preserve">. De esta forma, la ley establece de forma obligatoria una formación inicial y continua, adaptada al perfil y funciones de cada profesional, garantizando intervenir adecuadamente y prevenir </w:t>
      </w:r>
      <w:r w:rsidR="008C1E08">
        <w:t xml:space="preserve">cualquier forma de violencia contra la infancia y la adolescencia. </w:t>
      </w:r>
    </w:p>
    <w:p w14:paraId="7B4BAE21" w14:textId="628F3D1A" w:rsidR="0091429B" w:rsidRPr="00642509" w:rsidRDefault="00B47588" w:rsidP="00DD73E1">
      <w:pPr>
        <w:pStyle w:val="my-2"/>
        <w:spacing w:line="360" w:lineRule="auto"/>
        <w:ind w:firstLine="708"/>
        <w:jc w:val="both"/>
      </w:pPr>
      <w:r>
        <w:t xml:space="preserve">Además, la LOPIVI </w:t>
      </w:r>
      <w:r w:rsidR="00FA0F18">
        <w:t xml:space="preserve">contempla el derecho de los menores a participar activamente en los procesos que les afectan, </w:t>
      </w:r>
      <w:r w:rsidR="00366CC9">
        <w:t xml:space="preserve">darles voz y </w:t>
      </w:r>
      <w:r w:rsidR="00FA0F18">
        <w:t xml:space="preserve">escuchar su opinión </w:t>
      </w:r>
    </w:p>
    <w:p w14:paraId="45525CFB" w14:textId="77777777" w:rsidR="00D23E56" w:rsidRDefault="00AB69A9" w:rsidP="005272AC">
      <w:pPr>
        <w:pStyle w:val="my-2"/>
        <w:spacing w:line="360" w:lineRule="auto"/>
        <w:jc w:val="both"/>
      </w:pPr>
      <w:r w:rsidRPr="00642509">
        <w:rPr>
          <w:rStyle w:val="Fuerte"/>
          <w:rFonts w:eastAsiaTheme="majorEastAsia"/>
        </w:rPr>
        <w:t>Anteproyecto de Ley Orgánica de medidas en materia de violencia vicaria (2025)</w:t>
      </w:r>
      <w:r w:rsidRPr="00642509">
        <w:t xml:space="preserve">: </w:t>
      </w:r>
    </w:p>
    <w:p w14:paraId="7076CF3B" w14:textId="6AA1787D" w:rsidR="00C9599D" w:rsidRDefault="00576948" w:rsidP="00576948">
      <w:pPr>
        <w:pStyle w:val="my-2"/>
        <w:spacing w:line="360" w:lineRule="auto"/>
        <w:ind w:firstLine="708"/>
        <w:jc w:val="both"/>
      </w:pPr>
      <w:r>
        <w:t>El r</w:t>
      </w:r>
      <w:r w:rsidR="00AB69A9" w:rsidRPr="00642509">
        <w:t>eciente</w:t>
      </w:r>
      <w:r>
        <w:t xml:space="preserve"> anteproyecto de Ley Orgánica se trata de un</w:t>
      </w:r>
      <w:r w:rsidR="00AB69A9" w:rsidRPr="00642509">
        <w:t xml:space="preserve"> impulso legislativo que</w:t>
      </w:r>
      <w:r>
        <w:t xml:space="preserve"> </w:t>
      </w:r>
      <w:r w:rsidR="00C9599D">
        <w:t>busca reconocer y tipificar la violencia de género legalmente y asegurar su protección para víctimas (incluidos niños/as) y establecer medidas de prevención y atención necesarias p</w:t>
      </w:r>
      <w:r w:rsidR="00926F35">
        <w:t>ara los menores. Su inclusión resulta clave para la protección integral de la infancia desde u</w:t>
      </w:r>
      <w:r w:rsidR="00AC7FFD">
        <w:t xml:space="preserve">na perspectiva de género y derechos humanos. </w:t>
      </w:r>
    </w:p>
    <w:p w14:paraId="5E681BBB" w14:textId="0B738748" w:rsidR="00576948" w:rsidRPr="00321082" w:rsidRDefault="00576948" w:rsidP="00576948">
      <w:pPr>
        <w:pStyle w:val="my-2"/>
        <w:spacing w:line="360" w:lineRule="auto"/>
        <w:ind w:firstLine="708"/>
        <w:jc w:val="both"/>
        <w:rPr>
          <w:color w:val="000000" w:themeColor="text1"/>
        </w:rPr>
      </w:pPr>
      <w:r>
        <w:t xml:space="preserve">Su </w:t>
      </w:r>
      <w:r w:rsidRPr="00321082">
        <w:rPr>
          <w:color w:val="000000" w:themeColor="text1"/>
        </w:rPr>
        <w:t xml:space="preserve">mayor atribución consiste en la tipificación autónoma de la violencia vicaria como delito contra la integridad moral en el código penal. Además, incluye la implementación de modificación en varias normativas esenciales del sistema jurídico español. </w:t>
      </w:r>
    </w:p>
    <w:p w14:paraId="10414A7A" w14:textId="272AE226" w:rsidR="00AB69A9" w:rsidRPr="00321082" w:rsidRDefault="00AB69A9" w:rsidP="0059333F">
      <w:pPr>
        <w:pStyle w:val="Ttulo3"/>
        <w:numPr>
          <w:ilvl w:val="0"/>
          <w:numId w:val="0"/>
        </w:numPr>
        <w:ind w:left="720"/>
      </w:pPr>
      <w:bookmarkStart w:id="18" w:name="_Toc221271119"/>
      <w:r w:rsidRPr="00321082">
        <w:t>Derechos de los menores y protección legal</w:t>
      </w:r>
      <w:bookmarkEnd w:id="18"/>
    </w:p>
    <w:p w14:paraId="61E3AE59" w14:textId="6797237D" w:rsidR="00FD663E" w:rsidRPr="00321082" w:rsidRDefault="009040BD" w:rsidP="009040BD">
      <w:pPr>
        <w:pStyle w:val="my-2"/>
        <w:spacing w:line="360" w:lineRule="auto"/>
        <w:ind w:firstLine="360"/>
        <w:jc w:val="both"/>
        <w:rPr>
          <w:b/>
          <w:bCs/>
          <w:i/>
          <w:iCs/>
          <w:color w:val="000000" w:themeColor="text1"/>
        </w:rPr>
      </w:pPr>
      <w:r w:rsidRPr="00321082">
        <w:rPr>
          <w:color w:val="000000" w:themeColor="text1"/>
          <w:shd w:val="clear" w:color="auto" w:fill="FFFFFF"/>
        </w:rPr>
        <w:t>El ordenamiento jurídico</w:t>
      </w:r>
      <w:r w:rsidRPr="00321082">
        <w:rPr>
          <w:rStyle w:val="diff-highlight"/>
          <w:rFonts w:eastAsiaTheme="majorEastAsia"/>
          <w:color w:val="000000" w:themeColor="text1"/>
          <w:shd w:val="clear" w:color="auto" w:fill="FFFFFF"/>
        </w:rPr>
        <w:t xml:space="preserve"> nacional</w:t>
      </w:r>
      <w:r w:rsidRPr="00321082">
        <w:rPr>
          <w:color w:val="000000" w:themeColor="text1"/>
          <w:shd w:val="clear" w:color="auto" w:fill="FFFFFF"/>
        </w:rPr>
        <w:t xml:space="preserve"> español</w:t>
      </w:r>
      <w:r w:rsidR="00DC750E" w:rsidRPr="00321082">
        <w:rPr>
          <w:rStyle w:val="diff-highlight"/>
          <w:rFonts w:eastAsiaTheme="majorEastAsia"/>
          <w:color w:val="000000" w:themeColor="text1"/>
          <w:shd w:val="clear" w:color="auto" w:fill="FFFFFF"/>
        </w:rPr>
        <w:t xml:space="preserve"> r</w:t>
      </w:r>
      <w:r w:rsidRPr="00321082">
        <w:rPr>
          <w:color w:val="000000" w:themeColor="text1"/>
          <w:shd w:val="clear" w:color="auto" w:fill="FFFFFF"/>
        </w:rPr>
        <w:t>econoce a los menores expuestos a</w:t>
      </w:r>
      <w:r w:rsidRPr="00321082">
        <w:rPr>
          <w:rStyle w:val="diff-highlight"/>
          <w:rFonts w:eastAsiaTheme="majorEastAsia"/>
          <w:color w:val="000000" w:themeColor="text1"/>
          <w:shd w:val="clear" w:color="auto" w:fill="FFFFFF"/>
        </w:rPr>
        <w:t xml:space="preserve"> la</w:t>
      </w:r>
      <w:r w:rsidRPr="00321082">
        <w:rPr>
          <w:color w:val="000000" w:themeColor="text1"/>
          <w:shd w:val="clear" w:color="auto" w:fill="FFFFFF"/>
        </w:rPr>
        <w:t xml:space="preserve"> violencia de género como sujetos de protección</w:t>
      </w:r>
      <w:r w:rsidRPr="00321082">
        <w:rPr>
          <w:rStyle w:val="diff-highlight"/>
          <w:rFonts w:eastAsiaTheme="majorEastAsia"/>
          <w:color w:val="000000" w:themeColor="text1"/>
          <w:shd w:val="clear" w:color="auto" w:fill="FFFFFF"/>
        </w:rPr>
        <w:t xml:space="preserve"> específica</w:t>
      </w:r>
      <w:r w:rsidR="006A6CBD" w:rsidRPr="00321082">
        <w:rPr>
          <w:color w:val="000000" w:themeColor="text1"/>
          <w:shd w:val="clear" w:color="auto" w:fill="FFFFFF"/>
        </w:rPr>
        <w:t xml:space="preserve">. </w:t>
      </w:r>
      <w:r w:rsidR="00DC750E" w:rsidRPr="00321082">
        <w:rPr>
          <w:color w:val="000000" w:themeColor="text1"/>
          <w:shd w:val="clear" w:color="auto" w:fill="FFFFFF"/>
        </w:rPr>
        <w:t xml:space="preserve"> </w:t>
      </w:r>
      <w:r w:rsidR="006A6CBD" w:rsidRPr="00321082">
        <w:rPr>
          <w:color w:val="000000" w:themeColor="text1"/>
          <w:shd w:val="clear" w:color="auto" w:fill="FFFFFF"/>
        </w:rPr>
        <w:t xml:space="preserve">Les </w:t>
      </w:r>
      <w:r w:rsidR="00DC750E" w:rsidRPr="00321082">
        <w:rPr>
          <w:rStyle w:val="diff-highlight"/>
          <w:rFonts w:eastAsiaTheme="majorEastAsia"/>
          <w:color w:val="000000" w:themeColor="text1"/>
          <w:shd w:val="clear" w:color="auto" w:fill="FFFFFF"/>
        </w:rPr>
        <w:t>concede</w:t>
      </w:r>
      <w:r w:rsidRPr="00321082">
        <w:rPr>
          <w:color w:val="000000" w:themeColor="text1"/>
          <w:shd w:val="clear" w:color="auto" w:fill="FFFFFF"/>
        </w:rPr>
        <w:t xml:space="preserve"> derechos específicos orientados a garantizar su </w:t>
      </w:r>
      <w:r w:rsidRPr="00321082">
        <w:rPr>
          <w:rStyle w:val="diff-highlight"/>
          <w:rFonts w:eastAsiaTheme="majorEastAsia"/>
          <w:color w:val="000000" w:themeColor="text1"/>
          <w:shd w:val="clear" w:color="auto" w:fill="FFFFFF"/>
        </w:rPr>
        <w:t>bienestar</w:t>
      </w:r>
      <w:r w:rsidRPr="00321082">
        <w:rPr>
          <w:color w:val="000000" w:themeColor="text1"/>
          <w:shd w:val="clear" w:color="auto" w:fill="FFFFFF"/>
        </w:rPr>
        <w:t xml:space="preserve">, su </w:t>
      </w:r>
      <w:r w:rsidRPr="00321082">
        <w:rPr>
          <w:rStyle w:val="diff-highlight"/>
          <w:rFonts w:eastAsiaTheme="majorEastAsia"/>
          <w:color w:val="000000" w:themeColor="text1"/>
          <w:shd w:val="clear" w:color="auto" w:fill="FFFFFF"/>
        </w:rPr>
        <w:t>protección</w:t>
      </w:r>
      <w:r w:rsidRPr="00321082">
        <w:rPr>
          <w:color w:val="000000" w:themeColor="text1"/>
          <w:shd w:val="clear" w:color="auto" w:fill="FFFFFF"/>
        </w:rPr>
        <w:t xml:space="preserve"> psicoló</w:t>
      </w:r>
      <w:r w:rsidRPr="00321082">
        <w:rPr>
          <w:rStyle w:val="diff-highlight"/>
          <w:rFonts w:eastAsiaTheme="majorEastAsia"/>
          <w:color w:val="000000" w:themeColor="text1"/>
          <w:shd w:val="clear" w:color="auto" w:fill="FFFFFF"/>
        </w:rPr>
        <w:t>gica</w:t>
      </w:r>
      <w:r w:rsidRPr="00321082">
        <w:rPr>
          <w:color w:val="000000" w:themeColor="text1"/>
          <w:shd w:val="clear" w:color="auto" w:fill="FFFFFF"/>
        </w:rPr>
        <w:t xml:space="preserve"> y su desarrollo. Este reconocimiento</w:t>
      </w:r>
      <w:r w:rsidRPr="00321082">
        <w:rPr>
          <w:rStyle w:val="diff-highlight"/>
          <w:rFonts w:eastAsiaTheme="majorEastAsia"/>
          <w:color w:val="000000" w:themeColor="text1"/>
          <w:shd w:val="clear" w:color="auto" w:fill="FFFFFF"/>
        </w:rPr>
        <w:t xml:space="preserve"> legal</w:t>
      </w:r>
      <w:r w:rsidRPr="00321082">
        <w:rPr>
          <w:color w:val="000000" w:themeColor="text1"/>
          <w:shd w:val="clear" w:color="auto" w:fill="FFFFFF"/>
        </w:rPr>
        <w:t xml:space="preserve"> se ha visto </w:t>
      </w:r>
      <w:r w:rsidRPr="00321082">
        <w:rPr>
          <w:rStyle w:val="diff-highlight"/>
          <w:rFonts w:eastAsiaTheme="majorEastAsia"/>
          <w:color w:val="000000" w:themeColor="text1"/>
          <w:shd w:val="clear" w:color="auto" w:fill="FFFFFF"/>
        </w:rPr>
        <w:t>aumentado</w:t>
      </w:r>
      <w:r w:rsidRPr="00321082">
        <w:rPr>
          <w:color w:val="000000" w:themeColor="text1"/>
          <w:shd w:val="clear" w:color="auto" w:fill="FFFFFF"/>
        </w:rPr>
        <w:t xml:space="preserve"> en los últimos años a partir de la</w:t>
      </w:r>
      <w:r w:rsidRPr="00321082">
        <w:rPr>
          <w:b/>
          <w:bCs/>
          <w:color w:val="000000" w:themeColor="text1"/>
          <w:shd w:val="clear" w:color="auto" w:fill="FFFFFF"/>
        </w:rPr>
        <w:t xml:space="preserve"> Ley Orgánica 8/2021</w:t>
      </w:r>
      <w:r w:rsidRPr="00321082">
        <w:rPr>
          <w:color w:val="000000" w:themeColor="text1"/>
          <w:shd w:val="clear" w:color="auto" w:fill="FFFFFF"/>
        </w:rPr>
        <w:t xml:space="preserve">, que </w:t>
      </w:r>
      <w:r w:rsidRPr="00321082">
        <w:rPr>
          <w:rStyle w:val="diff-highlight"/>
          <w:rFonts w:eastAsiaTheme="majorEastAsia"/>
          <w:color w:val="000000" w:themeColor="text1"/>
          <w:shd w:val="clear" w:color="auto" w:fill="FFFFFF"/>
        </w:rPr>
        <w:t>considera</w:t>
      </w:r>
      <w:r w:rsidRPr="00321082">
        <w:rPr>
          <w:color w:val="000000" w:themeColor="text1"/>
          <w:shd w:val="clear" w:color="auto" w:fill="FFFFFF"/>
        </w:rPr>
        <w:t xml:space="preserve"> </w:t>
      </w:r>
      <w:r w:rsidRPr="00321082">
        <w:rPr>
          <w:rStyle w:val="diff-highlight"/>
          <w:rFonts w:eastAsiaTheme="majorEastAsia"/>
          <w:color w:val="000000" w:themeColor="text1"/>
          <w:shd w:val="clear" w:color="auto" w:fill="FFFFFF"/>
        </w:rPr>
        <w:t>a</w:t>
      </w:r>
      <w:r w:rsidRPr="00321082">
        <w:rPr>
          <w:color w:val="000000" w:themeColor="text1"/>
          <w:shd w:val="clear" w:color="auto" w:fill="FFFFFF"/>
        </w:rPr>
        <w:t xml:space="preserve"> </w:t>
      </w:r>
      <w:r w:rsidRPr="00321082">
        <w:rPr>
          <w:rStyle w:val="diff-highlight"/>
          <w:rFonts w:eastAsiaTheme="majorEastAsia"/>
          <w:color w:val="000000" w:themeColor="text1"/>
          <w:shd w:val="clear" w:color="auto" w:fill="FFFFFF"/>
        </w:rPr>
        <w:t>los</w:t>
      </w:r>
      <w:r w:rsidRPr="00321082">
        <w:rPr>
          <w:color w:val="000000" w:themeColor="text1"/>
          <w:shd w:val="clear" w:color="auto" w:fill="FFFFFF"/>
        </w:rPr>
        <w:t xml:space="preserve"> niños</w:t>
      </w:r>
      <w:r w:rsidRPr="00321082">
        <w:rPr>
          <w:rStyle w:val="diff-highlight"/>
          <w:rFonts w:eastAsiaTheme="majorEastAsia"/>
          <w:color w:val="000000" w:themeColor="text1"/>
          <w:shd w:val="clear" w:color="auto" w:fill="FFFFFF"/>
        </w:rPr>
        <w:t>/</w:t>
      </w:r>
      <w:r w:rsidRPr="00321082">
        <w:rPr>
          <w:color w:val="000000" w:themeColor="text1"/>
          <w:shd w:val="clear" w:color="auto" w:fill="FFFFFF"/>
        </w:rPr>
        <w:t>as y adolescentes</w:t>
      </w:r>
      <w:r w:rsidRPr="00321082">
        <w:rPr>
          <w:rStyle w:val="diff-highlight"/>
          <w:rFonts w:eastAsiaTheme="majorEastAsia"/>
          <w:color w:val="000000" w:themeColor="text1"/>
          <w:shd w:val="clear" w:color="auto" w:fill="FFFFFF"/>
        </w:rPr>
        <w:t xml:space="preserve"> </w:t>
      </w:r>
      <w:r w:rsidRPr="00321082">
        <w:rPr>
          <w:color w:val="000000" w:themeColor="text1"/>
          <w:shd w:val="clear" w:color="auto" w:fill="FFFFFF"/>
        </w:rPr>
        <w:t xml:space="preserve">como víctimas directas de dicho abuso. </w:t>
      </w:r>
    </w:p>
    <w:p w14:paraId="3EC9C7CB" w14:textId="00566E0E" w:rsidR="00AB69A9" w:rsidRDefault="009040BD" w:rsidP="009040BD">
      <w:pPr>
        <w:pStyle w:val="my-2"/>
        <w:spacing w:line="360" w:lineRule="auto"/>
        <w:ind w:firstLine="360"/>
        <w:jc w:val="both"/>
        <w:rPr>
          <w:b/>
          <w:bCs/>
        </w:rPr>
      </w:pPr>
      <w:r w:rsidRPr="002B33E7">
        <w:lastRenderedPageBreak/>
        <w:t>Uno de los mecanismos de protección más relevantes en contextos de violencia vicaria es la posibilidad de</w:t>
      </w:r>
      <w:r w:rsidRPr="002B33E7">
        <w:rPr>
          <w:b/>
          <w:bCs/>
        </w:rPr>
        <w:t xml:space="preserve"> suspender</w:t>
      </w:r>
      <w:r w:rsidR="00AB69A9" w:rsidRPr="002B33E7">
        <w:rPr>
          <w:b/>
          <w:bCs/>
        </w:rPr>
        <w:t xml:space="preserve"> o </w:t>
      </w:r>
      <w:r w:rsidRPr="002B33E7">
        <w:rPr>
          <w:b/>
          <w:bCs/>
        </w:rPr>
        <w:t>limitar</w:t>
      </w:r>
      <w:r w:rsidR="00AB69A9" w:rsidRPr="002B33E7">
        <w:rPr>
          <w:b/>
          <w:bCs/>
        </w:rPr>
        <w:t xml:space="preserve"> </w:t>
      </w:r>
      <w:r w:rsidRPr="002B33E7">
        <w:rPr>
          <w:b/>
          <w:bCs/>
        </w:rPr>
        <w:t>el</w:t>
      </w:r>
      <w:r w:rsidR="00AB69A9" w:rsidRPr="002B33E7">
        <w:rPr>
          <w:b/>
          <w:bCs/>
        </w:rPr>
        <w:t xml:space="preserve"> régimen de visitas y custodia</w:t>
      </w:r>
      <w:r w:rsidR="00AB69A9" w:rsidRPr="002B33E7">
        <w:t xml:space="preserve"> para progenitores agresores</w:t>
      </w:r>
      <w:r w:rsidRPr="00A04E3E">
        <w:t xml:space="preserve">. </w:t>
      </w:r>
      <w:r w:rsidR="00A04E3E" w:rsidRPr="00A04E3E">
        <w:t xml:space="preserve"> El artículo 94 del código civil, en relación con la Ley Orgánica 1/2004 de Medidas de Protección Integral contra la Violencia de Género, </w:t>
      </w:r>
      <w:r w:rsidR="000E74EA">
        <w:t xml:space="preserve">faculta al órgano judicial a implementar estas medidas si se presenta un peligro para el niño o si el desempeño de las funciones parentales va en detrimento de sus intereses superiores.  </w:t>
      </w:r>
    </w:p>
    <w:p w14:paraId="5E029AC6" w14:textId="0A937316" w:rsidR="00AB69A9" w:rsidRPr="007A159B" w:rsidRDefault="004C011C" w:rsidP="00E40143">
      <w:pPr>
        <w:pStyle w:val="my-2"/>
        <w:spacing w:line="360" w:lineRule="auto"/>
        <w:jc w:val="both"/>
        <w:rPr>
          <w:b/>
          <w:bCs/>
        </w:rPr>
      </w:pPr>
      <w:r w:rsidRPr="004C011C">
        <w:t>Igualmente, el</w:t>
      </w:r>
      <w:r w:rsidRPr="004C011C">
        <w:rPr>
          <w:b/>
          <w:bCs/>
        </w:rPr>
        <w:t xml:space="preserve"> </w:t>
      </w:r>
      <w:r w:rsidRPr="004C011C">
        <w:t>d</w:t>
      </w:r>
      <w:r w:rsidR="00AB69A9" w:rsidRPr="004C011C">
        <w:t>erecho</w:t>
      </w:r>
      <w:r w:rsidRPr="004C011C">
        <w:t xml:space="preserve"> del menor</w:t>
      </w:r>
      <w:r w:rsidR="00AB69A9" w:rsidRPr="004C011C">
        <w:rPr>
          <w:b/>
          <w:bCs/>
        </w:rPr>
        <w:t xml:space="preserve"> </w:t>
      </w:r>
      <w:r w:rsidR="00AB69A9" w:rsidRPr="004C011C">
        <w:t>a</w:t>
      </w:r>
      <w:r w:rsidR="00AB69A9" w:rsidRPr="004C011C">
        <w:rPr>
          <w:b/>
          <w:bCs/>
        </w:rPr>
        <w:t xml:space="preserve"> ser escuchados en procesos judiciales</w:t>
      </w:r>
      <w:r>
        <w:rPr>
          <w:b/>
          <w:bCs/>
        </w:rPr>
        <w:t xml:space="preserve"> y participar en los procesos que le afectan</w:t>
      </w:r>
      <w:r w:rsidRPr="004C011C">
        <w:t xml:space="preserve"> constituye otro pilar esencial para la protección legal. </w:t>
      </w:r>
      <w:r w:rsidR="00AB69A9" w:rsidRPr="004C011C">
        <w:t>según la</w:t>
      </w:r>
      <w:r w:rsidR="00AB69A9" w:rsidRPr="004C011C">
        <w:rPr>
          <w:b/>
          <w:bCs/>
        </w:rPr>
        <w:t xml:space="preserve"> </w:t>
      </w:r>
      <w:r w:rsidR="00AB69A9" w:rsidRPr="004C011C">
        <w:rPr>
          <w:rStyle w:val="Fuerte"/>
          <w:rFonts w:eastAsiaTheme="majorEastAsia"/>
          <w:b w:val="0"/>
          <w:bCs w:val="0"/>
        </w:rPr>
        <w:t>Ley 8/2021</w:t>
      </w:r>
      <w:r w:rsidR="00AB69A9" w:rsidRPr="004C011C">
        <w:rPr>
          <w:b/>
          <w:bCs/>
        </w:rPr>
        <w:t xml:space="preserve"> </w:t>
      </w:r>
      <w:r w:rsidR="00AB69A9" w:rsidRPr="004C011C">
        <w:t>y la</w:t>
      </w:r>
      <w:r w:rsidR="00AB69A9" w:rsidRPr="004C011C">
        <w:rPr>
          <w:b/>
          <w:bCs/>
        </w:rPr>
        <w:t xml:space="preserve"> </w:t>
      </w:r>
      <w:r w:rsidR="00AB69A9" w:rsidRPr="004C011C">
        <w:rPr>
          <w:rStyle w:val="Fuerte"/>
          <w:rFonts w:eastAsiaTheme="majorEastAsia"/>
          <w:b w:val="0"/>
          <w:bCs w:val="0"/>
        </w:rPr>
        <w:t>Ley 39/2015 de Procedimiento Administrativo Común</w:t>
      </w:r>
      <w:r w:rsidR="00AB69A9" w:rsidRPr="004C011C">
        <w:rPr>
          <w:b/>
          <w:bCs/>
        </w:rPr>
        <w:t>.</w:t>
      </w:r>
    </w:p>
    <w:p w14:paraId="24F88A94" w14:textId="0E0E9977" w:rsidR="00AB69A9" w:rsidRPr="00321082" w:rsidRDefault="00576948" w:rsidP="00576948">
      <w:pPr>
        <w:pStyle w:val="my-2"/>
        <w:spacing w:line="360" w:lineRule="auto"/>
        <w:ind w:firstLine="360"/>
        <w:jc w:val="both"/>
        <w:rPr>
          <w:b/>
          <w:bCs/>
          <w:color w:val="000000" w:themeColor="text1"/>
        </w:rPr>
      </w:pPr>
      <w:r w:rsidRPr="00576948">
        <w:t>Finalmente</w:t>
      </w:r>
      <w:r>
        <w:rPr>
          <w:b/>
          <w:bCs/>
        </w:rPr>
        <w:t xml:space="preserve">, </w:t>
      </w:r>
      <w:r w:rsidRPr="00576948">
        <w:t>el a</w:t>
      </w:r>
      <w:r w:rsidR="00AB69A9" w:rsidRPr="00576948">
        <w:t>cceso a</w:t>
      </w:r>
      <w:r w:rsidR="00AB69A9" w:rsidRPr="007A159B">
        <w:rPr>
          <w:b/>
          <w:bCs/>
        </w:rPr>
        <w:t xml:space="preserve"> asistencia psicológica y social especializada </w:t>
      </w:r>
      <w:r>
        <w:t xml:space="preserve">se configura como un derecho fundamental para los menores expuestos a violencia de género. Las víctimas de violencia vicaria, tanto las mujeres como sus hijos e hijas, precisan una intervención integral que </w:t>
      </w:r>
      <w:r w:rsidR="005C0C8D">
        <w:t>contemple diferentes ámbitos: psicológico, social, legal y técni</w:t>
      </w:r>
      <w:r w:rsidR="005C0C8D" w:rsidRPr="00321082">
        <w:rPr>
          <w:b/>
          <w:bCs/>
          <w:color w:val="000000" w:themeColor="text1"/>
        </w:rPr>
        <w:t xml:space="preserve">co. </w:t>
      </w:r>
    </w:p>
    <w:p w14:paraId="6DE911C6" w14:textId="7F148897" w:rsidR="00AB69A9" w:rsidRPr="00321082" w:rsidRDefault="00AB69A9" w:rsidP="0059333F">
      <w:pPr>
        <w:pStyle w:val="Ttulo3"/>
        <w:numPr>
          <w:ilvl w:val="0"/>
          <w:numId w:val="0"/>
        </w:numPr>
        <w:ind w:left="720"/>
        <w:rPr>
          <w:u w:val="single"/>
        </w:rPr>
      </w:pPr>
      <w:bookmarkStart w:id="19" w:name="_Toc221271120"/>
      <w:r w:rsidRPr="00321082">
        <w:t>Protocolos y recursos: actuaciones de proyección y atención</w:t>
      </w:r>
      <w:r w:rsidR="00BA1701" w:rsidRPr="00321082">
        <w:t>.</w:t>
      </w:r>
      <w:bookmarkEnd w:id="19"/>
    </w:p>
    <w:p w14:paraId="215BDA1C" w14:textId="2982D966" w:rsidR="00AB69A9" w:rsidRPr="00642509" w:rsidRDefault="00A15062" w:rsidP="00A15062">
      <w:pPr>
        <w:pStyle w:val="my-2"/>
        <w:spacing w:line="360" w:lineRule="auto"/>
        <w:ind w:firstLine="360"/>
        <w:jc w:val="both"/>
      </w:pPr>
      <w:r w:rsidRPr="00A15062">
        <w:rPr>
          <w:rStyle w:val="Fuerte"/>
          <w:rFonts w:eastAsiaTheme="majorEastAsia"/>
          <w:b w:val="0"/>
          <w:bCs w:val="0"/>
        </w:rPr>
        <w:t>La respuesta institucional frente a la violencia vicaria se articula a través de protocolos de actuación multidisciplinares. Se encuentra, a destacar, entre otros, el</w:t>
      </w:r>
      <w:r>
        <w:rPr>
          <w:rStyle w:val="Fuerte"/>
          <w:rFonts w:eastAsiaTheme="majorEastAsia"/>
        </w:rPr>
        <w:t xml:space="preserve"> </w:t>
      </w:r>
      <w:r w:rsidR="00AB69A9" w:rsidRPr="00642509">
        <w:rPr>
          <w:rStyle w:val="Fuerte"/>
          <w:rFonts w:eastAsiaTheme="majorEastAsia"/>
        </w:rPr>
        <w:t>Protocolo de actuación en violencia vicaria del Ministerio de Igualdad de España (2024)</w:t>
      </w:r>
      <w:r w:rsidR="00F84B57">
        <w:t>, que</w:t>
      </w:r>
      <w:r w:rsidR="00AB69A9" w:rsidRPr="00642509">
        <w:t xml:space="preserve"> establece pasos de detección, valoración y actuación multidisciplinar en juzgados, servicios sociales y sanitarios.</w:t>
      </w:r>
    </w:p>
    <w:p w14:paraId="0C183142" w14:textId="6F2B07FE" w:rsidR="00AB69A9" w:rsidRPr="00642509" w:rsidRDefault="00547B09" w:rsidP="0010537D">
      <w:pPr>
        <w:pStyle w:val="my-2"/>
        <w:spacing w:line="360" w:lineRule="auto"/>
        <w:ind w:firstLine="360"/>
        <w:jc w:val="both"/>
      </w:pPr>
      <w:r>
        <w:rPr>
          <w:b/>
          <w:bCs/>
        </w:rPr>
        <w:t xml:space="preserve">En cuanto a los </w:t>
      </w:r>
      <w:r w:rsidR="00AB69A9" w:rsidRPr="00E07B7C">
        <w:rPr>
          <w:b/>
          <w:bCs/>
        </w:rPr>
        <w:t>Recursos</w:t>
      </w:r>
      <w:r>
        <w:t xml:space="preserve"> de atención, podríamos considerar la a</w:t>
      </w:r>
      <w:r w:rsidR="00AB69A9" w:rsidRPr="00642509">
        <w:t xml:space="preserve">tención psicológica especializada a través de centros como el </w:t>
      </w:r>
      <w:r w:rsidR="00AB69A9" w:rsidRPr="00642509">
        <w:rPr>
          <w:rStyle w:val="Fuerte"/>
          <w:rFonts w:eastAsiaTheme="majorEastAsia"/>
        </w:rPr>
        <w:t>Instituto de la Mujer y para la Igualdad de Oportunidades</w:t>
      </w:r>
      <w:r>
        <w:t>, a</w:t>
      </w:r>
      <w:r w:rsidR="00AB69A9" w:rsidRPr="00642509">
        <w:t xml:space="preserve">sesoramiento jurídico gratuito para víctimas disponible en los </w:t>
      </w:r>
      <w:r w:rsidR="00AB69A9" w:rsidRPr="00642509">
        <w:rPr>
          <w:rStyle w:val="Fuerte"/>
          <w:rFonts w:eastAsiaTheme="majorEastAsia"/>
        </w:rPr>
        <w:t>Servicios de Atención a Víctimas de Delitos (SAVD)</w:t>
      </w:r>
      <w:r w:rsidR="0010537D">
        <w:t xml:space="preserve"> o </w:t>
      </w:r>
      <w:r w:rsidR="00AB69A9" w:rsidRPr="00642509">
        <w:t>Servicios de protección y alojamiento temporal para menores y madres en riesgo, gestionados por ayuntamientos y comunidades autónomas.</w:t>
      </w:r>
      <w:r w:rsidR="0051567A" w:rsidRPr="0051567A">
        <w:t xml:space="preserve"> </w:t>
      </w:r>
      <w:r w:rsidR="0051567A">
        <w:t>(Instituto de la Mujer y para la Igualdad de Oportunidades, 2019)</w:t>
      </w:r>
      <w:r w:rsidR="00737B78">
        <w:t xml:space="preserve">. </w:t>
      </w:r>
    </w:p>
    <w:p w14:paraId="17265745" w14:textId="16C8DD2A" w:rsidR="00AB69A9" w:rsidRDefault="0010537D" w:rsidP="00082A3C">
      <w:pPr>
        <w:pStyle w:val="my-2"/>
        <w:spacing w:line="360" w:lineRule="auto"/>
        <w:ind w:firstLine="360"/>
        <w:jc w:val="both"/>
      </w:pPr>
      <w:r>
        <w:t xml:space="preserve">Asimismo, se recalca la </w:t>
      </w:r>
      <w:r w:rsidR="00AB69A9" w:rsidRPr="00642509">
        <w:t xml:space="preserve">Formación continua para profesionales en violencia de género y vicaria, promovida por organismos públicos y </w:t>
      </w:r>
      <w:proofErr w:type="spellStart"/>
      <w:r w:rsidR="00AB69A9" w:rsidRPr="00642509">
        <w:t>ONGs</w:t>
      </w:r>
      <w:proofErr w:type="spellEnd"/>
      <w:r w:rsidR="00AB69A9" w:rsidRPr="00642509">
        <w:t xml:space="preserve"> como </w:t>
      </w:r>
      <w:proofErr w:type="spellStart"/>
      <w:r w:rsidR="00AB69A9" w:rsidRPr="00642509">
        <w:rPr>
          <w:rStyle w:val="Fuerte"/>
          <w:rFonts w:eastAsiaTheme="majorEastAsia"/>
        </w:rPr>
        <w:t>Save</w:t>
      </w:r>
      <w:proofErr w:type="spellEnd"/>
      <w:r w:rsidR="00AB69A9" w:rsidRPr="00642509">
        <w:rPr>
          <w:rStyle w:val="Fuerte"/>
          <w:rFonts w:eastAsiaTheme="majorEastAsia"/>
        </w:rPr>
        <w:t xml:space="preserve"> </w:t>
      </w:r>
      <w:proofErr w:type="spellStart"/>
      <w:r w:rsidR="00AB69A9" w:rsidRPr="00642509">
        <w:rPr>
          <w:rStyle w:val="Fuerte"/>
          <w:rFonts w:eastAsiaTheme="majorEastAsia"/>
        </w:rPr>
        <w:t>the</w:t>
      </w:r>
      <w:proofErr w:type="spellEnd"/>
      <w:r w:rsidR="00AB69A9" w:rsidRPr="00642509">
        <w:rPr>
          <w:rStyle w:val="Fuerte"/>
          <w:rFonts w:eastAsiaTheme="majorEastAsia"/>
        </w:rPr>
        <w:t xml:space="preserve"> </w:t>
      </w:r>
      <w:proofErr w:type="spellStart"/>
      <w:r w:rsidR="00AB69A9" w:rsidRPr="00642509">
        <w:rPr>
          <w:rStyle w:val="Fuerte"/>
          <w:rFonts w:eastAsiaTheme="majorEastAsia"/>
        </w:rPr>
        <w:t>Children</w:t>
      </w:r>
      <w:proofErr w:type="spellEnd"/>
      <w:r w:rsidR="00AB69A9" w:rsidRPr="00642509">
        <w:t>.</w:t>
      </w:r>
      <w:r w:rsidR="007B3898">
        <w:t xml:space="preserve"> El objetivo </w:t>
      </w:r>
      <w:r w:rsidR="008B7B40">
        <w:t xml:space="preserve">en estos casos es evitar la victimización secundaria y terciaria y mejorar la </w:t>
      </w:r>
      <w:r w:rsidR="008B7B40">
        <w:lastRenderedPageBreak/>
        <w:t>capacidad de detección de los casos en los que se involucran los menores</w:t>
      </w:r>
      <w:r w:rsidR="006355B0">
        <w:t xml:space="preserve"> (Martínez García, 2007).</w:t>
      </w:r>
    </w:p>
    <w:p w14:paraId="1FD77158" w14:textId="6DD64100" w:rsidR="00A02E6E" w:rsidRPr="000F77E8" w:rsidRDefault="00737B78" w:rsidP="000F77E8">
      <w:pPr>
        <w:pStyle w:val="my-2"/>
        <w:spacing w:line="360" w:lineRule="auto"/>
        <w:ind w:firstLine="360"/>
        <w:jc w:val="both"/>
      </w:pPr>
      <w:r>
        <w:t xml:space="preserve">Por último, siempre es importante recordar cuáles son los recursos técnicos psicosociales, es </w:t>
      </w:r>
      <w:r w:rsidRPr="007D7EB7">
        <w:rPr>
          <w:color w:val="000000" w:themeColor="text1"/>
        </w:rPr>
        <w:t>decir, teléfonos y líneas de emergencia especializada</w:t>
      </w:r>
      <w:r w:rsidR="00670D1D" w:rsidRPr="007D7EB7">
        <w:rPr>
          <w:color w:val="000000" w:themeColor="text1"/>
        </w:rPr>
        <w:t xml:space="preserve">. Siendo el teléfono 016 el número nacional gratuito que ofrece atención especializada en violencia de género; y el teléfono de la infancia </w:t>
      </w:r>
      <w:r w:rsidR="007D7EB7" w:rsidRPr="007D7EB7">
        <w:rPr>
          <w:rStyle w:val="Fuerte"/>
          <w:rFonts w:eastAsiaTheme="majorEastAsia"/>
          <w:b w:val="0"/>
          <w:bCs w:val="0"/>
          <w:color w:val="000000" w:themeColor="text1"/>
          <w:shd w:val="clear" w:color="auto" w:fill="FFFFFF"/>
        </w:rPr>
        <w:t>116 111 para menores en situación de riesgo.</w:t>
      </w:r>
      <w:r w:rsidR="007D7EB7" w:rsidRPr="007D7EB7">
        <w:rPr>
          <w:rStyle w:val="Fuerte"/>
          <w:rFonts w:ascii="Arial" w:eastAsiaTheme="majorEastAsia" w:hAnsi="Arial" w:cs="Arial"/>
          <w:color w:val="000000" w:themeColor="text1"/>
          <w:shd w:val="clear" w:color="auto" w:fill="FFFFFF"/>
        </w:rPr>
        <w:t xml:space="preserve"> </w:t>
      </w:r>
    </w:p>
    <w:p w14:paraId="78232E55" w14:textId="77777777" w:rsidR="003F6B8F" w:rsidRPr="008639D5" w:rsidRDefault="003F6B8F" w:rsidP="00082A3C">
      <w:pPr>
        <w:spacing w:line="360" w:lineRule="auto"/>
        <w:jc w:val="both"/>
        <w:rPr>
          <w:b/>
          <w:bCs/>
        </w:rPr>
      </w:pPr>
    </w:p>
    <w:p w14:paraId="0606D3AB" w14:textId="4A090133" w:rsidR="00DC22B9" w:rsidRPr="00BD24C5" w:rsidRDefault="00BD24C5" w:rsidP="0059333F">
      <w:pPr>
        <w:pStyle w:val="Ttulo1"/>
      </w:pPr>
      <w:bookmarkStart w:id="20" w:name="_Toc221271121"/>
      <w:r>
        <w:t>CAPÍTULO I</w:t>
      </w:r>
      <w:r w:rsidR="005C0C8D">
        <w:t>II</w:t>
      </w:r>
      <w:r>
        <w:t xml:space="preserve">: </w:t>
      </w:r>
      <w:r w:rsidR="00DC22B9" w:rsidRPr="00BD24C5">
        <w:t>VIOLENCIA VICARIA: EL PAPEL DE LA VICTIMOLOGÍA INFANTIL</w:t>
      </w:r>
      <w:bookmarkEnd w:id="20"/>
      <w:r w:rsidR="00DC22B9" w:rsidRPr="00BD24C5">
        <w:t xml:space="preserve"> </w:t>
      </w:r>
    </w:p>
    <w:p w14:paraId="02A0BE93" w14:textId="77777777" w:rsidR="00CC726B" w:rsidRPr="00E07B7C" w:rsidRDefault="00CC726B" w:rsidP="00082A3C">
      <w:pPr>
        <w:spacing w:line="360" w:lineRule="auto"/>
        <w:jc w:val="both"/>
        <w:rPr>
          <w:b/>
          <w:bCs/>
          <w:u w:val="single"/>
        </w:rPr>
      </w:pPr>
    </w:p>
    <w:p w14:paraId="475F830C" w14:textId="0F9AD52A" w:rsidR="00440D72" w:rsidRPr="00B2439F" w:rsidRDefault="00440D72" w:rsidP="0059333F">
      <w:pPr>
        <w:pStyle w:val="Ttulo2"/>
        <w:numPr>
          <w:ilvl w:val="0"/>
          <w:numId w:val="0"/>
        </w:numPr>
        <w:ind w:left="720"/>
      </w:pPr>
      <w:bookmarkStart w:id="21" w:name="_Toc221271122"/>
      <w:r w:rsidRPr="00B2439F">
        <w:t xml:space="preserve">Concepto jurídico y </w:t>
      </w:r>
      <w:r w:rsidR="009A7B7B" w:rsidRPr="00B2439F">
        <w:t xml:space="preserve">criminológico </w:t>
      </w:r>
      <w:r w:rsidR="009A7B7B">
        <w:t>de</w:t>
      </w:r>
      <w:r w:rsidR="005213FB">
        <w:t xml:space="preserve"> la violencia vicaria</w:t>
      </w:r>
      <w:bookmarkEnd w:id="21"/>
    </w:p>
    <w:p w14:paraId="272A2E70" w14:textId="77777777" w:rsidR="001E242A" w:rsidRDefault="001E242A" w:rsidP="001E242A">
      <w:pPr>
        <w:spacing w:line="360" w:lineRule="auto"/>
        <w:jc w:val="both"/>
        <w:rPr>
          <w:b/>
          <w:bCs/>
          <w:color w:val="156082" w:themeColor="accent1"/>
          <w:u w:val="single"/>
        </w:rPr>
      </w:pPr>
    </w:p>
    <w:p w14:paraId="507697EA" w14:textId="2F9D69C4" w:rsidR="0060368C" w:rsidRDefault="00B2439F" w:rsidP="00B2439F">
      <w:pPr>
        <w:spacing w:line="360" w:lineRule="auto"/>
        <w:ind w:firstLine="360"/>
        <w:jc w:val="both"/>
        <w:rPr>
          <w:color w:val="000000" w:themeColor="text1"/>
        </w:rPr>
      </w:pPr>
      <w:r>
        <w:rPr>
          <w:color w:val="000000" w:themeColor="text1"/>
        </w:rPr>
        <w:t xml:space="preserve">En un sentido jurídico, la </w:t>
      </w:r>
      <w:r w:rsidR="001E242A" w:rsidRPr="00931A05">
        <w:rPr>
          <w:b/>
          <w:bCs/>
          <w:color w:val="000000" w:themeColor="text1"/>
        </w:rPr>
        <w:t>Ley</w:t>
      </w:r>
      <w:r w:rsidR="00D374F2" w:rsidRPr="00931A05">
        <w:rPr>
          <w:b/>
          <w:bCs/>
          <w:color w:val="000000" w:themeColor="text1"/>
        </w:rPr>
        <w:t xml:space="preserve"> 14/2021, de 20 de julio</w:t>
      </w:r>
      <w:r w:rsidR="00D374F2">
        <w:rPr>
          <w:color w:val="000000" w:themeColor="text1"/>
        </w:rPr>
        <w:t xml:space="preserve"> incorpora de manera explícita el concepto de violencia vicaria dentro del marco jurídico gallego de violencia de género. </w:t>
      </w:r>
      <w:r w:rsidR="00CD6B0A">
        <w:rPr>
          <w:color w:val="000000" w:themeColor="text1"/>
        </w:rPr>
        <w:t xml:space="preserve">Según su exposición de motivos, esta forma de violencia es mediante la cual el agresor utiliza a terceras personas con la finalidad de causar el mayor daño psicológico a la mujer, siendo su máxima gravedad la que </w:t>
      </w:r>
      <w:r w:rsidR="00A607A0">
        <w:rPr>
          <w:color w:val="000000" w:themeColor="text1"/>
        </w:rPr>
        <w:t xml:space="preserve">pudiera alcanzarse al llevar a cabo el homicidio o asesinato de las personas significativas como los hijos e hijas, familiares directos o la pareja actual de la persona agredida. </w:t>
      </w:r>
    </w:p>
    <w:p w14:paraId="2C93C6EE" w14:textId="77777777" w:rsidR="002D254D" w:rsidRDefault="002D254D" w:rsidP="001E242A">
      <w:pPr>
        <w:spacing w:line="360" w:lineRule="auto"/>
        <w:ind w:firstLine="360"/>
        <w:jc w:val="both"/>
        <w:rPr>
          <w:color w:val="000000" w:themeColor="text1"/>
        </w:rPr>
      </w:pPr>
    </w:p>
    <w:p w14:paraId="4A6AAE79" w14:textId="35AFA82A" w:rsidR="00931A05" w:rsidRDefault="005B1DEB" w:rsidP="001E242A">
      <w:pPr>
        <w:spacing w:line="360" w:lineRule="auto"/>
        <w:ind w:firstLine="360"/>
        <w:jc w:val="both"/>
      </w:pPr>
      <w:r>
        <w:t xml:space="preserve">El </w:t>
      </w:r>
      <w:r w:rsidRPr="005B1DEB">
        <w:rPr>
          <w:rStyle w:val="nfasis"/>
          <w:rFonts w:eastAsiaTheme="majorEastAsia"/>
          <w:b/>
          <w:bCs/>
          <w:i w:val="0"/>
          <w:iCs w:val="0"/>
        </w:rPr>
        <w:t>Anteproyecto de Ley Orgánica de medidas en materia de violencia vicaria</w:t>
      </w:r>
      <w:r w:rsidRPr="005B1DEB">
        <w:rPr>
          <w:b/>
          <w:bCs/>
          <w:i/>
          <w:iCs/>
        </w:rPr>
        <w:t xml:space="preserve"> </w:t>
      </w:r>
      <w:r>
        <w:t xml:space="preserve">introduce una novedad jurídica de gran relevancia: la </w:t>
      </w:r>
      <w:r w:rsidRPr="005B1DEB">
        <w:rPr>
          <w:rStyle w:val="Fuerte"/>
          <w:rFonts w:eastAsiaTheme="majorEastAsia"/>
          <w:b w:val="0"/>
          <w:bCs w:val="0"/>
        </w:rPr>
        <w:t>tipificación específica de la violencia vicaria como delito contra la integridad moral</w:t>
      </w:r>
      <w:r>
        <w:t xml:space="preserve">, mediante la incorporación del artículo 173 bis en el Código Penal. Esta propuesta </w:t>
      </w:r>
      <w:r w:rsidR="00F121B6">
        <w:t>nace</w:t>
      </w:r>
      <w:r>
        <w:t xml:space="preserve"> </w:t>
      </w:r>
      <w:r w:rsidR="00F121B6">
        <w:t>de</w:t>
      </w:r>
      <w:r>
        <w:t xml:space="preserve"> la necesidad de reconocer</w:t>
      </w:r>
      <w:r w:rsidR="00ED46BB">
        <w:t xml:space="preserve"> autónomamente una conducta </w:t>
      </w:r>
      <w:r>
        <w:t xml:space="preserve">que </w:t>
      </w:r>
      <w:r w:rsidR="00ED46BB">
        <w:t>tiene</w:t>
      </w:r>
      <w:r>
        <w:t xml:space="preserve"> </w:t>
      </w:r>
      <w:r w:rsidR="00ED46BB">
        <w:t>su propia</w:t>
      </w:r>
      <w:r>
        <w:t xml:space="preserve"> </w:t>
      </w:r>
      <w:r w:rsidRPr="005B1DEB">
        <w:rPr>
          <w:rStyle w:val="Fuerte"/>
          <w:rFonts w:eastAsiaTheme="majorEastAsia"/>
          <w:b w:val="0"/>
          <w:bCs w:val="0"/>
        </w:rPr>
        <w:t xml:space="preserve">entidad </w:t>
      </w:r>
      <w:r w:rsidR="00ED46BB">
        <w:t xml:space="preserve">en el contexto de la violencia de género. </w:t>
      </w:r>
    </w:p>
    <w:p w14:paraId="7E2A42AA" w14:textId="77777777" w:rsidR="002D254D" w:rsidRDefault="002D254D" w:rsidP="002D254D">
      <w:pPr>
        <w:spacing w:line="360" w:lineRule="auto"/>
        <w:jc w:val="both"/>
      </w:pPr>
    </w:p>
    <w:p w14:paraId="77474781" w14:textId="68A848B3" w:rsidR="007D55C9" w:rsidRDefault="007D55C9" w:rsidP="001E242A">
      <w:pPr>
        <w:spacing w:line="360" w:lineRule="auto"/>
        <w:ind w:firstLine="360"/>
        <w:jc w:val="both"/>
      </w:pPr>
      <w:r>
        <w:t xml:space="preserve">La </w:t>
      </w:r>
      <w:r w:rsidR="00CA0600">
        <w:t>tipificación</w:t>
      </w:r>
      <w:r>
        <w:t xml:space="preserve"> como delito contra la integridad moral resulta lógica</w:t>
      </w:r>
      <w:r w:rsidR="00CA0600">
        <w:t xml:space="preserve"> pues la integridad moral resguarda a los individuos de ser tratados de manera humillante, degradante o que afecte seriamente su dignidad. En la violencia vicaria, el agresor </w:t>
      </w:r>
      <w:r w:rsidR="002D254D">
        <w:t xml:space="preserve">sigue directamente esta dinámica, ya que rompe la estabilidad emocional o física de la mujer causando daño o destruyendo a las personas que integran su mundo afectivo. El daño psicológico que </w:t>
      </w:r>
      <w:r w:rsidR="002D254D">
        <w:lastRenderedPageBreak/>
        <w:t xml:space="preserve">deriva de ese acto pasa a ser el propósito principal de la conducta, y no un efecto secundario de la misma. </w:t>
      </w:r>
      <w:r w:rsidR="000A6A14">
        <w:t xml:space="preserve">El anteproyecto enfatiza que es necesario hacerlo para </w:t>
      </w:r>
      <w:proofErr w:type="spellStart"/>
      <w:r w:rsidR="000A6A14">
        <w:t>evitr</w:t>
      </w:r>
      <w:proofErr w:type="spellEnd"/>
      <w:r w:rsidR="000A6A14">
        <w:t xml:space="preserve"> que se diluya en otras categorías penales. Asimismo, se indica que esta tipificación sirve para llenar un “vacío legal”, proporcionando al ordenamiento jurídico una herramienta más efectiva y precisa para perseguir este fenómeno. </w:t>
      </w:r>
      <w:r w:rsidR="00372BDB">
        <w:t xml:space="preserve">Con esta idea se pretende fortalecer el principio de protección integral que la normativa internacional en términos de derechos humanos y violencia de género. </w:t>
      </w:r>
    </w:p>
    <w:p w14:paraId="158DAA89" w14:textId="77777777" w:rsidR="004327C0" w:rsidRDefault="004327C0" w:rsidP="001E242A">
      <w:pPr>
        <w:spacing w:line="360" w:lineRule="auto"/>
        <w:ind w:firstLine="360"/>
        <w:jc w:val="both"/>
      </w:pPr>
    </w:p>
    <w:p w14:paraId="7C89E042" w14:textId="41A83E20" w:rsidR="0060368C" w:rsidRPr="00337E0C" w:rsidRDefault="004327C0" w:rsidP="00337E0C">
      <w:pPr>
        <w:spacing w:line="360" w:lineRule="auto"/>
        <w:ind w:firstLine="360"/>
        <w:jc w:val="both"/>
        <w:rPr>
          <w:color w:val="000000" w:themeColor="text1"/>
        </w:rPr>
      </w:pPr>
      <w:r>
        <w:t>De modo accesorio, se señala que la calificación penal de la violencia vicaria es reciente y se está desarrollando. A pesar de que la práctica ha sido estudiada y reconocida en el campo criminológico y psicológico durante años, su reconocimiento legal explícito ha sido gradual. In</w:t>
      </w:r>
      <w:r w:rsidR="00337E0C">
        <w:t xml:space="preserve">tegrar esta figura en un anteproyecto de ley orgánica muestra un progreso importante en la comprensión institucional sobre las formas más graves de violencia machista, particularmente aquellas que impactan a los menores y otros miembros de la familia. </w:t>
      </w:r>
    </w:p>
    <w:p w14:paraId="01FE0E4F" w14:textId="77777777" w:rsidR="00F64F84" w:rsidRPr="00337E0C" w:rsidRDefault="00F64F84" w:rsidP="00891DB7">
      <w:pPr>
        <w:spacing w:line="360" w:lineRule="auto"/>
        <w:jc w:val="both"/>
        <w:rPr>
          <w:b/>
          <w:bCs/>
          <w:color w:val="000000" w:themeColor="text1"/>
          <w:highlight w:val="yellow"/>
        </w:rPr>
      </w:pPr>
    </w:p>
    <w:p w14:paraId="423159B0" w14:textId="4079430F" w:rsidR="00F64F84" w:rsidRDefault="00337E0C" w:rsidP="00775DDA">
      <w:pPr>
        <w:spacing w:line="360" w:lineRule="auto"/>
        <w:jc w:val="both"/>
        <w:rPr>
          <w:color w:val="000000" w:themeColor="text1"/>
        </w:rPr>
      </w:pPr>
      <w:r w:rsidRPr="00337E0C">
        <w:rPr>
          <w:color w:val="000000" w:themeColor="text1"/>
        </w:rPr>
        <w:t>Desde un punto de vista criminológico, la</w:t>
      </w:r>
      <w:r w:rsidRPr="00337E0C">
        <w:rPr>
          <w:b/>
          <w:bCs/>
          <w:color w:val="000000" w:themeColor="text1"/>
        </w:rPr>
        <w:t xml:space="preserve"> </w:t>
      </w:r>
      <w:r w:rsidRPr="00337E0C">
        <w:rPr>
          <w:color w:val="000000" w:themeColor="text1"/>
        </w:rPr>
        <w:t>v</w:t>
      </w:r>
      <w:r w:rsidR="00F64F84" w:rsidRPr="00337E0C">
        <w:rPr>
          <w:color w:val="000000" w:themeColor="text1"/>
        </w:rPr>
        <w:t xml:space="preserve">iolencia </w:t>
      </w:r>
      <w:r w:rsidRPr="00337E0C">
        <w:rPr>
          <w:color w:val="000000" w:themeColor="text1"/>
        </w:rPr>
        <w:t>se trata de una</w:t>
      </w:r>
      <w:r w:rsidR="00F64F84" w:rsidRPr="00337E0C">
        <w:rPr>
          <w:color w:val="000000" w:themeColor="text1"/>
        </w:rPr>
        <w:t xml:space="preserve"> estrategia de contro</w:t>
      </w:r>
      <w:r w:rsidRPr="00337E0C">
        <w:rPr>
          <w:color w:val="000000" w:themeColor="text1"/>
        </w:rPr>
        <w:t xml:space="preserve">l. </w:t>
      </w:r>
      <w:r w:rsidR="003F5615" w:rsidRPr="00337E0C">
        <w:rPr>
          <w:color w:val="000000" w:themeColor="text1"/>
        </w:rPr>
        <w:t xml:space="preserve"> Porter y López- Angulo (2022) la definen como “aquella violencia que se ejerce sobre los hijos para dañar a la mujer”</w:t>
      </w:r>
      <w:r w:rsidR="00BB6528" w:rsidRPr="00337E0C">
        <w:rPr>
          <w:color w:val="000000" w:themeColor="text1"/>
        </w:rPr>
        <w:t xml:space="preserve">. La utilizan como una sustitución de la violencia al no tener acceso a la “verdadera” víctima de </w:t>
      </w:r>
      <w:r w:rsidR="00BB6528">
        <w:rPr>
          <w:color w:val="000000" w:themeColor="text1"/>
        </w:rPr>
        <w:t>las agresiones</w:t>
      </w:r>
      <w:r w:rsidR="00A00EA6">
        <w:rPr>
          <w:color w:val="000000" w:themeColor="text1"/>
        </w:rPr>
        <w:t xml:space="preserve">, esto es, consiste en una </w:t>
      </w:r>
      <w:r w:rsidR="00A00EA6" w:rsidRPr="00A00EA6">
        <w:rPr>
          <w:b/>
          <w:bCs/>
          <w:color w:val="000000" w:themeColor="text1"/>
        </w:rPr>
        <w:t>instrumentalización del menor</w:t>
      </w:r>
      <w:r w:rsidR="00A00EA6">
        <w:rPr>
          <w:color w:val="000000" w:themeColor="text1"/>
        </w:rPr>
        <w:t xml:space="preserve"> como objeto de daño</w:t>
      </w:r>
      <w:r w:rsidR="002B2388">
        <w:rPr>
          <w:color w:val="000000" w:themeColor="text1"/>
        </w:rPr>
        <w:t xml:space="preserve">, ejerciéndose de manera secundaria a la principal. </w:t>
      </w:r>
    </w:p>
    <w:p w14:paraId="3CCD8C22" w14:textId="411378C0" w:rsidR="00C3666E" w:rsidRDefault="00775DDA" w:rsidP="00536EF0">
      <w:pPr>
        <w:pStyle w:val="NormalWeb"/>
        <w:spacing w:line="360" w:lineRule="auto"/>
        <w:ind w:firstLine="708"/>
      </w:pPr>
      <w:r>
        <w:t>Vaccaro (2016)</w:t>
      </w:r>
      <w:r w:rsidR="00F8523F">
        <w:t xml:space="preserve"> en su formulación inicial,</w:t>
      </w:r>
      <w:r>
        <w:t xml:space="preserve"> </w:t>
      </w:r>
      <w:r w:rsidR="00712193">
        <w:t>limitaba</w:t>
      </w:r>
      <w:r>
        <w:t xml:space="preserve"> el concepto de violencia vicaria al </w:t>
      </w:r>
      <w:r>
        <w:rPr>
          <w:rStyle w:val="Fuerte"/>
          <w:rFonts w:eastAsiaTheme="majorEastAsia"/>
        </w:rPr>
        <w:t>asesinato</w:t>
      </w:r>
      <w:r w:rsidR="007F515D">
        <w:rPr>
          <w:rStyle w:val="Fuerte"/>
          <w:rFonts w:eastAsiaTheme="majorEastAsia"/>
        </w:rPr>
        <w:t xml:space="preserve"> u homicidio</w:t>
      </w:r>
      <w:r>
        <w:rPr>
          <w:rStyle w:val="Fuerte"/>
          <w:rFonts w:eastAsiaTheme="majorEastAsia"/>
        </w:rPr>
        <w:t xml:space="preserve"> de los hijos e hijas por parte del padre o pareja de la madre</w:t>
      </w:r>
      <w:r>
        <w:t>, lo que implicaba un</w:t>
      </w:r>
      <w:r w:rsidR="007F515D">
        <w:t xml:space="preserve"> entendimiento restringido </w:t>
      </w:r>
      <w:r>
        <w:t xml:space="preserve">de sus formas de </w:t>
      </w:r>
      <w:r w:rsidR="007F515D">
        <w:t>expresión</w:t>
      </w:r>
      <w:r>
        <w:t xml:space="preserve">. </w:t>
      </w:r>
      <w:r w:rsidR="007F515D">
        <w:t>No obstante</w:t>
      </w:r>
      <w:r>
        <w:t xml:space="preserve">, autores posteriores han ampliado </w:t>
      </w:r>
      <w:r w:rsidR="00D2515D">
        <w:t>esta definición. Entre estos autores se encuentra</w:t>
      </w:r>
      <w:r w:rsidR="00737F4C">
        <w:t xml:space="preserve"> la siguiente, en la que se considera la violencia vicaria </w:t>
      </w:r>
      <w:proofErr w:type="gramStart"/>
      <w:r w:rsidR="00737F4C">
        <w:t xml:space="preserve">como </w:t>
      </w:r>
      <w:r>
        <w:t xml:space="preserve"> </w:t>
      </w:r>
      <w:r>
        <w:rPr>
          <w:rStyle w:val="Fuerte"/>
          <w:rFonts w:eastAsiaTheme="majorEastAsia"/>
        </w:rPr>
        <w:t>amenazas</w:t>
      </w:r>
      <w:proofErr w:type="gramEnd"/>
      <w:r>
        <w:rPr>
          <w:rStyle w:val="Fuerte"/>
          <w:rFonts w:eastAsiaTheme="majorEastAsia"/>
        </w:rPr>
        <w:t>, agresiones directas o el daño psicológico derivado de la exposición de los menores a los episodios de maltrato entre los progenitores</w:t>
      </w:r>
      <w:r>
        <w:t xml:space="preserve"> (Aguinaga, 2019; Peral López, 2018). </w:t>
      </w:r>
      <w:r w:rsidR="00737F4C">
        <w:t>Siguiendo esta misma línea</w:t>
      </w:r>
      <w:r>
        <w:t xml:space="preserve">, Casado (2020) </w:t>
      </w:r>
      <w:r w:rsidR="004E040B">
        <w:t>defiende</w:t>
      </w:r>
      <w:r>
        <w:t xml:space="preserve"> una </w:t>
      </w:r>
      <w:r w:rsidR="004E040B">
        <w:t>visión</w:t>
      </w:r>
      <w:r>
        <w:t xml:space="preserve"> más amplia del fenómeno, alejándose de su interpretación exclusivamente homicida. </w:t>
      </w:r>
      <w:r w:rsidR="00EA7E94">
        <w:t xml:space="preserve">También autores como </w:t>
      </w:r>
      <w:r>
        <w:t xml:space="preserve">la propuesta por Porter y López-Angulo, incluyen formas adicionales de instrumentalización del menor, tales como la </w:t>
      </w:r>
      <w:r>
        <w:rPr>
          <w:rStyle w:val="Fuerte"/>
          <w:rFonts w:eastAsiaTheme="majorEastAsia"/>
        </w:rPr>
        <w:t xml:space="preserve">manipulación para vigilar a la madre, la </w:t>
      </w:r>
      <w:r>
        <w:rPr>
          <w:rStyle w:val="Fuerte"/>
          <w:rFonts w:eastAsiaTheme="majorEastAsia"/>
        </w:rPr>
        <w:lastRenderedPageBreak/>
        <w:t>utilización en conflictos parentales o su implicación en dinámicas de insulto y desvalorización</w:t>
      </w:r>
      <w:r>
        <w:t xml:space="preserve">, ampliando así el espectro de conductas que pueden considerarse violencia vicaria. Esta evolución conceptual </w:t>
      </w:r>
      <w:r w:rsidR="00536EF0">
        <w:t xml:space="preserve">demuestra que </w:t>
      </w:r>
      <w:r w:rsidR="009A7B7B">
        <w:t>el menor</w:t>
      </w:r>
      <w:r w:rsidR="00536EF0">
        <w:t xml:space="preserve"> es comprendido cada vez más no solo como un medio para hacerle daño a la madre, sino también como una víctima directa de un proceso de control e instrumentalización. </w:t>
      </w:r>
      <w:r>
        <w:t>(Andreu Palanca, 2022).</w:t>
      </w:r>
      <w:r w:rsidR="00C3666E">
        <w:t xml:space="preserve"> </w:t>
      </w:r>
    </w:p>
    <w:p w14:paraId="3062D06A" w14:textId="3F2C6D57" w:rsidR="00775DDA" w:rsidRPr="00BB6AAE" w:rsidRDefault="00C3666E" w:rsidP="00BB6AAE">
      <w:pPr>
        <w:pStyle w:val="NormalWeb"/>
        <w:spacing w:line="360" w:lineRule="auto"/>
        <w:ind w:firstLine="708"/>
      </w:pPr>
      <w:r w:rsidRPr="00C3666E">
        <w:t>Por ello, cabe destacar que NO es un impulso. Es violencia intencional y planificada que está relacionada con un uso de poder, posesión y castigo hacia la mujer y menores.</w:t>
      </w:r>
      <w:r>
        <w:t xml:space="preserve"> </w:t>
      </w:r>
    </w:p>
    <w:p w14:paraId="38941499" w14:textId="77777777" w:rsidR="00440D72" w:rsidRPr="00E07B7C" w:rsidRDefault="00440D72" w:rsidP="00891DB7">
      <w:pPr>
        <w:spacing w:line="360" w:lineRule="auto"/>
        <w:jc w:val="both"/>
        <w:rPr>
          <w:b/>
          <w:bCs/>
          <w:color w:val="156082" w:themeColor="accent1"/>
          <w:highlight w:val="yellow"/>
          <w:u w:val="single"/>
        </w:rPr>
      </w:pPr>
    </w:p>
    <w:p w14:paraId="363333AF" w14:textId="2B0697AE" w:rsidR="00440D72" w:rsidRPr="00534449" w:rsidRDefault="00440D72" w:rsidP="00534449">
      <w:pPr>
        <w:pStyle w:val="Ttulo2"/>
        <w:numPr>
          <w:ilvl w:val="0"/>
          <w:numId w:val="0"/>
        </w:numPr>
        <w:ind w:left="720"/>
      </w:pPr>
      <w:bookmarkStart w:id="22" w:name="_Toc221271123"/>
      <w:r w:rsidRPr="00534449">
        <w:t>Características diferenciales frente a otras violencias</w:t>
      </w:r>
      <w:bookmarkEnd w:id="22"/>
    </w:p>
    <w:p w14:paraId="1E1392D9" w14:textId="29EF7483" w:rsidR="00B241A5" w:rsidRDefault="00BF7A5D" w:rsidP="00C464A3">
      <w:pPr>
        <w:pStyle w:val="NormalWeb"/>
        <w:spacing w:line="360" w:lineRule="auto"/>
        <w:ind w:firstLine="360"/>
        <w:rPr>
          <w:color w:val="000000" w:themeColor="text1"/>
        </w:rPr>
      </w:pPr>
      <w:r w:rsidRPr="00C464A3">
        <w:rPr>
          <w:color w:val="000000" w:themeColor="text1"/>
        </w:rPr>
        <w:t xml:space="preserve">Tal y como se ha mencionado anteriormente, la violencia vicaria se caracteriza por su naturaleza instrumental y mediada, en la que el agresor emplea a los hijos como instrumento para infligir sufrimiento emocional máximo hacia la </w:t>
      </w:r>
      <w:r w:rsidR="00C464A3" w:rsidRPr="00C464A3">
        <w:rPr>
          <w:color w:val="000000" w:themeColor="text1"/>
        </w:rPr>
        <w:t>madre</w:t>
      </w:r>
      <w:r w:rsidRPr="00C464A3">
        <w:rPr>
          <w:color w:val="000000" w:themeColor="text1"/>
        </w:rPr>
        <w:t>, típicamente tras una separación o ruptura de una relación afectiva</w:t>
      </w:r>
      <w:r w:rsidR="00B60CB1">
        <w:rPr>
          <w:color w:val="000000" w:themeColor="text1"/>
        </w:rPr>
        <w:t>. Su finalidad no es el control</w:t>
      </w:r>
      <w:r w:rsidR="00A032CD">
        <w:rPr>
          <w:color w:val="000000" w:themeColor="text1"/>
        </w:rPr>
        <w:t xml:space="preserve"> relacional sino la aniquilación psíquica de la víctima a través del “talón de Aquiles” emocional: sus hijos. </w:t>
      </w:r>
    </w:p>
    <w:p w14:paraId="078D6AC3" w14:textId="4C02B2C6" w:rsidR="00A032CD" w:rsidRDefault="00A032CD" w:rsidP="00C464A3">
      <w:pPr>
        <w:pStyle w:val="NormalWeb"/>
        <w:spacing w:line="360" w:lineRule="auto"/>
        <w:ind w:firstLine="360"/>
        <w:rPr>
          <w:color w:val="000000" w:themeColor="text1"/>
        </w:rPr>
      </w:pPr>
      <w:r>
        <w:rPr>
          <w:color w:val="000000" w:themeColor="text1"/>
        </w:rPr>
        <w:t xml:space="preserve">Para entender mejor la violencia vicaria, se tiene que comprender correctamente cuales son las diferencias que presenta con otras violencias. </w:t>
      </w:r>
      <w:r w:rsidR="00F27858">
        <w:rPr>
          <w:color w:val="000000" w:themeColor="text1"/>
        </w:rPr>
        <w:t>Podemos distinguir entre violencia vicaria directa</w:t>
      </w:r>
      <w:r w:rsidR="00221709">
        <w:rPr>
          <w:color w:val="000000" w:themeColor="text1"/>
        </w:rPr>
        <w:t>s o indirectas.</w:t>
      </w:r>
    </w:p>
    <w:p w14:paraId="018A48E2" w14:textId="3D48D9C0" w:rsidR="00D611D0" w:rsidRDefault="00A142B7" w:rsidP="00C464A3">
      <w:pPr>
        <w:pStyle w:val="NormalWeb"/>
        <w:spacing w:line="360" w:lineRule="auto"/>
        <w:ind w:firstLine="360"/>
        <w:rPr>
          <w:color w:val="000000" w:themeColor="text1"/>
        </w:rPr>
      </w:pPr>
      <w:r>
        <w:rPr>
          <w:color w:val="000000" w:themeColor="text1"/>
        </w:rPr>
        <w:t xml:space="preserve">En primer lugar, mientras que la </w:t>
      </w:r>
      <w:r w:rsidRPr="00E26F63">
        <w:rPr>
          <w:b/>
          <w:bCs/>
          <w:color w:val="000000" w:themeColor="text1"/>
        </w:rPr>
        <w:t xml:space="preserve">violencia doméstica </w:t>
      </w:r>
      <w:r>
        <w:rPr>
          <w:color w:val="000000" w:themeColor="text1"/>
        </w:rPr>
        <w:t>se define por el espacio físico o relacional donde ocurre la agresión</w:t>
      </w:r>
      <w:r w:rsidR="008653F6">
        <w:rPr>
          <w:color w:val="000000" w:themeColor="text1"/>
        </w:rPr>
        <w:t xml:space="preserve"> (abarcando cualquier maltrato entre convivientes sin distintinción de género o rol)</w:t>
      </w:r>
      <w:r w:rsidR="000F0CAC">
        <w:rPr>
          <w:color w:val="000000" w:themeColor="text1"/>
        </w:rPr>
        <w:t>, además de un control o desahogo de agresividad en el hogar donde se convive. En contraposición, l</w:t>
      </w:r>
      <w:r w:rsidR="008653F6">
        <w:rPr>
          <w:color w:val="000000" w:themeColor="text1"/>
        </w:rPr>
        <w:t>a violencia vicaria representa un tipo en específico de violencia de género</w:t>
      </w:r>
      <w:r w:rsidR="00A926E7">
        <w:rPr>
          <w:color w:val="000000" w:themeColor="text1"/>
        </w:rPr>
        <w:t xml:space="preserve">. Así, en esta última se recurre a la instrumentalización del menor o de los seres queridos de la víctima para infringir gran daño sobre ésta. </w:t>
      </w:r>
      <w:r w:rsidR="00AF4648">
        <w:rPr>
          <w:color w:val="000000" w:themeColor="text1"/>
        </w:rPr>
        <w:t xml:space="preserve">La naturaleza de la violencia doméstica es relacional o convivencial, mientras que la violencia vicaria o violencia de género en general muestran una naturaleza estructural. </w:t>
      </w:r>
    </w:p>
    <w:p w14:paraId="61DCF8F8" w14:textId="603936DA" w:rsidR="00A926E7" w:rsidRDefault="00E26F63" w:rsidP="00C464A3">
      <w:pPr>
        <w:pStyle w:val="NormalWeb"/>
        <w:spacing w:line="360" w:lineRule="auto"/>
        <w:ind w:firstLine="360"/>
        <w:rPr>
          <w:color w:val="000000" w:themeColor="text1"/>
        </w:rPr>
      </w:pPr>
      <w:r>
        <w:rPr>
          <w:color w:val="000000" w:themeColor="text1"/>
        </w:rPr>
        <w:lastRenderedPageBreak/>
        <w:t xml:space="preserve">En segundo lugar, </w:t>
      </w:r>
      <w:r w:rsidR="00496C75">
        <w:rPr>
          <w:color w:val="000000" w:themeColor="text1"/>
        </w:rPr>
        <w:t xml:space="preserve">es relevante relacionarlo con la </w:t>
      </w:r>
      <w:r w:rsidR="00496C75" w:rsidRPr="0021693B">
        <w:rPr>
          <w:b/>
          <w:bCs/>
          <w:color w:val="000000" w:themeColor="text1"/>
        </w:rPr>
        <w:t>violencia infantil directa</w:t>
      </w:r>
      <w:r w:rsidR="00496C75">
        <w:rPr>
          <w:color w:val="000000" w:themeColor="text1"/>
        </w:rPr>
        <w:t>, ya que tienen naturalezas, objetivos y marcos legales distintos</w:t>
      </w:r>
      <w:r w:rsidR="0021693B">
        <w:rPr>
          <w:color w:val="000000" w:themeColor="text1"/>
        </w:rPr>
        <w:t xml:space="preserve">, pero pueden llegar a parecer similares. </w:t>
      </w:r>
      <w:r w:rsidR="00C67D11">
        <w:rPr>
          <w:color w:val="000000" w:themeColor="text1"/>
        </w:rPr>
        <w:t>Según Sonia Vaccaro “</w:t>
      </w:r>
      <w:r w:rsidR="00C67D11" w:rsidRPr="00C67D11">
        <w:rPr>
          <w:i/>
          <w:iCs/>
          <w:color w:val="000000" w:themeColor="text1"/>
        </w:rPr>
        <w:t>No todo maltrato infantil es violencia vicaria</w:t>
      </w:r>
      <w:r w:rsidR="00C67D11">
        <w:rPr>
          <w:color w:val="000000" w:themeColor="text1"/>
        </w:rPr>
        <w:t>”</w:t>
      </w:r>
    </w:p>
    <w:p w14:paraId="7F91718D" w14:textId="11749F67" w:rsidR="00A032CD" w:rsidRDefault="00D17AE7" w:rsidP="00C464A3">
      <w:pPr>
        <w:pStyle w:val="NormalWeb"/>
        <w:spacing w:line="360" w:lineRule="auto"/>
        <w:ind w:firstLine="360"/>
        <w:rPr>
          <w:color w:val="000000" w:themeColor="text1"/>
        </w:rPr>
      </w:pPr>
      <w:r>
        <w:rPr>
          <w:color w:val="000000" w:themeColor="text1"/>
        </w:rPr>
        <w:t xml:space="preserve">La principal diferencia entre la violencia infantil y la violencia vicaria es que la víctima principal en el </w:t>
      </w:r>
      <w:r w:rsidR="00131D54">
        <w:rPr>
          <w:color w:val="000000" w:themeColor="text1"/>
        </w:rPr>
        <w:t>maltrato</w:t>
      </w:r>
      <w:r>
        <w:rPr>
          <w:color w:val="000000" w:themeColor="text1"/>
        </w:rPr>
        <w:t xml:space="preserve"> infantil siempre será el menor,</w:t>
      </w:r>
      <w:r w:rsidR="00131D54">
        <w:rPr>
          <w:color w:val="000000" w:themeColor="text1"/>
        </w:rPr>
        <w:t xml:space="preserve"> que actúa como objetivo directo de la violencia</w:t>
      </w:r>
      <w:r>
        <w:rPr>
          <w:color w:val="000000" w:themeColor="text1"/>
        </w:rPr>
        <w:t xml:space="preserve"> y en la otra siempre será la madre a través del menor</w:t>
      </w:r>
      <w:r w:rsidR="00131D54">
        <w:rPr>
          <w:color w:val="000000" w:themeColor="text1"/>
        </w:rPr>
        <w:t xml:space="preserve">, que sirve como un instrumento para dañar a la madre del mismo. </w:t>
      </w:r>
    </w:p>
    <w:p w14:paraId="22BBB7E8" w14:textId="2FB27E72" w:rsidR="00625F30" w:rsidRPr="00C464A3" w:rsidRDefault="00812238" w:rsidP="00C464A3">
      <w:pPr>
        <w:pStyle w:val="NormalWeb"/>
        <w:spacing w:line="360" w:lineRule="auto"/>
        <w:ind w:firstLine="360"/>
        <w:rPr>
          <w:color w:val="000000" w:themeColor="text1"/>
        </w:rPr>
      </w:pPr>
      <w:r>
        <w:rPr>
          <w:color w:val="000000" w:themeColor="text1"/>
        </w:rPr>
        <w:t xml:space="preserve">Finalmente, la violencia vicaria </w:t>
      </w:r>
      <w:r w:rsidR="0095017B">
        <w:rPr>
          <w:color w:val="000000" w:themeColor="text1"/>
        </w:rPr>
        <w:t xml:space="preserve">se manifiesta mayoritariamente después de la ruptura: cuando el agresor pierde el control físico directo y recurre a manipular a los hijos como máxima forma de venganza misógina. </w:t>
      </w:r>
      <w:r w:rsidR="0047631F">
        <w:rPr>
          <w:color w:val="000000" w:themeColor="text1"/>
        </w:rPr>
        <w:t>En contraste, frente a la violencia de género tradicional, que afecta directamente a las mujeres (física, psic</w:t>
      </w:r>
      <w:r w:rsidR="00594C5A">
        <w:rPr>
          <w:color w:val="000000" w:themeColor="text1"/>
        </w:rPr>
        <w:t>ológica, sexual o feminicidio) durante el tiempo en que existe una relación íntima como forma suprema</w:t>
      </w:r>
      <w:r w:rsidR="00775B85">
        <w:rPr>
          <w:color w:val="000000" w:themeColor="text1"/>
        </w:rPr>
        <w:t xml:space="preserve"> de venganza misógina o patriarcal. </w:t>
      </w:r>
      <w:r w:rsidR="00520986">
        <w:rPr>
          <w:color w:val="000000" w:themeColor="text1"/>
        </w:rPr>
        <w:t xml:space="preserve">Por lo tanto, la violencia vicaria no debe considerarse un fenómeno aislado, sino el nivel máximo de crueldad en el sistema de violencia de género. En este caso, el menor deja de ser un sujeto con derechos y pasa a ser un objeto de tortura o amenazante contra la mujer. </w:t>
      </w:r>
    </w:p>
    <w:p w14:paraId="5BBADF8C" w14:textId="77777777" w:rsidR="00F64F84" w:rsidRPr="00E07B7C" w:rsidRDefault="00F64F84" w:rsidP="00891DB7">
      <w:pPr>
        <w:spacing w:line="360" w:lineRule="auto"/>
        <w:jc w:val="both"/>
        <w:rPr>
          <w:b/>
          <w:bCs/>
          <w:color w:val="156082" w:themeColor="accent1"/>
          <w:highlight w:val="yellow"/>
          <w:u w:val="single"/>
        </w:rPr>
      </w:pPr>
    </w:p>
    <w:p w14:paraId="601A7A1D" w14:textId="39C35A6C" w:rsidR="00EC3BD6" w:rsidRPr="00534449" w:rsidRDefault="00440D72" w:rsidP="00534449">
      <w:pPr>
        <w:pStyle w:val="Ttulo2"/>
        <w:numPr>
          <w:ilvl w:val="0"/>
          <w:numId w:val="0"/>
        </w:numPr>
        <w:ind w:left="720"/>
      </w:pPr>
      <w:bookmarkStart w:id="23" w:name="_Toc221271124"/>
      <w:r w:rsidRPr="00534449">
        <w:t>Manifestaciones de la violencia vicaria</w:t>
      </w:r>
      <w:bookmarkEnd w:id="23"/>
      <w:r w:rsidR="00342184" w:rsidRPr="00534449">
        <w:t xml:space="preserve"> </w:t>
      </w:r>
    </w:p>
    <w:p w14:paraId="59E5AB1F" w14:textId="77777777" w:rsidR="00EC3BD6" w:rsidRPr="00623015" w:rsidRDefault="00EC3BD6" w:rsidP="00EC3BD6">
      <w:pPr>
        <w:pStyle w:val="Prrafodelista"/>
        <w:spacing w:line="360" w:lineRule="auto"/>
        <w:jc w:val="both"/>
        <w:rPr>
          <w:b/>
          <w:bCs/>
          <w:color w:val="156082" w:themeColor="accent1"/>
          <w:u w:val="single"/>
        </w:rPr>
      </w:pPr>
    </w:p>
    <w:p w14:paraId="38E716E6" w14:textId="5DAC7D24" w:rsidR="00AC7652" w:rsidRPr="00534449" w:rsidRDefault="00EC3BD6" w:rsidP="00534449">
      <w:pPr>
        <w:pStyle w:val="Ttulo3"/>
        <w:numPr>
          <w:ilvl w:val="0"/>
          <w:numId w:val="0"/>
        </w:numPr>
        <w:ind w:left="720"/>
      </w:pPr>
      <w:r w:rsidRPr="00534449">
        <w:t xml:space="preserve"> </w:t>
      </w:r>
      <w:bookmarkStart w:id="24" w:name="_Toc221271125"/>
      <w:r w:rsidRPr="00534449">
        <w:t>Tipos de violencia vicaria</w:t>
      </w:r>
      <w:bookmarkEnd w:id="24"/>
      <w:r w:rsidRPr="00534449">
        <w:t xml:space="preserve"> </w:t>
      </w:r>
    </w:p>
    <w:p w14:paraId="5A3E49E9" w14:textId="1A0C6D4E" w:rsidR="00EC3BD6" w:rsidRPr="00EC3BD6" w:rsidRDefault="00EC3BD6" w:rsidP="00EC3BD6">
      <w:pPr>
        <w:spacing w:line="360" w:lineRule="auto"/>
        <w:ind w:firstLine="360"/>
        <w:rPr>
          <w:color w:val="000000" w:themeColor="text1"/>
        </w:rPr>
      </w:pPr>
      <w:r w:rsidRPr="00EC3BD6">
        <w:rPr>
          <w:color w:val="000000" w:themeColor="text1"/>
        </w:rPr>
        <w:t xml:space="preserve">La violencia vicaria puede manifestarse a través de distintas formas de maltrato dirigidas a los hijos e hijas. </w:t>
      </w:r>
      <w:r w:rsidR="007540E3">
        <w:rPr>
          <w:color w:val="000000" w:themeColor="text1"/>
        </w:rPr>
        <w:t xml:space="preserve">Entre ellos, distinguimos entre violencia vicaria directa o mediante manifestaciones indirectas. </w:t>
      </w:r>
    </w:p>
    <w:p w14:paraId="22A658D9" w14:textId="77777777" w:rsidR="00EC3BD6" w:rsidRPr="00EC3BD6" w:rsidRDefault="00EC3BD6" w:rsidP="00EC3BD6">
      <w:pPr>
        <w:pStyle w:val="Prrafodelista"/>
        <w:spacing w:line="360" w:lineRule="auto"/>
        <w:ind w:left="360"/>
        <w:rPr>
          <w:color w:val="000000" w:themeColor="text1"/>
        </w:rPr>
      </w:pPr>
      <w:r w:rsidRPr="00EC3BD6">
        <w:rPr>
          <w:color w:val="000000" w:themeColor="text1"/>
        </w:rPr>
        <w:tab/>
      </w:r>
    </w:p>
    <w:p w14:paraId="62AB3135" w14:textId="284C79DC" w:rsidR="00EC3BD6" w:rsidRPr="00EC3BD6" w:rsidRDefault="00EC3BD6" w:rsidP="002D0624">
      <w:pPr>
        <w:spacing w:line="360" w:lineRule="auto"/>
        <w:ind w:firstLine="360"/>
        <w:rPr>
          <w:color w:val="000000" w:themeColor="text1"/>
        </w:rPr>
      </w:pPr>
      <w:r w:rsidRPr="00EC3BD6">
        <w:rPr>
          <w:color w:val="000000" w:themeColor="text1"/>
        </w:rPr>
        <w:t xml:space="preserve">En primer lugar, </w:t>
      </w:r>
      <w:r w:rsidR="00622FA3">
        <w:rPr>
          <w:color w:val="000000" w:themeColor="text1"/>
        </w:rPr>
        <w:t xml:space="preserve">entre las manifestaciones indirectas se encuentra </w:t>
      </w:r>
      <w:r w:rsidRPr="00EC3BD6">
        <w:rPr>
          <w:color w:val="000000" w:themeColor="text1"/>
        </w:rPr>
        <w:t xml:space="preserve">la </w:t>
      </w:r>
      <w:r w:rsidRPr="00EC3BD6">
        <w:rPr>
          <w:b/>
          <w:bCs/>
          <w:color w:val="000000" w:themeColor="text1"/>
        </w:rPr>
        <w:t>violencia psicológica</w:t>
      </w:r>
      <w:r w:rsidRPr="00EC3BD6">
        <w:rPr>
          <w:color w:val="000000" w:themeColor="text1"/>
        </w:rPr>
        <w:t xml:space="preserve"> se trata de una de las formas más recurrentes para ejercer violencia sobre la madre. Estas manifestaciones pueden ir desde burlas y amenazas hasta la ausencia deliberada de visitas al menor. Como consecuente, esta violencia genera inseguridad emocional en los menores, provocando un impacto indirecto en la madre al sentirse preocupada sobre el bienestar de los menores. </w:t>
      </w:r>
    </w:p>
    <w:p w14:paraId="5C8B96D1" w14:textId="77777777" w:rsidR="00EC3BD6" w:rsidRPr="00EC3BD6" w:rsidRDefault="00EC3BD6" w:rsidP="002D0624">
      <w:pPr>
        <w:pStyle w:val="Prrafodelista"/>
        <w:spacing w:line="360" w:lineRule="auto"/>
        <w:ind w:left="360"/>
        <w:rPr>
          <w:color w:val="000000" w:themeColor="text1"/>
        </w:rPr>
      </w:pPr>
    </w:p>
    <w:p w14:paraId="7225C496" w14:textId="0E89EBB2" w:rsidR="00EC3BD6" w:rsidRPr="00EC3BD6" w:rsidRDefault="00622FA3" w:rsidP="002D0624">
      <w:pPr>
        <w:spacing w:line="360" w:lineRule="auto"/>
        <w:ind w:firstLine="360"/>
        <w:rPr>
          <w:color w:val="000000" w:themeColor="text1"/>
        </w:rPr>
      </w:pPr>
      <w:r>
        <w:rPr>
          <w:color w:val="000000" w:themeColor="text1"/>
        </w:rPr>
        <w:lastRenderedPageBreak/>
        <w:t>De una forma más directa</w:t>
      </w:r>
      <w:r w:rsidR="002639BC">
        <w:rPr>
          <w:color w:val="000000" w:themeColor="text1"/>
        </w:rPr>
        <w:t xml:space="preserve"> destaca</w:t>
      </w:r>
      <w:r>
        <w:rPr>
          <w:color w:val="000000" w:themeColor="text1"/>
        </w:rPr>
        <w:t xml:space="preserve"> </w:t>
      </w:r>
      <w:r w:rsidR="00EC3BD6" w:rsidRPr="00EC3BD6">
        <w:rPr>
          <w:color w:val="000000" w:themeColor="text1"/>
        </w:rPr>
        <w:t xml:space="preserve">la </w:t>
      </w:r>
      <w:r w:rsidR="00EC3BD6" w:rsidRPr="00EC3BD6">
        <w:rPr>
          <w:b/>
          <w:bCs/>
          <w:color w:val="000000" w:themeColor="text1"/>
        </w:rPr>
        <w:t>violencia física</w:t>
      </w:r>
      <w:r w:rsidR="00EC3BD6" w:rsidRPr="00EC3BD6">
        <w:rPr>
          <w:color w:val="000000" w:themeColor="text1"/>
        </w:rPr>
        <w:t xml:space="preserve"> se manifiesta cuando el progenitor violento hace uso de la fuerza física para agredir al menor, esto puede ser causando un daño corporal o poniendo en riesgo su integridad. En estos casos, utilizan el sufrimiento del menor de forma de coerción sobre la madre. </w:t>
      </w:r>
    </w:p>
    <w:p w14:paraId="2DF3A794" w14:textId="77777777" w:rsidR="00EC3BD6" w:rsidRPr="00EC3BD6" w:rsidRDefault="00EC3BD6" w:rsidP="002D0624">
      <w:pPr>
        <w:pStyle w:val="Prrafodelista"/>
        <w:spacing w:line="360" w:lineRule="auto"/>
        <w:ind w:left="360"/>
        <w:rPr>
          <w:color w:val="000000" w:themeColor="text1"/>
        </w:rPr>
      </w:pPr>
    </w:p>
    <w:p w14:paraId="7770A09E" w14:textId="5588B5F9" w:rsidR="00EC3BD6" w:rsidRPr="00EC3BD6" w:rsidRDefault="00EC3BD6" w:rsidP="002D0624">
      <w:pPr>
        <w:spacing w:line="360" w:lineRule="auto"/>
        <w:ind w:firstLine="360"/>
        <w:rPr>
          <w:color w:val="000000" w:themeColor="text1"/>
        </w:rPr>
      </w:pPr>
      <w:r w:rsidRPr="00EC3BD6">
        <w:rPr>
          <w:color w:val="000000" w:themeColor="text1"/>
        </w:rPr>
        <w:t xml:space="preserve">Por su parte, la </w:t>
      </w:r>
      <w:r w:rsidRPr="00EC3BD6">
        <w:rPr>
          <w:b/>
          <w:bCs/>
          <w:color w:val="000000" w:themeColor="text1"/>
        </w:rPr>
        <w:t>violencia económica</w:t>
      </w:r>
      <w:r w:rsidRPr="00EC3BD6">
        <w:rPr>
          <w:color w:val="000000" w:themeColor="text1"/>
        </w:rPr>
        <w:t xml:space="preserve"> se ejerce principalmente dirigiendo amenazas de no cumplir con su deber de alimentos. Se utiliza la precariedad económica como herramienta de control, ya que afecta al bienestar material de los menores y coloca a la madre en una situación de vulnerabilidad y estrés al presentar dificultades para garantizar sus necesidades básicas. </w:t>
      </w:r>
      <w:r w:rsidR="00051522">
        <w:rPr>
          <w:color w:val="000000" w:themeColor="text1"/>
        </w:rPr>
        <w:t>Relacionado con esto encontramos la negligencia o abandono, como dejarlos solos a temprana edad o a cargos de terceras personas exponiéndolos a situaciones de riesgo</w:t>
      </w:r>
      <w:r w:rsidR="006030B5">
        <w:rPr>
          <w:color w:val="000000" w:themeColor="text1"/>
        </w:rPr>
        <w:t xml:space="preserve">. </w:t>
      </w:r>
    </w:p>
    <w:p w14:paraId="36CED505" w14:textId="77777777" w:rsidR="00EC3BD6" w:rsidRPr="00EC3BD6" w:rsidRDefault="00EC3BD6" w:rsidP="002D0624">
      <w:pPr>
        <w:pStyle w:val="Prrafodelista"/>
        <w:spacing w:line="360" w:lineRule="auto"/>
        <w:ind w:left="360"/>
        <w:rPr>
          <w:color w:val="000000" w:themeColor="text1"/>
        </w:rPr>
      </w:pPr>
    </w:p>
    <w:p w14:paraId="37CEF1D1" w14:textId="77777777" w:rsidR="00EC3BD6" w:rsidRPr="00EC3BD6" w:rsidRDefault="00EC3BD6" w:rsidP="002D0624">
      <w:pPr>
        <w:spacing w:line="360" w:lineRule="auto"/>
        <w:ind w:firstLine="360"/>
        <w:rPr>
          <w:color w:val="000000" w:themeColor="text1"/>
        </w:rPr>
      </w:pPr>
      <w:r w:rsidRPr="00EC3BD6">
        <w:rPr>
          <w:color w:val="000000" w:themeColor="text1"/>
        </w:rPr>
        <w:t xml:space="preserve">La </w:t>
      </w:r>
      <w:r w:rsidRPr="00EC3BD6">
        <w:rPr>
          <w:b/>
          <w:bCs/>
          <w:color w:val="000000" w:themeColor="text1"/>
        </w:rPr>
        <w:t>violencia judicial</w:t>
      </w:r>
      <w:r w:rsidRPr="00EC3BD6">
        <w:rPr>
          <w:color w:val="000000" w:themeColor="text1"/>
        </w:rPr>
        <w:t xml:space="preserve"> se produce cuando el agresor trata de extender los procesos judiciales en los que se encuentran con la pareja y revictimizar a los menores. Esto puede ser, por ejemplo, someter a los menores a entrevistas reiteradas por profesionales no especializados. Este mecanismo está fundado en la revictimización y el desgaste emocional que un proceso judicial produce. </w:t>
      </w:r>
    </w:p>
    <w:p w14:paraId="191F9FF7" w14:textId="77777777" w:rsidR="00EC3BD6" w:rsidRPr="00EC3BD6" w:rsidRDefault="00EC3BD6" w:rsidP="002D0624">
      <w:pPr>
        <w:pStyle w:val="Prrafodelista"/>
        <w:spacing w:line="360" w:lineRule="auto"/>
        <w:ind w:left="360"/>
        <w:rPr>
          <w:color w:val="000000" w:themeColor="text1"/>
        </w:rPr>
      </w:pPr>
    </w:p>
    <w:p w14:paraId="5AC0302F" w14:textId="07BAA1F5" w:rsidR="00EC3BD6" w:rsidRPr="002D0624" w:rsidRDefault="00EC3BD6" w:rsidP="002D0624">
      <w:pPr>
        <w:spacing w:line="360" w:lineRule="auto"/>
        <w:ind w:firstLine="360"/>
        <w:jc w:val="both"/>
        <w:rPr>
          <w:color w:val="000000" w:themeColor="text1"/>
        </w:rPr>
      </w:pPr>
      <w:r w:rsidRPr="00EC3BD6">
        <w:rPr>
          <w:color w:val="000000" w:themeColor="text1"/>
        </w:rPr>
        <w:t xml:space="preserve">Finalmente, la </w:t>
      </w:r>
      <w:r w:rsidRPr="00EC3BD6">
        <w:rPr>
          <w:b/>
          <w:bCs/>
          <w:color w:val="000000" w:themeColor="text1"/>
        </w:rPr>
        <w:t>violencia vincular</w:t>
      </w:r>
      <w:r w:rsidRPr="00EC3BD6">
        <w:rPr>
          <w:color w:val="000000" w:themeColor="text1"/>
        </w:rPr>
        <w:t xml:space="preserve"> se expresa mediante conductas orientadas a utilizar un lenguaje vejatorio hacia la madre de los hijos en su presencia o impedir el contacto con ella. El objetivo de esta conducta es deteriorar la imagen de la madre sobre el menor y hacerle dudar sobre las acciones o intenciones de la madre, de tal forma que se </w:t>
      </w:r>
      <w:r w:rsidRPr="002D0624">
        <w:rPr>
          <w:color w:val="000000" w:themeColor="text1"/>
        </w:rPr>
        <w:t xml:space="preserve">estropee el vínculo materno- filial. </w:t>
      </w:r>
    </w:p>
    <w:p w14:paraId="1F53505A" w14:textId="77777777" w:rsidR="00EC3BD6" w:rsidRPr="002D0624" w:rsidRDefault="00EC3BD6" w:rsidP="002D0624">
      <w:pPr>
        <w:spacing w:line="360" w:lineRule="auto"/>
        <w:jc w:val="both"/>
        <w:rPr>
          <w:b/>
          <w:bCs/>
          <w:color w:val="156082" w:themeColor="accent1"/>
          <w:highlight w:val="yellow"/>
          <w:u w:val="single"/>
        </w:rPr>
      </w:pPr>
    </w:p>
    <w:p w14:paraId="4C90E07B" w14:textId="1B62A0AD" w:rsidR="00EC3BD6" w:rsidRPr="002D0624" w:rsidRDefault="00DB1530" w:rsidP="00534449">
      <w:pPr>
        <w:pStyle w:val="Ttulo2"/>
        <w:numPr>
          <w:ilvl w:val="0"/>
          <w:numId w:val="0"/>
        </w:numPr>
        <w:ind w:left="720"/>
      </w:pPr>
      <w:bookmarkStart w:id="25" w:name="_Toc221271126"/>
      <w:r w:rsidRPr="002D0624">
        <w:t>Impacto psicológico y emocional en los menores</w:t>
      </w:r>
      <w:bookmarkEnd w:id="25"/>
      <w:r w:rsidR="00A0300E" w:rsidRPr="002D0624">
        <w:t xml:space="preserve"> </w:t>
      </w:r>
    </w:p>
    <w:p w14:paraId="321F2DEC" w14:textId="77777777" w:rsidR="00F12282" w:rsidRPr="002D0624" w:rsidRDefault="00F12282" w:rsidP="002D0624">
      <w:pPr>
        <w:spacing w:line="360" w:lineRule="auto"/>
        <w:jc w:val="both"/>
        <w:rPr>
          <w:b/>
          <w:bCs/>
          <w:color w:val="156082" w:themeColor="accent1"/>
          <w:highlight w:val="yellow"/>
          <w:u w:val="single"/>
        </w:rPr>
      </w:pPr>
    </w:p>
    <w:p w14:paraId="302DC843" w14:textId="4DA0F323" w:rsidR="00623015" w:rsidRPr="002D0624" w:rsidRDefault="00EB165A" w:rsidP="002D0624">
      <w:pPr>
        <w:spacing w:line="360" w:lineRule="auto"/>
        <w:ind w:firstLine="360"/>
        <w:jc w:val="both"/>
        <w:rPr>
          <w:color w:val="000000" w:themeColor="text1"/>
        </w:rPr>
      </w:pPr>
      <w:r w:rsidRPr="002D0624">
        <w:rPr>
          <w:color w:val="000000" w:themeColor="text1"/>
        </w:rPr>
        <w:t>En el estudio realizado por Porter y López- Angulo (2022) se evidencia</w:t>
      </w:r>
      <w:r w:rsidR="00E82DD9" w:rsidRPr="002D0624">
        <w:rPr>
          <w:color w:val="000000" w:themeColor="text1"/>
        </w:rPr>
        <w:t xml:space="preserve">n las emociones y conductas de niños y adolescentes al regreso de las visitas que hacen con su progenitor agresor. </w:t>
      </w:r>
      <w:r w:rsidR="00173167" w:rsidRPr="002D0624">
        <w:rPr>
          <w:color w:val="000000" w:themeColor="text1"/>
        </w:rPr>
        <w:t xml:space="preserve">En este sentido, el 77,8% de los casos que analizaron presentaron signos y síntomas externalizantes, externalizantes, psicosomáticos y físico/sexuales. </w:t>
      </w:r>
    </w:p>
    <w:p w14:paraId="33D6DE96" w14:textId="77777777" w:rsidR="00173167" w:rsidRPr="002D0624" w:rsidRDefault="00173167" w:rsidP="002D0624">
      <w:pPr>
        <w:spacing w:line="360" w:lineRule="auto"/>
        <w:ind w:firstLine="360"/>
        <w:jc w:val="both"/>
        <w:rPr>
          <w:color w:val="000000" w:themeColor="text1"/>
        </w:rPr>
      </w:pPr>
    </w:p>
    <w:p w14:paraId="44D6E953" w14:textId="23314772" w:rsidR="000C5E83" w:rsidRPr="002D0624" w:rsidRDefault="000C5E83" w:rsidP="002D0624">
      <w:pPr>
        <w:spacing w:line="360" w:lineRule="auto"/>
        <w:ind w:firstLine="360"/>
        <w:jc w:val="both"/>
        <w:rPr>
          <w:color w:val="000000" w:themeColor="text1"/>
        </w:rPr>
      </w:pPr>
      <w:r w:rsidRPr="002D0624">
        <w:rPr>
          <w:color w:val="000000" w:themeColor="text1"/>
        </w:rPr>
        <w:lastRenderedPageBreak/>
        <w:t xml:space="preserve">Entre los </w:t>
      </w:r>
      <w:r w:rsidRPr="002D0624">
        <w:rPr>
          <w:b/>
          <w:bCs/>
          <w:color w:val="000000" w:themeColor="text1"/>
        </w:rPr>
        <w:t>síntomas externalizantes</w:t>
      </w:r>
      <w:r w:rsidRPr="002D0624">
        <w:rPr>
          <w:color w:val="000000" w:themeColor="text1"/>
        </w:rPr>
        <w:t xml:space="preserve"> más frecuentes destacan </w:t>
      </w:r>
      <w:r w:rsidR="00C248A2" w:rsidRPr="002D0624">
        <w:rPr>
          <w:color w:val="000000" w:themeColor="text1"/>
        </w:rPr>
        <w:t>“</w:t>
      </w:r>
      <w:r w:rsidR="00331800" w:rsidRPr="002D0624">
        <w:rPr>
          <w:color w:val="000000" w:themeColor="text1"/>
        </w:rPr>
        <w:t>irritabilidad</w:t>
      </w:r>
      <w:r w:rsidRPr="002D0624">
        <w:rPr>
          <w:color w:val="000000" w:themeColor="text1"/>
        </w:rPr>
        <w:t>, explosiones de ira, disminución en la capacidad de control de impulsos</w:t>
      </w:r>
      <w:r w:rsidR="00331800" w:rsidRPr="002D0624">
        <w:rPr>
          <w:color w:val="000000" w:themeColor="text1"/>
        </w:rPr>
        <w:t>, agresividad verbal y física</w:t>
      </w:r>
      <w:r w:rsidR="00C248A2" w:rsidRPr="002D0624">
        <w:rPr>
          <w:color w:val="000000" w:themeColor="text1"/>
        </w:rPr>
        <w:t xml:space="preserve">” </w:t>
      </w:r>
      <w:r w:rsidR="00331800" w:rsidRPr="002D0624">
        <w:rPr>
          <w:color w:val="000000" w:themeColor="text1"/>
        </w:rPr>
        <w:t xml:space="preserve">hacia la madre e incluso llegan a culpabilizar a la madre u actuar de forma oposicionista hacia su forma de crianza o cumplimiento de las rutinas que ésta les impone. </w:t>
      </w:r>
    </w:p>
    <w:p w14:paraId="5BA13E69" w14:textId="77777777" w:rsidR="00331800" w:rsidRPr="002D0624" w:rsidRDefault="00331800" w:rsidP="002D0624">
      <w:pPr>
        <w:spacing w:line="360" w:lineRule="auto"/>
        <w:ind w:firstLine="360"/>
        <w:jc w:val="both"/>
        <w:rPr>
          <w:b/>
          <w:bCs/>
          <w:color w:val="156082" w:themeColor="accent1"/>
          <w:u w:val="single"/>
        </w:rPr>
      </w:pPr>
    </w:p>
    <w:p w14:paraId="000738A3" w14:textId="32583E43" w:rsidR="00BB7AFC" w:rsidRPr="002D0624" w:rsidRDefault="00BB7AFC" w:rsidP="002D0624">
      <w:pPr>
        <w:spacing w:line="360" w:lineRule="auto"/>
        <w:ind w:firstLine="360"/>
        <w:jc w:val="both"/>
        <w:rPr>
          <w:color w:val="000000" w:themeColor="text1"/>
        </w:rPr>
      </w:pPr>
      <w:r w:rsidRPr="002D0624">
        <w:rPr>
          <w:color w:val="000000" w:themeColor="text1"/>
        </w:rPr>
        <w:t xml:space="preserve">Los </w:t>
      </w:r>
      <w:r w:rsidRPr="002D0624">
        <w:rPr>
          <w:b/>
          <w:bCs/>
          <w:color w:val="000000" w:themeColor="text1"/>
        </w:rPr>
        <w:t xml:space="preserve">síntomas </w:t>
      </w:r>
      <w:r w:rsidR="00FC62E0" w:rsidRPr="002D0624">
        <w:rPr>
          <w:b/>
          <w:bCs/>
          <w:color w:val="000000" w:themeColor="text1"/>
        </w:rPr>
        <w:t>internalizantes</w:t>
      </w:r>
      <w:r w:rsidRPr="002D0624">
        <w:rPr>
          <w:color w:val="000000" w:themeColor="text1"/>
        </w:rPr>
        <w:t xml:space="preserve"> a destacar fueron </w:t>
      </w:r>
      <w:r w:rsidR="00C248A2" w:rsidRPr="002D0624">
        <w:rPr>
          <w:color w:val="000000" w:themeColor="text1"/>
        </w:rPr>
        <w:t xml:space="preserve">“ansiedad, </w:t>
      </w:r>
      <w:r w:rsidR="00FC62E0" w:rsidRPr="002D0624">
        <w:rPr>
          <w:color w:val="000000" w:themeColor="text1"/>
        </w:rPr>
        <w:t xml:space="preserve">nerviosismo, se culpa por la situación, temor, tristeza, problemas de concentración, fobia escolar, negativismo, falta de confianza, baja autoestima”; entre otros. </w:t>
      </w:r>
    </w:p>
    <w:p w14:paraId="3C99B1F5" w14:textId="77777777" w:rsidR="00CD68A9" w:rsidRPr="002D0624" w:rsidRDefault="00CD68A9" w:rsidP="002D0624">
      <w:pPr>
        <w:spacing w:line="360" w:lineRule="auto"/>
        <w:ind w:firstLine="360"/>
        <w:jc w:val="both"/>
        <w:rPr>
          <w:color w:val="000000" w:themeColor="text1"/>
        </w:rPr>
      </w:pPr>
    </w:p>
    <w:p w14:paraId="71664A78" w14:textId="64B47400" w:rsidR="00CD68A9" w:rsidRPr="002D0624" w:rsidRDefault="00CD68A9" w:rsidP="002D0624">
      <w:pPr>
        <w:spacing w:line="360" w:lineRule="auto"/>
        <w:ind w:firstLine="360"/>
        <w:jc w:val="both"/>
        <w:rPr>
          <w:color w:val="000000" w:themeColor="text1"/>
        </w:rPr>
      </w:pPr>
      <w:r w:rsidRPr="002D0624">
        <w:rPr>
          <w:color w:val="000000" w:themeColor="text1"/>
        </w:rPr>
        <w:t xml:space="preserve">Entre los </w:t>
      </w:r>
      <w:r w:rsidRPr="002D0624">
        <w:rPr>
          <w:b/>
          <w:bCs/>
          <w:color w:val="000000" w:themeColor="text1"/>
        </w:rPr>
        <w:t>signos y síntomas psicosomáticos</w:t>
      </w:r>
      <w:r w:rsidRPr="002D0624">
        <w:rPr>
          <w:color w:val="000000" w:themeColor="text1"/>
        </w:rPr>
        <w:t xml:space="preserve">, físicos y sexuales </w:t>
      </w:r>
      <w:r w:rsidR="00B26256" w:rsidRPr="002D0624">
        <w:rPr>
          <w:color w:val="000000" w:themeColor="text1"/>
        </w:rPr>
        <w:t xml:space="preserve">se reportaron: “cuadros gástricos, estreñimiento, enuresis, encopresis, conductas regresivas, estados convulsivos, aumento de tics fónicos, decaimiento, vómitos y fiebre… entre los síntomas relacionados con la violencia sexual se detectaron “fisuras anales, </w:t>
      </w:r>
      <w:r w:rsidR="00A86EB8" w:rsidRPr="002D0624">
        <w:rPr>
          <w:color w:val="000000" w:themeColor="text1"/>
        </w:rPr>
        <w:t>vagina enrojecida y conductas hipersexuales”</w:t>
      </w:r>
    </w:p>
    <w:p w14:paraId="0A2A5580" w14:textId="77777777" w:rsidR="00A86EB8" w:rsidRPr="002D0624" w:rsidRDefault="00A86EB8" w:rsidP="002D0624">
      <w:pPr>
        <w:spacing w:line="360" w:lineRule="auto"/>
        <w:ind w:firstLine="360"/>
        <w:jc w:val="both"/>
        <w:rPr>
          <w:color w:val="000000" w:themeColor="text1"/>
        </w:rPr>
      </w:pPr>
    </w:p>
    <w:p w14:paraId="3ACECBD8" w14:textId="0B53E318" w:rsidR="00FB64D8" w:rsidRPr="002D0624" w:rsidRDefault="00FB64D8" w:rsidP="002D0624">
      <w:pPr>
        <w:spacing w:line="360" w:lineRule="auto"/>
        <w:ind w:firstLine="360"/>
        <w:jc w:val="both"/>
        <w:rPr>
          <w:color w:val="000000" w:themeColor="text1"/>
        </w:rPr>
      </w:pPr>
      <w:r w:rsidRPr="002D0624">
        <w:rPr>
          <w:color w:val="000000" w:themeColor="text1"/>
        </w:rPr>
        <w:t xml:space="preserve">Se menciona que cuando </w:t>
      </w:r>
      <w:r w:rsidR="003A66B5" w:rsidRPr="002D0624">
        <w:rPr>
          <w:color w:val="000000" w:themeColor="text1"/>
        </w:rPr>
        <w:t>el/la menor visita</w:t>
      </w:r>
      <w:r w:rsidRPr="002D0624">
        <w:rPr>
          <w:color w:val="000000" w:themeColor="text1"/>
        </w:rPr>
        <w:t xml:space="preserve"> al progenitor al volver parece </w:t>
      </w:r>
      <w:r w:rsidR="003A66B5" w:rsidRPr="002D0624">
        <w:rPr>
          <w:color w:val="000000" w:themeColor="text1"/>
        </w:rPr>
        <w:t>experimentar un “</w:t>
      </w:r>
      <w:r w:rsidR="003A66B5" w:rsidRPr="002D0624">
        <w:rPr>
          <w:b/>
          <w:bCs/>
          <w:color w:val="000000" w:themeColor="text1"/>
        </w:rPr>
        <w:t>ciclo de desregulación</w:t>
      </w:r>
      <w:r w:rsidR="003A66B5" w:rsidRPr="002D0624">
        <w:rPr>
          <w:color w:val="000000" w:themeColor="text1"/>
        </w:rPr>
        <w:t xml:space="preserve">”. Esto es, los menores presentan los síntomas mencionados en dos momentos críticos: antes de irse con el progenitor agresor y después de regresar con la madre. La recuperación o la regulación de la conducta </w:t>
      </w:r>
      <w:proofErr w:type="gramStart"/>
      <w:r w:rsidR="00291706" w:rsidRPr="002D0624">
        <w:rPr>
          <w:color w:val="000000" w:themeColor="text1"/>
        </w:rPr>
        <w:t>del mismo</w:t>
      </w:r>
      <w:proofErr w:type="gramEnd"/>
      <w:r w:rsidR="00291706" w:rsidRPr="002D0624">
        <w:rPr>
          <w:color w:val="000000" w:themeColor="text1"/>
        </w:rPr>
        <w:t xml:space="preserve"> puede tardar días, pero el ciclo parece repetirse según se produce el régimen de visitas. Esta inestabilidad constante afecta en su desarrollo, ya que en estas etapas vitales la predictibilidad y la estructura resultan fundamentales. </w:t>
      </w:r>
    </w:p>
    <w:p w14:paraId="04CBAE1B" w14:textId="77777777" w:rsidR="00623015" w:rsidRPr="002D0624" w:rsidRDefault="00623015" w:rsidP="00534449">
      <w:pPr>
        <w:pStyle w:val="Ttulo3"/>
        <w:numPr>
          <w:ilvl w:val="0"/>
          <w:numId w:val="0"/>
        </w:numPr>
        <w:ind w:left="720"/>
        <w:rPr>
          <w:highlight w:val="yellow"/>
        </w:rPr>
      </w:pPr>
    </w:p>
    <w:p w14:paraId="4A4C3896" w14:textId="41556DF4" w:rsidR="008517A8" w:rsidRPr="002D0624" w:rsidRDefault="00623015" w:rsidP="00534449">
      <w:pPr>
        <w:pStyle w:val="Ttulo3"/>
        <w:numPr>
          <w:ilvl w:val="0"/>
          <w:numId w:val="0"/>
        </w:numPr>
        <w:ind w:left="720"/>
      </w:pPr>
      <w:bookmarkStart w:id="26" w:name="_Toc221271127"/>
      <w:r w:rsidRPr="002D0624">
        <w:t>Indicadores para la detección de la violencia vicaria</w:t>
      </w:r>
      <w:bookmarkEnd w:id="26"/>
      <w:r w:rsidRPr="002D0624">
        <w:t xml:space="preserve"> </w:t>
      </w:r>
    </w:p>
    <w:p w14:paraId="19F8508B" w14:textId="77777777" w:rsidR="00623015" w:rsidRPr="002D0624" w:rsidRDefault="00623015" w:rsidP="002D0624">
      <w:pPr>
        <w:spacing w:line="360" w:lineRule="auto"/>
        <w:jc w:val="both"/>
        <w:rPr>
          <w:color w:val="000000" w:themeColor="text1"/>
        </w:rPr>
      </w:pPr>
    </w:p>
    <w:p w14:paraId="5FEED2AC" w14:textId="183B83C1" w:rsidR="00623015" w:rsidRPr="002D0624" w:rsidRDefault="00623015" w:rsidP="002D0624">
      <w:pPr>
        <w:spacing w:line="360" w:lineRule="auto"/>
        <w:ind w:firstLine="360"/>
        <w:jc w:val="both"/>
        <w:rPr>
          <w:color w:val="000000" w:themeColor="text1"/>
        </w:rPr>
      </w:pPr>
      <w:r w:rsidRPr="002D0624">
        <w:rPr>
          <w:color w:val="000000" w:themeColor="text1"/>
        </w:rPr>
        <w:t xml:space="preserve">Respecto a los </w:t>
      </w:r>
      <w:r w:rsidRPr="002D0624">
        <w:rPr>
          <w:b/>
          <w:bCs/>
          <w:color w:val="000000" w:themeColor="text1"/>
        </w:rPr>
        <w:t>indicadores para la detección de la violencia vicaria</w:t>
      </w:r>
      <w:r w:rsidRPr="002D0624">
        <w:rPr>
          <w:color w:val="000000" w:themeColor="text1"/>
        </w:rPr>
        <w:t xml:space="preserve">, el folleto Financiado por la Unión Europea sobre la violencia vicaria: “¿Tienes dudas sobre lo que es la Violencia Vicaria?”  (Delegación del Gobierno contra la Violencia de Género, 2024) identifica diversas conductas que pueden considerarse presuntas de violencia vicaria: utiliza a tus hijos e hijas para hacerte daño, amenaza con quitarte a tus hijos e hijas, amenazas con matar a tus hijos e hijas y así darte donde más duele, detiene los tratamientos médicos de tus hijos e hijas cuando están con él, usa los momentos de la </w:t>
      </w:r>
      <w:r w:rsidRPr="002D0624">
        <w:rPr>
          <w:color w:val="000000" w:themeColor="text1"/>
        </w:rPr>
        <w:lastRenderedPageBreak/>
        <w:t xml:space="preserve">recogida y vuelta del régimen de visitas de tus hijos e hijas para insultarte, amenazarte o humillarte, habla mal de ti y de tu </w:t>
      </w:r>
      <w:r w:rsidR="002851E7" w:rsidRPr="002D0624">
        <w:rPr>
          <w:color w:val="000000" w:themeColor="text1"/>
        </w:rPr>
        <w:t>familia</w:t>
      </w:r>
      <w:r w:rsidRPr="002D0624">
        <w:rPr>
          <w:color w:val="000000" w:themeColor="text1"/>
        </w:rPr>
        <w:t xml:space="preserve"> en presencia de tus hijos e hijas. </w:t>
      </w:r>
    </w:p>
    <w:p w14:paraId="73CA1CC0" w14:textId="77777777" w:rsidR="00623015" w:rsidRPr="002D0624" w:rsidRDefault="00623015" w:rsidP="002D0624">
      <w:pPr>
        <w:spacing w:line="360" w:lineRule="auto"/>
        <w:jc w:val="both"/>
        <w:rPr>
          <w:b/>
          <w:bCs/>
          <w:color w:val="000000" w:themeColor="text1"/>
        </w:rPr>
      </w:pPr>
    </w:p>
    <w:p w14:paraId="38E0F679" w14:textId="658882D9" w:rsidR="00623015" w:rsidRPr="002D0624" w:rsidRDefault="00623015" w:rsidP="00534449">
      <w:pPr>
        <w:pStyle w:val="Ttulo2"/>
        <w:numPr>
          <w:ilvl w:val="0"/>
          <w:numId w:val="0"/>
        </w:numPr>
        <w:ind w:left="720"/>
      </w:pPr>
      <w:bookmarkStart w:id="27" w:name="_Toc221271128"/>
      <w:r w:rsidRPr="002D0624">
        <w:t>Perfil de las víctimas de violencia vicaria</w:t>
      </w:r>
      <w:bookmarkEnd w:id="27"/>
      <w:r w:rsidRPr="002D0624">
        <w:t xml:space="preserve"> </w:t>
      </w:r>
    </w:p>
    <w:p w14:paraId="4B8F5DF7" w14:textId="77777777" w:rsidR="004E3BD1" w:rsidRPr="002D0624" w:rsidRDefault="004E3BD1" w:rsidP="002D0624">
      <w:pPr>
        <w:pStyle w:val="Prrafodelista"/>
        <w:spacing w:line="360" w:lineRule="auto"/>
        <w:ind w:left="360"/>
        <w:jc w:val="both"/>
        <w:rPr>
          <w:b/>
          <w:bCs/>
          <w:color w:val="000000" w:themeColor="text1"/>
        </w:rPr>
      </w:pPr>
    </w:p>
    <w:p w14:paraId="3B4B0D88" w14:textId="6D876436" w:rsidR="00913B8D" w:rsidRPr="002D0624" w:rsidRDefault="00913B8D" w:rsidP="002D0624">
      <w:pPr>
        <w:spacing w:line="360" w:lineRule="auto"/>
        <w:ind w:firstLine="360"/>
        <w:jc w:val="both"/>
      </w:pPr>
      <w:r w:rsidRPr="002D0624">
        <w:rPr>
          <w:color w:val="000000" w:themeColor="text1"/>
        </w:rPr>
        <w:t xml:space="preserve">Las principales víctimas indirectas son las madres, que pueden haber sido previamente víctimas de violencia de género por parte de su pareja o expareja. </w:t>
      </w:r>
      <w:r w:rsidR="00206310" w:rsidRPr="002D0624">
        <w:rPr>
          <w:color w:val="000000" w:themeColor="text1"/>
        </w:rPr>
        <w:t>Estas mujeres muestran un perfil que está marcado por una larga historia de control, abuso emocional o maltrato psicológico</w:t>
      </w:r>
      <w:r w:rsidR="00106BFE" w:rsidRPr="002D0624">
        <w:rPr>
          <w:color w:val="000000" w:themeColor="text1"/>
        </w:rPr>
        <w:t xml:space="preserve"> (Delegación del Gobierno contra la Violencia de Género </w:t>
      </w:r>
      <w:r w:rsidR="00106BFE" w:rsidRPr="002D0624">
        <w:t>[DGVG], 2023)</w:t>
      </w:r>
      <w:r w:rsidR="009A6280" w:rsidRPr="002D0624">
        <w:t>.</w:t>
      </w:r>
    </w:p>
    <w:p w14:paraId="0142A9DC" w14:textId="77777777" w:rsidR="00106BFE" w:rsidRPr="002D0624" w:rsidRDefault="00106BFE" w:rsidP="002D0624">
      <w:pPr>
        <w:spacing w:line="360" w:lineRule="auto"/>
        <w:ind w:firstLine="360"/>
        <w:jc w:val="both"/>
        <w:rPr>
          <w:color w:val="000000" w:themeColor="text1"/>
        </w:rPr>
      </w:pPr>
    </w:p>
    <w:p w14:paraId="73DA5B7D" w14:textId="420A9FAF" w:rsidR="00106BFE" w:rsidRPr="002D0624" w:rsidRDefault="00106BFE" w:rsidP="002D0624">
      <w:pPr>
        <w:spacing w:line="360" w:lineRule="auto"/>
        <w:ind w:firstLine="360"/>
        <w:jc w:val="both"/>
        <w:rPr>
          <w:color w:val="000000" w:themeColor="text1"/>
        </w:rPr>
      </w:pPr>
      <w:r w:rsidRPr="002D0624">
        <w:rPr>
          <w:color w:val="000000" w:themeColor="text1"/>
        </w:rPr>
        <w:t xml:space="preserve">En el estudio coordinado por Vaccaro (2022), en la mayoría de los casos los progenitores están </w:t>
      </w:r>
      <w:r w:rsidRPr="002D0624">
        <w:rPr>
          <w:b/>
          <w:bCs/>
          <w:color w:val="000000" w:themeColor="text1"/>
        </w:rPr>
        <w:t>separados o divorciados</w:t>
      </w:r>
      <w:r w:rsidRPr="002D0624">
        <w:rPr>
          <w:color w:val="000000" w:themeColor="text1"/>
        </w:rPr>
        <w:t>, seguidos de convivientes y en proceso de divorcio o separación. Esto se traduce en que un 66% de la población estudiada está en proceso de separación</w:t>
      </w:r>
      <w:r w:rsidR="00B10C44" w:rsidRPr="002D0624">
        <w:rPr>
          <w:color w:val="000000" w:themeColor="text1"/>
        </w:rPr>
        <w:t>, lo que pone de manifiesto</w:t>
      </w:r>
      <w:r w:rsidR="00F27C12" w:rsidRPr="002D0624">
        <w:rPr>
          <w:color w:val="000000" w:themeColor="text1"/>
        </w:rPr>
        <w:t xml:space="preserve"> </w:t>
      </w:r>
      <w:r w:rsidRPr="002D0624">
        <w:rPr>
          <w:color w:val="000000" w:themeColor="text1"/>
        </w:rPr>
        <w:t xml:space="preserve">una relación </w:t>
      </w:r>
      <w:r w:rsidR="008E7DE1" w:rsidRPr="002D0624">
        <w:rPr>
          <w:color w:val="000000" w:themeColor="text1"/>
        </w:rPr>
        <w:t>significativa</w:t>
      </w:r>
      <w:r w:rsidRPr="002D0624">
        <w:rPr>
          <w:color w:val="000000" w:themeColor="text1"/>
        </w:rPr>
        <w:t xml:space="preserve"> entre el proceso de separación </w:t>
      </w:r>
      <w:r w:rsidR="008E7DE1" w:rsidRPr="002D0624">
        <w:rPr>
          <w:color w:val="000000" w:themeColor="text1"/>
        </w:rPr>
        <w:t xml:space="preserve">de la pareja </w:t>
      </w:r>
      <w:r w:rsidRPr="002D0624">
        <w:rPr>
          <w:color w:val="000000" w:themeColor="text1"/>
        </w:rPr>
        <w:t>y el ejercicio de violencia vicaria</w:t>
      </w:r>
      <w:r w:rsidR="008E7DE1" w:rsidRPr="002D0624">
        <w:rPr>
          <w:color w:val="000000" w:themeColor="text1"/>
        </w:rPr>
        <w:t xml:space="preserve"> como forma de castigo y control hacia la mujer.</w:t>
      </w:r>
    </w:p>
    <w:p w14:paraId="0EC162F1" w14:textId="77777777" w:rsidR="00913B8D" w:rsidRPr="002D0624" w:rsidRDefault="00913B8D" w:rsidP="002D0624">
      <w:pPr>
        <w:spacing w:line="360" w:lineRule="auto"/>
        <w:ind w:firstLine="360"/>
        <w:jc w:val="both"/>
        <w:rPr>
          <w:color w:val="000000" w:themeColor="text1"/>
        </w:rPr>
      </w:pPr>
    </w:p>
    <w:p w14:paraId="5251453A" w14:textId="3B85EA96" w:rsidR="004E3BD1" w:rsidRPr="002D0624" w:rsidRDefault="004E3BD1" w:rsidP="002D0624">
      <w:pPr>
        <w:spacing w:line="360" w:lineRule="auto"/>
        <w:ind w:firstLine="360"/>
        <w:jc w:val="both"/>
        <w:rPr>
          <w:color w:val="000000" w:themeColor="text1"/>
        </w:rPr>
      </w:pPr>
      <w:r w:rsidRPr="002D0624">
        <w:rPr>
          <w:color w:val="000000" w:themeColor="text1"/>
        </w:rPr>
        <w:t xml:space="preserve">En el periodo reciente recogido, la mayoría de estos </w:t>
      </w:r>
      <w:r w:rsidR="00106BFE" w:rsidRPr="002D0624">
        <w:rPr>
          <w:color w:val="000000" w:themeColor="text1"/>
        </w:rPr>
        <w:t>actos</w:t>
      </w:r>
      <w:r w:rsidRPr="002D0624">
        <w:rPr>
          <w:color w:val="000000" w:themeColor="text1"/>
        </w:rPr>
        <w:t xml:space="preserve"> se producen en el marco de las relaciones de pareja o expareja en las que existía una dinámica previa de maltrato hacia la madre. </w:t>
      </w:r>
    </w:p>
    <w:p w14:paraId="4EB61014" w14:textId="77777777" w:rsidR="004E3BD1" w:rsidRPr="002D0624" w:rsidRDefault="004E3BD1" w:rsidP="002D0624">
      <w:pPr>
        <w:spacing w:line="360" w:lineRule="auto"/>
        <w:ind w:firstLine="360"/>
        <w:jc w:val="both"/>
        <w:rPr>
          <w:color w:val="000000" w:themeColor="text1"/>
        </w:rPr>
      </w:pPr>
    </w:p>
    <w:p w14:paraId="75111C53" w14:textId="49225471" w:rsidR="001837FA" w:rsidRPr="002D0624" w:rsidRDefault="007B7894" w:rsidP="002D0624">
      <w:pPr>
        <w:spacing w:line="360" w:lineRule="auto"/>
        <w:ind w:firstLine="360"/>
        <w:jc w:val="both"/>
      </w:pPr>
      <w:r w:rsidRPr="002D0624">
        <w:rPr>
          <w:color w:val="000000" w:themeColor="text1"/>
        </w:rPr>
        <w:t xml:space="preserve">Respecto al perfil de </w:t>
      </w:r>
      <w:r w:rsidR="00197A16" w:rsidRPr="002D0624">
        <w:rPr>
          <w:color w:val="000000" w:themeColor="text1"/>
        </w:rPr>
        <w:t>los menores</w:t>
      </w:r>
      <w:r w:rsidRPr="002D0624">
        <w:rPr>
          <w:color w:val="000000" w:themeColor="text1"/>
        </w:rPr>
        <w:t xml:space="preserve">, que como se ha desarrollado pasan a ser víctimas directas del agresor, suelen ser </w:t>
      </w:r>
      <w:r w:rsidR="00D50634" w:rsidRPr="002D0624">
        <w:rPr>
          <w:color w:val="000000" w:themeColor="text1"/>
        </w:rPr>
        <w:t>menores de edad, generalmente hijos biológicos del agresor</w:t>
      </w:r>
      <w:r w:rsidR="00B43D82" w:rsidRPr="002D0624">
        <w:rPr>
          <w:color w:val="000000" w:themeColor="text1"/>
        </w:rPr>
        <w:t>. No obstante, también pueden ser hijos de relaciones anteriores de la madre, especialmente cuando existe convivencia o un vínculo afectivo significativo.</w:t>
      </w:r>
      <w:r w:rsidR="00AC4384" w:rsidRPr="002D0624">
        <w:rPr>
          <w:color w:val="000000" w:themeColor="text1"/>
        </w:rPr>
        <w:t xml:space="preserve"> </w:t>
      </w:r>
      <w:r w:rsidR="00AC4384" w:rsidRPr="002D0624">
        <w:t>(</w:t>
      </w:r>
      <w:proofErr w:type="spellStart"/>
      <w:r w:rsidR="00AC4384" w:rsidRPr="002D0624">
        <w:t>Save</w:t>
      </w:r>
      <w:proofErr w:type="spellEnd"/>
      <w:r w:rsidR="00AC4384" w:rsidRPr="002D0624">
        <w:t xml:space="preserve"> </w:t>
      </w:r>
      <w:proofErr w:type="spellStart"/>
      <w:r w:rsidR="00AC4384" w:rsidRPr="002D0624">
        <w:t>the</w:t>
      </w:r>
      <w:proofErr w:type="spellEnd"/>
      <w:r w:rsidR="00AC4384" w:rsidRPr="002D0624">
        <w:t xml:space="preserve"> </w:t>
      </w:r>
      <w:proofErr w:type="spellStart"/>
      <w:r w:rsidR="00AC4384" w:rsidRPr="002D0624">
        <w:t>Children</w:t>
      </w:r>
      <w:proofErr w:type="spellEnd"/>
      <w:r w:rsidR="00AC4384" w:rsidRPr="002D0624">
        <w:t>, 2021)</w:t>
      </w:r>
      <w:r w:rsidR="009A6280" w:rsidRPr="002D0624">
        <w:t>.</w:t>
      </w:r>
    </w:p>
    <w:p w14:paraId="06CC4C4B" w14:textId="77777777" w:rsidR="00FA3890" w:rsidRPr="002D0624" w:rsidRDefault="00FA3890" w:rsidP="002D0624">
      <w:pPr>
        <w:spacing w:line="360" w:lineRule="auto"/>
        <w:jc w:val="both"/>
        <w:rPr>
          <w:b/>
          <w:bCs/>
          <w:color w:val="156082" w:themeColor="accent1"/>
          <w:highlight w:val="yellow"/>
          <w:u w:val="single"/>
        </w:rPr>
      </w:pPr>
    </w:p>
    <w:p w14:paraId="288B8C9D" w14:textId="77777777" w:rsidR="00183412" w:rsidRDefault="00440D72" w:rsidP="00534449">
      <w:pPr>
        <w:pStyle w:val="Ttulo2"/>
        <w:numPr>
          <w:ilvl w:val="0"/>
          <w:numId w:val="0"/>
        </w:numPr>
        <w:ind w:left="720"/>
      </w:pPr>
      <w:bookmarkStart w:id="28" w:name="_Toc221271129"/>
      <w:r w:rsidRPr="0011267E">
        <w:t>Victimología infantil en contextos de violencia vicaria</w:t>
      </w:r>
      <w:r w:rsidR="001837FA" w:rsidRPr="0011267E">
        <w:t>: de la exposición al daño directo.</w:t>
      </w:r>
      <w:bookmarkEnd w:id="28"/>
      <w:r w:rsidR="001837FA" w:rsidRPr="0011267E">
        <w:t xml:space="preserve"> </w:t>
      </w:r>
      <w:r w:rsidR="00183412">
        <w:t xml:space="preserve"> </w:t>
      </w:r>
    </w:p>
    <w:p w14:paraId="4B03DE85" w14:textId="77777777" w:rsidR="00183412" w:rsidRPr="009A7B7B" w:rsidRDefault="00183412" w:rsidP="009A7B7B">
      <w:pPr>
        <w:spacing w:line="360" w:lineRule="auto"/>
        <w:jc w:val="both"/>
        <w:rPr>
          <w:b/>
          <w:bCs/>
          <w:color w:val="000000" w:themeColor="text1"/>
          <w:u w:val="single"/>
        </w:rPr>
      </w:pPr>
    </w:p>
    <w:p w14:paraId="209B637E" w14:textId="29DFBC8D" w:rsidR="00FA3890" w:rsidRPr="00183412" w:rsidRDefault="002121FE" w:rsidP="0064185C">
      <w:pPr>
        <w:pStyle w:val="Ttulo3"/>
        <w:numPr>
          <w:ilvl w:val="0"/>
          <w:numId w:val="0"/>
        </w:numPr>
        <w:ind w:left="720"/>
        <w:rPr>
          <w:u w:val="single"/>
        </w:rPr>
      </w:pPr>
      <w:bookmarkStart w:id="29" w:name="_Toc221271130"/>
      <w:r w:rsidRPr="00183412">
        <w:t>E</w:t>
      </w:r>
      <w:r w:rsidR="00793325" w:rsidRPr="00183412">
        <w:t xml:space="preserve">l menor como </w:t>
      </w:r>
      <w:r w:rsidR="00082A3C" w:rsidRPr="00183412">
        <w:t>víctima</w:t>
      </w:r>
      <w:r w:rsidR="00793325" w:rsidRPr="00183412">
        <w:t xml:space="preserve"> directa </w:t>
      </w:r>
      <w:r w:rsidR="007F1929" w:rsidRPr="00183412">
        <w:t>de la violencia de género.</w:t>
      </w:r>
      <w:bookmarkEnd w:id="29"/>
      <w:r w:rsidR="007F1929" w:rsidRPr="00183412">
        <w:t xml:space="preserve"> </w:t>
      </w:r>
    </w:p>
    <w:p w14:paraId="47AFB8CD" w14:textId="77777777" w:rsidR="00183412" w:rsidRPr="00183412" w:rsidRDefault="00183412" w:rsidP="00183412">
      <w:pPr>
        <w:pStyle w:val="Prrafodelista"/>
        <w:spacing w:line="360" w:lineRule="auto"/>
        <w:ind w:left="360"/>
        <w:jc w:val="both"/>
        <w:rPr>
          <w:b/>
          <w:bCs/>
          <w:color w:val="000000" w:themeColor="text1"/>
        </w:rPr>
      </w:pPr>
    </w:p>
    <w:p w14:paraId="3B516824" w14:textId="08633F55" w:rsidR="00183412" w:rsidRPr="00183412" w:rsidRDefault="00183412" w:rsidP="00287B1A">
      <w:pPr>
        <w:pStyle w:val="Prrafodelista"/>
        <w:spacing w:line="360" w:lineRule="auto"/>
        <w:ind w:left="360" w:firstLine="348"/>
        <w:jc w:val="both"/>
        <w:rPr>
          <w:color w:val="000000" w:themeColor="text1"/>
        </w:rPr>
      </w:pPr>
      <w:r w:rsidRPr="00183412">
        <w:rPr>
          <w:color w:val="000000" w:themeColor="text1"/>
        </w:rPr>
        <w:lastRenderedPageBreak/>
        <w:t>Naranjo- Ortiz (2023) señala que los hijos e hijas de las víctimas de violencia de género pueden encontrarse en una situación de vulnerabilidad doble: por un lado, por vivir en un entorno violento que afectará determinantemente a su desarrollo psicológico y bienestar, esto es, un entorno contaminado que determinará la forma en la que forja su personalidad</w:t>
      </w:r>
      <w:r w:rsidR="00D73E65">
        <w:rPr>
          <w:color w:val="000000" w:themeColor="text1"/>
        </w:rPr>
        <w:t xml:space="preserve"> y sentimiento de confianza hacia del mundo</w:t>
      </w:r>
      <w:r w:rsidR="00287B1A">
        <w:rPr>
          <w:color w:val="000000" w:themeColor="text1"/>
        </w:rPr>
        <w:t xml:space="preserve"> pues su figura central y de referencia para el niño le genera una destrucción de las bases de seguridad. </w:t>
      </w:r>
      <w:r w:rsidR="00B604D9">
        <w:rPr>
          <w:color w:val="000000" w:themeColor="text1"/>
        </w:rPr>
        <w:t xml:space="preserve">Además, </w:t>
      </w:r>
      <w:r w:rsidRPr="00183412">
        <w:rPr>
          <w:color w:val="000000" w:themeColor="text1"/>
        </w:rPr>
        <w:t xml:space="preserve">el hecho de poder ser utilizados como un instrumento para controlar o dañar a sus madres cuando ya no tienen contacto directo. En este último caso podríamos hablar de que se ejerce dos tipos de violencia: violencia directa contra la infancia y violencia psicológica dirigida a sus madres (García, 2022). Así pues, estas acciones tienen una repercusión en los hijos e hijas víctimas de la violencia, que pueden provocar afecciones físicas y psicológicas negativas que afectarían a la sociedad donde se desenvuelve, ya que se vuelven personas inseguras con miedos que no saben cómo enfrentar los retos que la vida exige. Como consecuencia, la sociedad también se considera víctima de la violencia vicaria. </w:t>
      </w:r>
    </w:p>
    <w:p w14:paraId="3D14F47C" w14:textId="77777777" w:rsidR="00183412" w:rsidRPr="00183412" w:rsidRDefault="00183412" w:rsidP="00183412">
      <w:pPr>
        <w:pStyle w:val="Prrafodelista"/>
        <w:spacing w:line="360" w:lineRule="auto"/>
        <w:ind w:left="360"/>
        <w:jc w:val="both"/>
        <w:rPr>
          <w:color w:val="000000" w:themeColor="text1"/>
        </w:rPr>
      </w:pPr>
    </w:p>
    <w:p w14:paraId="67F416DB" w14:textId="77777777" w:rsidR="00183412" w:rsidRPr="00183412" w:rsidRDefault="00183412" w:rsidP="00183412">
      <w:pPr>
        <w:pStyle w:val="Prrafodelista"/>
        <w:spacing w:line="360" w:lineRule="auto"/>
        <w:ind w:left="360"/>
        <w:jc w:val="both"/>
        <w:rPr>
          <w:color w:val="000000" w:themeColor="text1"/>
        </w:rPr>
      </w:pPr>
      <w:r w:rsidRPr="00183412">
        <w:rPr>
          <w:color w:val="000000" w:themeColor="text1"/>
        </w:rPr>
        <w:t xml:space="preserve">En este contexto, es crucial considerar el interés superior del menor en cuestiones como el derecho de visita, ya que se ha explicado anteriormente que es un momento determinante que utiliza el agresor para hacer daño a las víctimas. Esto se refleja en la Ley Orgánica 1/2004, pues establece la necesidad de proteger a los menores afectados por violencia de género. A su vez, el Código Civil español, en su artículo 92 enfatiza que el juez debe de tener en cuenta el interés superior del menor al regular el régimen de visitas. La evaluación de este interés es fundamental para garantizar que el ejercicio del derecho de visita no exponga al niño a situaciones de riesgo, evitando así perpetuar el ciclo de violencia y trauma que puede afectar en su desarrollo emocional o social. </w:t>
      </w:r>
    </w:p>
    <w:p w14:paraId="07AB0A1D" w14:textId="77777777" w:rsidR="00183412" w:rsidRPr="00183412" w:rsidRDefault="00183412" w:rsidP="00183412">
      <w:pPr>
        <w:spacing w:line="360" w:lineRule="auto"/>
        <w:jc w:val="both"/>
        <w:rPr>
          <w:b/>
          <w:bCs/>
          <w:color w:val="000000" w:themeColor="text1"/>
          <w:u w:val="single"/>
        </w:rPr>
      </w:pPr>
    </w:p>
    <w:p w14:paraId="0F10C045" w14:textId="20AF4529" w:rsidR="0042615E" w:rsidRPr="00574A02" w:rsidRDefault="008A74F7" w:rsidP="0064185C">
      <w:pPr>
        <w:pStyle w:val="Ttulo3"/>
        <w:numPr>
          <w:ilvl w:val="0"/>
          <w:numId w:val="0"/>
        </w:numPr>
        <w:ind w:left="720"/>
        <w:rPr>
          <w:u w:val="single"/>
        </w:rPr>
      </w:pPr>
      <w:bookmarkStart w:id="30" w:name="_Toc221271131"/>
      <w:r>
        <w:t>La</w:t>
      </w:r>
      <w:r w:rsidR="00183412">
        <w:t xml:space="preserve"> victimización</w:t>
      </w:r>
      <w:r>
        <w:t xml:space="preserve"> en menores</w:t>
      </w:r>
      <w:r w:rsidR="00183412">
        <w:t xml:space="preserve">: </w:t>
      </w:r>
      <w:r w:rsidR="00C85329">
        <w:t>la violencia familiar como modelo de aprendizaje.</w:t>
      </w:r>
      <w:bookmarkEnd w:id="30"/>
      <w:r w:rsidR="00C85329">
        <w:t xml:space="preserve"> </w:t>
      </w:r>
      <w:r w:rsidR="00183412">
        <w:t xml:space="preserve"> </w:t>
      </w:r>
    </w:p>
    <w:p w14:paraId="67E9110A" w14:textId="77777777" w:rsidR="00574A02" w:rsidRPr="00784682" w:rsidRDefault="00574A02" w:rsidP="00574A02">
      <w:pPr>
        <w:spacing w:line="360" w:lineRule="auto"/>
        <w:jc w:val="both"/>
        <w:rPr>
          <w:color w:val="000000" w:themeColor="text1"/>
        </w:rPr>
      </w:pPr>
    </w:p>
    <w:p w14:paraId="09F18AE5" w14:textId="02F9585E" w:rsidR="00574A02" w:rsidRPr="005D60E8" w:rsidRDefault="00784682" w:rsidP="00784682">
      <w:pPr>
        <w:spacing w:line="360" w:lineRule="auto"/>
        <w:ind w:firstLine="360"/>
        <w:jc w:val="both"/>
        <w:rPr>
          <w:color w:val="000000" w:themeColor="text1"/>
        </w:rPr>
      </w:pPr>
      <w:r w:rsidRPr="00784682">
        <w:rPr>
          <w:color w:val="000000" w:themeColor="text1"/>
        </w:rPr>
        <w:t>Los hijos de mujeres maltratadas</w:t>
      </w:r>
      <w:r w:rsidR="00BF0288">
        <w:rPr>
          <w:color w:val="000000" w:themeColor="text1"/>
        </w:rPr>
        <w:t xml:space="preserve"> también son expuestos a la propia experiencia de sufrir, bien como testigo o víctima directa dentro de un entorno familiar agresivo y tóxico. </w:t>
      </w:r>
      <w:r w:rsidR="009105DD">
        <w:rPr>
          <w:color w:val="000000" w:themeColor="text1"/>
        </w:rPr>
        <w:t xml:space="preserve">Así, esta </w:t>
      </w:r>
      <w:r w:rsidR="009105DD" w:rsidRPr="005D60E8">
        <w:rPr>
          <w:color w:val="000000" w:themeColor="text1"/>
        </w:rPr>
        <w:t xml:space="preserve">clase de niños al crecer en hogares violentos normalizan e interiorizan una serie de creencias y valores negativos sobre las relaciones con otros y sobre el concepto de </w:t>
      </w:r>
      <w:r w:rsidR="009105DD" w:rsidRPr="005D60E8">
        <w:rPr>
          <w:color w:val="000000" w:themeColor="text1"/>
        </w:rPr>
        <w:lastRenderedPageBreak/>
        <w:t>familias y el uso de violencia como método resolutivo de cualquier conflicto</w:t>
      </w:r>
      <w:r w:rsidR="000236F4" w:rsidRPr="005D60E8">
        <w:rPr>
          <w:color w:val="000000" w:themeColor="text1"/>
        </w:rPr>
        <w:t xml:space="preserve"> (</w:t>
      </w:r>
      <w:proofErr w:type="spellStart"/>
      <w:r w:rsidR="000236F4" w:rsidRPr="005D60E8">
        <w:rPr>
          <w:color w:val="000000" w:themeColor="text1"/>
        </w:rPr>
        <w:t>Patró</w:t>
      </w:r>
      <w:proofErr w:type="spellEnd"/>
      <w:r w:rsidR="000236F4" w:rsidRPr="005D60E8">
        <w:rPr>
          <w:color w:val="000000" w:themeColor="text1"/>
        </w:rPr>
        <w:t xml:space="preserve"> Hernández </w:t>
      </w:r>
      <w:r w:rsidR="00227EB8" w:rsidRPr="005D60E8">
        <w:rPr>
          <w:color w:val="000000" w:themeColor="text1"/>
        </w:rPr>
        <w:t xml:space="preserve">&amp; Limiñana Gras, 2005). </w:t>
      </w:r>
      <w:r w:rsidR="00771ED2" w:rsidRPr="005D60E8">
        <w:rPr>
          <w:color w:val="000000" w:themeColor="text1"/>
        </w:rPr>
        <w:t xml:space="preserve"> Diversos estudios han mostrado que los menores expuestos a la violencia familiar presentan más conductas agresivas y antisociales, así como mayores niveles de inhibición y miedo </w:t>
      </w:r>
      <w:r w:rsidR="005D60E8" w:rsidRPr="005D60E8">
        <w:rPr>
          <w:color w:val="000000"/>
        </w:rPr>
        <w:t>(</w:t>
      </w:r>
      <w:proofErr w:type="spellStart"/>
      <w:r w:rsidR="005D60E8" w:rsidRPr="005D60E8">
        <w:rPr>
          <w:color w:val="000000"/>
        </w:rPr>
        <w:t>Fantuzzo</w:t>
      </w:r>
      <w:proofErr w:type="spellEnd"/>
      <w:r w:rsidR="005D60E8" w:rsidRPr="005D60E8">
        <w:rPr>
          <w:color w:val="000000"/>
        </w:rPr>
        <w:t xml:space="preserve"> et al., 1991; Hughes, 1988; Hughes et al., 1989, como se citó en </w:t>
      </w:r>
      <w:proofErr w:type="spellStart"/>
      <w:r w:rsidR="005D60E8" w:rsidRPr="005D60E8">
        <w:rPr>
          <w:color w:val="000000"/>
        </w:rPr>
        <w:t>Patró</w:t>
      </w:r>
      <w:proofErr w:type="spellEnd"/>
      <w:r w:rsidR="005D60E8" w:rsidRPr="005D60E8">
        <w:rPr>
          <w:color w:val="000000"/>
        </w:rPr>
        <w:t xml:space="preserve"> Hernández &amp; Limiñana Gras,</w:t>
      </w:r>
      <w:r w:rsidR="005D60E8" w:rsidRPr="005D60E8">
        <w:rPr>
          <w:rStyle w:val="apple-converted-space"/>
          <w:rFonts w:eastAsiaTheme="majorEastAsia"/>
          <w:color w:val="000000"/>
        </w:rPr>
        <w:t> </w:t>
      </w:r>
      <w:r w:rsidR="006C5945">
        <w:rPr>
          <w:rStyle w:val="nfasis"/>
          <w:rFonts w:eastAsiaTheme="majorEastAsia"/>
          <w:color w:val="000000"/>
        </w:rPr>
        <w:t>2005</w:t>
      </w:r>
      <w:r w:rsidR="005D60E8" w:rsidRPr="005D60E8">
        <w:rPr>
          <w:color w:val="000000"/>
        </w:rPr>
        <w:t>)</w:t>
      </w:r>
      <w:r w:rsidR="008566BF">
        <w:rPr>
          <w:color w:val="000000"/>
        </w:rPr>
        <w:t xml:space="preserve">. </w:t>
      </w:r>
      <w:r w:rsidR="00C635AA">
        <w:rPr>
          <w:color w:val="000000" w:themeColor="text1"/>
        </w:rPr>
        <w:t xml:space="preserve">Asimismo, los niños que han experimentado alguna forma de rechazo parental o maltrato tienden a presentar sesgos atribucionales hostiles y aprenden a anticipar y eludir las conductas de rechazo, generalizando esta anticipación a situaciones interpersonales </w:t>
      </w:r>
      <w:r w:rsidR="00C635AA" w:rsidRPr="005D60E8">
        <w:rPr>
          <w:color w:val="000000" w:themeColor="text1"/>
        </w:rPr>
        <w:t>(</w:t>
      </w:r>
      <w:proofErr w:type="spellStart"/>
      <w:r w:rsidR="00C635AA" w:rsidRPr="005D60E8">
        <w:rPr>
          <w:color w:val="000000" w:themeColor="text1"/>
        </w:rPr>
        <w:t>Patró</w:t>
      </w:r>
      <w:proofErr w:type="spellEnd"/>
      <w:r w:rsidR="00C635AA" w:rsidRPr="005D60E8">
        <w:rPr>
          <w:color w:val="000000" w:themeColor="text1"/>
        </w:rPr>
        <w:t xml:space="preserve"> Hernández &amp; Limiñana Gras, 2005).</w:t>
      </w:r>
    </w:p>
    <w:p w14:paraId="20E6FF9C" w14:textId="77777777" w:rsidR="00565995" w:rsidRPr="005D60E8" w:rsidRDefault="00565995" w:rsidP="00784682">
      <w:pPr>
        <w:spacing w:line="360" w:lineRule="auto"/>
        <w:ind w:firstLine="360"/>
        <w:jc w:val="both"/>
        <w:rPr>
          <w:color w:val="000000" w:themeColor="text1"/>
        </w:rPr>
      </w:pPr>
    </w:p>
    <w:p w14:paraId="1CDA6EF5" w14:textId="2685F478" w:rsidR="00946AC7" w:rsidRDefault="001004A6" w:rsidP="00946AC7">
      <w:pPr>
        <w:spacing w:line="360" w:lineRule="auto"/>
        <w:ind w:firstLine="360"/>
        <w:jc w:val="both"/>
        <w:rPr>
          <w:color w:val="000000" w:themeColor="text1"/>
        </w:rPr>
      </w:pPr>
      <w:r w:rsidRPr="005D60E8">
        <w:rPr>
          <w:color w:val="000000" w:themeColor="text1"/>
        </w:rPr>
        <w:t xml:space="preserve">El hecho de vivir esta serie de circunstancias a menudo provoca en el menor la </w:t>
      </w:r>
      <w:proofErr w:type="spellStart"/>
      <w:r w:rsidRPr="005D60E8">
        <w:rPr>
          <w:color w:val="000000" w:themeColor="text1"/>
        </w:rPr>
        <w:t>périda</w:t>
      </w:r>
      <w:proofErr w:type="spellEnd"/>
      <w:r w:rsidRPr="005D60E8">
        <w:rPr>
          <w:color w:val="000000" w:themeColor="text1"/>
        </w:rPr>
        <w:t xml:space="preserve"> de su sensación de seguridad</w:t>
      </w:r>
      <w:r w:rsidR="00574F0F" w:rsidRPr="005D60E8">
        <w:rPr>
          <w:color w:val="000000" w:themeColor="text1"/>
        </w:rPr>
        <w:t xml:space="preserve">. </w:t>
      </w:r>
      <w:r w:rsidR="00EE7A40" w:rsidRPr="005D60E8">
        <w:rPr>
          <w:color w:val="000000" w:themeColor="text1"/>
        </w:rPr>
        <w:t>El menor experimenta emociones relacionadas desbordantes,</w:t>
      </w:r>
      <w:r w:rsidR="00574F0F" w:rsidRPr="005D60E8">
        <w:rPr>
          <w:color w:val="000000" w:themeColor="text1"/>
        </w:rPr>
        <w:t xml:space="preserve"> así como la preocupación por la posibilidad de que el trauma se repita. Estas emociones pueden generar una ansiedad tan abrumadora que resulta </w:t>
      </w:r>
      <w:r w:rsidR="00F77BC3" w:rsidRPr="005D60E8">
        <w:rPr>
          <w:color w:val="000000" w:themeColor="text1"/>
        </w:rPr>
        <w:t>paralizante (</w:t>
      </w:r>
      <w:proofErr w:type="spellStart"/>
      <w:r w:rsidR="00105FB5" w:rsidRPr="005D60E8">
        <w:rPr>
          <w:color w:val="000000" w:themeColor="text1"/>
        </w:rPr>
        <w:t>Patró</w:t>
      </w:r>
      <w:proofErr w:type="spellEnd"/>
      <w:r w:rsidR="00105FB5" w:rsidRPr="005D60E8">
        <w:rPr>
          <w:color w:val="000000" w:themeColor="text1"/>
        </w:rPr>
        <w:t xml:space="preserve"> Hernández &amp; Limiñana Gras, 2005). </w:t>
      </w:r>
      <w:r w:rsidR="00F77BC3" w:rsidRPr="005D60E8">
        <w:rPr>
          <w:color w:val="000000" w:themeColor="text1"/>
        </w:rPr>
        <w:t>Desafortunadamente</w:t>
      </w:r>
      <w:r w:rsidR="00105FB5" w:rsidRPr="005D60E8">
        <w:rPr>
          <w:color w:val="000000" w:themeColor="text1"/>
        </w:rPr>
        <w:t xml:space="preserve">, en situaciones de violencia familiar, en niño puede </w:t>
      </w:r>
      <w:r w:rsidR="00F77BC3" w:rsidRPr="005D60E8">
        <w:rPr>
          <w:color w:val="000000" w:themeColor="text1"/>
        </w:rPr>
        <w:t>experimentar</w:t>
      </w:r>
      <w:r w:rsidR="00105FB5" w:rsidRPr="005D60E8">
        <w:rPr>
          <w:color w:val="000000" w:themeColor="text1"/>
        </w:rPr>
        <w:t xml:space="preserve"> ese temor durante muchos años, convirtiéndose en una amenaza constante </w:t>
      </w:r>
      <w:r w:rsidR="00F77BC3" w:rsidRPr="005D60E8">
        <w:rPr>
          <w:color w:val="000000" w:themeColor="text1"/>
        </w:rPr>
        <w:t xml:space="preserve">por parte del agresor que perciben como incontrolable. </w:t>
      </w:r>
    </w:p>
    <w:p w14:paraId="551515CB" w14:textId="77777777" w:rsidR="009D5DC1" w:rsidRDefault="009D5DC1" w:rsidP="00946AC7">
      <w:pPr>
        <w:spacing w:line="360" w:lineRule="auto"/>
        <w:ind w:firstLine="360"/>
        <w:jc w:val="both"/>
        <w:rPr>
          <w:color w:val="000000" w:themeColor="text1"/>
        </w:rPr>
      </w:pPr>
    </w:p>
    <w:p w14:paraId="3725E12E" w14:textId="6ED206FF" w:rsidR="00946AC7" w:rsidRDefault="00715923" w:rsidP="00946AC7">
      <w:pPr>
        <w:spacing w:line="360" w:lineRule="auto"/>
        <w:ind w:firstLine="360"/>
        <w:jc w:val="both"/>
        <w:rPr>
          <w:color w:val="000000" w:themeColor="text1"/>
        </w:rPr>
      </w:pPr>
      <w:r>
        <w:rPr>
          <w:color w:val="000000" w:themeColor="text1"/>
        </w:rPr>
        <w:t xml:space="preserve">Como consecuencia de esta experiencia profundamente traumática, es importante </w:t>
      </w:r>
      <w:r w:rsidR="003C17CA">
        <w:rPr>
          <w:color w:val="000000" w:themeColor="text1"/>
        </w:rPr>
        <w:t>remarcar</w:t>
      </w:r>
      <w:r>
        <w:rPr>
          <w:color w:val="000000" w:themeColor="text1"/>
        </w:rPr>
        <w:t xml:space="preserve"> que puede generar trastornos psicológicos graves y persistentes, especialmente el más común es el Trastorno </w:t>
      </w:r>
      <w:r w:rsidRPr="008B4A61">
        <w:rPr>
          <w:color w:val="000000" w:themeColor="text1"/>
        </w:rPr>
        <w:t xml:space="preserve">de Estrés Postraumático (TEPT). </w:t>
      </w:r>
      <w:r w:rsidR="00F817BE" w:rsidRPr="008B4A61">
        <w:rPr>
          <w:color w:val="000000" w:themeColor="text1"/>
        </w:rPr>
        <w:t>Los menores lo suelen experimentar mediante el criterio de evitación (evitar o huir lugares o situaciones relacionadas</w:t>
      </w:r>
      <w:r w:rsidR="004D50E4" w:rsidRPr="008B4A61">
        <w:rPr>
          <w:color w:val="000000" w:themeColor="text1"/>
        </w:rPr>
        <w:t xml:space="preserve"> o incluso rechazar pensar o hablar de este) o el criterio de activación (respuestas de sobresalto exageradas que se manifiestan en dificultades de concentración, insomnio o irritabilidad)</w:t>
      </w:r>
      <w:r w:rsidR="006C391A" w:rsidRPr="008B4A61">
        <w:rPr>
          <w:color w:val="000000" w:themeColor="text1"/>
        </w:rPr>
        <w:t>. También se manifiesta en varios síntomas físicos como el dolor de estómago, de cabeza y otros síntomas</w:t>
      </w:r>
      <w:r w:rsidR="008B4A61" w:rsidRPr="008B4A61">
        <w:rPr>
          <w:color w:val="000000" w:themeColor="text1"/>
        </w:rPr>
        <w:t xml:space="preserve"> </w:t>
      </w:r>
      <w:r w:rsidR="008B4A61" w:rsidRPr="008B4A61">
        <w:rPr>
          <w:color w:val="000000"/>
        </w:rPr>
        <w:t>(Sepúlveda García de la Torre, 2006).</w:t>
      </w:r>
    </w:p>
    <w:p w14:paraId="31769E81" w14:textId="77777777" w:rsidR="00183412" w:rsidRPr="00183412" w:rsidRDefault="00183412" w:rsidP="00183412">
      <w:pPr>
        <w:spacing w:line="360" w:lineRule="auto"/>
        <w:jc w:val="both"/>
        <w:rPr>
          <w:b/>
          <w:bCs/>
          <w:color w:val="000000" w:themeColor="text1"/>
          <w:u w:val="single"/>
        </w:rPr>
      </w:pPr>
    </w:p>
    <w:p w14:paraId="5779BD5A" w14:textId="1391B9B3" w:rsidR="00E86FD2" w:rsidRPr="00340A21" w:rsidRDefault="00183412" w:rsidP="0064185C">
      <w:pPr>
        <w:pStyle w:val="Ttulo3"/>
        <w:numPr>
          <w:ilvl w:val="0"/>
          <w:numId w:val="0"/>
        </w:numPr>
        <w:ind w:left="720"/>
        <w:rPr>
          <w:u w:val="single"/>
        </w:rPr>
      </w:pPr>
      <w:bookmarkStart w:id="31" w:name="_Toc221271132"/>
      <w:r>
        <w:t>Protección en la infancia</w:t>
      </w:r>
      <w:r w:rsidR="001F6024">
        <w:t>.</w:t>
      </w:r>
      <w:r>
        <w:t xml:space="preserve"> </w:t>
      </w:r>
      <w:r w:rsidR="001F6024">
        <w:t>I</w:t>
      </w:r>
      <w:r>
        <w:t>ndicadores de detección.</w:t>
      </w:r>
      <w:bookmarkEnd w:id="31"/>
      <w:r>
        <w:t xml:space="preserve"> </w:t>
      </w:r>
    </w:p>
    <w:p w14:paraId="19BBC1D3" w14:textId="77777777" w:rsidR="00433124" w:rsidRDefault="00433124" w:rsidP="00A129CB">
      <w:pPr>
        <w:spacing w:line="360" w:lineRule="auto"/>
        <w:ind w:firstLine="708"/>
        <w:jc w:val="both"/>
        <w:rPr>
          <w:color w:val="000000" w:themeColor="text1"/>
        </w:rPr>
      </w:pPr>
    </w:p>
    <w:p w14:paraId="3CA084B8" w14:textId="68DEA200" w:rsidR="00BF020C" w:rsidRDefault="008401E2" w:rsidP="00F65FA8">
      <w:pPr>
        <w:spacing w:line="360" w:lineRule="auto"/>
        <w:ind w:firstLine="708"/>
        <w:jc w:val="both"/>
        <w:rPr>
          <w:color w:val="000000" w:themeColor="text1"/>
        </w:rPr>
      </w:pPr>
      <w:r>
        <w:rPr>
          <w:color w:val="000000" w:themeColor="text1"/>
        </w:rPr>
        <w:t>Los niños y niñas testigos de violencia de género, deben contar con el mismo nivel</w:t>
      </w:r>
      <w:r w:rsidR="00F65FA8">
        <w:rPr>
          <w:color w:val="000000" w:themeColor="text1"/>
        </w:rPr>
        <w:t xml:space="preserve"> asistencial y especial protección judicial que cuando son víctimas directas de maltrato. </w:t>
      </w:r>
      <w:r w:rsidR="00E72109">
        <w:rPr>
          <w:color w:val="000000" w:themeColor="text1"/>
        </w:rPr>
        <w:lastRenderedPageBreak/>
        <w:t>La identificación temprana de los menores en situaci</w:t>
      </w:r>
      <w:r w:rsidR="000D2D67">
        <w:rPr>
          <w:color w:val="000000" w:themeColor="text1"/>
        </w:rPr>
        <w:t xml:space="preserve">ón de riesgo y la implementación de medidas de protección afectivas son, por tanto, esenciales. </w:t>
      </w:r>
    </w:p>
    <w:p w14:paraId="38D10432" w14:textId="77777777" w:rsidR="00125D19" w:rsidRDefault="00125D19" w:rsidP="00F65FA8">
      <w:pPr>
        <w:spacing w:line="360" w:lineRule="auto"/>
        <w:ind w:firstLine="708"/>
        <w:jc w:val="both"/>
        <w:rPr>
          <w:color w:val="000000" w:themeColor="text1"/>
        </w:rPr>
      </w:pPr>
    </w:p>
    <w:p w14:paraId="5C2CCF95" w14:textId="31828711" w:rsidR="00125D19" w:rsidRDefault="00125D19" w:rsidP="00F65FA8">
      <w:pPr>
        <w:spacing w:line="360" w:lineRule="auto"/>
        <w:ind w:firstLine="708"/>
        <w:jc w:val="both"/>
        <w:rPr>
          <w:color w:val="000000" w:themeColor="text1"/>
        </w:rPr>
      </w:pPr>
      <w:r>
        <w:rPr>
          <w:color w:val="000000" w:themeColor="text1"/>
        </w:rPr>
        <w:t xml:space="preserve">La </w:t>
      </w:r>
      <w:r w:rsidR="009D7F39">
        <w:rPr>
          <w:color w:val="000000" w:themeColor="text1"/>
        </w:rPr>
        <w:t>le</w:t>
      </w:r>
      <w:r>
        <w:rPr>
          <w:color w:val="000000" w:themeColor="text1"/>
        </w:rPr>
        <w:t xml:space="preserve">y Orgánica 8/2021 de Protección Integral a la Infancia y Adolescencia frente a la Violencia (LOPIVI), establece el marco legal para la protección de estos menores. </w:t>
      </w:r>
    </w:p>
    <w:p w14:paraId="3EE207F6" w14:textId="77777777" w:rsidR="00F65FA8" w:rsidRDefault="00F65FA8" w:rsidP="00F65FA8">
      <w:pPr>
        <w:spacing w:line="360" w:lineRule="auto"/>
        <w:jc w:val="both"/>
        <w:rPr>
          <w:color w:val="000000" w:themeColor="text1"/>
        </w:rPr>
      </w:pPr>
    </w:p>
    <w:p w14:paraId="404E9E71" w14:textId="701D7100" w:rsidR="00903AD1" w:rsidRPr="00CF1319" w:rsidRDefault="00903AD1" w:rsidP="0064185C">
      <w:pPr>
        <w:pStyle w:val="Ttulo3"/>
        <w:numPr>
          <w:ilvl w:val="0"/>
          <w:numId w:val="0"/>
        </w:numPr>
        <w:ind w:left="720"/>
      </w:pPr>
      <w:bookmarkStart w:id="32" w:name="_Toc221271133"/>
      <w:r w:rsidRPr="00903AD1">
        <w:t>Detección o sospecha de la situación de violencia:</w:t>
      </w:r>
      <w:bookmarkEnd w:id="32"/>
      <w:r w:rsidRPr="00903AD1">
        <w:t xml:space="preserve"> </w:t>
      </w:r>
    </w:p>
    <w:p w14:paraId="7CEC0F1E" w14:textId="77777777" w:rsidR="007D4346" w:rsidRDefault="007D4346" w:rsidP="00794787">
      <w:pPr>
        <w:spacing w:line="360" w:lineRule="auto"/>
        <w:jc w:val="both"/>
        <w:rPr>
          <w:color w:val="000000" w:themeColor="text1"/>
        </w:rPr>
      </w:pPr>
    </w:p>
    <w:p w14:paraId="5869D7D2" w14:textId="11EE37B3" w:rsidR="00903AD1" w:rsidRDefault="00E0458C" w:rsidP="00E0458C">
      <w:pPr>
        <w:spacing w:line="360" w:lineRule="auto"/>
        <w:ind w:firstLine="708"/>
        <w:jc w:val="both"/>
        <w:rPr>
          <w:color w:val="000000"/>
        </w:rPr>
      </w:pPr>
      <w:r w:rsidRPr="00F15104">
        <w:rPr>
          <w:color w:val="000000" w:themeColor="text1"/>
        </w:rPr>
        <w:t>Detectar una posible situación de violencia en una persona menor de edad es el primer paso para poder intervenir y posibilitar la ayuda al NNA y su familia. Este paso es esencial para activar las medidas de protección que pudieran ser necesarias para minimizar las consecuencias y tratar las secuelas. Por ello, debe ser lo más precoz posible</w:t>
      </w:r>
      <w:r w:rsidR="004912D9" w:rsidRPr="00F15104">
        <w:rPr>
          <w:color w:val="000000" w:themeColor="text1"/>
        </w:rPr>
        <w:t xml:space="preserve"> </w:t>
      </w:r>
      <w:r w:rsidR="004912D9" w:rsidRPr="00F15104">
        <w:rPr>
          <w:color w:val="000000"/>
        </w:rPr>
        <w:t xml:space="preserve">(Ministerio de Sanidad, 2023). </w:t>
      </w:r>
    </w:p>
    <w:p w14:paraId="28AAA288" w14:textId="7C07F0FE" w:rsidR="00E92777" w:rsidRPr="001170A6" w:rsidRDefault="009954A9" w:rsidP="001170A6">
      <w:pPr>
        <w:spacing w:line="360" w:lineRule="auto"/>
        <w:ind w:firstLine="708"/>
        <w:jc w:val="both"/>
        <w:rPr>
          <w:color w:val="000000"/>
        </w:rPr>
      </w:pPr>
      <w:r>
        <w:rPr>
          <w:color w:val="000000"/>
        </w:rPr>
        <w:t xml:space="preserve">Los </w:t>
      </w:r>
      <w:r w:rsidRPr="00D8183C">
        <w:rPr>
          <w:b/>
          <w:bCs/>
          <w:color w:val="000000"/>
        </w:rPr>
        <w:t>indicadores de sospecha de violencia</w:t>
      </w:r>
      <w:r>
        <w:rPr>
          <w:color w:val="000000"/>
        </w:rPr>
        <w:t xml:space="preserve"> son aquellos signos y síntomas que </w:t>
      </w:r>
      <w:r w:rsidR="009D7023">
        <w:rPr>
          <w:color w:val="000000"/>
        </w:rPr>
        <w:t>pueden manifestar</w:t>
      </w:r>
      <w:r>
        <w:rPr>
          <w:color w:val="000000"/>
        </w:rPr>
        <w:t xml:space="preserve"> las posibles víctimas y/o las personas responsables, cuando son las agresoras, </w:t>
      </w:r>
      <w:r w:rsidR="009D7023">
        <w:rPr>
          <w:color w:val="000000"/>
        </w:rPr>
        <w:t>y que</w:t>
      </w:r>
      <w:r>
        <w:rPr>
          <w:color w:val="000000"/>
        </w:rPr>
        <w:t xml:space="preserve"> deben alterar</w:t>
      </w:r>
      <w:r w:rsidR="009D7023">
        <w:rPr>
          <w:color w:val="000000"/>
        </w:rPr>
        <w:t>nos</w:t>
      </w:r>
      <w:r>
        <w:rPr>
          <w:color w:val="000000"/>
        </w:rPr>
        <w:t xml:space="preserve"> </w:t>
      </w:r>
      <w:r w:rsidR="009D7023">
        <w:rPr>
          <w:color w:val="000000"/>
        </w:rPr>
        <w:t xml:space="preserve">sobre una </w:t>
      </w:r>
      <w:r>
        <w:rPr>
          <w:color w:val="000000"/>
        </w:rPr>
        <w:t xml:space="preserve">posible situación de violencia. </w:t>
      </w:r>
      <w:r w:rsidR="002E0235">
        <w:rPr>
          <w:color w:val="000000"/>
        </w:rPr>
        <w:t xml:space="preserve">Según el Ministerio de Salud, existen ciertos indicadores inespecíficos que hay que tener presentes en la consulta, especialmente si se dan de forma reiterada. Algunos son: </w:t>
      </w:r>
      <w:r w:rsidR="002E0235" w:rsidRPr="001170A6">
        <w:rPr>
          <w:color w:val="000000"/>
        </w:rPr>
        <w:t>No acudir a las consultas concertadas o de seguimiento</w:t>
      </w:r>
      <w:r w:rsidR="001170A6">
        <w:rPr>
          <w:color w:val="000000"/>
        </w:rPr>
        <w:t>, n</w:t>
      </w:r>
      <w:r w:rsidR="00E92777" w:rsidRPr="001170A6">
        <w:rPr>
          <w:color w:val="000000"/>
        </w:rPr>
        <w:t>o aportar informes cuando se solicitan</w:t>
      </w:r>
      <w:r w:rsidR="001170A6">
        <w:rPr>
          <w:color w:val="000000"/>
        </w:rPr>
        <w:t>, c</w:t>
      </w:r>
      <w:r w:rsidR="00E92777" w:rsidRPr="001170A6">
        <w:rPr>
          <w:color w:val="000000"/>
        </w:rPr>
        <w:t>ambios frecuentes de profesionales del sistema sanitario sin justificación</w:t>
      </w:r>
      <w:r w:rsidR="001170A6">
        <w:rPr>
          <w:color w:val="000000"/>
        </w:rPr>
        <w:t>, a</w:t>
      </w:r>
      <w:r w:rsidR="00E92777" w:rsidRPr="001170A6">
        <w:rPr>
          <w:color w:val="000000"/>
        </w:rPr>
        <w:t>cudir a consulta sin motivo aparente</w:t>
      </w:r>
      <w:r w:rsidR="001170A6">
        <w:rPr>
          <w:color w:val="000000"/>
        </w:rPr>
        <w:t xml:space="preserve">; etc. </w:t>
      </w:r>
    </w:p>
    <w:p w14:paraId="2BCFAE6C" w14:textId="77777777" w:rsidR="00886082" w:rsidRDefault="00886082" w:rsidP="00886082">
      <w:pPr>
        <w:spacing w:line="360" w:lineRule="auto"/>
        <w:jc w:val="both"/>
        <w:rPr>
          <w:color w:val="000000"/>
        </w:rPr>
      </w:pPr>
    </w:p>
    <w:p w14:paraId="027016E0" w14:textId="01FCC70A" w:rsidR="00886082" w:rsidRDefault="003B55DE" w:rsidP="003B55DE">
      <w:pPr>
        <w:spacing w:line="360" w:lineRule="auto"/>
        <w:ind w:firstLine="708"/>
        <w:jc w:val="both"/>
        <w:rPr>
          <w:color w:val="000000"/>
        </w:rPr>
      </w:pPr>
      <w:r>
        <w:rPr>
          <w:color w:val="000000"/>
        </w:rPr>
        <w:t xml:space="preserve">En especial, los </w:t>
      </w:r>
      <w:r w:rsidRPr="007D28A9">
        <w:rPr>
          <w:i/>
          <w:iCs/>
          <w:color w:val="000000"/>
        </w:rPr>
        <w:t>criterios de identificación</w:t>
      </w:r>
      <w:r>
        <w:rPr>
          <w:color w:val="000000"/>
        </w:rPr>
        <w:t xml:space="preserve"> </w:t>
      </w:r>
      <w:r w:rsidR="00910E13">
        <w:rPr>
          <w:color w:val="000000"/>
        </w:rPr>
        <w:t>pueden manifestarse</w:t>
      </w:r>
      <w:r w:rsidR="007D28A9">
        <w:rPr>
          <w:color w:val="000000"/>
        </w:rPr>
        <w:t xml:space="preserve"> de múltiples formas y no constituyen una relación exhaustiva. Entre los principales indicadores se encuentran los siguientes: </w:t>
      </w:r>
    </w:p>
    <w:p w14:paraId="6BD671B0" w14:textId="77777777" w:rsidR="00DF2D67" w:rsidRDefault="00DF2D67" w:rsidP="003B55DE">
      <w:pPr>
        <w:spacing w:line="360" w:lineRule="auto"/>
        <w:ind w:firstLine="708"/>
        <w:jc w:val="both"/>
        <w:rPr>
          <w:color w:val="000000"/>
        </w:rPr>
      </w:pPr>
    </w:p>
    <w:p w14:paraId="3EC817E9" w14:textId="3709E0B9" w:rsidR="003B55DE" w:rsidRDefault="001170A6" w:rsidP="001170A6">
      <w:pPr>
        <w:pStyle w:val="Prrafodelista"/>
        <w:numPr>
          <w:ilvl w:val="0"/>
          <w:numId w:val="41"/>
        </w:numPr>
        <w:spacing w:line="360" w:lineRule="auto"/>
        <w:jc w:val="both"/>
        <w:rPr>
          <w:color w:val="000000"/>
        </w:rPr>
      </w:pPr>
      <w:r w:rsidRPr="00AC2067">
        <w:rPr>
          <w:b/>
          <w:bCs/>
          <w:color w:val="000000"/>
        </w:rPr>
        <w:t>N</w:t>
      </w:r>
      <w:r w:rsidR="003B55DE" w:rsidRPr="00AC2067">
        <w:rPr>
          <w:b/>
          <w:bCs/>
          <w:color w:val="000000"/>
        </w:rPr>
        <w:t>egligencia o abandono</w:t>
      </w:r>
      <w:r w:rsidRPr="00AC2067">
        <w:rPr>
          <w:b/>
          <w:bCs/>
          <w:color w:val="000000"/>
        </w:rPr>
        <w:t>:</w:t>
      </w:r>
      <w:r>
        <w:rPr>
          <w:color w:val="000000"/>
        </w:rPr>
        <w:t xml:space="preserve"> se </w:t>
      </w:r>
      <w:r w:rsidR="00C21349">
        <w:rPr>
          <w:color w:val="000000"/>
        </w:rPr>
        <w:t xml:space="preserve">observa mediante conductas como higiene deficiente, falta de vacunaciones, </w:t>
      </w:r>
      <w:r w:rsidR="00AC2067">
        <w:rPr>
          <w:color w:val="000000"/>
        </w:rPr>
        <w:t>retraso</w:t>
      </w:r>
      <w:r w:rsidR="00C21349">
        <w:rPr>
          <w:color w:val="000000"/>
        </w:rPr>
        <w:t xml:space="preserve"> en cualquiera de las áreas de desarrollo, no escolarización, </w:t>
      </w:r>
      <w:r w:rsidR="00AC2067">
        <w:rPr>
          <w:color w:val="000000"/>
        </w:rPr>
        <w:t>conductas y expresiones impropias de su edad…</w:t>
      </w:r>
    </w:p>
    <w:p w14:paraId="0C593AD3" w14:textId="77777777" w:rsidR="005C2414" w:rsidRDefault="005C2414" w:rsidP="005C2414">
      <w:pPr>
        <w:pStyle w:val="Prrafodelista"/>
        <w:spacing w:line="360" w:lineRule="auto"/>
        <w:jc w:val="both"/>
        <w:rPr>
          <w:color w:val="000000"/>
        </w:rPr>
      </w:pPr>
    </w:p>
    <w:p w14:paraId="360A97A8" w14:textId="61394AE0" w:rsidR="00DF2D67" w:rsidRPr="00DF2D67" w:rsidRDefault="005C2414" w:rsidP="00DF2D67">
      <w:pPr>
        <w:pStyle w:val="Prrafodelista"/>
        <w:numPr>
          <w:ilvl w:val="0"/>
          <w:numId w:val="41"/>
        </w:numPr>
        <w:spacing w:line="360" w:lineRule="auto"/>
        <w:jc w:val="both"/>
        <w:rPr>
          <w:b/>
          <w:bCs/>
          <w:color w:val="000000"/>
        </w:rPr>
      </w:pPr>
      <w:r w:rsidRPr="005C2414">
        <w:rPr>
          <w:b/>
          <w:bCs/>
          <w:color w:val="000000"/>
        </w:rPr>
        <w:t xml:space="preserve">Violencia emocional o psicológica: </w:t>
      </w:r>
      <w:r w:rsidRPr="005C2414">
        <w:rPr>
          <w:color w:val="000000"/>
        </w:rPr>
        <w:t xml:space="preserve">incluye situaciones aisladas o patrones de comportamiento en las que falla la provisión de cuidados o entorno apropiado y de apoyo, u otros comportamientos como rechazar, </w:t>
      </w:r>
      <w:r w:rsidR="00276CBB" w:rsidRPr="005C2414">
        <w:rPr>
          <w:color w:val="000000"/>
        </w:rPr>
        <w:t>marginar</w:t>
      </w:r>
      <w:r w:rsidRPr="005C2414">
        <w:rPr>
          <w:color w:val="000000"/>
        </w:rPr>
        <w:t xml:space="preserve">, aislar o actuar con </w:t>
      </w:r>
      <w:r w:rsidRPr="005C2414">
        <w:rPr>
          <w:color w:val="000000"/>
        </w:rPr>
        <w:lastRenderedPageBreak/>
        <w:t xml:space="preserve">negligencia emocional. </w:t>
      </w:r>
      <w:r>
        <w:rPr>
          <w:color w:val="000000"/>
        </w:rPr>
        <w:t xml:space="preserve">Entre los diferentes síntomas se encuentra la desconfianza y apatía hacia la persona adulta, disminución de capacidad de atención, trastornos de la conducta, trastornos relacionados con </w:t>
      </w:r>
      <w:r w:rsidR="00DF2D67">
        <w:rPr>
          <w:color w:val="000000"/>
        </w:rPr>
        <w:t xml:space="preserve">estructuras del pensamiento obsesivo, fobias, ansiedad; etc. </w:t>
      </w:r>
    </w:p>
    <w:p w14:paraId="2278FE7E" w14:textId="77777777" w:rsidR="00DF2D67" w:rsidRPr="00DF2D67" w:rsidRDefault="00DF2D67" w:rsidP="00DF2D67">
      <w:pPr>
        <w:pStyle w:val="Prrafodelista"/>
        <w:rPr>
          <w:b/>
          <w:bCs/>
          <w:color w:val="000000"/>
        </w:rPr>
      </w:pPr>
    </w:p>
    <w:p w14:paraId="17B7A002" w14:textId="5F3CB223" w:rsidR="005A7025" w:rsidRPr="005A7025" w:rsidRDefault="00DF2D67" w:rsidP="005A7025">
      <w:pPr>
        <w:pStyle w:val="Prrafodelista"/>
        <w:numPr>
          <w:ilvl w:val="0"/>
          <w:numId w:val="41"/>
        </w:numPr>
        <w:spacing w:line="360" w:lineRule="auto"/>
        <w:jc w:val="both"/>
        <w:rPr>
          <w:b/>
          <w:bCs/>
          <w:color w:val="000000"/>
        </w:rPr>
      </w:pPr>
      <w:r>
        <w:rPr>
          <w:b/>
          <w:bCs/>
          <w:color w:val="000000"/>
        </w:rPr>
        <w:t xml:space="preserve">Violencia física: </w:t>
      </w:r>
      <w:r w:rsidR="00DA191E" w:rsidRPr="00DA191E">
        <w:rPr>
          <w:color w:val="000000"/>
        </w:rPr>
        <w:t xml:space="preserve">que a menudo se manifiesta mediante miedo intenso o indefensión, ansiedad e hiperactivación, alteraciones conductuales o síntomas somáticos. </w:t>
      </w:r>
    </w:p>
    <w:p w14:paraId="1387428A" w14:textId="77777777" w:rsidR="005A7025" w:rsidRPr="005A7025" w:rsidRDefault="005A7025" w:rsidP="005A7025">
      <w:pPr>
        <w:pStyle w:val="Prrafodelista"/>
        <w:rPr>
          <w:b/>
          <w:bCs/>
          <w:color w:val="000000"/>
        </w:rPr>
      </w:pPr>
    </w:p>
    <w:p w14:paraId="08392684" w14:textId="27689BDF" w:rsidR="005A7025" w:rsidRPr="000E2669" w:rsidRDefault="005A7025" w:rsidP="005A7025">
      <w:pPr>
        <w:pStyle w:val="Prrafodelista"/>
        <w:numPr>
          <w:ilvl w:val="0"/>
          <w:numId w:val="41"/>
        </w:numPr>
        <w:spacing w:line="360" w:lineRule="auto"/>
        <w:jc w:val="both"/>
        <w:rPr>
          <w:b/>
          <w:bCs/>
          <w:color w:val="000000"/>
        </w:rPr>
      </w:pPr>
      <w:r>
        <w:rPr>
          <w:b/>
          <w:bCs/>
          <w:color w:val="000000"/>
        </w:rPr>
        <w:t xml:space="preserve">Violencia sexual: </w:t>
      </w:r>
      <w:r w:rsidR="003E2FA0" w:rsidRPr="003E2FA0">
        <w:rPr>
          <w:color w:val="000000"/>
        </w:rPr>
        <w:t>El indicador más específico y significativo es la revelación del menor sobre haber sufrido violencia sexual</w:t>
      </w:r>
      <w:r w:rsidR="003E2FA0">
        <w:rPr>
          <w:color w:val="000000"/>
        </w:rPr>
        <w:t>, p</w:t>
      </w:r>
      <w:r w:rsidR="003E2FA0" w:rsidRPr="003E2FA0">
        <w:rPr>
          <w:color w:val="000000"/>
        </w:rPr>
        <w:t xml:space="preserve">ero no siempre son conscientes de ello o son capaces de verbalizarlo. </w:t>
      </w:r>
      <w:r w:rsidR="003E2FA0">
        <w:rPr>
          <w:color w:val="000000"/>
        </w:rPr>
        <w:t xml:space="preserve">Entre diferentes indicadores encontramos lesiones o alteraciones genitales, anales o mamarias, infecciones de transmisión sexual, dificultad para caminar o sentarse, conocimientos inapropiados para la edad, conductas sexualizadas; etc. </w:t>
      </w:r>
    </w:p>
    <w:p w14:paraId="7CA54618" w14:textId="77777777" w:rsidR="000E2669" w:rsidRDefault="000E2669" w:rsidP="000E2669">
      <w:pPr>
        <w:spacing w:line="360" w:lineRule="auto"/>
        <w:jc w:val="both"/>
        <w:rPr>
          <w:b/>
          <w:bCs/>
          <w:color w:val="000000"/>
        </w:rPr>
      </w:pPr>
    </w:p>
    <w:p w14:paraId="0011A1C0" w14:textId="77B94818" w:rsidR="000E2669" w:rsidRDefault="000E2669" w:rsidP="000E2669">
      <w:pPr>
        <w:spacing w:line="360" w:lineRule="auto"/>
        <w:ind w:firstLine="360"/>
        <w:jc w:val="both"/>
        <w:rPr>
          <w:color w:val="000000"/>
        </w:rPr>
      </w:pPr>
      <w:r w:rsidRPr="000E2669">
        <w:rPr>
          <w:color w:val="000000"/>
        </w:rPr>
        <w:t>A continuación, se llevaría a cabo una</w:t>
      </w:r>
      <w:r>
        <w:rPr>
          <w:b/>
          <w:bCs/>
          <w:color w:val="000000"/>
        </w:rPr>
        <w:t xml:space="preserve"> valoración inicial </w:t>
      </w:r>
      <w:r w:rsidRPr="000E2669">
        <w:rPr>
          <w:color w:val="000000"/>
        </w:rPr>
        <w:t xml:space="preserve">biopsicosocial para tomar decisiones. </w:t>
      </w:r>
      <w:r>
        <w:rPr>
          <w:color w:val="000000"/>
        </w:rPr>
        <w:t xml:space="preserve">Incluye la valoración del riesgo vital y de gravedad clínica, seguridad y riesgo de desprotección, riesgo de recurrencia o probabilidad de que la situación ocurra de nuevo, vulnerabilidades o factores de riesgo. </w:t>
      </w:r>
      <w:r w:rsidR="00DD5D74">
        <w:rPr>
          <w:color w:val="000000"/>
        </w:rPr>
        <w:t xml:space="preserve">De igual forma, la exploración física y psicológica resulta fundamental incluyendo aspectos como la actitud del menor, estado emocional, lenguaje no verbal o higiene. Se debe prestar atención a la interacción con las personas responsables que pueden ser de apoyo o agresores. </w:t>
      </w:r>
    </w:p>
    <w:p w14:paraId="4E287318" w14:textId="77777777" w:rsidR="00B25462" w:rsidRDefault="00B25462" w:rsidP="000E2669">
      <w:pPr>
        <w:spacing w:line="360" w:lineRule="auto"/>
        <w:ind w:firstLine="360"/>
        <w:jc w:val="both"/>
        <w:rPr>
          <w:color w:val="000000"/>
        </w:rPr>
      </w:pPr>
    </w:p>
    <w:p w14:paraId="1F666480" w14:textId="448978BD" w:rsidR="00B25462" w:rsidRPr="000E2669" w:rsidRDefault="00B25462" w:rsidP="000E2669">
      <w:pPr>
        <w:spacing w:line="360" w:lineRule="auto"/>
        <w:ind w:firstLine="360"/>
        <w:jc w:val="both"/>
        <w:rPr>
          <w:b/>
          <w:bCs/>
          <w:color w:val="000000"/>
        </w:rPr>
      </w:pPr>
      <w:r>
        <w:rPr>
          <w:color w:val="000000"/>
        </w:rPr>
        <w:t xml:space="preserve">Tras la valoración clínica y biopsicosocial se deberá desarrollar un </w:t>
      </w:r>
      <w:r w:rsidRPr="00B25462">
        <w:rPr>
          <w:b/>
          <w:bCs/>
          <w:color w:val="000000"/>
        </w:rPr>
        <w:t>registro</w:t>
      </w:r>
      <w:r>
        <w:rPr>
          <w:color w:val="000000"/>
        </w:rPr>
        <w:t xml:space="preserve"> detallado y objetivo de toda la información obtenida, en el que se incluye el relato del menor, hallazgos clínicos y la conducta del NNA y de la persona acompañante. </w:t>
      </w:r>
      <w:r w:rsidR="0022155A">
        <w:rPr>
          <w:color w:val="000000"/>
        </w:rPr>
        <w:t xml:space="preserve">Este registro deberá incluir orientación diagnóstica, actuaciones realizadas y recursos activaos. </w:t>
      </w:r>
    </w:p>
    <w:p w14:paraId="41AC61D9" w14:textId="77777777" w:rsidR="003E2FA0" w:rsidRPr="003E2FA0" w:rsidRDefault="003E2FA0" w:rsidP="003E2FA0">
      <w:pPr>
        <w:pStyle w:val="Prrafodelista"/>
        <w:rPr>
          <w:b/>
          <w:bCs/>
          <w:color w:val="000000"/>
        </w:rPr>
      </w:pPr>
    </w:p>
    <w:p w14:paraId="016C4C99" w14:textId="19484BB0" w:rsidR="00936942" w:rsidRDefault="00D8183C" w:rsidP="00434023">
      <w:pPr>
        <w:spacing w:line="360" w:lineRule="auto"/>
        <w:ind w:firstLine="360"/>
        <w:jc w:val="both"/>
        <w:rPr>
          <w:b/>
          <w:bCs/>
          <w:color w:val="000000"/>
        </w:rPr>
      </w:pPr>
      <w:r w:rsidRPr="00D8183C">
        <w:rPr>
          <w:color w:val="000000"/>
        </w:rPr>
        <w:t xml:space="preserve">El </w:t>
      </w:r>
      <w:r>
        <w:rPr>
          <w:b/>
          <w:bCs/>
          <w:color w:val="000000"/>
        </w:rPr>
        <w:t xml:space="preserve">diagnóstico diferencial </w:t>
      </w:r>
      <w:r w:rsidRPr="00D8183C">
        <w:rPr>
          <w:color w:val="000000"/>
        </w:rPr>
        <w:t>se debe realizar con otras posibles causas que pudieran explicar los síntomas o signos que permitiesen confirmar o descartar la consideración de un posible indicador de violencia.</w:t>
      </w:r>
      <w:r>
        <w:rPr>
          <w:b/>
          <w:bCs/>
          <w:color w:val="000000"/>
        </w:rPr>
        <w:t xml:space="preserve"> </w:t>
      </w:r>
    </w:p>
    <w:p w14:paraId="1CDB005B" w14:textId="77777777" w:rsidR="007D4346" w:rsidRDefault="007D4346" w:rsidP="00434023">
      <w:pPr>
        <w:spacing w:line="360" w:lineRule="auto"/>
        <w:ind w:firstLine="360"/>
        <w:jc w:val="both"/>
        <w:rPr>
          <w:b/>
          <w:bCs/>
          <w:color w:val="000000"/>
        </w:rPr>
      </w:pPr>
    </w:p>
    <w:p w14:paraId="36F02ED5" w14:textId="773F54F5" w:rsidR="007D4346" w:rsidRDefault="007D4346" w:rsidP="00B25462">
      <w:pPr>
        <w:spacing w:line="360" w:lineRule="auto"/>
        <w:ind w:firstLine="360"/>
        <w:jc w:val="both"/>
        <w:rPr>
          <w:b/>
          <w:bCs/>
          <w:color w:val="000000"/>
        </w:rPr>
      </w:pPr>
      <w:r w:rsidRPr="00745F88">
        <w:rPr>
          <w:color w:val="000000"/>
        </w:rPr>
        <w:t>Ante la sospecha o evidencia de violencia</w:t>
      </w:r>
      <w:r w:rsidR="00745F88" w:rsidRPr="00745F88">
        <w:rPr>
          <w:color w:val="000000"/>
        </w:rPr>
        <w:t>, comienza la fase de</w:t>
      </w:r>
      <w:r w:rsidR="00745F88">
        <w:rPr>
          <w:b/>
          <w:bCs/>
          <w:color w:val="000000"/>
        </w:rPr>
        <w:t xml:space="preserve"> notificación</w:t>
      </w:r>
      <w:r w:rsidR="00C255C8" w:rsidRPr="00625819">
        <w:rPr>
          <w:color w:val="000000"/>
        </w:rPr>
        <w:t>, en la que se notifica a los servicios sociales competentes</w:t>
      </w:r>
      <w:r w:rsidR="00335890" w:rsidRPr="00625819">
        <w:rPr>
          <w:color w:val="000000"/>
        </w:rPr>
        <w:t xml:space="preserve">, así como la Secretaría de Seguridad </w:t>
      </w:r>
      <w:r w:rsidR="00335890" w:rsidRPr="00625819">
        <w:rPr>
          <w:color w:val="000000"/>
        </w:rPr>
        <w:lastRenderedPageBreak/>
        <w:t>Multidimensional</w:t>
      </w:r>
      <w:r w:rsidR="00625819" w:rsidRPr="00175ABC">
        <w:rPr>
          <w:color w:val="000000"/>
        </w:rPr>
        <w:t xml:space="preserve">. </w:t>
      </w:r>
      <w:r w:rsidR="00335890" w:rsidRPr="00175ABC">
        <w:rPr>
          <w:color w:val="000000"/>
        </w:rPr>
        <w:t xml:space="preserve"> </w:t>
      </w:r>
      <w:r w:rsidR="00175ABC" w:rsidRPr="00175ABC">
        <w:rPr>
          <w:color w:val="000000"/>
        </w:rPr>
        <w:t>También se puede notificar a juzgados o la fiscalía en casos urgentes o con lesiones.</w:t>
      </w:r>
      <w:r w:rsidR="00175ABC">
        <w:rPr>
          <w:b/>
          <w:bCs/>
          <w:color w:val="000000"/>
        </w:rPr>
        <w:t xml:space="preserve"> </w:t>
      </w:r>
      <w:r w:rsidR="00175ABC" w:rsidRPr="00175ABC">
        <w:rPr>
          <w:color w:val="000000"/>
        </w:rPr>
        <w:t>La notificación puede ser ordinaria o urgente.</w:t>
      </w:r>
      <w:r w:rsidR="00175ABC">
        <w:rPr>
          <w:b/>
          <w:bCs/>
          <w:color w:val="000000"/>
        </w:rPr>
        <w:t xml:space="preserve"> </w:t>
      </w:r>
    </w:p>
    <w:p w14:paraId="6DA17614" w14:textId="77777777" w:rsidR="00175ABC" w:rsidRDefault="00175ABC" w:rsidP="00434023">
      <w:pPr>
        <w:spacing w:line="360" w:lineRule="auto"/>
        <w:ind w:firstLine="360"/>
        <w:jc w:val="both"/>
        <w:rPr>
          <w:b/>
          <w:bCs/>
          <w:color w:val="000000"/>
        </w:rPr>
      </w:pPr>
    </w:p>
    <w:p w14:paraId="334B4AF7" w14:textId="4B5E44B5" w:rsidR="00890B55" w:rsidRDefault="00175ABC" w:rsidP="005F1C70">
      <w:pPr>
        <w:spacing w:line="360" w:lineRule="auto"/>
        <w:ind w:firstLine="360"/>
        <w:jc w:val="both"/>
        <w:rPr>
          <w:color w:val="000000"/>
        </w:rPr>
      </w:pPr>
      <w:r w:rsidRPr="00175ABC">
        <w:rPr>
          <w:color w:val="000000"/>
        </w:rPr>
        <w:t>El</w:t>
      </w:r>
      <w:r>
        <w:rPr>
          <w:b/>
          <w:bCs/>
          <w:color w:val="000000"/>
        </w:rPr>
        <w:t xml:space="preserve"> procedimiento </w:t>
      </w:r>
      <w:r w:rsidRPr="00175ABC">
        <w:rPr>
          <w:color w:val="000000"/>
        </w:rPr>
        <w:t>es distinto según el resultado de la evaluación</w:t>
      </w:r>
      <w:r w:rsidR="000A77CA">
        <w:rPr>
          <w:color w:val="000000"/>
        </w:rPr>
        <w:t xml:space="preserve">. </w:t>
      </w:r>
      <w:r w:rsidR="00993145">
        <w:rPr>
          <w:color w:val="000000"/>
        </w:rPr>
        <w:t xml:space="preserve">Por una parte, el procedimiento de urgencia se inicia si hay riesgo vital, de desprotección o si necesitan tomar muestras forenses. Un ejemplo de este procedimiento es en violencia sexual reciente. </w:t>
      </w:r>
      <w:r w:rsidR="00BE093D">
        <w:rPr>
          <w:color w:val="000000"/>
        </w:rPr>
        <w:t xml:space="preserve">El procedimiento ordinario se aplica cuando no hay riesgo vital ni de desprotección, y se necesitan más valoraciones para establecer un diagnóstico claro y notificar las autoridades competentes. </w:t>
      </w:r>
    </w:p>
    <w:p w14:paraId="6A68DFC8" w14:textId="77777777" w:rsidR="005F1C70" w:rsidRDefault="005F1C70" w:rsidP="005F1C70">
      <w:pPr>
        <w:spacing w:line="360" w:lineRule="auto"/>
        <w:ind w:firstLine="360"/>
        <w:jc w:val="both"/>
        <w:rPr>
          <w:color w:val="000000"/>
        </w:rPr>
      </w:pPr>
    </w:p>
    <w:p w14:paraId="12F4425E" w14:textId="75576FDF" w:rsidR="00C304B9" w:rsidRPr="009A7B7B" w:rsidRDefault="00890B55" w:rsidP="009A7B7B">
      <w:pPr>
        <w:spacing w:line="360" w:lineRule="auto"/>
        <w:ind w:firstLine="360"/>
        <w:jc w:val="both"/>
        <w:rPr>
          <w:color w:val="000000"/>
        </w:rPr>
      </w:pPr>
      <w:r>
        <w:rPr>
          <w:color w:val="000000"/>
        </w:rPr>
        <w:t xml:space="preserve">A continuación, </w:t>
      </w:r>
      <w:r w:rsidR="00E00647">
        <w:rPr>
          <w:color w:val="000000"/>
        </w:rPr>
        <w:t xml:space="preserve">el siguiente paso es la </w:t>
      </w:r>
      <w:r w:rsidR="00E00647" w:rsidRPr="00C304B9">
        <w:rPr>
          <w:b/>
          <w:bCs/>
          <w:color w:val="000000"/>
        </w:rPr>
        <w:t>intervención</w:t>
      </w:r>
      <w:r w:rsidR="00E00647">
        <w:rPr>
          <w:color w:val="000000"/>
        </w:rPr>
        <w:t>. Se</w:t>
      </w:r>
      <w:r>
        <w:rPr>
          <w:color w:val="000000"/>
        </w:rPr>
        <w:t xml:space="preserve"> debe brindar atención terapéutica integral especializada y adaptada a los resultados de la valoración competente. </w:t>
      </w:r>
      <w:r w:rsidR="003352EC">
        <w:rPr>
          <w:color w:val="000000"/>
        </w:rPr>
        <w:t xml:space="preserve">El equipo elaborará un plan de intervención, coordinado y consensuado en el que el plan de </w:t>
      </w:r>
      <w:r>
        <w:rPr>
          <w:color w:val="000000"/>
        </w:rPr>
        <w:t xml:space="preserve">atención debe ser </w:t>
      </w:r>
      <w:r w:rsidR="00E00647">
        <w:rPr>
          <w:color w:val="000000"/>
        </w:rPr>
        <w:t xml:space="preserve">pública, gratuita y universal. </w:t>
      </w:r>
      <w:r w:rsidR="00E404E7">
        <w:rPr>
          <w:color w:val="000000"/>
        </w:rPr>
        <w:t xml:space="preserve">Deberá hacerse un seguimiento y </w:t>
      </w:r>
      <w:r w:rsidR="00F60B14">
        <w:rPr>
          <w:color w:val="000000"/>
        </w:rPr>
        <w:t>acompañamiento</w:t>
      </w:r>
      <w:r w:rsidR="00E404E7">
        <w:rPr>
          <w:color w:val="000000"/>
        </w:rPr>
        <w:t xml:space="preserve"> de la víctima hasta su recuperación integral, teniendo en cuenta que las secuelas de violencia pueden desarrollarse a medio y largo plazo (Ministerio de </w:t>
      </w:r>
      <w:r w:rsidR="00545ED5">
        <w:rPr>
          <w:color w:val="000000"/>
        </w:rPr>
        <w:t>Sanidad</w:t>
      </w:r>
      <w:r w:rsidR="00E404E7">
        <w:rPr>
          <w:color w:val="000000"/>
        </w:rPr>
        <w:t xml:space="preserve">, </w:t>
      </w:r>
      <w:r w:rsidR="00545ED5">
        <w:rPr>
          <w:color w:val="000000"/>
        </w:rPr>
        <w:t>2023)</w:t>
      </w:r>
      <w:r w:rsidR="0022155A">
        <w:rPr>
          <w:color w:val="000000"/>
        </w:rPr>
        <w:t>. Es crucial la coordinación interdisciplinar</w:t>
      </w:r>
      <w:r w:rsidR="006428D4">
        <w:rPr>
          <w:color w:val="000000"/>
        </w:rPr>
        <w:t xml:space="preserve">, es decir, que exista coordinación entre profesionales sanitarios (pediatría, urgencias, salud mental, trabajo </w:t>
      </w:r>
      <w:r w:rsidR="00F4062A">
        <w:rPr>
          <w:color w:val="000000"/>
        </w:rPr>
        <w:t>social...</w:t>
      </w:r>
      <w:r w:rsidR="006428D4">
        <w:rPr>
          <w:color w:val="000000"/>
        </w:rPr>
        <w:t xml:space="preserve">); y que éstos estén coordinados con órganos como </w:t>
      </w:r>
      <w:r w:rsidR="00F4062A">
        <w:rPr>
          <w:color w:val="000000"/>
        </w:rPr>
        <w:t>s</w:t>
      </w:r>
      <w:r w:rsidR="006428D4">
        <w:rPr>
          <w:color w:val="000000"/>
        </w:rPr>
        <w:t xml:space="preserve">ervicios </w:t>
      </w:r>
      <w:r w:rsidR="00F4062A">
        <w:rPr>
          <w:color w:val="000000"/>
        </w:rPr>
        <w:t>s</w:t>
      </w:r>
      <w:r w:rsidR="006428D4">
        <w:rPr>
          <w:color w:val="000000"/>
        </w:rPr>
        <w:t xml:space="preserve">ociales, </w:t>
      </w:r>
      <w:r w:rsidR="00F4062A">
        <w:rPr>
          <w:color w:val="000000"/>
        </w:rPr>
        <w:t>profesionales del sistema judicial, ámbito educativo</w:t>
      </w:r>
      <w:r w:rsidR="00493E1C">
        <w:rPr>
          <w:color w:val="000000"/>
        </w:rPr>
        <w:t xml:space="preserve">, oficinas de atención a </w:t>
      </w:r>
      <w:proofErr w:type="gramStart"/>
      <w:r w:rsidR="00493E1C">
        <w:rPr>
          <w:color w:val="000000"/>
        </w:rPr>
        <w:t>las víctima</w:t>
      </w:r>
      <w:proofErr w:type="gramEnd"/>
      <w:r w:rsidR="00493E1C">
        <w:rPr>
          <w:color w:val="000000"/>
        </w:rPr>
        <w:t xml:space="preserve"> (OAVD); etc. </w:t>
      </w:r>
    </w:p>
    <w:p w14:paraId="7BC454CF" w14:textId="7D6C7926" w:rsidR="00493E1C" w:rsidRDefault="00493E1C" w:rsidP="00493E1C">
      <w:pPr>
        <w:spacing w:line="360" w:lineRule="auto"/>
        <w:jc w:val="both"/>
        <w:rPr>
          <w:color w:val="000000"/>
        </w:rPr>
      </w:pPr>
      <w:r>
        <w:rPr>
          <w:b/>
          <w:bCs/>
          <w:color w:val="000000"/>
        </w:rPr>
        <w:tab/>
      </w:r>
      <w:r w:rsidRPr="00493E1C">
        <w:rPr>
          <w:color w:val="000000"/>
        </w:rPr>
        <w:t xml:space="preserve">El </w:t>
      </w:r>
      <w:r>
        <w:rPr>
          <w:b/>
          <w:bCs/>
          <w:color w:val="000000"/>
        </w:rPr>
        <w:t xml:space="preserve">seguimiento </w:t>
      </w:r>
      <w:r w:rsidRPr="00493E1C">
        <w:rPr>
          <w:color w:val="000000"/>
        </w:rPr>
        <w:t>en estos casos resulta crucia</w:t>
      </w:r>
      <w:r>
        <w:rPr>
          <w:color w:val="000000"/>
        </w:rPr>
        <w:t>l. El seguimiento se manifiesta a través</w:t>
      </w:r>
      <w:r w:rsidR="00BF0E7D">
        <w:rPr>
          <w:color w:val="000000"/>
        </w:rPr>
        <w:t xml:space="preserve"> del estudio de la evaluación del impacto de las medidas adoptadas, el registro de datos para indicadores comunes, mejora continua del protocolo mediante la evaluación periódica… </w:t>
      </w:r>
    </w:p>
    <w:p w14:paraId="51A81FA6" w14:textId="77777777" w:rsidR="00827A3F" w:rsidRDefault="00827A3F" w:rsidP="00493E1C">
      <w:pPr>
        <w:spacing w:line="360" w:lineRule="auto"/>
        <w:jc w:val="both"/>
        <w:rPr>
          <w:color w:val="000000"/>
        </w:rPr>
      </w:pPr>
    </w:p>
    <w:p w14:paraId="6F90D73D" w14:textId="349C9222" w:rsidR="00827A3F" w:rsidRPr="00493E1C" w:rsidRDefault="008F3180" w:rsidP="00DC30A5">
      <w:pPr>
        <w:spacing w:line="360" w:lineRule="auto"/>
        <w:ind w:firstLine="708"/>
        <w:jc w:val="both"/>
        <w:rPr>
          <w:color w:val="000000"/>
        </w:rPr>
      </w:pPr>
      <w:r>
        <w:rPr>
          <w:color w:val="000000"/>
        </w:rPr>
        <w:t xml:space="preserve">No </w:t>
      </w:r>
      <w:r w:rsidR="00DC30A5">
        <w:rPr>
          <w:color w:val="000000"/>
        </w:rPr>
        <w:t>obstante</w:t>
      </w:r>
      <w:r w:rsidR="00827A3F">
        <w:rPr>
          <w:color w:val="000000"/>
        </w:rPr>
        <w:t xml:space="preserve">, </w:t>
      </w:r>
      <w:r>
        <w:rPr>
          <w:color w:val="000000"/>
        </w:rPr>
        <w:t>es necesario</w:t>
      </w:r>
      <w:r w:rsidR="00827A3F">
        <w:rPr>
          <w:color w:val="000000"/>
        </w:rPr>
        <w:t xml:space="preserve"> tener en cuenta que</w:t>
      </w:r>
      <w:r>
        <w:rPr>
          <w:color w:val="000000"/>
        </w:rPr>
        <w:t>,</w:t>
      </w:r>
      <w:r w:rsidR="00827A3F">
        <w:rPr>
          <w:color w:val="000000"/>
        </w:rPr>
        <w:t xml:space="preserve"> a través de este protocolo</w:t>
      </w:r>
      <w:r>
        <w:rPr>
          <w:color w:val="000000"/>
        </w:rPr>
        <w:t>,</w:t>
      </w:r>
      <w:r w:rsidR="00827A3F">
        <w:rPr>
          <w:color w:val="000000"/>
        </w:rPr>
        <w:t xml:space="preserve"> </w:t>
      </w:r>
      <w:r>
        <w:rPr>
          <w:color w:val="000000"/>
        </w:rPr>
        <w:t>únicamente</w:t>
      </w:r>
      <w:r w:rsidR="00827A3F">
        <w:rPr>
          <w:color w:val="000000"/>
        </w:rPr>
        <w:t xml:space="preserve"> se detectan aquellos casos que llegan al ámbito sanitario</w:t>
      </w:r>
      <w:r w:rsidR="008D09ED">
        <w:rPr>
          <w:color w:val="000000"/>
        </w:rPr>
        <w:t xml:space="preserve">, </w:t>
      </w:r>
      <w:r w:rsidR="00DC30A5">
        <w:rPr>
          <w:color w:val="000000"/>
        </w:rPr>
        <w:t xml:space="preserve">lo que implica que una parte significativa de violencia puede permanecer oculta. </w:t>
      </w:r>
      <w:r w:rsidR="008D09ED">
        <w:rPr>
          <w:color w:val="000000"/>
        </w:rPr>
        <w:t xml:space="preserve"> </w:t>
      </w:r>
    </w:p>
    <w:p w14:paraId="04D2496F" w14:textId="77777777" w:rsidR="0042650E" w:rsidRDefault="0042650E" w:rsidP="006F27A3">
      <w:pPr>
        <w:spacing w:line="360" w:lineRule="auto"/>
        <w:jc w:val="both"/>
        <w:rPr>
          <w:color w:val="000000"/>
        </w:rPr>
      </w:pPr>
    </w:p>
    <w:p w14:paraId="4D8A8046" w14:textId="0E2BE359" w:rsidR="00F15104" w:rsidRPr="00F409D5" w:rsidRDefault="000A6E3E" w:rsidP="0064185C">
      <w:pPr>
        <w:pStyle w:val="Ttulo1"/>
      </w:pPr>
      <w:bookmarkStart w:id="33" w:name="_Toc221271134"/>
      <w:r>
        <w:t xml:space="preserve">CONCLUSIONES </w:t>
      </w:r>
      <w:r w:rsidR="00F409D5" w:rsidRPr="00F409D5">
        <w:t>Y DISCUSIÓ</w:t>
      </w:r>
      <w:r>
        <w:t>N</w:t>
      </w:r>
      <w:bookmarkEnd w:id="33"/>
    </w:p>
    <w:p w14:paraId="3C881E58" w14:textId="77777777" w:rsidR="006B7731" w:rsidRPr="009C628E" w:rsidRDefault="006B7731" w:rsidP="009C628E">
      <w:pPr>
        <w:spacing w:line="360" w:lineRule="auto"/>
        <w:jc w:val="both"/>
        <w:rPr>
          <w:color w:val="000000"/>
        </w:rPr>
      </w:pPr>
    </w:p>
    <w:p w14:paraId="6CE40672" w14:textId="3C3428FA" w:rsidR="006F27A3" w:rsidRDefault="007F4705" w:rsidP="007F4705">
      <w:pPr>
        <w:spacing w:line="360" w:lineRule="auto"/>
        <w:ind w:firstLine="708"/>
        <w:jc w:val="both"/>
        <w:rPr>
          <w:color w:val="000000"/>
        </w:rPr>
      </w:pPr>
      <w:r>
        <w:rPr>
          <w:color w:val="000000"/>
        </w:rPr>
        <w:t xml:space="preserve">El presente Trabajo de Fin de Grado se basa en una revisión teórica, normativa e institucional sobre la violencia vicaria, haciendo énfasis en el papel de la victimología </w:t>
      </w:r>
      <w:r>
        <w:rPr>
          <w:color w:val="000000"/>
        </w:rPr>
        <w:lastRenderedPageBreak/>
        <w:t xml:space="preserve">infantil en el contexto de la violencia de género. Al no tratarse de una investigación empírica, los resultados derivan de un análisis crítico e interpretativo de la literatura científica. </w:t>
      </w:r>
    </w:p>
    <w:p w14:paraId="184B8C3E" w14:textId="77777777" w:rsidR="006B7731" w:rsidRDefault="006B7731" w:rsidP="007F4705">
      <w:pPr>
        <w:spacing w:line="360" w:lineRule="auto"/>
        <w:ind w:firstLine="708"/>
        <w:jc w:val="both"/>
        <w:rPr>
          <w:color w:val="000000"/>
        </w:rPr>
      </w:pPr>
    </w:p>
    <w:p w14:paraId="260ED1D7" w14:textId="69F86B0C" w:rsidR="002F6E13" w:rsidRDefault="0072720C" w:rsidP="007F4705">
      <w:pPr>
        <w:spacing w:line="360" w:lineRule="auto"/>
        <w:ind w:firstLine="708"/>
        <w:jc w:val="both"/>
        <w:rPr>
          <w:color w:val="000000"/>
        </w:rPr>
      </w:pPr>
      <w:r>
        <w:rPr>
          <w:color w:val="000000"/>
        </w:rPr>
        <w:t xml:space="preserve">Los resultados muestran que la violencia vicaria se </w:t>
      </w:r>
      <w:r w:rsidR="00160ABB">
        <w:rPr>
          <w:color w:val="000000"/>
        </w:rPr>
        <w:t>inscribe</w:t>
      </w:r>
      <w:r>
        <w:rPr>
          <w:color w:val="000000"/>
        </w:rPr>
        <w:t xml:space="preserve"> dentro de una dinámica estructural de control y de dominación sobre la mujer, y suele aparecer sobre la mujer </w:t>
      </w:r>
      <w:r w:rsidR="006B7731">
        <w:rPr>
          <w:color w:val="000000"/>
        </w:rPr>
        <w:t xml:space="preserve">tras procesos de separación o ruptura, además podría tener relación con haber presenciado una violencia previa por parte de la pareja. </w:t>
      </w:r>
      <w:r w:rsidR="00160ABB">
        <w:rPr>
          <w:color w:val="000000"/>
        </w:rPr>
        <w:t xml:space="preserve">A su vez, desde un punto de vista jurídico, se observa un avance progresivo en el reconocimiento de los menores como víctimas, pero aún </w:t>
      </w:r>
      <w:r w:rsidR="005D6848">
        <w:rPr>
          <w:color w:val="000000"/>
        </w:rPr>
        <w:t xml:space="preserve">encuentra importantes carencias a tratar. </w:t>
      </w:r>
    </w:p>
    <w:p w14:paraId="11B026AB" w14:textId="77777777" w:rsidR="005D6848" w:rsidRDefault="005D6848" w:rsidP="007F4705">
      <w:pPr>
        <w:spacing w:line="360" w:lineRule="auto"/>
        <w:ind w:firstLine="708"/>
        <w:jc w:val="both"/>
        <w:rPr>
          <w:color w:val="000000"/>
        </w:rPr>
      </w:pPr>
    </w:p>
    <w:p w14:paraId="73F6E2A5" w14:textId="125E4314" w:rsidR="005D6848" w:rsidRDefault="005D6848" w:rsidP="007F4705">
      <w:pPr>
        <w:spacing w:line="360" w:lineRule="auto"/>
        <w:ind w:firstLine="708"/>
        <w:jc w:val="both"/>
        <w:rPr>
          <w:color w:val="000000"/>
        </w:rPr>
      </w:pPr>
      <w:r>
        <w:rPr>
          <w:color w:val="000000"/>
        </w:rPr>
        <w:t xml:space="preserve">El análisis del impacto de la violencia vicaria en la población infantil permite </w:t>
      </w:r>
      <w:r w:rsidR="00901F3D">
        <w:rPr>
          <w:color w:val="000000"/>
        </w:rPr>
        <w:t>afirmar que los menores son víctimas directas</w:t>
      </w:r>
      <w:r w:rsidR="007D7F2F">
        <w:rPr>
          <w:color w:val="000000"/>
        </w:rPr>
        <w:t>. Esto se manifiesta a través de las consecuencias descritas en la literatura, que tienen un impacto directo sobre su desarrollo emocional y social</w:t>
      </w:r>
      <w:r w:rsidR="0056182F">
        <w:rPr>
          <w:color w:val="000000"/>
        </w:rPr>
        <w:t>, incluyendo</w:t>
      </w:r>
      <w:r w:rsidR="007D7F2F">
        <w:rPr>
          <w:color w:val="000000"/>
        </w:rPr>
        <w:t xml:space="preserve"> manifestaciones de trauma. </w:t>
      </w:r>
      <w:r w:rsidR="0056182F">
        <w:rPr>
          <w:color w:val="000000"/>
        </w:rPr>
        <w:t xml:space="preserve">Existen factores de riesgo en estos contextos </w:t>
      </w:r>
      <w:r w:rsidR="005F725C">
        <w:rPr>
          <w:color w:val="000000"/>
        </w:rPr>
        <w:t xml:space="preserve">que facilitan esta violencia, entre ellos se ha desarrollado el mantenimiento del régimen de visitas con el progenitor agresor que perpetúa la victimización del menor. </w:t>
      </w:r>
    </w:p>
    <w:p w14:paraId="15BAA2D2" w14:textId="77777777" w:rsidR="005F725C" w:rsidRDefault="005F725C" w:rsidP="007F4705">
      <w:pPr>
        <w:spacing w:line="360" w:lineRule="auto"/>
        <w:ind w:firstLine="708"/>
        <w:jc w:val="both"/>
        <w:rPr>
          <w:color w:val="000000"/>
        </w:rPr>
      </w:pPr>
    </w:p>
    <w:p w14:paraId="42478485" w14:textId="0D7B661E" w:rsidR="005F725C" w:rsidRDefault="005F725C" w:rsidP="007F4705">
      <w:pPr>
        <w:spacing w:line="360" w:lineRule="auto"/>
        <w:ind w:firstLine="708"/>
        <w:jc w:val="both"/>
        <w:rPr>
          <w:color w:val="000000"/>
        </w:rPr>
      </w:pPr>
      <w:r>
        <w:rPr>
          <w:color w:val="000000"/>
        </w:rPr>
        <w:t>Respecto a los protocolos de actuación y recursos de protección, el trabajo refleja avances relevantes actuales</w:t>
      </w:r>
      <w:r w:rsidR="009A5191">
        <w:rPr>
          <w:color w:val="000000"/>
        </w:rPr>
        <w:t>, sobre todo a partir de la Ley Orgánica 8/2021. Sin embargo, persisten dificultades importantes en la detección temprana de la violencia vicaria y en la coordinación interinstitucional</w:t>
      </w:r>
      <w:r w:rsidR="009F2260">
        <w:rPr>
          <w:color w:val="000000"/>
        </w:rPr>
        <w:t xml:space="preserve">. Estas dificultades siguen limitando una eficacia real de las medidas de protección. </w:t>
      </w:r>
    </w:p>
    <w:p w14:paraId="74548D4B" w14:textId="77777777" w:rsidR="009F2260" w:rsidRDefault="009F2260" w:rsidP="007F4705">
      <w:pPr>
        <w:spacing w:line="360" w:lineRule="auto"/>
        <w:ind w:firstLine="708"/>
        <w:jc w:val="both"/>
        <w:rPr>
          <w:color w:val="000000"/>
        </w:rPr>
      </w:pPr>
    </w:p>
    <w:p w14:paraId="0108B071" w14:textId="1D2F2B3D" w:rsidR="009F2260" w:rsidRDefault="009F2260" w:rsidP="007F4705">
      <w:pPr>
        <w:spacing w:line="360" w:lineRule="auto"/>
        <w:ind w:firstLine="708"/>
        <w:jc w:val="both"/>
        <w:rPr>
          <w:color w:val="000000"/>
        </w:rPr>
      </w:pPr>
      <w:r>
        <w:rPr>
          <w:color w:val="000000"/>
        </w:rPr>
        <w:t>Una parte importante del trabajo ha sido la recopilación de datos estadísticos. Los resultados ponen de manifiesto la dificultad para medir con precisión la magnitud del fenómeno. Se trata de un fenómeno reciente, que no carece de cantidad investigaciones que lo estudien</w:t>
      </w:r>
      <w:r w:rsidR="00525A6B">
        <w:rPr>
          <w:color w:val="000000"/>
        </w:rPr>
        <w:t xml:space="preserve"> y una dificultad de acceso a información especializada</w:t>
      </w:r>
      <w:r>
        <w:rPr>
          <w:color w:val="000000"/>
        </w:rPr>
        <w:t xml:space="preserve">. </w:t>
      </w:r>
      <w:r w:rsidR="0064539C">
        <w:rPr>
          <w:color w:val="000000"/>
        </w:rPr>
        <w:t xml:space="preserve">Es importante destacar que la ausencia de registros específicos y homogéneos contribuyen a la detección tardía y escasa </w:t>
      </w:r>
      <w:r w:rsidR="003C322D">
        <w:rPr>
          <w:color w:val="000000"/>
        </w:rPr>
        <w:t>visibilidad</w:t>
      </w:r>
      <w:r w:rsidR="0064539C">
        <w:rPr>
          <w:color w:val="000000"/>
        </w:rPr>
        <w:t xml:space="preserve"> social de la violencia vicaria. </w:t>
      </w:r>
    </w:p>
    <w:p w14:paraId="2F3F0503" w14:textId="77777777" w:rsidR="003C322D" w:rsidRDefault="003C322D" w:rsidP="007F4705">
      <w:pPr>
        <w:spacing w:line="360" w:lineRule="auto"/>
        <w:ind w:firstLine="708"/>
        <w:jc w:val="both"/>
        <w:rPr>
          <w:color w:val="000000"/>
        </w:rPr>
      </w:pPr>
    </w:p>
    <w:p w14:paraId="7AB69F3B" w14:textId="4DB2F2ED" w:rsidR="00901F3D" w:rsidRDefault="003C322D" w:rsidP="004A4827">
      <w:pPr>
        <w:spacing w:line="360" w:lineRule="auto"/>
        <w:ind w:firstLine="708"/>
        <w:jc w:val="both"/>
        <w:rPr>
          <w:color w:val="000000"/>
        </w:rPr>
      </w:pPr>
      <w:r>
        <w:rPr>
          <w:color w:val="000000"/>
        </w:rPr>
        <w:t xml:space="preserve">Ligado a lo anterior, </w:t>
      </w:r>
      <w:r w:rsidR="0009191C">
        <w:rPr>
          <w:color w:val="000000"/>
        </w:rPr>
        <w:t xml:space="preserve">mediante el análisis normativo se identifican vacíos en la legislación actual, especialmente en la falta de una tipificación penal autónoma a nivel </w:t>
      </w:r>
      <w:r w:rsidR="0009191C">
        <w:rPr>
          <w:color w:val="000000"/>
        </w:rPr>
        <w:lastRenderedPageBreak/>
        <w:t>estatal.</w:t>
      </w:r>
      <w:r w:rsidR="00525A6B">
        <w:rPr>
          <w:color w:val="000000"/>
        </w:rPr>
        <w:t xml:space="preserve"> Pese a ello, el presente trabajo contribuye a visibilizar la violencia vicaria y refuerza la perspectiva de la victimología infantil</w:t>
      </w:r>
      <w:r w:rsidR="004A4827">
        <w:rPr>
          <w:color w:val="000000"/>
        </w:rPr>
        <w:t xml:space="preserve">, subrayando la necesidad de seguir avanzando en investigación, formación especializada y desarrollo normativo para ejercer una protección efectiva sobre los menores y víctimas de violencia vicaria o violencia de género. </w:t>
      </w:r>
    </w:p>
    <w:p w14:paraId="03128C2B" w14:textId="5408A0F4" w:rsidR="00BC7062" w:rsidRDefault="00BC7062" w:rsidP="004A4827">
      <w:pPr>
        <w:spacing w:line="360" w:lineRule="auto"/>
        <w:ind w:firstLine="708"/>
        <w:jc w:val="both"/>
        <w:rPr>
          <w:color w:val="000000"/>
        </w:rPr>
      </w:pPr>
    </w:p>
    <w:p w14:paraId="0CEAA8E2" w14:textId="186E61AF" w:rsidR="00424809" w:rsidRDefault="00424809" w:rsidP="004A4827">
      <w:pPr>
        <w:spacing w:line="360" w:lineRule="auto"/>
        <w:ind w:firstLine="708"/>
        <w:jc w:val="both"/>
        <w:rPr>
          <w:color w:val="000000"/>
        </w:rPr>
      </w:pPr>
      <w:r>
        <w:rPr>
          <w:color w:val="000000"/>
        </w:rPr>
        <w:t>“</w:t>
      </w:r>
      <w:r w:rsidRPr="008D31AD">
        <w:rPr>
          <w:i/>
          <w:iCs/>
          <w:color w:val="000000"/>
        </w:rPr>
        <w:t>La violencia nunca es un acto de amor, es una manifestación de control y poder</w:t>
      </w:r>
      <w:r>
        <w:rPr>
          <w:color w:val="000000"/>
        </w:rPr>
        <w:t xml:space="preserve">” (Bell </w:t>
      </w:r>
      <w:proofErr w:type="spellStart"/>
      <w:r>
        <w:rPr>
          <w:color w:val="000000"/>
        </w:rPr>
        <w:t>Hooks</w:t>
      </w:r>
      <w:proofErr w:type="spellEnd"/>
      <w:r>
        <w:rPr>
          <w:color w:val="000000"/>
        </w:rPr>
        <w:t xml:space="preserve">, </w:t>
      </w:r>
      <w:r w:rsidR="00E37EDD">
        <w:rPr>
          <w:color w:val="000000"/>
        </w:rPr>
        <w:t xml:space="preserve">2000) </w:t>
      </w:r>
    </w:p>
    <w:p w14:paraId="22081FAF" w14:textId="77777777" w:rsidR="00253B0C" w:rsidRDefault="00253B0C" w:rsidP="004A4827">
      <w:pPr>
        <w:spacing w:line="360" w:lineRule="auto"/>
        <w:jc w:val="both"/>
        <w:rPr>
          <w:color w:val="000000"/>
        </w:rPr>
      </w:pPr>
    </w:p>
    <w:p w14:paraId="731E7C02" w14:textId="77777777" w:rsidR="002C1A7A" w:rsidRPr="002C1A7A" w:rsidRDefault="002C1A7A" w:rsidP="00F74995">
      <w:pPr>
        <w:pStyle w:val="Ttulo1"/>
      </w:pPr>
      <w:bookmarkStart w:id="34" w:name="_Toc221271135"/>
      <w:r w:rsidRPr="002C1A7A">
        <w:t>Anexo</w:t>
      </w:r>
      <w:bookmarkEnd w:id="34"/>
      <w:r w:rsidRPr="002C1A7A">
        <w:t xml:space="preserve"> </w:t>
      </w:r>
    </w:p>
    <w:p w14:paraId="337CDEED" w14:textId="77777777" w:rsidR="00253B0C" w:rsidRPr="002C1A7A" w:rsidRDefault="00253B0C" w:rsidP="004A4827">
      <w:pPr>
        <w:spacing w:line="360" w:lineRule="auto"/>
        <w:jc w:val="both"/>
        <w:rPr>
          <w:b/>
          <w:bCs/>
          <w:color w:val="000000" w:themeColor="text1"/>
        </w:rPr>
      </w:pPr>
    </w:p>
    <w:p w14:paraId="2F314FA2" w14:textId="04D03174" w:rsidR="004A4827" w:rsidRPr="002C1A7A" w:rsidRDefault="00253B0C" w:rsidP="00F74995">
      <w:pPr>
        <w:pStyle w:val="Ttulo1"/>
      </w:pPr>
      <w:bookmarkStart w:id="35" w:name="_Toc221271136"/>
      <w:r w:rsidRPr="002C1A7A">
        <w:t>Bibliografía</w:t>
      </w:r>
      <w:bookmarkEnd w:id="35"/>
      <w:r w:rsidRPr="002C1A7A">
        <w:t xml:space="preserve"> </w:t>
      </w:r>
    </w:p>
    <w:p w14:paraId="6CE65FE9"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Amnistía Internacional. (s. f.). </w:t>
      </w:r>
      <w:r w:rsidRPr="00EB1EE3">
        <w:rPr>
          <w:i/>
          <w:iCs/>
          <w:color w:val="000000" w:themeColor="text1"/>
        </w:rPr>
        <w:t>¿Qué es la violencia vicaria?</w:t>
      </w:r>
      <w:r w:rsidRPr="00EB1EE3">
        <w:rPr>
          <w:color w:val="000000" w:themeColor="text1"/>
        </w:rPr>
        <w:t xml:space="preserve"> </w:t>
      </w:r>
      <w:hyperlink r:id="rId11" w:history="1">
        <w:r w:rsidRPr="00EB1EE3">
          <w:rPr>
            <w:color w:val="000000" w:themeColor="text1"/>
            <w:u w:val="single"/>
          </w:rPr>
          <w:t>https://www.es.amnesty.org/en-que-estamos/blog/historia/articulo/que-es-la-violencia-vicaria/</w:t>
        </w:r>
      </w:hyperlink>
    </w:p>
    <w:p w14:paraId="5CFA574B"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Baig</w:t>
      </w:r>
      <w:proofErr w:type="spellEnd"/>
      <w:r w:rsidRPr="00EB1EE3">
        <w:rPr>
          <w:color w:val="000000" w:themeColor="text1"/>
        </w:rPr>
        <w:t xml:space="preserve">, B. (2021, 28 de septiembre). </w:t>
      </w:r>
      <w:r w:rsidRPr="00EB1EE3">
        <w:rPr>
          <w:i/>
          <w:iCs/>
          <w:color w:val="000000" w:themeColor="text1"/>
        </w:rPr>
        <w:t>¿Qué es la violencia vicaria y por qué es el maltrato más cruel hacia las mujeres?</w:t>
      </w:r>
      <w:r w:rsidRPr="00EB1EE3">
        <w:rPr>
          <w:color w:val="000000" w:themeColor="text1"/>
        </w:rPr>
        <w:t xml:space="preserve"> Solidaridad Intergeneracional. </w:t>
      </w:r>
      <w:hyperlink r:id="rId12" w:history="1">
        <w:r w:rsidRPr="00EB1EE3">
          <w:rPr>
            <w:color w:val="000000" w:themeColor="text1"/>
            <w:u w:val="single"/>
          </w:rPr>
          <w:t>https://solidaridadintergeneracional.es/wp/que-es-la-violencia-vicaria-y-por-que-es-el-maltrato-mas-cruel-hacia-las-mujeres/</w:t>
        </w:r>
      </w:hyperlink>
    </w:p>
    <w:p w14:paraId="0AF3B66F"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Barudy</w:t>
      </w:r>
      <w:proofErr w:type="spellEnd"/>
      <w:r w:rsidRPr="00EB1EE3">
        <w:rPr>
          <w:color w:val="000000" w:themeColor="text1"/>
        </w:rPr>
        <w:t xml:space="preserve">, J., &amp; </w:t>
      </w:r>
      <w:proofErr w:type="spellStart"/>
      <w:r w:rsidRPr="00EB1EE3">
        <w:rPr>
          <w:color w:val="000000" w:themeColor="text1"/>
        </w:rPr>
        <w:t>Dantagnan</w:t>
      </w:r>
      <w:proofErr w:type="spellEnd"/>
      <w:r w:rsidRPr="00EB1EE3">
        <w:rPr>
          <w:color w:val="000000" w:themeColor="text1"/>
        </w:rPr>
        <w:t xml:space="preserve">, M. (2005). </w:t>
      </w:r>
      <w:r w:rsidRPr="00EB1EE3">
        <w:rPr>
          <w:i/>
          <w:iCs/>
          <w:color w:val="000000" w:themeColor="text1"/>
        </w:rPr>
        <w:t>Los buenos tratos a la infancia: Parentalidad, apego y resiliencia</w:t>
      </w:r>
      <w:r w:rsidRPr="00EB1EE3">
        <w:rPr>
          <w:color w:val="000000" w:themeColor="text1"/>
        </w:rPr>
        <w:t>. Gedisa.</w:t>
      </w:r>
    </w:p>
    <w:p w14:paraId="42AA802A"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Consejo de Europa. (2011). </w:t>
      </w:r>
      <w:r w:rsidRPr="00EB1EE3">
        <w:rPr>
          <w:i/>
          <w:iCs/>
          <w:color w:val="000000" w:themeColor="text1"/>
        </w:rPr>
        <w:t>Convenio del Consejo de Europa sobre prevención y lucha contra la violencia contra las mujeres y la violencia doméstica (Convenio de Estambul).</w:t>
      </w:r>
      <w:r w:rsidRPr="00EB1EE3">
        <w:rPr>
          <w:color w:val="000000" w:themeColor="text1"/>
        </w:rPr>
        <w:t xml:space="preserve"> </w:t>
      </w:r>
      <w:hyperlink r:id="rId13" w:history="1">
        <w:r w:rsidRPr="00EB1EE3">
          <w:rPr>
            <w:color w:val="000000" w:themeColor="text1"/>
            <w:u w:val="single"/>
          </w:rPr>
          <w:t>https://www.coe.int/es/web/istanbul-convention</w:t>
        </w:r>
      </w:hyperlink>
    </w:p>
    <w:p w14:paraId="22039BCF"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Consejo General del Poder Judicial. (2025). </w:t>
      </w:r>
      <w:r w:rsidRPr="00EB1EE3">
        <w:rPr>
          <w:i/>
          <w:iCs/>
          <w:color w:val="000000" w:themeColor="text1"/>
        </w:rPr>
        <w:t>Informe trimestral sobre violencia de género: 2.º trimestre de 2025.</w:t>
      </w:r>
      <w:r w:rsidRPr="00EB1EE3">
        <w:rPr>
          <w:color w:val="000000" w:themeColor="text1"/>
        </w:rPr>
        <w:t xml:space="preserve"> </w:t>
      </w:r>
      <w:hyperlink r:id="rId14" w:history="1">
        <w:r w:rsidRPr="00EB1EE3">
          <w:rPr>
            <w:color w:val="000000" w:themeColor="text1"/>
            <w:u w:val="single"/>
          </w:rPr>
          <w:t>https://www.poderjudicial.es</w:t>
        </w:r>
      </w:hyperlink>
    </w:p>
    <w:p w14:paraId="7F7D11C9"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lastRenderedPageBreak/>
        <w:t xml:space="preserve">Delegación del Gobierno contra la Violencia de Género. (s. f.). </w:t>
      </w:r>
      <w:r w:rsidRPr="00EB1EE3">
        <w:rPr>
          <w:i/>
          <w:iCs/>
          <w:color w:val="000000" w:themeColor="text1"/>
        </w:rPr>
        <w:t>Violencia vicaria.</w:t>
      </w:r>
      <w:r w:rsidRPr="00EB1EE3">
        <w:rPr>
          <w:color w:val="000000" w:themeColor="text1"/>
        </w:rPr>
        <w:t xml:space="preserve"> Ministerio de Igualdad. </w:t>
      </w:r>
      <w:hyperlink r:id="rId15" w:history="1">
        <w:r w:rsidRPr="00EB1EE3">
          <w:rPr>
            <w:color w:val="000000" w:themeColor="text1"/>
            <w:u w:val="single"/>
          </w:rPr>
          <w:t>https://violenciagenero.igualdad.gob.es/otrasformas/violenciavicaria/</w:t>
        </w:r>
      </w:hyperlink>
    </w:p>
    <w:p w14:paraId="7C20580F"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Delegación del Gobierno contra la Violencia de Género. (2021). </w:t>
      </w:r>
      <w:r w:rsidRPr="00EB1EE3">
        <w:rPr>
          <w:i/>
          <w:iCs/>
          <w:color w:val="000000" w:themeColor="text1"/>
        </w:rPr>
        <w:t>Informe sobre menores y violencia de género.</w:t>
      </w:r>
      <w:r w:rsidRPr="00EB1EE3">
        <w:rPr>
          <w:color w:val="000000" w:themeColor="text1"/>
        </w:rPr>
        <w:t xml:space="preserve"> Ministerio de Igualdad.</w:t>
      </w:r>
    </w:p>
    <w:p w14:paraId="7FDF2404"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Delegación del Gobierno contra la Violencia de Género. (2024). </w:t>
      </w:r>
      <w:r w:rsidRPr="00EB1EE3">
        <w:rPr>
          <w:i/>
          <w:iCs/>
          <w:color w:val="000000" w:themeColor="text1"/>
        </w:rPr>
        <w:t>¿Tienes dudas sobre lo que es la violencia vicaria?</w:t>
      </w:r>
      <w:r w:rsidRPr="00EB1EE3">
        <w:rPr>
          <w:color w:val="000000" w:themeColor="text1"/>
        </w:rPr>
        <w:t xml:space="preserve"> [Folleto financiado por la Unión Europea]. Gobierno de España.</w:t>
      </w:r>
    </w:p>
    <w:p w14:paraId="2E75B54D"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Delegación del Gobierno contra la Violencia de Género. (2025). </w:t>
      </w:r>
      <w:r w:rsidRPr="00EB1EE3">
        <w:rPr>
          <w:i/>
          <w:iCs/>
          <w:color w:val="000000" w:themeColor="text1"/>
        </w:rPr>
        <w:t xml:space="preserve">Boletín estadístico mensual: </w:t>
      </w:r>
      <w:proofErr w:type="gramStart"/>
      <w:r w:rsidRPr="00EB1EE3">
        <w:rPr>
          <w:i/>
          <w:iCs/>
          <w:color w:val="000000" w:themeColor="text1"/>
        </w:rPr>
        <w:t>Diciembre</w:t>
      </w:r>
      <w:proofErr w:type="gramEnd"/>
      <w:r w:rsidRPr="00EB1EE3">
        <w:rPr>
          <w:i/>
          <w:iCs/>
          <w:color w:val="000000" w:themeColor="text1"/>
        </w:rPr>
        <w:t xml:space="preserve"> 2025</w:t>
      </w:r>
      <w:r w:rsidRPr="00EB1EE3">
        <w:rPr>
          <w:color w:val="000000" w:themeColor="text1"/>
        </w:rPr>
        <w:t xml:space="preserve"> [PDF]. Ministerio de Igualdad. </w:t>
      </w:r>
      <w:hyperlink r:id="rId16" w:history="1">
        <w:r w:rsidRPr="00EB1EE3">
          <w:rPr>
            <w:color w:val="000000" w:themeColor="text1"/>
            <w:u w:val="single"/>
          </w:rPr>
          <w:t>https://violenciagenero.igualdad.gob.es/wp-content/uploads/BEM_Diciembre_2025.pdf</w:t>
        </w:r>
      </w:hyperlink>
    </w:p>
    <w:p w14:paraId="74B90A95"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Echeburúa, E., &amp; de Corral, P. (2011). </w:t>
      </w:r>
      <w:r w:rsidRPr="00EB1EE3">
        <w:rPr>
          <w:i/>
          <w:iCs/>
          <w:color w:val="000000" w:themeColor="text1"/>
        </w:rPr>
        <w:t>Manual de violencia familiar.</w:t>
      </w:r>
      <w:r w:rsidRPr="00EB1EE3">
        <w:rPr>
          <w:color w:val="000000" w:themeColor="text1"/>
        </w:rPr>
        <w:t xml:space="preserve"> Siglo XXI.</w:t>
      </w:r>
    </w:p>
    <w:p w14:paraId="79D7FE7F"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Efeminista</w:t>
      </w:r>
      <w:proofErr w:type="spellEnd"/>
      <w:r w:rsidRPr="00EB1EE3">
        <w:rPr>
          <w:color w:val="000000" w:themeColor="text1"/>
        </w:rPr>
        <w:t xml:space="preserve">. (2025, 29 de septiembre). </w:t>
      </w:r>
      <w:r w:rsidRPr="00EB1EE3">
        <w:rPr>
          <w:i/>
          <w:iCs/>
          <w:color w:val="000000" w:themeColor="text1"/>
        </w:rPr>
        <w:t>¿Qué es la violencia vicaria?</w:t>
      </w:r>
      <w:r w:rsidRPr="00EB1EE3">
        <w:rPr>
          <w:color w:val="000000" w:themeColor="text1"/>
        </w:rPr>
        <w:t xml:space="preserve"> </w:t>
      </w:r>
      <w:hyperlink r:id="rId17" w:history="1">
        <w:r w:rsidRPr="00EB1EE3">
          <w:rPr>
            <w:color w:val="000000" w:themeColor="text1"/>
            <w:u w:val="single"/>
          </w:rPr>
          <w:t>https://efeminista.com/que-es-la-violencia-vicaria/</w:t>
        </w:r>
      </w:hyperlink>
    </w:p>
    <w:p w14:paraId="6E4B3E74"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España. (2004). </w:t>
      </w:r>
      <w:r w:rsidRPr="00EB1EE3">
        <w:rPr>
          <w:i/>
          <w:iCs/>
          <w:color w:val="000000" w:themeColor="text1"/>
        </w:rPr>
        <w:t>Ley Orgánica 1/2004, de 28 de diciembre, de Medidas de Protección Integral contra la Violencia de Género</w:t>
      </w:r>
      <w:r w:rsidRPr="00EB1EE3">
        <w:rPr>
          <w:color w:val="000000" w:themeColor="text1"/>
        </w:rPr>
        <w:t xml:space="preserve"> (BOE-A-2004-21760). </w:t>
      </w:r>
      <w:r w:rsidRPr="00EB1EE3">
        <w:rPr>
          <w:i/>
          <w:iCs/>
          <w:color w:val="000000" w:themeColor="text1"/>
        </w:rPr>
        <w:t>Boletín Oficial del Estado</w:t>
      </w:r>
      <w:r w:rsidRPr="00EB1EE3">
        <w:rPr>
          <w:color w:val="000000" w:themeColor="text1"/>
        </w:rPr>
        <w:t xml:space="preserve">. </w:t>
      </w:r>
      <w:hyperlink r:id="rId18" w:history="1">
        <w:r w:rsidRPr="00EB1EE3">
          <w:rPr>
            <w:color w:val="000000" w:themeColor="text1"/>
            <w:u w:val="single"/>
          </w:rPr>
          <w:t>https://www.boe.es/buscar/act.php?id=BOE-A-2004-21760</w:t>
        </w:r>
      </w:hyperlink>
    </w:p>
    <w:p w14:paraId="57A7CCC5"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Instituto Nacional de Estadística. (2025, 7 de mayo). </w:t>
      </w:r>
      <w:r w:rsidRPr="00EB1EE3">
        <w:rPr>
          <w:i/>
          <w:iCs/>
          <w:color w:val="000000" w:themeColor="text1"/>
        </w:rPr>
        <w:t>Estadística de violencia doméstica y violencia de género: Año 2024</w:t>
      </w:r>
      <w:r w:rsidRPr="00EB1EE3">
        <w:rPr>
          <w:color w:val="000000" w:themeColor="text1"/>
        </w:rPr>
        <w:t xml:space="preserve"> [Nota de prensa]. </w:t>
      </w:r>
      <w:hyperlink r:id="rId19" w:history="1">
        <w:r w:rsidRPr="00EB1EE3">
          <w:rPr>
            <w:color w:val="000000" w:themeColor="text1"/>
            <w:u w:val="single"/>
          </w:rPr>
          <w:t>https://www.ine.es/dyngs/Prensa/EVDVG2024.html</w:t>
        </w:r>
      </w:hyperlink>
    </w:p>
    <w:p w14:paraId="5B67794E"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Langhinrichsen-Rohling</w:t>
      </w:r>
      <w:proofErr w:type="spellEnd"/>
      <w:r w:rsidRPr="00EB1EE3">
        <w:rPr>
          <w:color w:val="000000" w:themeColor="text1"/>
        </w:rPr>
        <w:t xml:space="preserve">, J. (2005). Top 10 </w:t>
      </w:r>
      <w:proofErr w:type="spellStart"/>
      <w:r w:rsidRPr="00EB1EE3">
        <w:rPr>
          <w:color w:val="000000" w:themeColor="text1"/>
        </w:rPr>
        <w:t>greatest</w:t>
      </w:r>
      <w:proofErr w:type="spellEnd"/>
      <w:r w:rsidRPr="00EB1EE3">
        <w:rPr>
          <w:color w:val="000000" w:themeColor="text1"/>
        </w:rPr>
        <w:t xml:space="preserve"> “hits”: </w:t>
      </w:r>
      <w:proofErr w:type="spellStart"/>
      <w:r w:rsidRPr="00EB1EE3">
        <w:rPr>
          <w:color w:val="000000" w:themeColor="text1"/>
        </w:rPr>
        <w:t>Important</w:t>
      </w:r>
      <w:proofErr w:type="spellEnd"/>
      <w:r w:rsidRPr="00EB1EE3">
        <w:rPr>
          <w:color w:val="000000" w:themeColor="text1"/>
        </w:rPr>
        <w:t xml:space="preserve"> </w:t>
      </w:r>
      <w:proofErr w:type="spellStart"/>
      <w:r w:rsidRPr="00EB1EE3">
        <w:rPr>
          <w:color w:val="000000" w:themeColor="text1"/>
        </w:rPr>
        <w:t>findings</w:t>
      </w:r>
      <w:proofErr w:type="spellEnd"/>
      <w:r w:rsidRPr="00EB1EE3">
        <w:rPr>
          <w:color w:val="000000" w:themeColor="text1"/>
        </w:rPr>
        <w:t xml:space="preserve"> and future </w:t>
      </w:r>
      <w:proofErr w:type="spellStart"/>
      <w:r w:rsidRPr="00EB1EE3">
        <w:rPr>
          <w:color w:val="000000" w:themeColor="text1"/>
        </w:rPr>
        <w:t>directions</w:t>
      </w:r>
      <w:proofErr w:type="spellEnd"/>
      <w:r w:rsidRPr="00EB1EE3">
        <w:rPr>
          <w:color w:val="000000" w:themeColor="text1"/>
        </w:rPr>
        <w:t xml:space="preserve"> </w:t>
      </w:r>
      <w:proofErr w:type="spellStart"/>
      <w:r w:rsidRPr="00EB1EE3">
        <w:rPr>
          <w:color w:val="000000" w:themeColor="text1"/>
        </w:rPr>
        <w:t>for</w:t>
      </w:r>
      <w:proofErr w:type="spellEnd"/>
      <w:r w:rsidRPr="00EB1EE3">
        <w:rPr>
          <w:color w:val="000000" w:themeColor="text1"/>
        </w:rPr>
        <w:t xml:space="preserve"> </w:t>
      </w:r>
      <w:proofErr w:type="spellStart"/>
      <w:r w:rsidRPr="00EB1EE3">
        <w:rPr>
          <w:color w:val="000000" w:themeColor="text1"/>
        </w:rPr>
        <w:t>intimate</w:t>
      </w:r>
      <w:proofErr w:type="spellEnd"/>
      <w:r w:rsidRPr="00EB1EE3">
        <w:rPr>
          <w:color w:val="000000" w:themeColor="text1"/>
        </w:rPr>
        <w:t xml:space="preserve"> </w:t>
      </w:r>
      <w:proofErr w:type="spellStart"/>
      <w:r w:rsidRPr="00EB1EE3">
        <w:rPr>
          <w:color w:val="000000" w:themeColor="text1"/>
        </w:rPr>
        <w:t>partner</w:t>
      </w:r>
      <w:proofErr w:type="spellEnd"/>
      <w:r w:rsidRPr="00EB1EE3">
        <w:rPr>
          <w:color w:val="000000" w:themeColor="text1"/>
        </w:rPr>
        <w:t xml:space="preserve"> </w:t>
      </w:r>
      <w:proofErr w:type="spellStart"/>
      <w:r w:rsidRPr="00EB1EE3">
        <w:rPr>
          <w:color w:val="000000" w:themeColor="text1"/>
        </w:rPr>
        <w:t>violence</w:t>
      </w:r>
      <w:proofErr w:type="spellEnd"/>
      <w:r w:rsidRPr="00EB1EE3">
        <w:rPr>
          <w:color w:val="000000" w:themeColor="text1"/>
        </w:rPr>
        <w:t xml:space="preserve"> </w:t>
      </w:r>
      <w:proofErr w:type="spellStart"/>
      <w:r w:rsidRPr="00EB1EE3">
        <w:rPr>
          <w:color w:val="000000" w:themeColor="text1"/>
        </w:rPr>
        <w:t>research</w:t>
      </w:r>
      <w:proofErr w:type="spellEnd"/>
      <w:r w:rsidRPr="00EB1EE3">
        <w:rPr>
          <w:color w:val="000000" w:themeColor="text1"/>
        </w:rPr>
        <w:t xml:space="preserve">. </w:t>
      </w:r>
      <w:proofErr w:type="spellStart"/>
      <w:r w:rsidRPr="00EB1EE3">
        <w:rPr>
          <w:i/>
          <w:iCs/>
          <w:color w:val="000000" w:themeColor="text1"/>
        </w:rPr>
        <w:t>Journal</w:t>
      </w:r>
      <w:proofErr w:type="spellEnd"/>
      <w:r w:rsidRPr="00EB1EE3">
        <w:rPr>
          <w:i/>
          <w:iCs/>
          <w:color w:val="000000" w:themeColor="text1"/>
        </w:rPr>
        <w:t xml:space="preserve"> </w:t>
      </w:r>
      <w:proofErr w:type="spellStart"/>
      <w:r w:rsidRPr="00EB1EE3">
        <w:rPr>
          <w:i/>
          <w:iCs/>
          <w:color w:val="000000" w:themeColor="text1"/>
        </w:rPr>
        <w:t>of</w:t>
      </w:r>
      <w:proofErr w:type="spellEnd"/>
      <w:r w:rsidRPr="00EB1EE3">
        <w:rPr>
          <w:i/>
          <w:iCs/>
          <w:color w:val="000000" w:themeColor="text1"/>
        </w:rPr>
        <w:t xml:space="preserve"> Interpersonal </w:t>
      </w:r>
      <w:proofErr w:type="spellStart"/>
      <w:r w:rsidRPr="00EB1EE3">
        <w:rPr>
          <w:i/>
          <w:iCs/>
          <w:color w:val="000000" w:themeColor="text1"/>
        </w:rPr>
        <w:t>Violence</w:t>
      </w:r>
      <w:proofErr w:type="spellEnd"/>
      <w:r w:rsidRPr="00EB1EE3">
        <w:rPr>
          <w:i/>
          <w:iCs/>
          <w:color w:val="000000" w:themeColor="text1"/>
        </w:rPr>
        <w:t>, 20</w:t>
      </w:r>
      <w:r w:rsidRPr="00EB1EE3">
        <w:rPr>
          <w:color w:val="000000" w:themeColor="text1"/>
        </w:rPr>
        <w:t xml:space="preserve">(1), 108–118. </w:t>
      </w:r>
      <w:hyperlink r:id="rId20" w:history="1">
        <w:r w:rsidRPr="00EB1EE3">
          <w:rPr>
            <w:color w:val="000000" w:themeColor="text1"/>
            <w:u w:val="single"/>
          </w:rPr>
          <w:t>https://doi.org/10.1177/0886260504268602</w:t>
        </w:r>
      </w:hyperlink>
    </w:p>
    <w:p w14:paraId="2BA59A13"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Ley Orgánica 8/2021, de 4 de junio, de protección integral a la infancia y la adolescencia frente a la violencia. (2021). </w:t>
      </w:r>
      <w:r w:rsidRPr="00EB1EE3">
        <w:rPr>
          <w:i/>
          <w:iCs/>
          <w:color w:val="000000" w:themeColor="text1"/>
        </w:rPr>
        <w:t>Boletín Oficial del Estado</w:t>
      </w:r>
      <w:r w:rsidRPr="00EB1EE3">
        <w:rPr>
          <w:color w:val="000000" w:themeColor="text1"/>
        </w:rPr>
        <w:t xml:space="preserve">, núm. 134, de 5 de junio de 2021. </w:t>
      </w:r>
      <w:hyperlink r:id="rId21" w:history="1">
        <w:r w:rsidRPr="00EB1EE3">
          <w:rPr>
            <w:color w:val="000000" w:themeColor="text1"/>
            <w:u w:val="single"/>
          </w:rPr>
          <w:t>https://www.boe.es</w:t>
        </w:r>
      </w:hyperlink>
    </w:p>
    <w:p w14:paraId="0B14A498"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lastRenderedPageBreak/>
        <w:t xml:space="preserve">López-Soler, C. (2008). Las víctimas invisibles de la violencia de género: El impacto psicológico del maltrato a la madre en los hijos e hijas. </w:t>
      </w:r>
      <w:r w:rsidRPr="00EB1EE3">
        <w:rPr>
          <w:i/>
          <w:iCs/>
          <w:color w:val="000000" w:themeColor="text1"/>
        </w:rPr>
        <w:t>Revista de Psicopatología y Psicología Clínica, 13</w:t>
      </w:r>
      <w:r w:rsidRPr="00EB1EE3">
        <w:rPr>
          <w:color w:val="000000" w:themeColor="text1"/>
        </w:rPr>
        <w:t>(3), 163–183.</w:t>
      </w:r>
    </w:p>
    <w:p w14:paraId="31FB1EF5"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Ministerio de Sanidad. (2023). </w:t>
      </w:r>
      <w:r w:rsidRPr="00EB1EE3">
        <w:rPr>
          <w:i/>
          <w:iCs/>
          <w:color w:val="000000" w:themeColor="text1"/>
        </w:rPr>
        <w:t>Protocolo común de actuación sanitaria frente a la violencia en la infancia y la adolescencia.</w:t>
      </w:r>
      <w:r w:rsidRPr="00EB1EE3">
        <w:rPr>
          <w:color w:val="000000" w:themeColor="text1"/>
        </w:rPr>
        <w:t xml:space="preserve"> Gobierno de España.</w:t>
      </w:r>
    </w:p>
    <w:p w14:paraId="09DF5847"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Naranjo-Ortiz, N. M. (2023). Violencia vicaria: Instrumento de altos niveles de daño a las víctimas y a la sociedad. </w:t>
      </w:r>
      <w:r w:rsidRPr="00EB1EE3">
        <w:rPr>
          <w:i/>
          <w:iCs/>
          <w:color w:val="000000" w:themeColor="text1"/>
        </w:rPr>
        <w:t>REICOMUNICAR. Revista Científica Arbitrada de Investigación en Comunicación, Marketing y Empresa, 6</w:t>
      </w:r>
      <w:r w:rsidRPr="00EB1EE3">
        <w:rPr>
          <w:color w:val="000000" w:themeColor="text1"/>
        </w:rPr>
        <w:t xml:space="preserve">(12). </w:t>
      </w:r>
      <w:hyperlink r:id="rId22" w:history="1">
        <w:r w:rsidRPr="00EB1EE3">
          <w:rPr>
            <w:color w:val="000000" w:themeColor="text1"/>
            <w:u w:val="single"/>
          </w:rPr>
          <w:t>https://doi.org/10.46296/rc.v6i12.0160</w:t>
        </w:r>
      </w:hyperlink>
    </w:p>
    <w:p w14:paraId="584A42E8"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Organización Mundial de la Salud. (2013). </w:t>
      </w:r>
      <w:proofErr w:type="spellStart"/>
      <w:r w:rsidRPr="00EB1EE3">
        <w:rPr>
          <w:i/>
          <w:iCs/>
          <w:color w:val="000000" w:themeColor="text1"/>
        </w:rPr>
        <w:t>Responding</w:t>
      </w:r>
      <w:proofErr w:type="spellEnd"/>
      <w:r w:rsidRPr="00EB1EE3">
        <w:rPr>
          <w:i/>
          <w:iCs/>
          <w:color w:val="000000" w:themeColor="text1"/>
        </w:rPr>
        <w:t xml:space="preserve"> </w:t>
      </w:r>
      <w:proofErr w:type="spellStart"/>
      <w:r w:rsidRPr="00EB1EE3">
        <w:rPr>
          <w:i/>
          <w:iCs/>
          <w:color w:val="000000" w:themeColor="text1"/>
        </w:rPr>
        <w:t>to</w:t>
      </w:r>
      <w:proofErr w:type="spellEnd"/>
      <w:r w:rsidRPr="00EB1EE3">
        <w:rPr>
          <w:i/>
          <w:iCs/>
          <w:color w:val="000000" w:themeColor="text1"/>
        </w:rPr>
        <w:t xml:space="preserve"> </w:t>
      </w:r>
      <w:proofErr w:type="spellStart"/>
      <w:r w:rsidRPr="00EB1EE3">
        <w:rPr>
          <w:i/>
          <w:iCs/>
          <w:color w:val="000000" w:themeColor="text1"/>
        </w:rPr>
        <w:t>intimate</w:t>
      </w:r>
      <w:proofErr w:type="spellEnd"/>
      <w:r w:rsidRPr="00EB1EE3">
        <w:rPr>
          <w:i/>
          <w:iCs/>
          <w:color w:val="000000" w:themeColor="text1"/>
        </w:rPr>
        <w:t xml:space="preserve"> </w:t>
      </w:r>
      <w:proofErr w:type="spellStart"/>
      <w:r w:rsidRPr="00EB1EE3">
        <w:rPr>
          <w:i/>
          <w:iCs/>
          <w:color w:val="000000" w:themeColor="text1"/>
        </w:rPr>
        <w:t>partner</w:t>
      </w:r>
      <w:proofErr w:type="spellEnd"/>
      <w:r w:rsidRPr="00EB1EE3">
        <w:rPr>
          <w:i/>
          <w:iCs/>
          <w:color w:val="000000" w:themeColor="text1"/>
        </w:rPr>
        <w:t xml:space="preserve"> </w:t>
      </w:r>
      <w:proofErr w:type="spellStart"/>
      <w:r w:rsidRPr="00EB1EE3">
        <w:rPr>
          <w:i/>
          <w:iCs/>
          <w:color w:val="000000" w:themeColor="text1"/>
        </w:rPr>
        <w:t>violence</w:t>
      </w:r>
      <w:proofErr w:type="spellEnd"/>
      <w:r w:rsidRPr="00EB1EE3">
        <w:rPr>
          <w:i/>
          <w:iCs/>
          <w:color w:val="000000" w:themeColor="text1"/>
        </w:rPr>
        <w:t xml:space="preserve"> and sexual </w:t>
      </w:r>
      <w:proofErr w:type="spellStart"/>
      <w:r w:rsidRPr="00EB1EE3">
        <w:rPr>
          <w:i/>
          <w:iCs/>
          <w:color w:val="000000" w:themeColor="text1"/>
        </w:rPr>
        <w:t>violence</w:t>
      </w:r>
      <w:proofErr w:type="spellEnd"/>
      <w:r w:rsidRPr="00EB1EE3">
        <w:rPr>
          <w:i/>
          <w:iCs/>
          <w:color w:val="000000" w:themeColor="text1"/>
        </w:rPr>
        <w:t xml:space="preserve"> </w:t>
      </w:r>
      <w:proofErr w:type="spellStart"/>
      <w:r w:rsidRPr="00EB1EE3">
        <w:rPr>
          <w:i/>
          <w:iCs/>
          <w:color w:val="000000" w:themeColor="text1"/>
        </w:rPr>
        <w:t>against</w:t>
      </w:r>
      <w:proofErr w:type="spellEnd"/>
      <w:r w:rsidRPr="00EB1EE3">
        <w:rPr>
          <w:i/>
          <w:iCs/>
          <w:color w:val="000000" w:themeColor="text1"/>
        </w:rPr>
        <w:t xml:space="preserve"> </w:t>
      </w:r>
      <w:proofErr w:type="spellStart"/>
      <w:r w:rsidRPr="00EB1EE3">
        <w:rPr>
          <w:i/>
          <w:iCs/>
          <w:color w:val="000000" w:themeColor="text1"/>
        </w:rPr>
        <w:t>women</w:t>
      </w:r>
      <w:proofErr w:type="spellEnd"/>
      <w:r w:rsidRPr="00EB1EE3">
        <w:rPr>
          <w:i/>
          <w:iCs/>
          <w:color w:val="000000" w:themeColor="text1"/>
        </w:rPr>
        <w:t xml:space="preserve">: WHO </w:t>
      </w:r>
      <w:proofErr w:type="spellStart"/>
      <w:r w:rsidRPr="00EB1EE3">
        <w:rPr>
          <w:i/>
          <w:iCs/>
          <w:color w:val="000000" w:themeColor="text1"/>
        </w:rPr>
        <w:t>clinical</w:t>
      </w:r>
      <w:proofErr w:type="spellEnd"/>
      <w:r w:rsidRPr="00EB1EE3">
        <w:rPr>
          <w:i/>
          <w:iCs/>
          <w:color w:val="000000" w:themeColor="text1"/>
        </w:rPr>
        <w:t xml:space="preserve"> and </w:t>
      </w:r>
      <w:proofErr w:type="spellStart"/>
      <w:r w:rsidRPr="00EB1EE3">
        <w:rPr>
          <w:i/>
          <w:iCs/>
          <w:color w:val="000000" w:themeColor="text1"/>
        </w:rPr>
        <w:t>policy</w:t>
      </w:r>
      <w:proofErr w:type="spellEnd"/>
      <w:r w:rsidRPr="00EB1EE3">
        <w:rPr>
          <w:i/>
          <w:iCs/>
          <w:color w:val="000000" w:themeColor="text1"/>
        </w:rPr>
        <w:t xml:space="preserve"> </w:t>
      </w:r>
      <w:proofErr w:type="spellStart"/>
      <w:r w:rsidRPr="00EB1EE3">
        <w:rPr>
          <w:i/>
          <w:iCs/>
          <w:color w:val="000000" w:themeColor="text1"/>
        </w:rPr>
        <w:t>guidelines</w:t>
      </w:r>
      <w:proofErr w:type="spellEnd"/>
      <w:r w:rsidRPr="00EB1EE3">
        <w:rPr>
          <w:i/>
          <w:iCs/>
          <w:color w:val="000000" w:themeColor="text1"/>
        </w:rPr>
        <w:t>.</w:t>
      </w:r>
      <w:r w:rsidRPr="00EB1EE3">
        <w:rPr>
          <w:color w:val="000000" w:themeColor="text1"/>
        </w:rPr>
        <w:t xml:space="preserve"> OMS.</w:t>
      </w:r>
    </w:p>
    <w:p w14:paraId="33F59114"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Patró</w:t>
      </w:r>
      <w:proofErr w:type="spellEnd"/>
      <w:r w:rsidRPr="00EB1EE3">
        <w:rPr>
          <w:color w:val="000000" w:themeColor="text1"/>
        </w:rPr>
        <w:t xml:space="preserve">, R., &amp; Limiñana, R. M. (2005). Víctimas de violencia familiar: Consecuencias psicológicas en hijos de mujeres maltratadas. </w:t>
      </w:r>
      <w:r w:rsidRPr="00EB1EE3">
        <w:rPr>
          <w:i/>
          <w:iCs/>
          <w:color w:val="000000" w:themeColor="text1"/>
        </w:rPr>
        <w:t>Anales de Psicología, 21</w:t>
      </w:r>
      <w:r w:rsidRPr="00EB1EE3">
        <w:rPr>
          <w:color w:val="000000" w:themeColor="text1"/>
        </w:rPr>
        <w:t>(1), 11–17.</w:t>
      </w:r>
    </w:p>
    <w:p w14:paraId="6ECB7B16"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Perela</w:t>
      </w:r>
      <w:proofErr w:type="spellEnd"/>
      <w:r w:rsidRPr="00EB1EE3">
        <w:rPr>
          <w:color w:val="000000" w:themeColor="text1"/>
        </w:rPr>
        <w:t xml:space="preserve"> Larrosa, M. (2010). Violencia de género: violencia psicológica. </w:t>
      </w:r>
      <w:r w:rsidRPr="00EB1EE3">
        <w:rPr>
          <w:i/>
          <w:iCs/>
          <w:color w:val="000000" w:themeColor="text1"/>
        </w:rPr>
        <w:t>Foro. Nueva época</w:t>
      </w:r>
      <w:r w:rsidRPr="00EB1EE3">
        <w:rPr>
          <w:color w:val="000000" w:themeColor="text1"/>
        </w:rPr>
        <w:t>, (11-12), 353–376.</w:t>
      </w:r>
    </w:p>
    <w:p w14:paraId="0F3DFE7F"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Porter, A., &amp; López-Angulo, Y. (2022). </w:t>
      </w:r>
      <w:r w:rsidRPr="00EB1EE3">
        <w:rPr>
          <w:i/>
          <w:iCs/>
          <w:color w:val="000000" w:themeColor="text1"/>
        </w:rPr>
        <w:t>Violencia vicaria: Un golpe irreversible contra las madres y la infancia.</w:t>
      </w:r>
      <w:r w:rsidRPr="00EB1EE3">
        <w:rPr>
          <w:color w:val="000000" w:themeColor="text1"/>
        </w:rPr>
        <w:t xml:space="preserve"> Asociación de Mujeres de Profesionales Feministas.</w:t>
      </w:r>
    </w:p>
    <w:p w14:paraId="5858F938"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Rico, M. N. (1996). </w:t>
      </w:r>
      <w:r w:rsidRPr="00EB1EE3">
        <w:rPr>
          <w:i/>
          <w:iCs/>
          <w:color w:val="000000" w:themeColor="text1"/>
        </w:rPr>
        <w:t>Violencia de género: Un problema de derechos humanos.</w:t>
      </w:r>
      <w:r w:rsidRPr="00EB1EE3">
        <w:rPr>
          <w:color w:val="000000" w:themeColor="text1"/>
        </w:rPr>
        <w:t xml:space="preserve"> Comisión Económica para América Latina y el Caribe (CEPAL).</w:t>
      </w:r>
    </w:p>
    <w:p w14:paraId="685DC430"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Save</w:t>
      </w:r>
      <w:proofErr w:type="spellEnd"/>
      <w:r w:rsidRPr="00EB1EE3">
        <w:rPr>
          <w:color w:val="000000" w:themeColor="text1"/>
        </w:rPr>
        <w:t xml:space="preserve"> </w:t>
      </w:r>
      <w:proofErr w:type="spellStart"/>
      <w:r w:rsidRPr="00EB1EE3">
        <w:rPr>
          <w:color w:val="000000" w:themeColor="text1"/>
        </w:rPr>
        <w:t>the</w:t>
      </w:r>
      <w:proofErr w:type="spellEnd"/>
      <w:r w:rsidRPr="00EB1EE3">
        <w:rPr>
          <w:color w:val="000000" w:themeColor="text1"/>
        </w:rPr>
        <w:t xml:space="preserve"> </w:t>
      </w:r>
      <w:proofErr w:type="spellStart"/>
      <w:r w:rsidRPr="00EB1EE3">
        <w:rPr>
          <w:color w:val="000000" w:themeColor="text1"/>
        </w:rPr>
        <w:t>Children</w:t>
      </w:r>
      <w:proofErr w:type="spellEnd"/>
      <w:r w:rsidRPr="00EB1EE3">
        <w:rPr>
          <w:color w:val="000000" w:themeColor="text1"/>
        </w:rPr>
        <w:t xml:space="preserve">. (2021). </w:t>
      </w:r>
      <w:r w:rsidRPr="00EB1EE3">
        <w:rPr>
          <w:i/>
          <w:iCs/>
          <w:color w:val="000000" w:themeColor="text1"/>
        </w:rPr>
        <w:t>Violencia vicaria: Perfiles, señales y pautas de actuación.</w:t>
      </w:r>
      <w:r w:rsidRPr="00EB1EE3">
        <w:rPr>
          <w:color w:val="000000" w:themeColor="text1"/>
        </w:rPr>
        <w:t xml:space="preserve"> </w:t>
      </w:r>
      <w:proofErr w:type="spellStart"/>
      <w:r w:rsidRPr="00EB1EE3">
        <w:rPr>
          <w:color w:val="000000" w:themeColor="text1"/>
        </w:rPr>
        <w:t>Save</w:t>
      </w:r>
      <w:proofErr w:type="spellEnd"/>
      <w:r w:rsidRPr="00EB1EE3">
        <w:rPr>
          <w:color w:val="000000" w:themeColor="text1"/>
        </w:rPr>
        <w:t xml:space="preserve"> </w:t>
      </w:r>
      <w:proofErr w:type="spellStart"/>
      <w:r w:rsidRPr="00EB1EE3">
        <w:rPr>
          <w:color w:val="000000" w:themeColor="text1"/>
        </w:rPr>
        <w:t>the</w:t>
      </w:r>
      <w:proofErr w:type="spellEnd"/>
      <w:r w:rsidRPr="00EB1EE3">
        <w:rPr>
          <w:color w:val="000000" w:themeColor="text1"/>
        </w:rPr>
        <w:t xml:space="preserve"> </w:t>
      </w:r>
      <w:proofErr w:type="spellStart"/>
      <w:r w:rsidRPr="00EB1EE3">
        <w:rPr>
          <w:color w:val="000000" w:themeColor="text1"/>
        </w:rPr>
        <w:t>Children</w:t>
      </w:r>
      <w:proofErr w:type="spellEnd"/>
      <w:r w:rsidRPr="00EB1EE3">
        <w:rPr>
          <w:color w:val="000000" w:themeColor="text1"/>
        </w:rPr>
        <w:t xml:space="preserve"> Internacional.</w:t>
      </w:r>
    </w:p>
    <w:p w14:paraId="703C6663" w14:textId="77777777" w:rsidR="00EB1EE3"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Sepúlveda García de la Torre, A. (2006). La violencia de género como causa de maltrato infantil. </w:t>
      </w:r>
      <w:r w:rsidRPr="00EB1EE3">
        <w:rPr>
          <w:i/>
          <w:iCs/>
          <w:color w:val="000000" w:themeColor="text1"/>
        </w:rPr>
        <w:t>Cuadernos de Medicina Forense</w:t>
      </w:r>
      <w:r w:rsidRPr="00EB1EE3">
        <w:rPr>
          <w:color w:val="000000" w:themeColor="text1"/>
        </w:rPr>
        <w:t xml:space="preserve">, </w:t>
      </w:r>
      <w:r w:rsidRPr="00EB1EE3">
        <w:rPr>
          <w:i/>
          <w:iCs/>
          <w:color w:val="000000" w:themeColor="text1"/>
        </w:rPr>
        <w:t>(43-44)</w:t>
      </w:r>
      <w:r w:rsidRPr="00EB1EE3">
        <w:rPr>
          <w:color w:val="000000" w:themeColor="text1"/>
        </w:rPr>
        <w:t>, 149–164.</w:t>
      </w:r>
    </w:p>
    <w:p w14:paraId="5830D4F5"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t>Tourné</w:t>
      </w:r>
      <w:proofErr w:type="spellEnd"/>
      <w:r w:rsidRPr="00EB1EE3">
        <w:rPr>
          <w:color w:val="000000" w:themeColor="text1"/>
        </w:rPr>
        <w:t xml:space="preserve"> García, M., Herrero Velázquez, S., &amp; Garriga Puerto, A. (2024). Consecuencias para la salud de la violencia contra la mujer por la pareja. </w:t>
      </w:r>
      <w:r w:rsidRPr="00EB1EE3">
        <w:rPr>
          <w:i/>
          <w:iCs/>
          <w:color w:val="000000" w:themeColor="text1"/>
        </w:rPr>
        <w:t>Atención Primaria, 56</w:t>
      </w:r>
      <w:r w:rsidRPr="00EB1EE3">
        <w:rPr>
          <w:color w:val="000000" w:themeColor="text1"/>
        </w:rPr>
        <w:t xml:space="preserve">(3), 102903. </w:t>
      </w:r>
      <w:hyperlink r:id="rId23" w:history="1">
        <w:r w:rsidRPr="00EB1EE3">
          <w:rPr>
            <w:color w:val="000000" w:themeColor="text1"/>
            <w:u w:val="single"/>
          </w:rPr>
          <w:t>https://doi.org/10.1016/j.aprim.2024.102903</w:t>
        </w:r>
      </w:hyperlink>
    </w:p>
    <w:p w14:paraId="6466918B" w14:textId="77777777" w:rsidR="00EB1EE3" w:rsidRPr="00EB1EE3" w:rsidRDefault="00EB1EE3" w:rsidP="00EB1EE3">
      <w:pPr>
        <w:spacing w:before="100" w:beforeAutospacing="1" w:after="100" w:afterAutospacing="1" w:line="360" w:lineRule="auto"/>
        <w:jc w:val="both"/>
        <w:rPr>
          <w:color w:val="000000" w:themeColor="text1"/>
        </w:rPr>
      </w:pPr>
      <w:proofErr w:type="spellStart"/>
      <w:r w:rsidRPr="00EB1EE3">
        <w:rPr>
          <w:color w:val="000000" w:themeColor="text1"/>
        </w:rPr>
        <w:lastRenderedPageBreak/>
        <w:t>Unobravo</w:t>
      </w:r>
      <w:proofErr w:type="spellEnd"/>
      <w:r w:rsidRPr="00EB1EE3">
        <w:rPr>
          <w:color w:val="000000" w:themeColor="text1"/>
        </w:rPr>
        <w:t xml:space="preserve">. (2025, 4 de diciembre). </w:t>
      </w:r>
      <w:r w:rsidRPr="00EB1EE3">
        <w:rPr>
          <w:i/>
          <w:iCs/>
          <w:color w:val="000000" w:themeColor="text1"/>
        </w:rPr>
        <w:t>Violencia vicaria: Qué es y cómo afecta a las víctimas.</w:t>
      </w:r>
      <w:r w:rsidRPr="00EB1EE3">
        <w:rPr>
          <w:color w:val="000000" w:themeColor="text1"/>
        </w:rPr>
        <w:t xml:space="preserve"> </w:t>
      </w:r>
      <w:hyperlink r:id="rId24" w:history="1">
        <w:r w:rsidRPr="00EB1EE3">
          <w:rPr>
            <w:color w:val="000000" w:themeColor="text1"/>
            <w:u w:val="single"/>
          </w:rPr>
          <w:t>https://www.unobravo.com/es/blog/violencia-vicaria</w:t>
        </w:r>
      </w:hyperlink>
    </w:p>
    <w:p w14:paraId="091BD1F2" w14:textId="24265F9F" w:rsidR="00CD0874" w:rsidRPr="00EB1EE3" w:rsidRDefault="00EB1EE3" w:rsidP="00EB1EE3">
      <w:pPr>
        <w:spacing w:before="100" w:beforeAutospacing="1" w:after="100" w:afterAutospacing="1" w:line="360" w:lineRule="auto"/>
        <w:jc w:val="both"/>
        <w:rPr>
          <w:color w:val="000000" w:themeColor="text1"/>
        </w:rPr>
      </w:pPr>
      <w:r w:rsidRPr="00EB1EE3">
        <w:rPr>
          <w:color w:val="000000" w:themeColor="text1"/>
        </w:rPr>
        <w:t xml:space="preserve">Wikipedia. (2025). </w:t>
      </w:r>
      <w:r w:rsidRPr="00EB1EE3">
        <w:rPr>
          <w:i/>
          <w:iCs/>
          <w:color w:val="000000" w:themeColor="text1"/>
        </w:rPr>
        <w:t>Violencia vicaria.</w:t>
      </w:r>
      <w:r w:rsidRPr="00EB1EE3">
        <w:rPr>
          <w:color w:val="000000" w:themeColor="text1"/>
        </w:rPr>
        <w:t xml:space="preserve"> </w:t>
      </w:r>
      <w:hyperlink r:id="rId25" w:history="1">
        <w:r w:rsidRPr="00EB1EE3">
          <w:rPr>
            <w:color w:val="000000" w:themeColor="text1"/>
            <w:u w:val="single"/>
          </w:rPr>
          <w:t>https://es.wikipedia.org/wiki/Violencia_vicaria</w:t>
        </w:r>
      </w:hyperlink>
    </w:p>
    <w:p w14:paraId="77E54A1D" w14:textId="77777777" w:rsidR="00253B0C" w:rsidRDefault="00253B0C" w:rsidP="007F1929">
      <w:pPr>
        <w:spacing w:line="360" w:lineRule="auto"/>
        <w:jc w:val="both"/>
        <w:rPr>
          <w:b/>
          <w:bCs/>
          <w:color w:val="0F4761" w:themeColor="accent1" w:themeShade="BF"/>
        </w:rPr>
      </w:pPr>
    </w:p>
    <w:p w14:paraId="202FE473" w14:textId="77777777" w:rsidR="00253B0C" w:rsidRPr="007F1929" w:rsidRDefault="00253B0C" w:rsidP="007F1929">
      <w:pPr>
        <w:spacing w:line="360" w:lineRule="auto"/>
        <w:jc w:val="both"/>
        <w:rPr>
          <w:b/>
          <w:bCs/>
          <w:color w:val="0F4761" w:themeColor="accent1" w:themeShade="BF"/>
        </w:rPr>
      </w:pPr>
    </w:p>
    <w:sectPr w:rsidR="00253B0C" w:rsidRPr="007F1929">
      <w:footerReference w:type="default" r:id="rId2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EB697" w14:textId="77777777" w:rsidR="005F5ADC" w:rsidRDefault="005F5ADC" w:rsidP="00A02B45">
      <w:r>
        <w:separator/>
      </w:r>
    </w:p>
  </w:endnote>
  <w:endnote w:type="continuationSeparator" w:id="0">
    <w:p w14:paraId="64C190FA" w14:textId="77777777" w:rsidR="005F5ADC" w:rsidRDefault="005F5ADC" w:rsidP="00A02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inter">
    <w:altName w:val="Cambria"/>
    <w:panose1 w:val="020B0604020202020204"/>
    <w:charset w:val="00"/>
    <w:family w:val="roman"/>
    <w:pitch w:val="default"/>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94AF6" w14:textId="77777777" w:rsidR="001E62C0" w:rsidRPr="001E62C0" w:rsidRDefault="001E62C0">
    <w:pPr>
      <w:pStyle w:val="Piedepgina"/>
      <w:jc w:val="center"/>
      <w:rPr>
        <w:caps/>
        <w:color w:val="000000" w:themeColor="text1"/>
      </w:rPr>
    </w:pPr>
    <w:r w:rsidRPr="001E62C0">
      <w:rPr>
        <w:caps/>
        <w:color w:val="000000" w:themeColor="text1"/>
      </w:rPr>
      <w:fldChar w:fldCharType="begin"/>
    </w:r>
    <w:r w:rsidRPr="001E62C0">
      <w:rPr>
        <w:caps/>
        <w:color w:val="000000" w:themeColor="text1"/>
      </w:rPr>
      <w:instrText>PAGE   \* MERGEFORMAT</w:instrText>
    </w:r>
    <w:r w:rsidRPr="001E62C0">
      <w:rPr>
        <w:caps/>
        <w:color w:val="000000" w:themeColor="text1"/>
      </w:rPr>
      <w:fldChar w:fldCharType="separate"/>
    </w:r>
    <w:r w:rsidRPr="001E62C0">
      <w:rPr>
        <w:caps/>
        <w:color w:val="000000" w:themeColor="text1"/>
      </w:rPr>
      <w:t>2</w:t>
    </w:r>
    <w:r w:rsidRPr="001E62C0">
      <w:rPr>
        <w:caps/>
        <w:color w:val="000000" w:themeColor="text1"/>
      </w:rPr>
      <w:fldChar w:fldCharType="end"/>
    </w:r>
  </w:p>
  <w:p w14:paraId="287A3057" w14:textId="77777777" w:rsidR="001E62C0" w:rsidRDefault="001E62C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AD658" w14:textId="77777777" w:rsidR="005F5ADC" w:rsidRDefault="005F5ADC" w:rsidP="00A02B45">
      <w:r>
        <w:separator/>
      </w:r>
    </w:p>
  </w:footnote>
  <w:footnote w:type="continuationSeparator" w:id="0">
    <w:p w14:paraId="0FB33CF2" w14:textId="77777777" w:rsidR="005F5ADC" w:rsidRDefault="005F5ADC" w:rsidP="00A02B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27B82"/>
    <w:multiLevelType w:val="multilevel"/>
    <w:tmpl w:val="E8BAA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307DC"/>
    <w:multiLevelType w:val="multilevel"/>
    <w:tmpl w:val="98DA5E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83219E7"/>
    <w:multiLevelType w:val="multilevel"/>
    <w:tmpl w:val="C46E3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F755C"/>
    <w:multiLevelType w:val="hybridMultilevel"/>
    <w:tmpl w:val="CDD84BCE"/>
    <w:lvl w:ilvl="0" w:tplc="960CE7CA">
      <w:start w:val="1"/>
      <w:numFmt w:val="decimal"/>
      <w:lvlText w:val="%1."/>
      <w:lvlJc w:val="left"/>
      <w:pPr>
        <w:tabs>
          <w:tab w:val="num" w:pos="900"/>
        </w:tabs>
        <w:ind w:left="540" w:hanging="360"/>
      </w:pPr>
      <w:rPr>
        <w:b/>
        <w:bCs/>
      </w:rPr>
    </w:lvl>
    <w:lvl w:ilvl="1" w:tplc="C18E0BB2">
      <w:start w:val="1"/>
      <w:numFmt w:val="lowerRoman"/>
      <w:lvlText w:val="%2."/>
      <w:lvlJc w:val="left"/>
      <w:pPr>
        <w:tabs>
          <w:tab w:val="num" w:pos="1440"/>
        </w:tabs>
        <w:ind w:left="1080" w:hanging="360"/>
      </w:pPr>
      <w:rPr>
        <w:rFonts w:ascii="Times New Roman" w:eastAsia="inter" w:hAnsi="Times New Roman" w:cs="Times New Roman"/>
      </w:rPr>
    </w:lvl>
    <w:lvl w:ilvl="2" w:tplc="6434A2FA">
      <w:numFmt w:val="decimal"/>
      <w:lvlText w:val=""/>
      <w:lvlJc w:val="left"/>
    </w:lvl>
    <w:lvl w:ilvl="3" w:tplc="FC840D06">
      <w:numFmt w:val="decimal"/>
      <w:lvlText w:val=""/>
      <w:lvlJc w:val="left"/>
    </w:lvl>
    <w:lvl w:ilvl="4" w:tplc="0DAE0C90">
      <w:numFmt w:val="decimal"/>
      <w:lvlText w:val=""/>
      <w:lvlJc w:val="left"/>
    </w:lvl>
    <w:lvl w:ilvl="5" w:tplc="6D26B20E">
      <w:numFmt w:val="decimal"/>
      <w:lvlText w:val=""/>
      <w:lvlJc w:val="left"/>
    </w:lvl>
    <w:lvl w:ilvl="6" w:tplc="7398EA7E">
      <w:numFmt w:val="decimal"/>
      <w:lvlText w:val=""/>
      <w:lvlJc w:val="left"/>
    </w:lvl>
    <w:lvl w:ilvl="7" w:tplc="A886915C">
      <w:numFmt w:val="decimal"/>
      <w:lvlText w:val=""/>
      <w:lvlJc w:val="left"/>
    </w:lvl>
    <w:lvl w:ilvl="8" w:tplc="F9C24F8E">
      <w:numFmt w:val="decimal"/>
      <w:lvlText w:val=""/>
      <w:lvlJc w:val="left"/>
    </w:lvl>
  </w:abstractNum>
  <w:abstractNum w:abstractNumId="4" w15:restartNumberingAfterBreak="0">
    <w:nsid w:val="0B851D41"/>
    <w:multiLevelType w:val="multilevel"/>
    <w:tmpl w:val="E41EF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E32FCC"/>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CF845C2"/>
    <w:multiLevelType w:val="hybridMultilevel"/>
    <w:tmpl w:val="E9E22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18B346A"/>
    <w:multiLevelType w:val="hybridMultilevel"/>
    <w:tmpl w:val="6354F97E"/>
    <w:lvl w:ilvl="0" w:tplc="19B47FF6">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1B91854"/>
    <w:multiLevelType w:val="multilevel"/>
    <w:tmpl w:val="1CB25054"/>
    <w:lvl w:ilvl="0">
      <w:start w:val="4"/>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5383200"/>
    <w:multiLevelType w:val="hybridMultilevel"/>
    <w:tmpl w:val="8F82DED2"/>
    <w:lvl w:ilvl="0" w:tplc="DEC60FC0">
      <w:start w:val="10"/>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174E48A8"/>
    <w:multiLevelType w:val="hybridMultilevel"/>
    <w:tmpl w:val="08283CD2"/>
    <w:lvl w:ilvl="0" w:tplc="040A000F">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1" w15:restartNumberingAfterBreak="0">
    <w:nsid w:val="182158C1"/>
    <w:multiLevelType w:val="multilevel"/>
    <w:tmpl w:val="513A8F98"/>
    <w:lvl w:ilvl="0">
      <w:start w:val="3"/>
      <w:numFmt w:val="decimal"/>
      <w:lvlText w:val="%1"/>
      <w:lvlJc w:val="left"/>
      <w:pPr>
        <w:ind w:left="360" w:hanging="360"/>
      </w:pPr>
      <w:rPr>
        <w:rFonts w:hint="default"/>
        <w:color w:val="000000" w:themeColor="text1"/>
        <w:u w:val="none"/>
      </w:rPr>
    </w:lvl>
    <w:lvl w:ilvl="1">
      <w:start w:val="1"/>
      <w:numFmt w:val="decimal"/>
      <w:lvlText w:val="%1.%2"/>
      <w:lvlJc w:val="left"/>
      <w:pPr>
        <w:ind w:left="360" w:hanging="360"/>
      </w:pPr>
      <w:rPr>
        <w:rFonts w:hint="default"/>
        <w:color w:val="000000" w:themeColor="text1"/>
        <w:u w:val="none"/>
      </w:rPr>
    </w:lvl>
    <w:lvl w:ilvl="2">
      <w:start w:val="1"/>
      <w:numFmt w:val="decimal"/>
      <w:lvlText w:val="%1.%2.%3"/>
      <w:lvlJc w:val="left"/>
      <w:pPr>
        <w:ind w:left="720" w:hanging="720"/>
      </w:pPr>
      <w:rPr>
        <w:rFonts w:hint="default"/>
        <w:color w:val="000000" w:themeColor="text1"/>
        <w:u w:val="none"/>
      </w:rPr>
    </w:lvl>
    <w:lvl w:ilvl="3">
      <w:start w:val="1"/>
      <w:numFmt w:val="decimal"/>
      <w:lvlText w:val="%1.%2.%3.%4"/>
      <w:lvlJc w:val="left"/>
      <w:pPr>
        <w:ind w:left="720" w:hanging="720"/>
      </w:pPr>
      <w:rPr>
        <w:rFonts w:hint="default"/>
        <w:color w:val="000000" w:themeColor="text1"/>
        <w:u w:val="none"/>
      </w:rPr>
    </w:lvl>
    <w:lvl w:ilvl="4">
      <w:start w:val="1"/>
      <w:numFmt w:val="decimal"/>
      <w:lvlText w:val="%1.%2.%3.%4.%5"/>
      <w:lvlJc w:val="left"/>
      <w:pPr>
        <w:ind w:left="1080" w:hanging="1080"/>
      </w:pPr>
      <w:rPr>
        <w:rFonts w:hint="default"/>
        <w:color w:val="000000" w:themeColor="text1"/>
        <w:u w:val="none"/>
      </w:rPr>
    </w:lvl>
    <w:lvl w:ilvl="5">
      <w:start w:val="1"/>
      <w:numFmt w:val="decimal"/>
      <w:lvlText w:val="%1.%2.%3.%4.%5.%6"/>
      <w:lvlJc w:val="left"/>
      <w:pPr>
        <w:ind w:left="1080" w:hanging="1080"/>
      </w:pPr>
      <w:rPr>
        <w:rFonts w:hint="default"/>
        <w:color w:val="000000" w:themeColor="text1"/>
        <w:u w:val="none"/>
      </w:rPr>
    </w:lvl>
    <w:lvl w:ilvl="6">
      <w:start w:val="1"/>
      <w:numFmt w:val="decimal"/>
      <w:lvlText w:val="%1.%2.%3.%4.%5.%6.%7"/>
      <w:lvlJc w:val="left"/>
      <w:pPr>
        <w:ind w:left="1440" w:hanging="1440"/>
      </w:pPr>
      <w:rPr>
        <w:rFonts w:hint="default"/>
        <w:color w:val="000000" w:themeColor="text1"/>
        <w:u w:val="none"/>
      </w:rPr>
    </w:lvl>
    <w:lvl w:ilvl="7">
      <w:start w:val="1"/>
      <w:numFmt w:val="decimal"/>
      <w:lvlText w:val="%1.%2.%3.%4.%5.%6.%7.%8"/>
      <w:lvlJc w:val="left"/>
      <w:pPr>
        <w:ind w:left="1440" w:hanging="1440"/>
      </w:pPr>
      <w:rPr>
        <w:rFonts w:hint="default"/>
        <w:color w:val="000000" w:themeColor="text1"/>
        <w:u w:val="none"/>
      </w:rPr>
    </w:lvl>
    <w:lvl w:ilvl="8">
      <w:start w:val="1"/>
      <w:numFmt w:val="decimal"/>
      <w:lvlText w:val="%1.%2.%3.%4.%5.%6.%7.%8.%9"/>
      <w:lvlJc w:val="left"/>
      <w:pPr>
        <w:ind w:left="1800" w:hanging="1800"/>
      </w:pPr>
      <w:rPr>
        <w:rFonts w:hint="default"/>
        <w:color w:val="000000" w:themeColor="text1"/>
        <w:u w:val="none"/>
      </w:rPr>
    </w:lvl>
  </w:abstractNum>
  <w:abstractNum w:abstractNumId="12" w15:restartNumberingAfterBreak="0">
    <w:nsid w:val="1A310439"/>
    <w:multiLevelType w:val="multilevel"/>
    <w:tmpl w:val="6D7A5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6D292F"/>
    <w:multiLevelType w:val="hybridMultilevel"/>
    <w:tmpl w:val="5002C07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232C16A3"/>
    <w:multiLevelType w:val="multilevel"/>
    <w:tmpl w:val="55B0B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EC5274"/>
    <w:multiLevelType w:val="multilevel"/>
    <w:tmpl w:val="DC1CB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446F35"/>
    <w:multiLevelType w:val="hybridMultilevel"/>
    <w:tmpl w:val="A4EA32A2"/>
    <w:lvl w:ilvl="0" w:tplc="960CE7CA">
      <w:start w:val="1"/>
      <w:numFmt w:val="decimal"/>
      <w:lvlText w:val="%1."/>
      <w:lvlJc w:val="left"/>
      <w:pPr>
        <w:ind w:left="720" w:hanging="360"/>
      </w:pPr>
      <w:rPr>
        <w:rFonts w:hint="default"/>
        <w:b/>
        <w:bCs/>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2CAC7446"/>
    <w:multiLevelType w:val="multilevel"/>
    <w:tmpl w:val="DB001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E05E0B"/>
    <w:multiLevelType w:val="hybridMultilevel"/>
    <w:tmpl w:val="4534483C"/>
    <w:lvl w:ilvl="0" w:tplc="C18E0BB2">
      <w:start w:val="1"/>
      <w:numFmt w:val="lowerRoman"/>
      <w:lvlText w:val="%1."/>
      <w:lvlJc w:val="left"/>
      <w:pPr>
        <w:tabs>
          <w:tab w:val="num" w:pos="1440"/>
        </w:tabs>
        <w:ind w:left="1080" w:hanging="360"/>
      </w:pPr>
      <w:rPr>
        <w:rFonts w:ascii="Times New Roman" w:eastAsia="inter" w:hAnsi="Times New Roman" w:cs="Times New Roman"/>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05E3599"/>
    <w:multiLevelType w:val="hybridMultilevel"/>
    <w:tmpl w:val="1E6C5AD8"/>
    <w:lvl w:ilvl="0" w:tplc="A59E5114">
      <w:start w:val="1"/>
      <w:numFmt w:val="decimal"/>
      <w:lvlText w:val="%1)"/>
      <w:lvlJc w:val="left"/>
      <w:pPr>
        <w:ind w:left="720" w:hanging="360"/>
      </w:pPr>
      <w:rPr>
        <w:b/>
        <w:bCs/>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1F0740F"/>
    <w:multiLevelType w:val="multilevel"/>
    <w:tmpl w:val="5EDC78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8E3527"/>
    <w:multiLevelType w:val="multilevel"/>
    <w:tmpl w:val="C958C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1F3B9A"/>
    <w:multiLevelType w:val="hybridMultilevel"/>
    <w:tmpl w:val="4308E27A"/>
    <w:lvl w:ilvl="0" w:tplc="534034EA">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3A3D6A9E"/>
    <w:multiLevelType w:val="multilevel"/>
    <w:tmpl w:val="EC2E2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9618D7"/>
    <w:multiLevelType w:val="multilevel"/>
    <w:tmpl w:val="6AF266FA"/>
    <w:lvl w:ilvl="0">
      <w:start w:val="4"/>
      <w:numFmt w:val="decimal"/>
      <w:lvlText w:val="%1"/>
      <w:lvlJc w:val="left"/>
      <w:pPr>
        <w:ind w:left="360" w:hanging="360"/>
      </w:pPr>
      <w:rPr>
        <w:rFonts w:hint="default"/>
        <w:u w:val="none"/>
      </w:rPr>
    </w:lvl>
    <w:lvl w:ilvl="1">
      <w:start w:val="1"/>
      <w:numFmt w:val="decimal"/>
      <w:lvlText w:val="%1.%2"/>
      <w:lvlJc w:val="left"/>
      <w:pPr>
        <w:ind w:left="1080" w:hanging="360"/>
      </w:pPr>
      <w:rPr>
        <w:rFonts w:hint="default"/>
        <w:u w:val="none"/>
      </w:rPr>
    </w:lvl>
    <w:lvl w:ilvl="2">
      <w:start w:val="1"/>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u w:val="none"/>
      </w:rPr>
    </w:lvl>
    <w:lvl w:ilvl="4">
      <w:start w:val="1"/>
      <w:numFmt w:val="decimal"/>
      <w:lvlText w:val="%1.%2.%3.%4.%5"/>
      <w:lvlJc w:val="left"/>
      <w:pPr>
        <w:ind w:left="3960" w:hanging="1080"/>
      </w:pPr>
      <w:rPr>
        <w:rFonts w:hint="default"/>
        <w:u w:val="none"/>
      </w:rPr>
    </w:lvl>
    <w:lvl w:ilvl="5">
      <w:start w:val="1"/>
      <w:numFmt w:val="decimal"/>
      <w:lvlText w:val="%1.%2.%3.%4.%5.%6"/>
      <w:lvlJc w:val="left"/>
      <w:pPr>
        <w:ind w:left="4680" w:hanging="1080"/>
      </w:pPr>
      <w:rPr>
        <w:rFonts w:hint="default"/>
        <w:u w:val="none"/>
      </w:rPr>
    </w:lvl>
    <w:lvl w:ilvl="6">
      <w:start w:val="1"/>
      <w:numFmt w:val="decimal"/>
      <w:lvlText w:val="%1.%2.%3.%4.%5.%6.%7"/>
      <w:lvlJc w:val="left"/>
      <w:pPr>
        <w:ind w:left="5760" w:hanging="1440"/>
      </w:pPr>
      <w:rPr>
        <w:rFonts w:hint="default"/>
        <w:u w:val="none"/>
      </w:rPr>
    </w:lvl>
    <w:lvl w:ilvl="7">
      <w:start w:val="1"/>
      <w:numFmt w:val="decimal"/>
      <w:lvlText w:val="%1.%2.%3.%4.%5.%6.%7.%8"/>
      <w:lvlJc w:val="left"/>
      <w:pPr>
        <w:ind w:left="6480" w:hanging="1440"/>
      </w:pPr>
      <w:rPr>
        <w:rFonts w:hint="default"/>
        <w:u w:val="none"/>
      </w:rPr>
    </w:lvl>
    <w:lvl w:ilvl="8">
      <w:start w:val="1"/>
      <w:numFmt w:val="decimal"/>
      <w:lvlText w:val="%1.%2.%3.%4.%5.%6.%7.%8.%9"/>
      <w:lvlJc w:val="left"/>
      <w:pPr>
        <w:ind w:left="7560" w:hanging="1800"/>
      </w:pPr>
      <w:rPr>
        <w:rFonts w:hint="default"/>
        <w:u w:val="none"/>
      </w:rPr>
    </w:lvl>
  </w:abstractNum>
  <w:abstractNum w:abstractNumId="25" w15:restartNumberingAfterBreak="0">
    <w:nsid w:val="3CC22DB7"/>
    <w:multiLevelType w:val="hybridMultilevel"/>
    <w:tmpl w:val="E940DE9E"/>
    <w:lvl w:ilvl="0" w:tplc="C18E0BB2">
      <w:start w:val="1"/>
      <w:numFmt w:val="lowerRoman"/>
      <w:lvlText w:val="%1."/>
      <w:lvlJc w:val="left"/>
      <w:pPr>
        <w:tabs>
          <w:tab w:val="num" w:pos="1440"/>
        </w:tabs>
        <w:ind w:left="1080" w:hanging="360"/>
      </w:pPr>
      <w:rPr>
        <w:rFonts w:ascii="Times New Roman" w:eastAsia="inter" w:hAnsi="Times New Roman" w:cs="Times New Roman"/>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3EE0571D"/>
    <w:multiLevelType w:val="hybridMultilevel"/>
    <w:tmpl w:val="1214E9A6"/>
    <w:lvl w:ilvl="0" w:tplc="82D6F2B0">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0D7333F"/>
    <w:multiLevelType w:val="multilevel"/>
    <w:tmpl w:val="64D0E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50C310F"/>
    <w:multiLevelType w:val="hybridMultilevel"/>
    <w:tmpl w:val="97F2864C"/>
    <w:lvl w:ilvl="0" w:tplc="8E0E24A0">
      <w:start w:val="1"/>
      <w:numFmt w:val="decimal"/>
      <w:pStyle w:val="Ttulo3"/>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474440A0"/>
    <w:multiLevelType w:val="multilevel"/>
    <w:tmpl w:val="0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810553F"/>
    <w:multiLevelType w:val="hybridMultilevel"/>
    <w:tmpl w:val="A2B43B18"/>
    <w:lvl w:ilvl="0" w:tplc="040A0011">
      <w:start w:val="1"/>
      <w:numFmt w:val="decimal"/>
      <w:lvlText w:val="%1)"/>
      <w:lvlJc w:val="left"/>
      <w:pPr>
        <w:ind w:left="1428" w:hanging="360"/>
      </w:pPr>
      <w:rPr>
        <w:rFonts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31" w15:restartNumberingAfterBreak="0">
    <w:nsid w:val="48605246"/>
    <w:multiLevelType w:val="hybridMultilevel"/>
    <w:tmpl w:val="DF1238B6"/>
    <w:lvl w:ilvl="0" w:tplc="FFFFFFFF">
      <w:start w:val="1"/>
      <w:numFmt w:val="lowerRoman"/>
      <w:lvlText w:val="%1."/>
      <w:lvlJc w:val="left"/>
      <w:pPr>
        <w:ind w:left="1260" w:hanging="720"/>
      </w:pPr>
      <w:rPr>
        <w:rFonts w:eastAsia="inter" w:hint="default"/>
        <w:b/>
        <w:color w:val="000000"/>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32" w15:restartNumberingAfterBreak="0">
    <w:nsid w:val="4B525793"/>
    <w:multiLevelType w:val="multilevel"/>
    <w:tmpl w:val="D7AED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661125"/>
    <w:multiLevelType w:val="hybridMultilevel"/>
    <w:tmpl w:val="55E6E798"/>
    <w:lvl w:ilvl="0" w:tplc="69B475CA">
      <w:start w:val="4"/>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508A1500"/>
    <w:multiLevelType w:val="multilevel"/>
    <w:tmpl w:val="72744E34"/>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522355C5"/>
    <w:multiLevelType w:val="multilevel"/>
    <w:tmpl w:val="44D2A468"/>
    <w:lvl w:ilvl="0">
      <w:start w:val="5"/>
      <w:numFmt w:val="decimal"/>
      <w:lvlText w:val="%1"/>
      <w:lvlJc w:val="left"/>
      <w:pPr>
        <w:ind w:left="360" w:hanging="360"/>
      </w:pPr>
      <w:rPr>
        <w:rFonts w:hint="default"/>
        <w:u w:val="none"/>
      </w:rPr>
    </w:lvl>
    <w:lvl w:ilvl="1">
      <w:start w:val="1"/>
      <w:numFmt w:val="decimal"/>
      <w:lvlText w:val="%1.%2"/>
      <w:lvlJc w:val="left"/>
      <w:pPr>
        <w:ind w:left="1080" w:hanging="360"/>
      </w:pPr>
      <w:rPr>
        <w:rFonts w:hint="default"/>
        <w:color w:val="000000" w:themeColor="text1"/>
        <w:u w:val="none"/>
      </w:rPr>
    </w:lvl>
    <w:lvl w:ilvl="2">
      <w:start w:val="1"/>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u w:val="none"/>
      </w:rPr>
    </w:lvl>
    <w:lvl w:ilvl="4">
      <w:start w:val="1"/>
      <w:numFmt w:val="decimal"/>
      <w:lvlText w:val="%1.%2.%3.%4.%5"/>
      <w:lvlJc w:val="left"/>
      <w:pPr>
        <w:ind w:left="3960" w:hanging="1080"/>
      </w:pPr>
      <w:rPr>
        <w:rFonts w:hint="default"/>
        <w:u w:val="none"/>
      </w:rPr>
    </w:lvl>
    <w:lvl w:ilvl="5">
      <w:start w:val="1"/>
      <w:numFmt w:val="decimal"/>
      <w:lvlText w:val="%1.%2.%3.%4.%5.%6"/>
      <w:lvlJc w:val="left"/>
      <w:pPr>
        <w:ind w:left="4680" w:hanging="1080"/>
      </w:pPr>
      <w:rPr>
        <w:rFonts w:hint="default"/>
        <w:u w:val="none"/>
      </w:rPr>
    </w:lvl>
    <w:lvl w:ilvl="6">
      <w:start w:val="1"/>
      <w:numFmt w:val="decimal"/>
      <w:lvlText w:val="%1.%2.%3.%4.%5.%6.%7"/>
      <w:lvlJc w:val="left"/>
      <w:pPr>
        <w:ind w:left="5760" w:hanging="1440"/>
      </w:pPr>
      <w:rPr>
        <w:rFonts w:hint="default"/>
        <w:u w:val="none"/>
      </w:rPr>
    </w:lvl>
    <w:lvl w:ilvl="7">
      <w:start w:val="1"/>
      <w:numFmt w:val="decimal"/>
      <w:lvlText w:val="%1.%2.%3.%4.%5.%6.%7.%8"/>
      <w:lvlJc w:val="left"/>
      <w:pPr>
        <w:ind w:left="6480" w:hanging="1440"/>
      </w:pPr>
      <w:rPr>
        <w:rFonts w:hint="default"/>
        <w:u w:val="none"/>
      </w:rPr>
    </w:lvl>
    <w:lvl w:ilvl="8">
      <w:start w:val="1"/>
      <w:numFmt w:val="decimal"/>
      <w:lvlText w:val="%1.%2.%3.%4.%5.%6.%7.%8.%9"/>
      <w:lvlJc w:val="left"/>
      <w:pPr>
        <w:ind w:left="7560" w:hanging="1800"/>
      </w:pPr>
      <w:rPr>
        <w:rFonts w:hint="default"/>
        <w:u w:val="none"/>
      </w:rPr>
    </w:lvl>
  </w:abstractNum>
  <w:abstractNum w:abstractNumId="36" w15:restartNumberingAfterBreak="0">
    <w:nsid w:val="560C598E"/>
    <w:multiLevelType w:val="multilevel"/>
    <w:tmpl w:val="C4745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6413320"/>
    <w:multiLevelType w:val="hybridMultilevel"/>
    <w:tmpl w:val="3E8256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61566782"/>
    <w:multiLevelType w:val="hybridMultilevel"/>
    <w:tmpl w:val="63EAA5A4"/>
    <w:lvl w:ilvl="0" w:tplc="109C7546">
      <w:numFmt w:val="bullet"/>
      <w:lvlText w:val="-"/>
      <w:lvlJc w:val="left"/>
      <w:pPr>
        <w:ind w:left="1068" w:hanging="360"/>
      </w:pPr>
      <w:rPr>
        <w:rFonts w:ascii="Times New Roman" w:eastAsia="Times New Roman" w:hAnsi="Times New Roman" w:cs="Times New Roman"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39" w15:restartNumberingAfterBreak="0">
    <w:nsid w:val="645F5461"/>
    <w:multiLevelType w:val="hybridMultilevel"/>
    <w:tmpl w:val="BAD64BC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15:restartNumberingAfterBreak="0">
    <w:nsid w:val="6D423B43"/>
    <w:multiLevelType w:val="hybridMultilevel"/>
    <w:tmpl w:val="DF1238B6"/>
    <w:lvl w:ilvl="0" w:tplc="18F82A5E">
      <w:start w:val="1"/>
      <w:numFmt w:val="lowerRoman"/>
      <w:lvlText w:val="%1."/>
      <w:lvlJc w:val="left"/>
      <w:pPr>
        <w:ind w:left="1260" w:hanging="720"/>
      </w:pPr>
      <w:rPr>
        <w:rFonts w:eastAsia="inter" w:hint="default"/>
        <w:b/>
        <w:color w:val="000000"/>
      </w:rPr>
    </w:lvl>
    <w:lvl w:ilvl="1" w:tplc="040A0019" w:tentative="1">
      <w:start w:val="1"/>
      <w:numFmt w:val="lowerLetter"/>
      <w:lvlText w:val="%2."/>
      <w:lvlJc w:val="left"/>
      <w:pPr>
        <w:ind w:left="1620" w:hanging="360"/>
      </w:pPr>
    </w:lvl>
    <w:lvl w:ilvl="2" w:tplc="040A001B" w:tentative="1">
      <w:start w:val="1"/>
      <w:numFmt w:val="lowerRoman"/>
      <w:lvlText w:val="%3."/>
      <w:lvlJc w:val="right"/>
      <w:pPr>
        <w:ind w:left="2340" w:hanging="180"/>
      </w:pPr>
    </w:lvl>
    <w:lvl w:ilvl="3" w:tplc="040A000F" w:tentative="1">
      <w:start w:val="1"/>
      <w:numFmt w:val="decimal"/>
      <w:lvlText w:val="%4."/>
      <w:lvlJc w:val="left"/>
      <w:pPr>
        <w:ind w:left="3060" w:hanging="360"/>
      </w:pPr>
    </w:lvl>
    <w:lvl w:ilvl="4" w:tplc="040A0019" w:tentative="1">
      <w:start w:val="1"/>
      <w:numFmt w:val="lowerLetter"/>
      <w:lvlText w:val="%5."/>
      <w:lvlJc w:val="left"/>
      <w:pPr>
        <w:ind w:left="3780" w:hanging="360"/>
      </w:pPr>
    </w:lvl>
    <w:lvl w:ilvl="5" w:tplc="040A001B" w:tentative="1">
      <w:start w:val="1"/>
      <w:numFmt w:val="lowerRoman"/>
      <w:lvlText w:val="%6."/>
      <w:lvlJc w:val="right"/>
      <w:pPr>
        <w:ind w:left="4500" w:hanging="180"/>
      </w:pPr>
    </w:lvl>
    <w:lvl w:ilvl="6" w:tplc="040A000F" w:tentative="1">
      <w:start w:val="1"/>
      <w:numFmt w:val="decimal"/>
      <w:lvlText w:val="%7."/>
      <w:lvlJc w:val="left"/>
      <w:pPr>
        <w:ind w:left="5220" w:hanging="360"/>
      </w:pPr>
    </w:lvl>
    <w:lvl w:ilvl="7" w:tplc="040A0019" w:tentative="1">
      <w:start w:val="1"/>
      <w:numFmt w:val="lowerLetter"/>
      <w:lvlText w:val="%8."/>
      <w:lvlJc w:val="left"/>
      <w:pPr>
        <w:ind w:left="5940" w:hanging="360"/>
      </w:pPr>
    </w:lvl>
    <w:lvl w:ilvl="8" w:tplc="040A001B" w:tentative="1">
      <w:start w:val="1"/>
      <w:numFmt w:val="lowerRoman"/>
      <w:lvlText w:val="%9."/>
      <w:lvlJc w:val="right"/>
      <w:pPr>
        <w:ind w:left="6660" w:hanging="180"/>
      </w:pPr>
    </w:lvl>
  </w:abstractNum>
  <w:abstractNum w:abstractNumId="41" w15:restartNumberingAfterBreak="0">
    <w:nsid w:val="6F990B47"/>
    <w:multiLevelType w:val="hybridMultilevel"/>
    <w:tmpl w:val="C81081A8"/>
    <w:lvl w:ilvl="0" w:tplc="84B0E29C">
      <w:start w:val="1"/>
      <w:numFmt w:val="bullet"/>
      <w:lvlText w:val=""/>
      <w:lvlJc w:val="left"/>
      <w:pPr>
        <w:tabs>
          <w:tab w:val="num" w:pos="900"/>
        </w:tabs>
        <w:ind w:left="540" w:hanging="360"/>
      </w:pPr>
      <w:rPr>
        <w:rFonts w:ascii="Symbol" w:hAnsi="Symbol" w:hint="default"/>
      </w:rPr>
    </w:lvl>
    <w:lvl w:ilvl="1" w:tplc="37E80F64">
      <w:numFmt w:val="decimal"/>
      <w:lvlText w:val=""/>
      <w:lvlJc w:val="left"/>
    </w:lvl>
    <w:lvl w:ilvl="2" w:tplc="F126C712">
      <w:numFmt w:val="decimal"/>
      <w:lvlText w:val=""/>
      <w:lvlJc w:val="left"/>
    </w:lvl>
    <w:lvl w:ilvl="3" w:tplc="83A4C228">
      <w:numFmt w:val="decimal"/>
      <w:lvlText w:val=""/>
      <w:lvlJc w:val="left"/>
    </w:lvl>
    <w:lvl w:ilvl="4" w:tplc="2004A4C4">
      <w:numFmt w:val="decimal"/>
      <w:lvlText w:val=""/>
      <w:lvlJc w:val="left"/>
    </w:lvl>
    <w:lvl w:ilvl="5" w:tplc="7988C098">
      <w:numFmt w:val="decimal"/>
      <w:lvlText w:val=""/>
      <w:lvlJc w:val="left"/>
    </w:lvl>
    <w:lvl w:ilvl="6" w:tplc="05D62408">
      <w:numFmt w:val="decimal"/>
      <w:lvlText w:val=""/>
      <w:lvlJc w:val="left"/>
    </w:lvl>
    <w:lvl w:ilvl="7" w:tplc="8A402DD8">
      <w:numFmt w:val="decimal"/>
      <w:lvlText w:val=""/>
      <w:lvlJc w:val="left"/>
    </w:lvl>
    <w:lvl w:ilvl="8" w:tplc="391EC446">
      <w:numFmt w:val="decimal"/>
      <w:lvlText w:val=""/>
      <w:lvlJc w:val="left"/>
    </w:lvl>
  </w:abstractNum>
  <w:abstractNum w:abstractNumId="42" w15:restartNumberingAfterBreak="0">
    <w:nsid w:val="722016F8"/>
    <w:multiLevelType w:val="multilevel"/>
    <w:tmpl w:val="BB56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315F15"/>
    <w:multiLevelType w:val="multilevel"/>
    <w:tmpl w:val="F196B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4496908"/>
    <w:multiLevelType w:val="multilevel"/>
    <w:tmpl w:val="5434E430"/>
    <w:lvl w:ilvl="0">
      <w:start w:val="4"/>
      <w:numFmt w:val="decimal"/>
      <w:lvlText w:val="%1"/>
      <w:lvlJc w:val="left"/>
      <w:pPr>
        <w:ind w:left="360" w:hanging="360"/>
      </w:pPr>
      <w:rPr>
        <w:rFonts w:hint="default"/>
        <w:u w:val="none"/>
      </w:rPr>
    </w:lvl>
    <w:lvl w:ilvl="1">
      <w:start w:val="1"/>
      <w:numFmt w:val="decimal"/>
      <w:lvlText w:val="%1.%2"/>
      <w:lvlJc w:val="left"/>
      <w:pPr>
        <w:ind w:left="1080" w:hanging="360"/>
      </w:pPr>
      <w:rPr>
        <w:rFonts w:hint="default"/>
        <w:u w:val="none"/>
      </w:rPr>
    </w:lvl>
    <w:lvl w:ilvl="2">
      <w:start w:val="1"/>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u w:val="none"/>
      </w:rPr>
    </w:lvl>
    <w:lvl w:ilvl="4">
      <w:start w:val="1"/>
      <w:numFmt w:val="decimal"/>
      <w:lvlText w:val="%1.%2.%3.%4.%5"/>
      <w:lvlJc w:val="left"/>
      <w:pPr>
        <w:ind w:left="3960" w:hanging="1080"/>
      </w:pPr>
      <w:rPr>
        <w:rFonts w:hint="default"/>
        <w:u w:val="none"/>
      </w:rPr>
    </w:lvl>
    <w:lvl w:ilvl="5">
      <w:start w:val="1"/>
      <w:numFmt w:val="decimal"/>
      <w:lvlText w:val="%1.%2.%3.%4.%5.%6"/>
      <w:lvlJc w:val="left"/>
      <w:pPr>
        <w:ind w:left="4680" w:hanging="1080"/>
      </w:pPr>
      <w:rPr>
        <w:rFonts w:hint="default"/>
        <w:u w:val="none"/>
      </w:rPr>
    </w:lvl>
    <w:lvl w:ilvl="6">
      <w:start w:val="1"/>
      <w:numFmt w:val="decimal"/>
      <w:lvlText w:val="%1.%2.%3.%4.%5.%6.%7"/>
      <w:lvlJc w:val="left"/>
      <w:pPr>
        <w:ind w:left="5760" w:hanging="1440"/>
      </w:pPr>
      <w:rPr>
        <w:rFonts w:hint="default"/>
        <w:u w:val="none"/>
      </w:rPr>
    </w:lvl>
    <w:lvl w:ilvl="7">
      <w:start w:val="1"/>
      <w:numFmt w:val="decimal"/>
      <w:lvlText w:val="%1.%2.%3.%4.%5.%6.%7.%8"/>
      <w:lvlJc w:val="left"/>
      <w:pPr>
        <w:ind w:left="6480" w:hanging="1440"/>
      </w:pPr>
      <w:rPr>
        <w:rFonts w:hint="default"/>
        <w:u w:val="none"/>
      </w:rPr>
    </w:lvl>
    <w:lvl w:ilvl="8">
      <w:start w:val="1"/>
      <w:numFmt w:val="decimal"/>
      <w:lvlText w:val="%1.%2.%3.%4.%5.%6.%7.%8.%9"/>
      <w:lvlJc w:val="left"/>
      <w:pPr>
        <w:ind w:left="7560" w:hanging="1800"/>
      </w:pPr>
      <w:rPr>
        <w:rFonts w:hint="default"/>
        <w:u w:val="none"/>
      </w:rPr>
    </w:lvl>
  </w:abstractNum>
  <w:abstractNum w:abstractNumId="45" w15:restartNumberingAfterBreak="0">
    <w:nsid w:val="78DB2975"/>
    <w:multiLevelType w:val="hybridMultilevel"/>
    <w:tmpl w:val="3984F75A"/>
    <w:lvl w:ilvl="0" w:tplc="040A001B">
      <w:start w:val="1"/>
      <w:numFmt w:val="low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6" w15:restartNumberingAfterBreak="0">
    <w:nsid w:val="7BE141D0"/>
    <w:multiLevelType w:val="hybridMultilevel"/>
    <w:tmpl w:val="BC28F316"/>
    <w:lvl w:ilvl="0" w:tplc="1616A0A8">
      <w:start w:val="1"/>
      <w:numFmt w:val="decimal"/>
      <w:pStyle w:val="Ttulo2"/>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7" w15:restartNumberingAfterBreak="0">
    <w:nsid w:val="7E68266C"/>
    <w:multiLevelType w:val="multilevel"/>
    <w:tmpl w:val="583C8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9358085">
    <w:abstractNumId w:val="3"/>
  </w:num>
  <w:num w:numId="2" w16cid:durableId="721364283">
    <w:abstractNumId w:val="41"/>
  </w:num>
  <w:num w:numId="3" w16cid:durableId="745224231">
    <w:abstractNumId w:val="45"/>
  </w:num>
  <w:num w:numId="4" w16cid:durableId="1260986640">
    <w:abstractNumId w:val="40"/>
  </w:num>
  <w:num w:numId="5" w16cid:durableId="1589391349">
    <w:abstractNumId w:val="7"/>
  </w:num>
  <w:num w:numId="6" w16cid:durableId="1886748498">
    <w:abstractNumId w:val="26"/>
  </w:num>
  <w:num w:numId="7" w16cid:durableId="1657219685">
    <w:abstractNumId w:val="12"/>
  </w:num>
  <w:num w:numId="8" w16cid:durableId="524172426">
    <w:abstractNumId w:val="14"/>
  </w:num>
  <w:num w:numId="9" w16cid:durableId="695929915">
    <w:abstractNumId w:val="27"/>
  </w:num>
  <w:num w:numId="10" w16cid:durableId="1199396304">
    <w:abstractNumId w:val="43"/>
  </w:num>
  <w:num w:numId="11" w16cid:durableId="38556434">
    <w:abstractNumId w:val="36"/>
  </w:num>
  <w:num w:numId="12" w16cid:durableId="1443066465">
    <w:abstractNumId w:val="4"/>
  </w:num>
  <w:num w:numId="13" w16cid:durableId="56168946">
    <w:abstractNumId w:val="32"/>
  </w:num>
  <w:num w:numId="14" w16cid:durableId="1254895546">
    <w:abstractNumId w:val="20"/>
  </w:num>
  <w:num w:numId="15" w16cid:durableId="1972788939">
    <w:abstractNumId w:val="17"/>
  </w:num>
  <w:num w:numId="16" w16cid:durableId="1698965901">
    <w:abstractNumId w:val="34"/>
  </w:num>
  <w:num w:numId="17" w16cid:durableId="1038161161">
    <w:abstractNumId w:val="22"/>
  </w:num>
  <w:num w:numId="18" w16cid:durableId="1547640870">
    <w:abstractNumId w:val="13"/>
  </w:num>
  <w:num w:numId="19" w16cid:durableId="794908158">
    <w:abstractNumId w:val="25"/>
  </w:num>
  <w:num w:numId="20" w16cid:durableId="145174995">
    <w:abstractNumId w:val="31"/>
  </w:num>
  <w:num w:numId="21" w16cid:durableId="2003389953">
    <w:abstractNumId w:val="18"/>
  </w:num>
  <w:num w:numId="22" w16cid:durableId="360518819">
    <w:abstractNumId w:val="1"/>
  </w:num>
  <w:num w:numId="23" w16cid:durableId="1329332774">
    <w:abstractNumId w:val="5"/>
  </w:num>
  <w:num w:numId="24" w16cid:durableId="292716091">
    <w:abstractNumId w:val="8"/>
  </w:num>
  <w:num w:numId="25" w16cid:durableId="1824394260">
    <w:abstractNumId w:val="6"/>
  </w:num>
  <w:num w:numId="26" w16cid:durableId="112330744">
    <w:abstractNumId w:val="39"/>
  </w:num>
  <w:num w:numId="27" w16cid:durableId="227692770">
    <w:abstractNumId w:val="16"/>
  </w:num>
  <w:num w:numId="28" w16cid:durableId="532230713">
    <w:abstractNumId w:val="9"/>
  </w:num>
  <w:num w:numId="29" w16cid:durableId="1859391681">
    <w:abstractNumId w:val="2"/>
  </w:num>
  <w:num w:numId="30" w16cid:durableId="1565070195">
    <w:abstractNumId w:val="29"/>
  </w:num>
  <w:num w:numId="31" w16cid:durableId="1821071774">
    <w:abstractNumId w:val="35"/>
  </w:num>
  <w:num w:numId="32" w16cid:durableId="505441699">
    <w:abstractNumId w:val="11"/>
  </w:num>
  <w:num w:numId="33" w16cid:durableId="773212538">
    <w:abstractNumId w:val="10"/>
  </w:num>
  <w:num w:numId="34" w16cid:durableId="163446940">
    <w:abstractNumId w:val="15"/>
  </w:num>
  <w:num w:numId="35" w16cid:durableId="1167090894">
    <w:abstractNumId w:val="47"/>
  </w:num>
  <w:num w:numId="36" w16cid:durableId="656223291">
    <w:abstractNumId w:val="42"/>
  </w:num>
  <w:num w:numId="37" w16cid:durableId="1889343012">
    <w:abstractNumId w:val="24"/>
  </w:num>
  <w:num w:numId="38" w16cid:durableId="1526136838">
    <w:abstractNumId w:val="44"/>
  </w:num>
  <w:num w:numId="39" w16cid:durableId="1210023872">
    <w:abstractNumId w:val="33"/>
  </w:num>
  <w:num w:numId="40" w16cid:durableId="1800417391">
    <w:abstractNumId w:val="30"/>
  </w:num>
  <w:num w:numId="41" w16cid:durableId="780420588">
    <w:abstractNumId w:val="19"/>
  </w:num>
  <w:num w:numId="42" w16cid:durableId="277492214">
    <w:abstractNumId w:val="37"/>
  </w:num>
  <w:num w:numId="43" w16cid:durableId="1383365470">
    <w:abstractNumId w:val="38"/>
  </w:num>
  <w:num w:numId="44" w16cid:durableId="1795949737">
    <w:abstractNumId w:val="21"/>
  </w:num>
  <w:num w:numId="45" w16cid:durableId="1993635800">
    <w:abstractNumId w:val="0"/>
  </w:num>
  <w:num w:numId="46" w16cid:durableId="588079349">
    <w:abstractNumId w:val="23"/>
  </w:num>
  <w:num w:numId="47" w16cid:durableId="178128062">
    <w:abstractNumId w:val="46"/>
  </w:num>
  <w:num w:numId="48" w16cid:durableId="434324268">
    <w:abstractNumId w:val="28"/>
  </w:num>
  <w:num w:numId="49" w16cid:durableId="877200242">
    <w:abstractNumId w:val="28"/>
    <w:lvlOverride w:ilvl="0">
      <w:startOverride w:val="1"/>
    </w:lvlOverride>
  </w:num>
  <w:num w:numId="50" w16cid:durableId="1628853221">
    <w:abstractNumId w:val="28"/>
    <w:lvlOverride w:ilvl="0">
      <w:startOverride w:val="1"/>
    </w:lvlOverride>
  </w:num>
  <w:num w:numId="51" w16cid:durableId="1719818435">
    <w:abstractNumId w:val="2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071"/>
    <w:rsid w:val="00001722"/>
    <w:rsid w:val="000017F2"/>
    <w:rsid w:val="00010FC7"/>
    <w:rsid w:val="000132E9"/>
    <w:rsid w:val="0001649D"/>
    <w:rsid w:val="00017037"/>
    <w:rsid w:val="000236F4"/>
    <w:rsid w:val="00030D67"/>
    <w:rsid w:val="00051522"/>
    <w:rsid w:val="00052328"/>
    <w:rsid w:val="0005566F"/>
    <w:rsid w:val="000560BD"/>
    <w:rsid w:val="00063490"/>
    <w:rsid w:val="000712B2"/>
    <w:rsid w:val="000730AB"/>
    <w:rsid w:val="00075A05"/>
    <w:rsid w:val="00082A3C"/>
    <w:rsid w:val="000843AF"/>
    <w:rsid w:val="000845A1"/>
    <w:rsid w:val="0009021C"/>
    <w:rsid w:val="0009191C"/>
    <w:rsid w:val="00095B4F"/>
    <w:rsid w:val="0009644E"/>
    <w:rsid w:val="000967A4"/>
    <w:rsid w:val="000A3BBD"/>
    <w:rsid w:val="000A4D57"/>
    <w:rsid w:val="000A6A14"/>
    <w:rsid w:val="000A6E3E"/>
    <w:rsid w:val="000A765E"/>
    <w:rsid w:val="000A77CA"/>
    <w:rsid w:val="000A7C3A"/>
    <w:rsid w:val="000B1424"/>
    <w:rsid w:val="000C5E83"/>
    <w:rsid w:val="000D2D67"/>
    <w:rsid w:val="000E0B93"/>
    <w:rsid w:val="000E1F07"/>
    <w:rsid w:val="000E2669"/>
    <w:rsid w:val="000E3D76"/>
    <w:rsid w:val="000E74EA"/>
    <w:rsid w:val="000F0CAC"/>
    <w:rsid w:val="000F2FD0"/>
    <w:rsid w:val="000F413B"/>
    <w:rsid w:val="000F42A0"/>
    <w:rsid w:val="000F77E8"/>
    <w:rsid w:val="001004A6"/>
    <w:rsid w:val="001017AE"/>
    <w:rsid w:val="00104C04"/>
    <w:rsid w:val="0010537D"/>
    <w:rsid w:val="0010556C"/>
    <w:rsid w:val="00105FB5"/>
    <w:rsid w:val="00106BFE"/>
    <w:rsid w:val="00111929"/>
    <w:rsid w:val="0011267E"/>
    <w:rsid w:val="00112A9A"/>
    <w:rsid w:val="001155A6"/>
    <w:rsid w:val="00117007"/>
    <w:rsid w:val="001170A6"/>
    <w:rsid w:val="001240C5"/>
    <w:rsid w:val="00125D19"/>
    <w:rsid w:val="00127544"/>
    <w:rsid w:val="00127FDC"/>
    <w:rsid w:val="00131D54"/>
    <w:rsid w:val="001364D4"/>
    <w:rsid w:val="00144926"/>
    <w:rsid w:val="00146CA3"/>
    <w:rsid w:val="001512B6"/>
    <w:rsid w:val="0015151A"/>
    <w:rsid w:val="001528FE"/>
    <w:rsid w:val="00160ABB"/>
    <w:rsid w:val="00166A4A"/>
    <w:rsid w:val="001715A3"/>
    <w:rsid w:val="00172787"/>
    <w:rsid w:val="00173167"/>
    <w:rsid w:val="00175ABC"/>
    <w:rsid w:val="001769C3"/>
    <w:rsid w:val="001810E6"/>
    <w:rsid w:val="00182FBC"/>
    <w:rsid w:val="00183412"/>
    <w:rsid w:val="001837FA"/>
    <w:rsid w:val="0018594A"/>
    <w:rsid w:val="00192B5B"/>
    <w:rsid w:val="00197A16"/>
    <w:rsid w:val="001A5AE0"/>
    <w:rsid w:val="001A5D43"/>
    <w:rsid w:val="001B3A80"/>
    <w:rsid w:val="001B78D8"/>
    <w:rsid w:val="001C6599"/>
    <w:rsid w:val="001D6B54"/>
    <w:rsid w:val="001E242A"/>
    <w:rsid w:val="001E5B9C"/>
    <w:rsid w:val="001E62C0"/>
    <w:rsid w:val="001E7E5C"/>
    <w:rsid w:val="001F0B1E"/>
    <w:rsid w:val="001F6024"/>
    <w:rsid w:val="001F67D8"/>
    <w:rsid w:val="00202761"/>
    <w:rsid w:val="00204F2C"/>
    <w:rsid w:val="00206310"/>
    <w:rsid w:val="00206EDC"/>
    <w:rsid w:val="00211963"/>
    <w:rsid w:val="002121FE"/>
    <w:rsid w:val="0021693B"/>
    <w:rsid w:val="00217DE9"/>
    <w:rsid w:val="0022155A"/>
    <w:rsid w:val="00221709"/>
    <w:rsid w:val="00222736"/>
    <w:rsid w:val="0022341C"/>
    <w:rsid w:val="00225688"/>
    <w:rsid w:val="00225D68"/>
    <w:rsid w:val="00227EB8"/>
    <w:rsid w:val="002411AE"/>
    <w:rsid w:val="00246BE0"/>
    <w:rsid w:val="00250DB5"/>
    <w:rsid w:val="00253B0C"/>
    <w:rsid w:val="00260D54"/>
    <w:rsid w:val="002639BC"/>
    <w:rsid w:val="00263F1D"/>
    <w:rsid w:val="0026606A"/>
    <w:rsid w:val="00275D4B"/>
    <w:rsid w:val="00276CBB"/>
    <w:rsid w:val="00284C64"/>
    <w:rsid w:val="002851E7"/>
    <w:rsid w:val="00287B1A"/>
    <w:rsid w:val="0029135A"/>
    <w:rsid w:val="00291706"/>
    <w:rsid w:val="00297BF0"/>
    <w:rsid w:val="002A18D9"/>
    <w:rsid w:val="002A53E2"/>
    <w:rsid w:val="002B2388"/>
    <w:rsid w:val="002B2B99"/>
    <w:rsid w:val="002B33E7"/>
    <w:rsid w:val="002C0AAF"/>
    <w:rsid w:val="002C1A7A"/>
    <w:rsid w:val="002C6F40"/>
    <w:rsid w:val="002C79D5"/>
    <w:rsid w:val="002D053C"/>
    <w:rsid w:val="002D05BC"/>
    <w:rsid w:val="002D0624"/>
    <w:rsid w:val="002D10D0"/>
    <w:rsid w:val="002D254D"/>
    <w:rsid w:val="002D4EAA"/>
    <w:rsid w:val="002D5DFC"/>
    <w:rsid w:val="002E0235"/>
    <w:rsid w:val="002E1454"/>
    <w:rsid w:val="002F07AA"/>
    <w:rsid w:val="002F5ACA"/>
    <w:rsid w:val="002F6E13"/>
    <w:rsid w:val="00300020"/>
    <w:rsid w:val="00300BC1"/>
    <w:rsid w:val="003022E7"/>
    <w:rsid w:val="00304425"/>
    <w:rsid w:val="003048B4"/>
    <w:rsid w:val="00320051"/>
    <w:rsid w:val="00321082"/>
    <w:rsid w:val="003245FE"/>
    <w:rsid w:val="003251B6"/>
    <w:rsid w:val="00331800"/>
    <w:rsid w:val="00332784"/>
    <w:rsid w:val="00334F7B"/>
    <w:rsid w:val="003352EC"/>
    <w:rsid w:val="00335890"/>
    <w:rsid w:val="00335AB5"/>
    <w:rsid w:val="00337E0C"/>
    <w:rsid w:val="003404ED"/>
    <w:rsid w:val="00340A21"/>
    <w:rsid w:val="00342184"/>
    <w:rsid w:val="00346103"/>
    <w:rsid w:val="00352C65"/>
    <w:rsid w:val="00353B30"/>
    <w:rsid w:val="00354CC8"/>
    <w:rsid w:val="00354FC2"/>
    <w:rsid w:val="00362E4D"/>
    <w:rsid w:val="00363BBE"/>
    <w:rsid w:val="00364B0E"/>
    <w:rsid w:val="00365566"/>
    <w:rsid w:val="00366CC9"/>
    <w:rsid w:val="00367890"/>
    <w:rsid w:val="00370801"/>
    <w:rsid w:val="003714E1"/>
    <w:rsid w:val="00371655"/>
    <w:rsid w:val="00372BDB"/>
    <w:rsid w:val="0037369B"/>
    <w:rsid w:val="00373C9C"/>
    <w:rsid w:val="003747D7"/>
    <w:rsid w:val="00382211"/>
    <w:rsid w:val="00384D1F"/>
    <w:rsid w:val="00385954"/>
    <w:rsid w:val="003862AD"/>
    <w:rsid w:val="003918C9"/>
    <w:rsid w:val="00394F32"/>
    <w:rsid w:val="003A5314"/>
    <w:rsid w:val="003A66B5"/>
    <w:rsid w:val="003B0439"/>
    <w:rsid w:val="003B4853"/>
    <w:rsid w:val="003B53DC"/>
    <w:rsid w:val="003B55DE"/>
    <w:rsid w:val="003C0ABE"/>
    <w:rsid w:val="003C17CA"/>
    <w:rsid w:val="003C322D"/>
    <w:rsid w:val="003C4EA4"/>
    <w:rsid w:val="003C4F06"/>
    <w:rsid w:val="003C5206"/>
    <w:rsid w:val="003D2DFF"/>
    <w:rsid w:val="003D417C"/>
    <w:rsid w:val="003E2FA0"/>
    <w:rsid w:val="003E4CEB"/>
    <w:rsid w:val="003F5615"/>
    <w:rsid w:val="003F5DDE"/>
    <w:rsid w:val="003F6B8F"/>
    <w:rsid w:val="003F75CB"/>
    <w:rsid w:val="004004CD"/>
    <w:rsid w:val="00407BE9"/>
    <w:rsid w:val="0041798B"/>
    <w:rsid w:val="004239B9"/>
    <w:rsid w:val="00424809"/>
    <w:rsid w:val="0042615E"/>
    <w:rsid w:val="0042650E"/>
    <w:rsid w:val="0042704A"/>
    <w:rsid w:val="00427DA5"/>
    <w:rsid w:val="00430D36"/>
    <w:rsid w:val="004327C0"/>
    <w:rsid w:val="00432B11"/>
    <w:rsid w:val="00433124"/>
    <w:rsid w:val="00434023"/>
    <w:rsid w:val="00435BBA"/>
    <w:rsid w:val="0044055B"/>
    <w:rsid w:val="00440D72"/>
    <w:rsid w:val="004421CB"/>
    <w:rsid w:val="004541EB"/>
    <w:rsid w:val="00454EE4"/>
    <w:rsid w:val="0047631F"/>
    <w:rsid w:val="00483B7B"/>
    <w:rsid w:val="00485018"/>
    <w:rsid w:val="00486B7E"/>
    <w:rsid w:val="004912D9"/>
    <w:rsid w:val="00493E1C"/>
    <w:rsid w:val="00494DA1"/>
    <w:rsid w:val="00496C75"/>
    <w:rsid w:val="004A0A75"/>
    <w:rsid w:val="004A25BF"/>
    <w:rsid w:val="004A4827"/>
    <w:rsid w:val="004B0D2F"/>
    <w:rsid w:val="004B28FB"/>
    <w:rsid w:val="004C011C"/>
    <w:rsid w:val="004C0D94"/>
    <w:rsid w:val="004C2871"/>
    <w:rsid w:val="004D0AF3"/>
    <w:rsid w:val="004D3033"/>
    <w:rsid w:val="004D50E4"/>
    <w:rsid w:val="004D6F9C"/>
    <w:rsid w:val="004E040B"/>
    <w:rsid w:val="004E3BD1"/>
    <w:rsid w:val="004E49CD"/>
    <w:rsid w:val="00504CA7"/>
    <w:rsid w:val="0051567A"/>
    <w:rsid w:val="00520986"/>
    <w:rsid w:val="005213FB"/>
    <w:rsid w:val="00525A6B"/>
    <w:rsid w:val="005272AC"/>
    <w:rsid w:val="00533AB7"/>
    <w:rsid w:val="00534449"/>
    <w:rsid w:val="005346DF"/>
    <w:rsid w:val="00536EF0"/>
    <w:rsid w:val="00541579"/>
    <w:rsid w:val="00545ED5"/>
    <w:rsid w:val="00547B09"/>
    <w:rsid w:val="0056182F"/>
    <w:rsid w:val="00565995"/>
    <w:rsid w:val="005709D1"/>
    <w:rsid w:val="0057430D"/>
    <w:rsid w:val="00574A02"/>
    <w:rsid w:val="00574F0F"/>
    <w:rsid w:val="00576948"/>
    <w:rsid w:val="00577839"/>
    <w:rsid w:val="00580B6B"/>
    <w:rsid w:val="00585463"/>
    <w:rsid w:val="005877D5"/>
    <w:rsid w:val="0059333F"/>
    <w:rsid w:val="00594C5A"/>
    <w:rsid w:val="00597659"/>
    <w:rsid w:val="005A5120"/>
    <w:rsid w:val="005A7025"/>
    <w:rsid w:val="005B0279"/>
    <w:rsid w:val="005B1DEB"/>
    <w:rsid w:val="005C0C73"/>
    <w:rsid w:val="005C0C8D"/>
    <w:rsid w:val="005C2414"/>
    <w:rsid w:val="005D10F3"/>
    <w:rsid w:val="005D436B"/>
    <w:rsid w:val="005D60E8"/>
    <w:rsid w:val="005D6848"/>
    <w:rsid w:val="005E07D3"/>
    <w:rsid w:val="005E5DCF"/>
    <w:rsid w:val="005E6B5D"/>
    <w:rsid w:val="005E6EE9"/>
    <w:rsid w:val="005F1C70"/>
    <w:rsid w:val="005F5634"/>
    <w:rsid w:val="005F5ADC"/>
    <w:rsid w:val="005F725C"/>
    <w:rsid w:val="00602AB1"/>
    <w:rsid w:val="006030B5"/>
    <w:rsid w:val="0060368C"/>
    <w:rsid w:val="00610D00"/>
    <w:rsid w:val="00610F37"/>
    <w:rsid w:val="006115A8"/>
    <w:rsid w:val="006169E7"/>
    <w:rsid w:val="00621434"/>
    <w:rsid w:val="00622FA3"/>
    <w:rsid w:val="00623015"/>
    <w:rsid w:val="00624868"/>
    <w:rsid w:val="00625819"/>
    <w:rsid w:val="00625C86"/>
    <w:rsid w:val="00625F30"/>
    <w:rsid w:val="00626E5D"/>
    <w:rsid w:val="00632FA1"/>
    <w:rsid w:val="006355B0"/>
    <w:rsid w:val="0064185C"/>
    <w:rsid w:val="00642509"/>
    <w:rsid w:val="006428D4"/>
    <w:rsid w:val="00642C78"/>
    <w:rsid w:val="0064539C"/>
    <w:rsid w:val="00646221"/>
    <w:rsid w:val="006514DD"/>
    <w:rsid w:val="00670A4D"/>
    <w:rsid w:val="00670D1D"/>
    <w:rsid w:val="00671B03"/>
    <w:rsid w:val="0068281B"/>
    <w:rsid w:val="006964F5"/>
    <w:rsid w:val="006A2952"/>
    <w:rsid w:val="006A6CBD"/>
    <w:rsid w:val="006B5D8B"/>
    <w:rsid w:val="006B7731"/>
    <w:rsid w:val="006C0858"/>
    <w:rsid w:val="006C391A"/>
    <w:rsid w:val="006C5945"/>
    <w:rsid w:val="006C729E"/>
    <w:rsid w:val="006D3EBE"/>
    <w:rsid w:val="006E1B01"/>
    <w:rsid w:val="006E5F04"/>
    <w:rsid w:val="006F27A3"/>
    <w:rsid w:val="006F309B"/>
    <w:rsid w:val="006F51FD"/>
    <w:rsid w:val="006F61CA"/>
    <w:rsid w:val="006F6856"/>
    <w:rsid w:val="006F74B0"/>
    <w:rsid w:val="006F7B1C"/>
    <w:rsid w:val="007026A4"/>
    <w:rsid w:val="00703396"/>
    <w:rsid w:val="00706DE3"/>
    <w:rsid w:val="00712193"/>
    <w:rsid w:val="00713006"/>
    <w:rsid w:val="00715923"/>
    <w:rsid w:val="00720929"/>
    <w:rsid w:val="0072720C"/>
    <w:rsid w:val="00730FA6"/>
    <w:rsid w:val="00731CC2"/>
    <w:rsid w:val="00733F71"/>
    <w:rsid w:val="00736C34"/>
    <w:rsid w:val="00737B78"/>
    <w:rsid w:val="00737C72"/>
    <w:rsid w:val="00737F4C"/>
    <w:rsid w:val="0074563F"/>
    <w:rsid w:val="00745F88"/>
    <w:rsid w:val="00751F63"/>
    <w:rsid w:val="00752BAD"/>
    <w:rsid w:val="007540E3"/>
    <w:rsid w:val="00755DE3"/>
    <w:rsid w:val="00756C78"/>
    <w:rsid w:val="00761F7C"/>
    <w:rsid w:val="007633CE"/>
    <w:rsid w:val="007677F5"/>
    <w:rsid w:val="00771ED2"/>
    <w:rsid w:val="00775B85"/>
    <w:rsid w:val="00775DDA"/>
    <w:rsid w:val="00780478"/>
    <w:rsid w:val="00782535"/>
    <w:rsid w:val="00784682"/>
    <w:rsid w:val="00785923"/>
    <w:rsid w:val="0079109B"/>
    <w:rsid w:val="00793325"/>
    <w:rsid w:val="00794787"/>
    <w:rsid w:val="007A159B"/>
    <w:rsid w:val="007A2371"/>
    <w:rsid w:val="007A7F62"/>
    <w:rsid w:val="007B32C7"/>
    <w:rsid w:val="007B3898"/>
    <w:rsid w:val="007B7894"/>
    <w:rsid w:val="007C1517"/>
    <w:rsid w:val="007C6CBC"/>
    <w:rsid w:val="007D28A9"/>
    <w:rsid w:val="007D4346"/>
    <w:rsid w:val="007D55C9"/>
    <w:rsid w:val="007D7D0B"/>
    <w:rsid w:val="007D7EB7"/>
    <w:rsid w:val="007D7F2F"/>
    <w:rsid w:val="007E261F"/>
    <w:rsid w:val="007E2CD9"/>
    <w:rsid w:val="007E6EE2"/>
    <w:rsid w:val="007E74A8"/>
    <w:rsid w:val="007F0AA4"/>
    <w:rsid w:val="007F1929"/>
    <w:rsid w:val="007F1E9E"/>
    <w:rsid w:val="007F2C00"/>
    <w:rsid w:val="007F42EA"/>
    <w:rsid w:val="007F4705"/>
    <w:rsid w:val="007F515D"/>
    <w:rsid w:val="007F642A"/>
    <w:rsid w:val="00812238"/>
    <w:rsid w:val="00820359"/>
    <w:rsid w:val="00820A2E"/>
    <w:rsid w:val="00827A3F"/>
    <w:rsid w:val="00831419"/>
    <w:rsid w:val="008379CD"/>
    <w:rsid w:val="008401E2"/>
    <w:rsid w:val="00840367"/>
    <w:rsid w:val="008429FB"/>
    <w:rsid w:val="00842C1A"/>
    <w:rsid w:val="00850E11"/>
    <w:rsid w:val="008517A8"/>
    <w:rsid w:val="00851F5F"/>
    <w:rsid w:val="008566BF"/>
    <w:rsid w:val="00861010"/>
    <w:rsid w:val="008613B3"/>
    <w:rsid w:val="00862F01"/>
    <w:rsid w:val="008639D5"/>
    <w:rsid w:val="00863B2F"/>
    <w:rsid w:val="00864B7C"/>
    <w:rsid w:val="008653F6"/>
    <w:rsid w:val="00866CB1"/>
    <w:rsid w:val="008676AA"/>
    <w:rsid w:val="00870E01"/>
    <w:rsid w:val="00870EE2"/>
    <w:rsid w:val="00871816"/>
    <w:rsid w:val="00873759"/>
    <w:rsid w:val="0087720C"/>
    <w:rsid w:val="00886082"/>
    <w:rsid w:val="00886974"/>
    <w:rsid w:val="00890466"/>
    <w:rsid w:val="00890B55"/>
    <w:rsid w:val="00891DB7"/>
    <w:rsid w:val="008A0B05"/>
    <w:rsid w:val="008A74F7"/>
    <w:rsid w:val="008B3488"/>
    <w:rsid w:val="008B3923"/>
    <w:rsid w:val="008B471F"/>
    <w:rsid w:val="008B4A61"/>
    <w:rsid w:val="008B55E7"/>
    <w:rsid w:val="008B69E0"/>
    <w:rsid w:val="008B7872"/>
    <w:rsid w:val="008B7B40"/>
    <w:rsid w:val="008B7E52"/>
    <w:rsid w:val="008C1E08"/>
    <w:rsid w:val="008C4218"/>
    <w:rsid w:val="008C6FE1"/>
    <w:rsid w:val="008D09ED"/>
    <w:rsid w:val="008D31AD"/>
    <w:rsid w:val="008D3CF7"/>
    <w:rsid w:val="008D4930"/>
    <w:rsid w:val="008E145D"/>
    <w:rsid w:val="008E4376"/>
    <w:rsid w:val="008E7DE1"/>
    <w:rsid w:val="008F3180"/>
    <w:rsid w:val="008F6A61"/>
    <w:rsid w:val="008F6BE3"/>
    <w:rsid w:val="00901F3D"/>
    <w:rsid w:val="00903AD1"/>
    <w:rsid w:val="009040BD"/>
    <w:rsid w:val="009105DD"/>
    <w:rsid w:val="00910E13"/>
    <w:rsid w:val="00913B8D"/>
    <w:rsid w:val="0091429B"/>
    <w:rsid w:val="00917008"/>
    <w:rsid w:val="00924B55"/>
    <w:rsid w:val="00926EA7"/>
    <w:rsid w:val="00926F35"/>
    <w:rsid w:val="00930071"/>
    <w:rsid w:val="00931A05"/>
    <w:rsid w:val="00932240"/>
    <w:rsid w:val="00936942"/>
    <w:rsid w:val="00936D9F"/>
    <w:rsid w:val="009422B6"/>
    <w:rsid w:val="00946AC7"/>
    <w:rsid w:val="00947530"/>
    <w:rsid w:val="0095017B"/>
    <w:rsid w:val="0095117E"/>
    <w:rsid w:val="009517E5"/>
    <w:rsid w:val="00962F1F"/>
    <w:rsid w:val="009632AE"/>
    <w:rsid w:val="00966632"/>
    <w:rsid w:val="009677EE"/>
    <w:rsid w:val="00974ADB"/>
    <w:rsid w:val="00976EAD"/>
    <w:rsid w:val="00977595"/>
    <w:rsid w:val="00980E1A"/>
    <w:rsid w:val="009823DB"/>
    <w:rsid w:val="00984951"/>
    <w:rsid w:val="00986D76"/>
    <w:rsid w:val="00990DF2"/>
    <w:rsid w:val="00991ED3"/>
    <w:rsid w:val="00993145"/>
    <w:rsid w:val="009944D9"/>
    <w:rsid w:val="009954A9"/>
    <w:rsid w:val="009A17EE"/>
    <w:rsid w:val="009A3707"/>
    <w:rsid w:val="009A5191"/>
    <w:rsid w:val="009A6280"/>
    <w:rsid w:val="009A7B7B"/>
    <w:rsid w:val="009B6449"/>
    <w:rsid w:val="009B6481"/>
    <w:rsid w:val="009C0863"/>
    <w:rsid w:val="009C1C74"/>
    <w:rsid w:val="009C628E"/>
    <w:rsid w:val="009C7EA2"/>
    <w:rsid w:val="009D4ED2"/>
    <w:rsid w:val="009D5DC1"/>
    <w:rsid w:val="009D7023"/>
    <w:rsid w:val="009D7F39"/>
    <w:rsid w:val="009E4D4C"/>
    <w:rsid w:val="009E781A"/>
    <w:rsid w:val="009F2260"/>
    <w:rsid w:val="009F22AB"/>
    <w:rsid w:val="009F27CB"/>
    <w:rsid w:val="009F465F"/>
    <w:rsid w:val="009F5548"/>
    <w:rsid w:val="00A00EA6"/>
    <w:rsid w:val="00A02B45"/>
    <w:rsid w:val="00A02E6E"/>
    <w:rsid w:val="00A0300E"/>
    <w:rsid w:val="00A032CD"/>
    <w:rsid w:val="00A04E3E"/>
    <w:rsid w:val="00A063A1"/>
    <w:rsid w:val="00A0723F"/>
    <w:rsid w:val="00A1038E"/>
    <w:rsid w:val="00A10EB3"/>
    <w:rsid w:val="00A129CB"/>
    <w:rsid w:val="00A142B7"/>
    <w:rsid w:val="00A15062"/>
    <w:rsid w:val="00A24448"/>
    <w:rsid w:val="00A261A0"/>
    <w:rsid w:val="00A26777"/>
    <w:rsid w:val="00A3127C"/>
    <w:rsid w:val="00A4216F"/>
    <w:rsid w:val="00A50752"/>
    <w:rsid w:val="00A5269A"/>
    <w:rsid w:val="00A56657"/>
    <w:rsid w:val="00A607A0"/>
    <w:rsid w:val="00A631CE"/>
    <w:rsid w:val="00A657A8"/>
    <w:rsid w:val="00A67936"/>
    <w:rsid w:val="00A70FEC"/>
    <w:rsid w:val="00A72E6E"/>
    <w:rsid w:val="00A74AC4"/>
    <w:rsid w:val="00A80545"/>
    <w:rsid w:val="00A8340F"/>
    <w:rsid w:val="00A86EB8"/>
    <w:rsid w:val="00A87D65"/>
    <w:rsid w:val="00A926E7"/>
    <w:rsid w:val="00AB2F7D"/>
    <w:rsid w:val="00AB46CE"/>
    <w:rsid w:val="00AB5E81"/>
    <w:rsid w:val="00AB69A9"/>
    <w:rsid w:val="00AC004F"/>
    <w:rsid w:val="00AC2067"/>
    <w:rsid w:val="00AC34AD"/>
    <w:rsid w:val="00AC4384"/>
    <w:rsid w:val="00AC6B3E"/>
    <w:rsid w:val="00AC7652"/>
    <w:rsid w:val="00AC7FFD"/>
    <w:rsid w:val="00AD7045"/>
    <w:rsid w:val="00AE059A"/>
    <w:rsid w:val="00AE6FFE"/>
    <w:rsid w:val="00AF1258"/>
    <w:rsid w:val="00AF38D2"/>
    <w:rsid w:val="00AF3BB3"/>
    <w:rsid w:val="00AF4648"/>
    <w:rsid w:val="00AF6EAC"/>
    <w:rsid w:val="00AF79E0"/>
    <w:rsid w:val="00AF7DFB"/>
    <w:rsid w:val="00B01760"/>
    <w:rsid w:val="00B03F94"/>
    <w:rsid w:val="00B10C44"/>
    <w:rsid w:val="00B137B4"/>
    <w:rsid w:val="00B15662"/>
    <w:rsid w:val="00B15AC8"/>
    <w:rsid w:val="00B162EE"/>
    <w:rsid w:val="00B241A5"/>
    <w:rsid w:val="00B2439F"/>
    <w:rsid w:val="00B25462"/>
    <w:rsid w:val="00B26256"/>
    <w:rsid w:val="00B2765A"/>
    <w:rsid w:val="00B27B7F"/>
    <w:rsid w:val="00B31EAA"/>
    <w:rsid w:val="00B33581"/>
    <w:rsid w:val="00B33D8F"/>
    <w:rsid w:val="00B33DA8"/>
    <w:rsid w:val="00B3642C"/>
    <w:rsid w:val="00B368F7"/>
    <w:rsid w:val="00B42A91"/>
    <w:rsid w:val="00B43D2F"/>
    <w:rsid w:val="00B43D82"/>
    <w:rsid w:val="00B44A38"/>
    <w:rsid w:val="00B465F6"/>
    <w:rsid w:val="00B47588"/>
    <w:rsid w:val="00B5598D"/>
    <w:rsid w:val="00B604D9"/>
    <w:rsid w:val="00B60CB1"/>
    <w:rsid w:val="00B61381"/>
    <w:rsid w:val="00B776C3"/>
    <w:rsid w:val="00B77EC8"/>
    <w:rsid w:val="00B819E3"/>
    <w:rsid w:val="00B9114B"/>
    <w:rsid w:val="00B92EDD"/>
    <w:rsid w:val="00B9747F"/>
    <w:rsid w:val="00B97F79"/>
    <w:rsid w:val="00BA1701"/>
    <w:rsid w:val="00BA72F9"/>
    <w:rsid w:val="00BB02DE"/>
    <w:rsid w:val="00BB3743"/>
    <w:rsid w:val="00BB4138"/>
    <w:rsid w:val="00BB6528"/>
    <w:rsid w:val="00BB6AAE"/>
    <w:rsid w:val="00BB7AFC"/>
    <w:rsid w:val="00BC4911"/>
    <w:rsid w:val="00BC4E5D"/>
    <w:rsid w:val="00BC7062"/>
    <w:rsid w:val="00BC7A33"/>
    <w:rsid w:val="00BD1B6A"/>
    <w:rsid w:val="00BD24C5"/>
    <w:rsid w:val="00BD792C"/>
    <w:rsid w:val="00BE093D"/>
    <w:rsid w:val="00BE701D"/>
    <w:rsid w:val="00BF020C"/>
    <w:rsid w:val="00BF0288"/>
    <w:rsid w:val="00BF0E7D"/>
    <w:rsid w:val="00BF7A5D"/>
    <w:rsid w:val="00C06897"/>
    <w:rsid w:val="00C1483E"/>
    <w:rsid w:val="00C16E9E"/>
    <w:rsid w:val="00C177D1"/>
    <w:rsid w:val="00C20375"/>
    <w:rsid w:val="00C21268"/>
    <w:rsid w:val="00C21349"/>
    <w:rsid w:val="00C216C5"/>
    <w:rsid w:val="00C248A2"/>
    <w:rsid w:val="00C255C8"/>
    <w:rsid w:val="00C26205"/>
    <w:rsid w:val="00C304B9"/>
    <w:rsid w:val="00C3666E"/>
    <w:rsid w:val="00C40AB1"/>
    <w:rsid w:val="00C43AFC"/>
    <w:rsid w:val="00C464A3"/>
    <w:rsid w:val="00C51D4D"/>
    <w:rsid w:val="00C635AA"/>
    <w:rsid w:val="00C67D11"/>
    <w:rsid w:val="00C81F8F"/>
    <w:rsid w:val="00C85329"/>
    <w:rsid w:val="00C8713F"/>
    <w:rsid w:val="00C90888"/>
    <w:rsid w:val="00C9599D"/>
    <w:rsid w:val="00CA0600"/>
    <w:rsid w:val="00CA1BCE"/>
    <w:rsid w:val="00CA60AE"/>
    <w:rsid w:val="00CB16BF"/>
    <w:rsid w:val="00CB3F3D"/>
    <w:rsid w:val="00CB4B4B"/>
    <w:rsid w:val="00CC075B"/>
    <w:rsid w:val="00CC0E57"/>
    <w:rsid w:val="00CC1BF4"/>
    <w:rsid w:val="00CC2815"/>
    <w:rsid w:val="00CC4586"/>
    <w:rsid w:val="00CC6A59"/>
    <w:rsid w:val="00CC726B"/>
    <w:rsid w:val="00CD0874"/>
    <w:rsid w:val="00CD1E56"/>
    <w:rsid w:val="00CD68A9"/>
    <w:rsid w:val="00CD6B0A"/>
    <w:rsid w:val="00CE0DA2"/>
    <w:rsid w:val="00CE11A6"/>
    <w:rsid w:val="00CE5EE9"/>
    <w:rsid w:val="00CE7341"/>
    <w:rsid w:val="00CF1319"/>
    <w:rsid w:val="00D038E6"/>
    <w:rsid w:val="00D11742"/>
    <w:rsid w:val="00D12248"/>
    <w:rsid w:val="00D133C6"/>
    <w:rsid w:val="00D13CE6"/>
    <w:rsid w:val="00D16E66"/>
    <w:rsid w:val="00D17AE7"/>
    <w:rsid w:val="00D23E56"/>
    <w:rsid w:val="00D2515D"/>
    <w:rsid w:val="00D25F9B"/>
    <w:rsid w:val="00D32362"/>
    <w:rsid w:val="00D348EE"/>
    <w:rsid w:val="00D36BEB"/>
    <w:rsid w:val="00D374F2"/>
    <w:rsid w:val="00D44C41"/>
    <w:rsid w:val="00D44E22"/>
    <w:rsid w:val="00D4534F"/>
    <w:rsid w:val="00D50634"/>
    <w:rsid w:val="00D50D37"/>
    <w:rsid w:val="00D51347"/>
    <w:rsid w:val="00D53005"/>
    <w:rsid w:val="00D60933"/>
    <w:rsid w:val="00D611D0"/>
    <w:rsid w:val="00D64DE8"/>
    <w:rsid w:val="00D64FD1"/>
    <w:rsid w:val="00D66662"/>
    <w:rsid w:val="00D73E65"/>
    <w:rsid w:val="00D7763E"/>
    <w:rsid w:val="00D80610"/>
    <w:rsid w:val="00D8183C"/>
    <w:rsid w:val="00D94863"/>
    <w:rsid w:val="00DA1266"/>
    <w:rsid w:val="00DA17EC"/>
    <w:rsid w:val="00DA191E"/>
    <w:rsid w:val="00DA6FB2"/>
    <w:rsid w:val="00DB1530"/>
    <w:rsid w:val="00DC1B11"/>
    <w:rsid w:val="00DC22B9"/>
    <w:rsid w:val="00DC30A5"/>
    <w:rsid w:val="00DC6816"/>
    <w:rsid w:val="00DC6B3C"/>
    <w:rsid w:val="00DC750E"/>
    <w:rsid w:val="00DD2548"/>
    <w:rsid w:val="00DD5204"/>
    <w:rsid w:val="00DD5D74"/>
    <w:rsid w:val="00DD73E1"/>
    <w:rsid w:val="00DE1BC0"/>
    <w:rsid w:val="00DF0124"/>
    <w:rsid w:val="00DF0E7D"/>
    <w:rsid w:val="00DF221C"/>
    <w:rsid w:val="00DF2D67"/>
    <w:rsid w:val="00E00647"/>
    <w:rsid w:val="00E01C72"/>
    <w:rsid w:val="00E0458C"/>
    <w:rsid w:val="00E04F5E"/>
    <w:rsid w:val="00E07B7C"/>
    <w:rsid w:val="00E101FC"/>
    <w:rsid w:val="00E10530"/>
    <w:rsid w:val="00E12C75"/>
    <w:rsid w:val="00E1337A"/>
    <w:rsid w:val="00E201A2"/>
    <w:rsid w:val="00E23A1F"/>
    <w:rsid w:val="00E25180"/>
    <w:rsid w:val="00E25414"/>
    <w:rsid w:val="00E26F63"/>
    <w:rsid w:val="00E3101B"/>
    <w:rsid w:val="00E349B9"/>
    <w:rsid w:val="00E35CD7"/>
    <w:rsid w:val="00E37EDD"/>
    <w:rsid w:val="00E40143"/>
    <w:rsid w:val="00E404E7"/>
    <w:rsid w:val="00E4323D"/>
    <w:rsid w:val="00E44060"/>
    <w:rsid w:val="00E647BE"/>
    <w:rsid w:val="00E65C52"/>
    <w:rsid w:val="00E67FFB"/>
    <w:rsid w:val="00E72109"/>
    <w:rsid w:val="00E737A4"/>
    <w:rsid w:val="00E80DE7"/>
    <w:rsid w:val="00E80E62"/>
    <w:rsid w:val="00E810AE"/>
    <w:rsid w:val="00E82DD9"/>
    <w:rsid w:val="00E854A4"/>
    <w:rsid w:val="00E86FD2"/>
    <w:rsid w:val="00E91759"/>
    <w:rsid w:val="00E917FF"/>
    <w:rsid w:val="00E918CC"/>
    <w:rsid w:val="00E92777"/>
    <w:rsid w:val="00E9499E"/>
    <w:rsid w:val="00EA7448"/>
    <w:rsid w:val="00EA7E94"/>
    <w:rsid w:val="00EB0AB2"/>
    <w:rsid w:val="00EB165A"/>
    <w:rsid w:val="00EB1BA2"/>
    <w:rsid w:val="00EB1EE3"/>
    <w:rsid w:val="00EB4EA6"/>
    <w:rsid w:val="00EC19F0"/>
    <w:rsid w:val="00EC3BD6"/>
    <w:rsid w:val="00ED46BB"/>
    <w:rsid w:val="00ED4B1C"/>
    <w:rsid w:val="00EE7A40"/>
    <w:rsid w:val="00EF2A65"/>
    <w:rsid w:val="00EF39AA"/>
    <w:rsid w:val="00EF457A"/>
    <w:rsid w:val="00EF5A24"/>
    <w:rsid w:val="00EF68CF"/>
    <w:rsid w:val="00F00B46"/>
    <w:rsid w:val="00F018B9"/>
    <w:rsid w:val="00F032B7"/>
    <w:rsid w:val="00F0469B"/>
    <w:rsid w:val="00F121B6"/>
    <w:rsid w:val="00F12282"/>
    <w:rsid w:val="00F12AAE"/>
    <w:rsid w:val="00F15104"/>
    <w:rsid w:val="00F2084F"/>
    <w:rsid w:val="00F23D76"/>
    <w:rsid w:val="00F257BC"/>
    <w:rsid w:val="00F25E49"/>
    <w:rsid w:val="00F27858"/>
    <w:rsid w:val="00F27C12"/>
    <w:rsid w:val="00F31D9E"/>
    <w:rsid w:val="00F35932"/>
    <w:rsid w:val="00F4062A"/>
    <w:rsid w:val="00F409D5"/>
    <w:rsid w:val="00F4629F"/>
    <w:rsid w:val="00F4670C"/>
    <w:rsid w:val="00F53C78"/>
    <w:rsid w:val="00F60B14"/>
    <w:rsid w:val="00F61D0A"/>
    <w:rsid w:val="00F6279B"/>
    <w:rsid w:val="00F64F84"/>
    <w:rsid w:val="00F65FA8"/>
    <w:rsid w:val="00F6780D"/>
    <w:rsid w:val="00F70D12"/>
    <w:rsid w:val="00F72E5D"/>
    <w:rsid w:val="00F74995"/>
    <w:rsid w:val="00F767DD"/>
    <w:rsid w:val="00F77BC3"/>
    <w:rsid w:val="00F813E0"/>
    <w:rsid w:val="00F817BE"/>
    <w:rsid w:val="00F81B9F"/>
    <w:rsid w:val="00F8390F"/>
    <w:rsid w:val="00F84B57"/>
    <w:rsid w:val="00F8523F"/>
    <w:rsid w:val="00F872B2"/>
    <w:rsid w:val="00F943FB"/>
    <w:rsid w:val="00F944A2"/>
    <w:rsid w:val="00F97B95"/>
    <w:rsid w:val="00FA0F18"/>
    <w:rsid w:val="00FA3890"/>
    <w:rsid w:val="00FA48E1"/>
    <w:rsid w:val="00FA657C"/>
    <w:rsid w:val="00FB64D8"/>
    <w:rsid w:val="00FC0A87"/>
    <w:rsid w:val="00FC0CF0"/>
    <w:rsid w:val="00FC52D2"/>
    <w:rsid w:val="00FC62E0"/>
    <w:rsid w:val="00FD663E"/>
    <w:rsid w:val="00FE1604"/>
    <w:rsid w:val="00FE1A5F"/>
    <w:rsid w:val="00FE5471"/>
    <w:rsid w:val="00FE5D3F"/>
    <w:rsid w:val="00FF0F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C60B1"/>
  <w15:chartTrackingRefBased/>
  <w15:docId w15:val="{7EFBEBBB-647A-DD45-9CFA-B1878B8E2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EE3"/>
    <w:pPr>
      <w:spacing w:after="0" w:line="240" w:lineRule="auto"/>
    </w:pPr>
    <w:rPr>
      <w:rFonts w:ascii="Times New Roman" w:eastAsia="Times New Roman" w:hAnsi="Times New Roman" w:cs="Times New Roman"/>
      <w:kern w:val="0"/>
      <w:lang w:eastAsia="es-ES_tradnl"/>
      <w14:ligatures w14:val="none"/>
    </w:rPr>
  </w:style>
  <w:style w:type="paragraph" w:styleId="Ttulo1">
    <w:name w:val="heading 1"/>
    <w:basedOn w:val="Normal"/>
    <w:next w:val="Normal"/>
    <w:link w:val="Ttulo1Car"/>
    <w:uiPriority w:val="9"/>
    <w:qFormat/>
    <w:rsid w:val="00304425"/>
    <w:pPr>
      <w:keepNext/>
      <w:keepLines/>
      <w:spacing w:before="360" w:after="80"/>
      <w:outlineLvl w:val="0"/>
    </w:pPr>
    <w:rPr>
      <w:rFonts w:eastAsia="inter"/>
      <w:b/>
      <w:bCs/>
      <w:color w:val="000000" w:themeColor="text1"/>
    </w:rPr>
  </w:style>
  <w:style w:type="paragraph" w:styleId="Ttulo2">
    <w:name w:val="heading 2"/>
    <w:basedOn w:val="Normal"/>
    <w:next w:val="Normal"/>
    <w:link w:val="Ttulo2Car"/>
    <w:uiPriority w:val="9"/>
    <w:unhideWhenUsed/>
    <w:qFormat/>
    <w:rsid w:val="00407BE9"/>
    <w:pPr>
      <w:keepNext/>
      <w:keepLines/>
      <w:numPr>
        <w:numId w:val="47"/>
      </w:numPr>
      <w:spacing w:before="160" w:after="80"/>
      <w:outlineLvl w:val="1"/>
    </w:pPr>
    <w:rPr>
      <w:rFonts w:eastAsia="inter"/>
      <w:b/>
      <w:bCs/>
      <w:color w:val="000000" w:themeColor="text1"/>
    </w:rPr>
  </w:style>
  <w:style w:type="paragraph" w:styleId="Ttulo3">
    <w:name w:val="heading 3"/>
    <w:basedOn w:val="Normal"/>
    <w:next w:val="Normal"/>
    <w:link w:val="Ttulo3Car"/>
    <w:uiPriority w:val="9"/>
    <w:unhideWhenUsed/>
    <w:qFormat/>
    <w:rsid w:val="008C4218"/>
    <w:pPr>
      <w:keepNext/>
      <w:keepLines/>
      <w:numPr>
        <w:numId w:val="48"/>
      </w:numPr>
      <w:spacing w:before="160" w:after="80" w:line="276" w:lineRule="auto"/>
      <w:jc w:val="both"/>
      <w:outlineLvl w:val="2"/>
    </w:pPr>
    <w:rPr>
      <w:rFonts w:eastAsiaTheme="majorEastAsia" w:cstheme="majorBidi"/>
      <w:b/>
      <w:bCs/>
      <w:color w:val="000000" w:themeColor="text1"/>
    </w:rPr>
  </w:style>
  <w:style w:type="paragraph" w:styleId="Ttulo4">
    <w:name w:val="heading 4"/>
    <w:basedOn w:val="Normal"/>
    <w:next w:val="Normal"/>
    <w:link w:val="Ttulo4Car"/>
    <w:uiPriority w:val="9"/>
    <w:semiHidden/>
    <w:unhideWhenUsed/>
    <w:qFormat/>
    <w:rsid w:val="0093007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3007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3007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3007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3007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3007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425"/>
    <w:rPr>
      <w:rFonts w:ascii="Times New Roman" w:eastAsia="inter" w:hAnsi="Times New Roman" w:cs="Times New Roman"/>
      <w:b/>
      <w:bCs/>
      <w:color w:val="000000" w:themeColor="text1"/>
      <w:kern w:val="0"/>
      <w:lang w:eastAsia="es-ES_tradnl"/>
      <w14:ligatures w14:val="none"/>
    </w:rPr>
  </w:style>
  <w:style w:type="character" w:customStyle="1" w:styleId="Ttulo2Car">
    <w:name w:val="Título 2 Car"/>
    <w:basedOn w:val="Fuentedeprrafopredeter"/>
    <w:link w:val="Ttulo2"/>
    <w:uiPriority w:val="9"/>
    <w:rsid w:val="00407BE9"/>
    <w:rPr>
      <w:rFonts w:ascii="Times New Roman" w:eastAsia="inter" w:hAnsi="Times New Roman" w:cs="Times New Roman"/>
      <w:b/>
      <w:bCs/>
      <w:color w:val="000000" w:themeColor="text1"/>
      <w:kern w:val="0"/>
      <w:lang w:eastAsia="es-ES_tradnl"/>
      <w14:ligatures w14:val="none"/>
    </w:rPr>
  </w:style>
  <w:style w:type="character" w:customStyle="1" w:styleId="Ttulo3Car">
    <w:name w:val="Título 3 Car"/>
    <w:basedOn w:val="Fuentedeprrafopredeter"/>
    <w:link w:val="Ttulo3"/>
    <w:uiPriority w:val="9"/>
    <w:rsid w:val="008C4218"/>
    <w:rPr>
      <w:rFonts w:ascii="Times New Roman" w:eastAsiaTheme="majorEastAsia" w:hAnsi="Times New Roman" w:cstheme="majorBidi"/>
      <w:b/>
      <w:bCs/>
      <w:color w:val="000000" w:themeColor="text1"/>
      <w:kern w:val="0"/>
      <w:lang w:eastAsia="es-ES_tradnl"/>
      <w14:ligatures w14:val="none"/>
    </w:rPr>
  </w:style>
  <w:style w:type="character" w:customStyle="1" w:styleId="Ttulo4Car">
    <w:name w:val="Título 4 Car"/>
    <w:basedOn w:val="Fuentedeprrafopredeter"/>
    <w:link w:val="Ttulo4"/>
    <w:uiPriority w:val="9"/>
    <w:semiHidden/>
    <w:rsid w:val="0093007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3007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3007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3007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3007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30071"/>
    <w:rPr>
      <w:rFonts w:eastAsiaTheme="majorEastAsia" w:cstheme="majorBidi"/>
      <w:color w:val="272727" w:themeColor="text1" w:themeTint="D8"/>
    </w:rPr>
  </w:style>
  <w:style w:type="paragraph" w:styleId="Ttulo">
    <w:name w:val="Title"/>
    <w:basedOn w:val="Normal"/>
    <w:next w:val="Normal"/>
    <w:link w:val="TtuloCar"/>
    <w:uiPriority w:val="10"/>
    <w:qFormat/>
    <w:rsid w:val="0093007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3007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3007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3007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30071"/>
    <w:pPr>
      <w:spacing w:before="160"/>
      <w:jc w:val="center"/>
    </w:pPr>
    <w:rPr>
      <w:i/>
      <w:iCs/>
      <w:color w:val="404040" w:themeColor="text1" w:themeTint="BF"/>
    </w:rPr>
  </w:style>
  <w:style w:type="character" w:customStyle="1" w:styleId="CitaCar">
    <w:name w:val="Cita Car"/>
    <w:basedOn w:val="Fuentedeprrafopredeter"/>
    <w:link w:val="Cita"/>
    <w:uiPriority w:val="29"/>
    <w:rsid w:val="00930071"/>
    <w:rPr>
      <w:i/>
      <w:iCs/>
      <w:color w:val="404040" w:themeColor="text1" w:themeTint="BF"/>
    </w:rPr>
  </w:style>
  <w:style w:type="paragraph" w:styleId="Prrafodelista">
    <w:name w:val="List Paragraph"/>
    <w:basedOn w:val="Normal"/>
    <w:uiPriority w:val="34"/>
    <w:qFormat/>
    <w:rsid w:val="00930071"/>
    <w:pPr>
      <w:ind w:left="720"/>
      <w:contextualSpacing/>
    </w:pPr>
  </w:style>
  <w:style w:type="character" w:styleId="nfasisintenso">
    <w:name w:val="Intense Emphasis"/>
    <w:basedOn w:val="Fuentedeprrafopredeter"/>
    <w:uiPriority w:val="21"/>
    <w:qFormat/>
    <w:rsid w:val="00930071"/>
    <w:rPr>
      <w:i/>
      <w:iCs/>
      <w:color w:val="0F4761" w:themeColor="accent1" w:themeShade="BF"/>
    </w:rPr>
  </w:style>
  <w:style w:type="paragraph" w:styleId="Citadestacada">
    <w:name w:val="Intense Quote"/>
    <w:basedOn w:val="Normal"/>
    <w:next w:val="Normal"/>
    <w:link w:val="CitadestacadaCar"/>
    <w:uiPriority w:val="30"/>
    <w:qFormat/>
    <w:rsid w:val="009300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30071"/>
    <w:rPr>
      <w:i/>
      <w:iCs/>
      <w:color w:val="0F4761" w:themeColor="accent1" w:themeShade="BF"/>
    </w:rPr>
  </w:style>
  <w:style w:type="character" w:styleId="Referenciaintensa">
    <w:name w:val="Intense Reference"/>
    <w:basedOn w:val="Fuentedeprrafopredeter"/>
    <w:uiPriority w:val="32"/>
    <w:qFormat/>
    <w:rsid w:val="00930071"/>
    <w:rPr>
      <w:b/>
      <w:bCs/>
      <w:smallCaps/>
      <w:color w:val="0F4761" w:themeColor="accent1" w:themeShade="BF"/>
      <w:spacing w:val="5"/>
    </w:rPr>
  </w:style>
  <w:style w:type="paragraph" w:styleId="NormalWeb">
    <w:name w:val="Normal (Web)"/>
    <w:basedOn w:val="Normal"/>
    <w:uiPriority w:val="99"/>
    <w:unhideWhenUsed/>
    <w:rsid w:val="00430D36"/>
    <w:pPr>
      <w:spacing w:before="100" w:beforeAutospacing="1" w:after="100" w:afterAutospacing="1"/>
    </w:pPr>
  </w:style>
  <w:style w:type="character" w:styleId="Hipervnculo">
    <w:name w:val="Hyperlink"/>
    <w:basedOn w:val="Fuentedeprrafopredeter"/>
    <w:uiPriority w:val="99"/>
    <w:unhideWhenUsed/>
    <w:rsid w:val="00A657A8"/>
    <w:rPr>
      <w:color w:val="467886" w:themeColor="hyperlink"/>
      <w:u w:val="single"/>
    </w:rPr>
  </w:style>
  <w:style w:type="character" w:styleId="Mencinsinresolver">
    <w:name w:val="Unresolved Mention"/>
    <w:basedOn w:val="Fuentedeprrafopredeter"/>
    <w:uiPriority w:val="99"/>
    <w:semiHidden/>
    <w:unhideWhenUsed/>
    <w:rsid w:val="00A657A8"/>
    <w:rPr>
      <w:color w:val="605E5C"/>
      <w:shd w:val="clear" w:color="auto" w:fill="E1DFDD"/>
    </w:rPr>
  </w:style>
  <w:style w:type="character" w:styleId="Fuerte">
    <w:name w:val="Strong"/>
    <w:basedOn w:val="Fuentedeprrafopredeter"/>
    <w:uiPriority w:val="22"/>
    <w:qFormat/>
    <w:rsid w:val="00A657A8"/>
    <w:rPr>
      <w:b/>
      <w:bCs/>
    </w:rPr>
  </w:style>
  <w:style w:type="paragraph" w:styleId="Encabezado">
    <w:name w:val="header"/>
    <w:basedOn w:val="Normal"/>
    <w:link w:val="EncabezadoCar"/>
    <w:uiPriority w:val="99"/>
    <w:unhideWhenUsed/>
    <w:rsid w:val="00A02B45"/>
    <w:pPr>
      <w:tabs>
        <w:tab w:val="center" w:pos="4252"/>
        <w:tab w:val="right" w:pos="8504"/>
      </w:tabs>
    </w:pPr>
  </w:style>
  <w:style w:type="character" w:customStyle="1" w:styleId="EncabezadoCar">
    <w:name w:val="Encabezado Car"/>
    <w:basedOn w:val="Fuentedeprrafopredeter"/>
    <w:link w:val="Encabezado"/>
    <w:uiPriority w:val="99"/>
    <w:rsid w:val="00A02B45"/>
    <w:rPr>
      <w:rFonts w:ascii="Times New Roman" w:eastAsia="Times New Roman" w:hAnsi="Times New Roman" w:cs="Times New Roman"/>
      <w:kern w:val="0"/>
      <w:lang w:eastAsia="es-ES"/>
      <w14:ligatures w14:val="none"/>
    </w:rPr>
  </w:style>
  <w:style w:type="paragraph" w:styleId="Piedepgina">
    <w:name w:val="footer"/>
    <w:basedOn w:val="Normal"/>
    <w:link w:val="PiedepginaCar"/>
    <w:uiPriority w:val="99"/>
    <w:unhideWhenUsed/>
    <w:rsid w:val="00A02B45"/>
    <w:pPr>
      <w:tabs>
        <w:tab w:val="center" w:pos="4252"/>
        <w:tab w:val="right" w:pos="8504"/>
      </w:tabs>
    </w:pPr>
  </w:style>
  <w:style w:type="character" w:customStyle="1" w:styleId="PiedepginaCar">
    <w:name w:val="Pie de página Car"/>
    <w:basedOn w:val="Fuentedeprrafopredeter"/>
    <w:link w:val="Piedepgina"/>
    <w:uiPriority w:val="99"/>
    <w:rsid w:val="00A02B45"/>
    <w:rPr>
      <w:rFonts w:ascii="Times New Roman" w:eastAsia="Times New Roman" w:hAnsi="Times New Roman" w:cs="Times New Roman"/>
      <w:kern w:val="0"/>
      <w:lang w:eastAsia="es-ES"/>
      <w14:ligatures w14:val="none"/>
    </w:rPr>
  </w:style>
  <w:style w:type="paragraph" w:customStyle="1" w:styleId="p1">
    <w:name w:val="p1"/>
    <w:basedOn w:val="Normal"/>
    <w:rsid w:val="00FE5D3F"/>
    <w:rPr>
      <w:color w:val="181817"/>
      <w:sz w:val="14"/>
      <w:szCs w:val="14"/>
    </w:rPr>
  </w:style>
  <w:style w:type="paragraph" w:customStyle="1" w:styleId="my-2">
    <w:name w:val="my-2"/>
    <w:basedOn w:val="Normal"/>
    <w:rsid w:val="00BC4911"/>
    <w:pPr>
      <w:spacing w:before="100" w:beforeAutospacing="1" w:after="100" w:afterAutospacing="1"/>
    </w:pPr>
  </w:style>
  <w:style w:type="character" w:styleId="Hipervnculovisitado">
    <w:name w:val="FollowedHyperlink"/>
    <w:basedOn w:val="Fuentedeprrafopredeter"/>
    <w:uiPriority w:val="99"/>
    <w:semiHidden/>
    <w:unhideWhenUsed/>
    <w:rsid w:val="008B7E52"/>
    <w:rPr>
      <w:color w:val="96607D" w:themeColor="followedHyperlink"/>
      <w:u w:val="single"/>
    </w:rPr>
  </w:style>
  <w:style w:type="character" w:customStyle="1" w:styleId="uv3um">
    <w:name w:val="uv3um"/>
    <w:basedOn w:val="Fuentedeprrafopredeter"/>
    <w:rsid w:val="00820A2E"/>
  </w:style>
  <w:style w:type="character" w:customStyle="1" w:styleId="diff-highlight">
    <w:name w:val="diff-highlight"/>
    <w:basedOn w:val="Fuentedeprrafopredeter"/>
    <w:rsid w:val="009040BD"/>
  </w:style>
  <w:style w:type="character" w:styleId="nfasis">
    <w:name w:val="Emphasis"/>
    <w:basedOn w:val="Fuentedeprrafopredeter"/>
    <w:uiPriority w:val="20"/>
    <w:qFormat/>
    <w:rsid w:val="00BC7A33"/>
    <w:rPr>
      <w:i/>
      <w:iCs/>
    </w:rPr>
  </w:style>
  <w:style w:type="character" w:customStyle="1" w:styleId="apple-converted-space">
    <w:name w:val="apple-converted-space"/>
    <w:basedOn w:val="Fuentedeprrafopredeter"/>
    <w:rsid w:val="005D60E8"/>
  </w:style>
  <w:style w:type="paragraph" w:styleId="TtuloTDC">
    <w:name w:val="TOC Heading"/>
    <w:basedOn w:val="Ttulo1"/>
    <w:next w:val="Normal"/>
    <w:uiPriority w:val="39"/>
    <w:unhideWhenUsed/>
    <w:qFormat/>
    <w:rsid w:val="00DC1B11"/>
    <w:pPr>
      <w:spacing w:before="480" w:after="0" w:line="276" w:lineRule="auto"/>
      <w:outlineLvl w:val="9"/>
    </w:pPr>
    <w:rPr>
      <w:b w:val="0"/>
      <w:bCs w:val="0"/>
      <w:sz w:val="28"/>
      <w:szCs w:val="28"/>
    </w:rPr>
  </w:style>
  <w:style w:type="paragraph" w:styleId="TDC2">
    <w:name w:val="toc 2"/>
    <w:basedOn w:val="Normal"/>
    <w:next w:val="Normal"/>
    <w:autoRedefine/>
    <w:uiPriority w:val="39"/>
    <w:unhideWhenUsed/>
    <w:rsid w:val="00DC1B11"/>
    <w:rPr>
      <w:rFonts w:asciiTheme="minorHAnsi" w:hAnsiTheme="minorHAnsi"/>
      <w:b/>
      <w:bCs/>
      <w:smallCaps/>
      <w:sz w:val="22"/>
      <w:szCs w:val="22"/>
    </w:rPr>
  </w:style>
  <w:style w:type="paragraph" w:styleId="TDC1">
    <w:name w:val="toc 1"/>
    <w:basedOn w:val="Normal"/>
    <w:next w:val="Normal"/>
    <w:autoRedefine/>
    <w:uiPriority w:val="39"/>
    <w:unhideWhenUsed/>
    <w:rsid w:val="00DC1B11"/>
    <w:pPr>
      <w:spacing w:before="360" w:after="360"/>
    </w:pPr>
    <w:rPr>
      <w:rFonts w:asciiTheme="minorHAnsi" w:hAnsiTheme="minorHAnsi"/>
      <w:b/>
      <w:bCs/>
      <w:caps/>
      <w:sz w:val="22"/>
      <w:szCs w:val="22"/>
      <w:u w:val="single"/>
    </w:rPr>
  </w:style>
  <w:style w:type="paragraph" w:styleId="TDC3">
    <w:name w:val="toc 3"/>
    <w:basedOn w:val="Normal"/>
    <w:next w:val="Normal"/>
    <w:autoRedefine/>
    <w:uiPriority w:val="39"/>
    <w:unhideWhenUsed/>
    <w:rsid w:val="00DC1B11"/>
    <w:rPr>
      <w:rFonts w:asciiTheme="minorHAnsi" w:hAnsiTheme="minorHAnsi"/>
      <w:smallCaps/>
      <w:sz w:val="22"/>
      <w:szCs w:val="22"/>
    </w:rPr>
  </w:style>
  <w:style w:type="paragraph" w:styleId="TDC4">
    <w:name w:val="toc 4"/>
    <w:basedOn w:val="Normal"/>
    <w:next w:val="Normal"/>
    <w:autoRedefine/>
    <w:uiPriority w:val="39"/>
    <w:semiHidden/>
    <w:unhideWhenUsed/>
    <w:rsid w:val="00DC1B11"/>
    <w:rPr>
      <w:rFonts w:asciiTheme="minorHAnsi" w:hAnsiTheme="minorHAnsi"/>
      <w:sz w:val="22"/>
      <w:szCs w:val="22"/>
    </w:rPr>
  </w:style>
  <w:style w:type="paragraph" w:styleId="TDC5">
    <w:name w:val="toc 5"/>
    <w:basedOn w:val="Normal"/>
    <w:next w:val="Normal"/>
    <w:autoRedefine/>
    <w:uiPriority w:val="39"/>
    <w:semiHidden/>
    <w:unhideWhenUsed/>
    <w:rsid w:val="00DC1B11"/>
    <w:rPr>
      <w:rFonts w:asciiTheme="minorHAnsi" w:hAnsiTheme="minorHAnsi"/>
      <w:sz w:val="22"/>
      <w:szCs w:val="22"/>
    </w:rPr>
  </w:style>
  <w:style w:type="paragraph" w:styleId="TDC6">
    <w:name w:val="toc 6"/>
    <w:basedOn w:val="Normal"/>
    <w:next w:val="Normal"/>
    <w:autoRedefine/>
    <w:uiPriority w:val="39"/>
    <w:semiHidden/>
    <w:unhideWhenUsed/>
    <w:rsid w:val="00DC1B11"/>
    <w:rPr>
      <w:rFonts w:asciiTheme="minorHAnsi" w:hAnsiTheme="minorHAnsi"/>
      <w:sz w:val="22"/>
      <w:szCs w:val="22"/>
    </w:rPr>
  </w:style>
  <w:style w:type="paragraph" w:styleId="TDC7">
    <w:name w:val="toc 7"/>
    <w:basedOn w:val="Normal"/>
    <w:next w:val="Normal"/>
    <w:autoRedefine/>
    <w:uiPriority w:val="39"/>
    <w:semiHidden/>
    <w:unhideWhenUsed/>
    <w:rsid w:val="00DC1B11"/>
    <w:rPr>
      <w:rFonts w:asciiTheme="minorHAnsi" w:hAnsiTheme="minorHAnsi"/>
      <w:sz w:val="22"/>
      <w:szCs w:val="22"/>
    </w:rPr>
  </w:style>
  <w:style w:type="paragraph" w:styleId="TDC8">
    <w:name w:val="toc 8"/>
    <w:basedOn w:val="Normal"/>
    <w:next w:val="Normal"/>
    <w:autoRedefine/>
    <w:uiPriority w:val="39"/>
    <w:semiHidden/>
    <w:unhideWhenUsed/>
    <w:rsid w:val="00DC1B11"/>
    <w:rPr>
      <w:rFonts w:asciiTheme="minorHAnsi" w:hAnsiTheme="minorHAnsi"/>
      <w:sz w:val="22"/>
      <w:szCs w:val="22"/>
    </w:rPr>
  </w:style>
  <w:style w:type="paragraph" w:styleId="TDC9">
    <w:name w:val="toc 9"/>
    <w:basedOn w:val="Normal"/>
    <w:next w:val="Normal"/>
    <w:autoRedefine/>
    <w:uiPriority w:val="39"/>
    <w:semiHidden/>
    <w:unhideWhenUsed/>
    <w:rsid w:val="00DC1B11"/>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coe.int/es/web/istanbul-convention" TargetMode="External"/><Relationship Id="rId18" Type="http://schemas.openxmlformats.org/officeDocument/2006/relationships/hyperlink" Target="https://www.boe.es/buscar/act.php?id=BOE-A-2004-2176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boe.es/" TargetMode="External"/><Relationship Id="rId7" Type="http://schemas.openxmlformats.org/officeDocument/2006/relationships/endnotes" Target="endnotes.xml"/><Relationship Id="rId12" Type="http://schemas.openxmlformats.org/officeDocument/2006/relationships/hyperlink" Target="https://solidaridadintergeneracional.es/wp/que-es-la-violencia-vicaria-y-por-que-es-el-maltrato-mas-cruel-hacia-las-mujeres/" TargetMode="External"/><Relationship Id="rId17" Type="http://schemas.openxmlformats.org/officeDocument/2006/relationships/hyperlink" Target="https://efeminista.com/que-es-la-violencia-vicaria/" TargetMode="External"/><Relationship Id="rId25" Type="http://schemas.openxmlformats.org/officeDocument/2006/relationships/hyperlink" Target="https://es.wikipedia.org/wiki/Violencia_vicaria" TargetMode="External"/><Relationship Id="rId2" Type="http://schemas.openxmlformats.org/officeDocument/2006/relationships/numbering" Target="numbering.xml"/><Relationship Id="rId16" Type="http://schemas.openxmlformats.org/officeDocument/2006/relationships/hyperlink" Target="https://violenciagenero.igualdad.gob.es/wp-content/uploads/BEM_Diciembre_2025.pdf" TargetMode="External"/><Relationship Id="rId20" Type="http://schemas.openxmlformats.org/officeDocument/2006/relationships/hyperlink" Target="https://doi.org/10.1177/088626050426860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s.amnesty.org/en-que-estamos/blog/historia/articulo/que-es-la-violencia-vicaria/" TargetMode="External"/><Relationship Id="rId24" Type="http://schemas.openxmlformats.org/officeDocument/2006/relationships/hyperlink" Target="https://www.unobravo.com/es/blog/violencia-vicaria" TargetMode="External"/><Relationship Id="rId5" Type="http://schemas.openxmlformats.org/officeDocument/2006/relationships/webSettings" Target="webSettings.xml"/><Relationship Id="rId15" Type="http://schemas.openxmlformats.org/officeDocument/2006/relationships/hyperlink" Target="https://violenciagenero.igualdad.gob.es/otrasformas/violenciavicaria/" TargetMode="External"/><Relationship Id="rId23" Type="http://schemas.openxmlformats.org/officeDocument/2006/relationships/hyperlink" Target="https://doi.org/10.1016/j.aprim.2024.102903" TargetMode="External"/><Relationship Id="rId28" Type="http://schemas.openxmlformats.org/officeDocument/2006/relationships/theme" Target="theme/theme1.xml"/><Relationship Id="rId10" Type="http://schemas.openxmlformats.org/officeDocument/2006/relationships/hyperlink" Target="https://www.boe.es/buscar/act.php?id=BOE-A-2004-21760" TargetMode="External"/><Relationship Id="rId19" Type="http://schemas.openxmlformats.org/officeDocument/2006/relationships/hyperlink" Target="https://www.ine.es/dyngs/Prensa/EVDVG2024.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poderjudicial.es/" TargetMode="External"/><Relationship Id="rId22" Type="http://schemas.openxmlformats.org/officeDocument/2006/relationships/hyperlink" Target="https://doi.org/10.46296/rc.v6i12.0160"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88339-82AB-4C46-B901-0077A374555A}">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10357</Words>
  <Characters>56964</Characters>
  <Application>Microsoft Office Word</Application>
  <DocSecurity>0</DocSecurity>
  <Lines>474</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López Corps</dc:creator>
  <cp:keywords/>
  <dc:description/>
  <cp:lastModifiedBy>Marina López Corps</cp:lastModifiedBy>
  <cp:revision>3</cp:revision>
  <cp:lastPrinted>2026-02-06T11:08:00Z</cp:lastPrinted>
  <dcterms:created xsi:type="dcterms:W3CDTF">2026-02-06T11:29:00Z</dcterms:created>
  <dcterms:modified xsi:type="dcterms:W3CDTF">2026-02-06T11:29:00Z</dcterms:modified>
</cp:coreProperties>
</file>