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965CE8" w14:textId="77777777" w:rsidR="0024577B" w:rsidRDefault="0024577B" w:rsidP="0024577B">
      <w:pPr>
        <w:rPr>
          <w:lang w:val="es-MX"/>
        </w:rPr>
      </w:pPr>
    </w:p>
    <w:p w14:paraId="5F7726E4" w14:textId="77777777" w:rsidR="0024577B" w:rsidRPr="00EF7217" w:rsidRDefault="0024577B" w:rsidP="0024577B">
      <w:pPr>
        <w:jc w:val="center"/>
        <w:rPr>
          <w:rFonts w:ascii="Times New Roman" w:hAnsi="Times New Roman" w:cs="Times New Roman"/>
          <w:sz w:val="44"/>
          <w:szCs w:val="44"/>
        </w:rPr>
      </w:pPr>
      <w:r>
        <w:rPr>
          <w:rFonts w:ascii="Times New Roman" w:hAnsi="Times New Roman" w:cs="Times New Roman"/>
          <w:noProof/>
          <w:sz w:val="44"/>
          <w:szCs w:val="44"/>
          <w:lang w:eastAsia="es-ES" w:bidi="ar-SA"/>
        </w:rPr>
        <w:drawing>
          <wp:anchor distT="0" distB="0" distL="114300" distR="114300" simplePos="0" relativeHeight="251659264" behindDoc="0" locked="0" layoutInCell="1" allowOverlap="1" wp14:anchorId="43490EB5" wp14:editId="02F8B944">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descr="A logo with a lion and key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A logo with a lion and keys&#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EF7217">
        <w:rPr>
          <w:rFonts w:ascii="Times New Roman" w:hAnsi="Times New Roman" w:cs="Times New Roman"/>
          <w:sz w:val="44"/>
          <w:szCs w:val="44"/>
        </w:rPr>
        <w:t>FACULTAD DE CIENCIAS HUMANAS Y SOCIALES</w:t>
      </w:r>
    </w:p>
    <w:p w14:paraId="791BE758" w14:textId="77777777" w:rsidR="0024577B" w:rsidRDefault="0024577B" w:rsidP="0024577B">
      <w:pPr>
        <w:jc w:val="center"/>
        <w:rPr>
          <w:rFonts w:ascii="Times New Roman" w:hAnsi="Times New Roman" w:cs="Times New Roman"/>
          <w:sz w:val="48"/>
          <w:szCs w:val="48"/>
        </w:rPr>
      </w:pPr>
    </w:p>
    <w:p w14:paraId="3E871819" w14:textId="77777777" w:rsidR="0024577B" w:rsidRDefault="0024577B" w:rsidP="0024577B">
      <w:pPr>
        <w:pStyle w:val="BodyText"/>
        <w:spacing w:after="0"/>
        <w:jc w:val="center"/>
        <w:rPr>
          <w:b/>
          <w:bCs/>
          <w:sz w:val="32"/>
          <w:szCs w:val="32"/>
          <w:lang w:val="es-MX"/>
        </w:rPr>
      </w:pPr>
      <w:r w:rsidRPr="00F02D06">
        <w:rPr>
          <w:rFonts w:ascii="Arial" w:hAnsi="Arial" w:cs="Arial"/>
          <w:lang w:val="es-MX"/>
        </w:rPr>
        <w:t xml:space="preserve"> </w:t>
      </w:r>
      <w:r w:rsidRPr="00F02D06">
        <w:rPr>
          <w:b/>
          <w:bCs/>
          <w:sz w:val="32"/>
          <w:szCs w:val="32"/>
          <w:lang w:val="es-MX"/>
        </w:rPr>
        <w:t xml:space="preserve">La normalización de la violencia en Mexico como fenómeno social: </w:t>
      </w:r>
    </w:p>
    <w:p w14:paraId="5FB45DF5" w14:textId="1A39FE43" w:rsidR="0024577B" w:rsidRDefault="00156E9F" w:rsidP="0024577B">
      <w:pPr>
        <w:pStyle w:val="BodyText"/>
        <w:spacing w:after="0"/>
        <w:jc w:val="center"/>
        <w:rPr>
          <w:b/>
          <w:bCs/>
          <w:sz w:val="32"/>
          <w:szCs w:val="32"/>
          <w:lang w:val="es-MX"/>
        </w:rPr>
      </w:pPr>
      <w:r>
        <w:rPr>
          <w:b/>
          <w:bCs/>
          <w:sz w:val="32"/>
          <w:szCs w:val="32"/>
        </w:rPr>
        <w:t>Narcocultura</w:t>
      </w:r>
      <w:r w:rsidR="0024577B" w:rsidRPr="00D23352">
        <w:rPr>
          <w:b/>
          <w:bCs/>
          <w:sz w:val="32"/>
          <w:szCs w:val="32"/>
        </w:rPr>
        <w:t>, medios y percepción</w:t>
      </w:r>
    </w:p>
    <w:p w14:paraId="258568E8" w14:textId="77777777" w:rsidR="0024577B" w:rsidRPr="00F02D06" w:rsidRDefault="0024577B" w:rsidP="0024577B">
      <w:pPr>
        <w:jc w:val="center"/>
        <w:rPr>
          <w:rFonts w:ascii="Times New Roman" w:hAnsi="Times New Roman" w:cs="Times New Roman"/>
          <w:b/>
          <w:sz w:val="40"/>
          <w:szCs w:val="40"/>
          <w:lang w:val="es-MX"/>
        </w:rPr>
      </w:pPr>
    </w:p>
    <w:p w14:paraId="0A164B26" w14:textId="77777777" w:rsidR="0024577B" w:rsidRDefault="0024577B" w:rsidP="0024577B">
      <w:pPr>
        <w:jc w:val="center"/>
        <w:rPr>
          <w:rFonts w:ascii="Times New Roman" w:hAnsi="Times New Roman" w:cs="Times New Roman"/>
          <w:sz w:val="36"/>
          <w:szCs w:val="36"/>
        </w:rPr>
      </w:pPr>
      <w:r>
        <w:rPr>
          <w:rFonts w:ascii="Times New Roman" w:hAnsi="Times New Roman" w:cs="Times New Roman"/>
          <w:sz w:val="36"/>
          <w:szCs w:val="36"/>
        </w:rPr>
        <w:t>Autora: Diana Paola Sanchez Garate</w:t>
      </w:r>
    </w:p>
    <w:p w14:paraId="144DB37E" w14:textId="77777777" w:rsidR="0024577B" w:rsidRPr="006372B9" w:rsidRDefault="0024577B" w:rsidP="0024577B">
      <w:pPr>
        <w:jc w:val="center"/>
        <w:rPr>
          <w:rFonts w:ascii="Times New Roman" w:hAnsi="Times New Roman" w:cs="Times New Roman"/>
          <w:sz w:val="36"/>
          <w:szCs w:val="36"/>
          <w:lang w:val="es-MX"/>
        </w:rPr>
      </w:pPr>
      <w:r w:rsidRPr="006372B9">
        <w:rPr>
          <w:rFonts w:ascii="Times New Roman" w:hAnsi="Times New Roman" w:cs="Times New Roman"/>
          <w:sz w:val="36"/>
          <w:szCs w:val="36"/>
          <w:lang w:val="es-MX"/>
        </w:rPr>
        <w:t>Director:</w:t>
      </w:r>
      <w:r>
        <w:rPr>
          <w:rFonts w:ascii="Times New Roman" w:hAnsi="Times New Roman" w:cs="Times New Roman"/>
          <w:sz w:val="36"/>
          <w:szCs w:val="36"/>
          <w:lang w:val="es-MX"/>
        </w:rPr>
        <w:t xml:space="preserve"> Gregorio Muñoz Gómez</w:t>
      </w:r>
      <w:r w:rsidRPr="006372B9">
        <w:rPr>
          <w:rFonts w:ascii="Times New Roman" w:hAnsi="Times New Roman" w:cs="Times New Roman"/>
          <w:sz w:val="36"/>
          <w:szCs w:val="36"/>
          <w:lang w:val="es-MX"/>
        </w:rPr>
        <w:t xml:space="preserve"> </w:t>
      </w:r>
    </w:p>
    <w:p w14:paraId="03EBB594" w14:textId="77777777" w:rsidR="0024577B" w:rsidRPr="006372B9" w:rsidRDefault="0024577B" w:rsidP="0024577B">
      <w:pPr>
        <w:jc w:val="center"/>
        <w:rPr>
          <w:rFonts w:ascii="Times New Roman" w:hAnsi="Times New Roman" w:cs="Times New Roman"/>
          <w:sz w:val="36"/>
          <w:szCs w:val="36"/>
          <w:lang w:val="es-MX"/>
        </w:rPr>
      </w:pPr>
    </w:p>
    <w:p w14:paraId="04A1A937" w14:textId="77777777" w:rsidR="0024577B" w:rsidRPr="006372B9" w:rsidRDefault="0024577B" w:rsidP="0024577B">
      <w:pPr>
        <w:jc w:val="center"/>
        <w:rPr>
          <w:rFonts w:ascii="Times New Roman" w:hAnsi="Times New Roman" w:cs="Times New Roman"/>
          <w:sz w:val="36"/>
          <w:szCs w:val="36"/>
          <w:lang w:val="es-MX"/>
        </w:rPr>
      </w:pPr>
      <w:r w:rsidRPr="006372B9">
        <w:rPr>
          <w:rFonts w:ascii="Times New Roman" w:hAnsi="Times New Roman" w:cs="Times New Roman"/>
          <w:sz w:val="36"/>
          <w:szCs w:val="36"/>
          <w:lang w:val="es-MX"/>
        </w:rPr>
        <w:t>Madrid</w:t>
      </w:r>
    </w:p>
    <w:p w14:paraId="48E54A2B" w14:textId="77777777" w:rsidR="0024577B" w:rsidRPr="006372B9" w:rsidRDefault="0024577B" w:rsidP="0024577B">
      <w:pPr>
        <w:jc w:val="center"/>
        <w:rPr>
          <w:rFonts w:ascii="Times New Roman" w:hAnsi="Times New Roman" w:cs="Times New Roman"/>
          <w:sz w:val="36"/>
          <w:szCs w:val="36"/>
          <w:lang w:val="es-MX"/>
        </w:rPr>
      </w:pPr>
      <w:r w:rsidRPr="006372B9">
        <w:rPr>
          <w:rFonts w:ascii="Times New Roman" w:hAnsi="Times New Roman" w:cs="Times New Roman"/>
          <w:sz w:val="36"/>
          <w:szCs w:val="36"/>
          <w:lang w:val="es-MX"/>
        </w:rPr>
        <w:t>202</w:t>
      </w:r>
      <w:r>
        <w:rPr>
          <w:rFonts w:ascii="Times New Roman" w:hAnsi="Times New Roman" w:cs="Times New Roman"/>
          <w:sz w:val="36"/>
          <w:szCs w:val="36"/>
          <w:lang w:val="es-MX"/>
        </w:rPr>
        <w:t>5</w:t>
      </w:r>
      <w:r w:rsidRPr="006372B9">
        <w:rPr>
          <w:rFonts w:ascii="Times New Roman" w:hAnsi="Times New Roman" w:cs="Times New Roman"/>
          <w:sz w:val="36"/>
          <w:szCs w:val="36"/>
          <w:lang w:val="es-MX"/>
        </w:rPr>
        <w:t>/202</w:t>
      </w:r>
      <w:r>
        <w:rPr>
          <w:rFonts w:ascii="Times New Roman" w:hAnsi="Times New Roman" w:cs="Times New Roman"/>
          <w:sz w:val="36"/>
          <w:szCs w:val="36"/>
          <w:lang w:val="es-MX"/>
        </w:rPr>
        <w:t>6</w:t>
      </w:r>
    </w:p>
    <w:p w14:paraId="1F5B2D63" w14:textId="77777777" w:rsidR="0024577B" w:rsidRPr="006372B9" w:rsidRDefault="0024577B" w:rsidP="0024577B">
      <w:pPr>
        <w:jc w:val="center"/>
        <w:rPr>
          <w:rFonts w:ascii="Times New Roman" w:hAnsi="Times New Roman" w:cs="Times New Roman"/>
          <w:sz w:val="36"/>
          <w:szCs w:val="36"/>
          <w:lang w:val="es-MX"/>
        </w:rPr>
      </w:pPr>
    </w:p>
    <w:p w14:paraId="07E8F9AC" w14:textId="77777777" w:rsidR="0024577B" w:rsidRPr="006372B9" w:rsidRDefault="0024577B" w:rsidP="0024577B">
      <w:pPr>
        <w:rPr>
          <w:rFonts w:ascii="Times New Roman" w:hAnsi="Times New Roman" w:cs="Times New Roman"/>
          <w:sz w:val="24"/>
          <w:szCs w:val="24"/>
          <w:lang w:val="es-MX"/>
        </w:rPr>
      </w:pPr>
    </w:p>
    <w:p w14:paraId="0FBEF2A3" w14:textId="77777777" w:rsidR="0024577B" w:rsidRDefault="0024577B" w:rsidP="0024577B">
      <w:pPr>
        <w:rPr>
          <w:rFonts w:ascii="Arial" w:hAnsi="Arial" w:cs="Arial"/>
          <w:sz w:val="24"/>
          <w:szCs w:val="24"/>
          <w:lang w:val="es-MX"/>
        </w:rPr>
      </w:pPr>
    </w:p>
    <w:p w14:paraId="2B6EFEB4" w14:textId="77777777" w:rsidR="0024577B" w:rsidRDefault="0024577B" w:rsidP="0024577B">
      <w:pPr>
        <w:rPr>
          <w:rFonts w:ascii="Arial" w:hAnsi="Arial" w:cs="Arial"/>
          <w:sz w:val="24"/>
          <w:szCs w:val="24"/>
          <w:lang w:val="es-MX"/>
        </w:rPr>
      </w:pPr>
      <w:r>
        <w:rPr>
          <w:rFonts w:ascii="Arial" w:hAnsi="Arial" w:cs="Arial"/>
          <w:sz w:val="24"/>
          <w:szCs w:val="24"/>
          <w:lang w:val="es-MX"/>
        </w:rPr>
        <w:t>Indice</w:t>
      </w:r>
    </w:p>
    <w:p w14:paraId="5C2E0EAA" w14:textId="77777777" w:rsidR="0024577B" w:rsidRDefault="0024577B" w:rsidP="0024577B">
      <w:pPr>
        <w:rPr>
          <w:rFonts w:ascii="Arial" w:hAnsi="Arial" w:cs="Arial"/>
          <w:sz w:val="24"/>
          <w:szCs w:val="24"/>
          <w:lang w:val="es-MX"/>
        </w:rPr>
      </w:pPr>
    </w:p>
    <w:p w14:paraId="6DF57057" w14:textId="77777777" w:rsidR="0024577B" w:rsidRDefault="0024577B" w:rsidP="0024577B">
      <w:pPr>
        <w:rPr>
          <w:rFonts w:ascii="Arial" w:hAnsi="Arial" w:cs="Arial"/>
          <w:sz w:val="24"/>
          <w:szCs w:val="24"/>
          <w:lang w:val="es-MX"/>
        </w:rPr>
      </w:pPr>
    </w:p>
    <w:p w14:paraId="7BE3989C" w14:textId="77777777" w:rsidR="0024577B" w:rsidRDefault="0024577B" w:rsidP="0024577B">
      <w:pPr>
        <w:rPr>
          <w:rFonts w:ascii="Arial" w:hAnsi="Arial" w:cs="Arial"/>
          <w:sz w:val="24"/>
          <w:szCs w:val="24"/>
          <w:lang w:val="es-MX"/>
        </w:rPr>
      </w:pPr>
    </w:p>
    <w:p w14:paraId="6562A529" w14:textId="77777777" w:rsidR="0024577B" w:rsidRDefault="0024577B" w:rsidP="0024577B">
      <w:pPr>
        <w:rPr>
          <w:rFonts w:ascii="Arial" w:hAnsi="Arial" w:cs="Arial"/>
          <w:sz w:val="24"/>
          <w:szCs w:val="24"/>
          <w:lang w:val="es-MX"/>
        </w:rPr>
      </w:pPr>
    </w:p>
    <w:p w14:paraId="146705EA" w14:textId="77777777" w:rsidR="0024577B" w:rsidRDefault="0024577B" w:rsidP="0024577B">
      <w:pPr>
        <w:rPr>
          <w:rFonts w:ascii="Arial" w:hAnsi="Arial" w:cs="Arial"/>
          <w:sz w:val="24"/>
          <w:szCs w:val="24"/>
          <w:lang w:val="es-MX"/>
        </w:rPr>
      </w:pPr>
    </w:p>
    <w:p w14:paraId="4F5AAAB0" w14:textId="77777777" w:rsidR="0024577B" w:rsidRDefault="0024577B" w:rsidP="0024577B">
      <w:pPr>
        <w:rPr>
          <w:rFonts w:ascii="Arial" w:hAnsi="Arial" w:cs="Arial"/>
          <w:sz w:val="24"/>
          <w:szCs w:val="24"/>
          <w:lang w:val="es-MX"/>
        </w:rPr>
      </w:pPr>
    </w:p>
    <w:p w14:paraId="6453031E" w14:textId="77777777" w:rsidR="0024577B" w:rsidRDefault="0024577B" w:rsidP="0024577B">
      <w:pPr>
        <w:rPr>
          <w:rFonts w:ascii="Arial" w:hAnsi="Arial" w:cs="Arial"/>
          <w:sz w:val="24"/>
          <w:szCs w:val="24"/>
          <w:lang w:val="es-MX"/>
        </w:rPr>
      </w:pPr>
    </w:p>
    <w:p w14:paraId="5FAB864A" w14:textId="77777777" w:rsidR="0024577B" w:rsidRDefault="0024577B" w:rsidP="0024577B">
      <w:pPr>
        <w:rPr>
          <w:rFonts w:ascii="Arial" w:hAnsi="Arial" w:cs="Arial"/>
          <w:sz w:val="24"/>
          <w:szCs w:val="24"/>
          <w:lang w:val="es-MX"/>
        </w:rPr>
      </w:pPr>
    </w:p>
    <w:p w14:paraId="524BB067" w14:textId="77777777" w:rsidR="0024577B" w:rsidRDefault="0024577B" w:rsidP="0024577B">
      <w:pPr>
        <w:rPr>
          <w:rFonts w:ascii="Arial" w:hAnsi="Arial" w:cs="Arial"/>
          <w:sz w:val="24"/>
          <w:szCs w:val="24"/>
          <w:lang w:val="es-MX"/>
        </w:rPr>
      </w:pPr>
    </w:p>
    <w:p w14:paraId="3CBB525C" w14:textId="77777777" w:rsidR="0024577B" w:rsidRDefault="0024577B" w:rsidP="0024577B">
      <w:pPr>
        <w:rPr>
          <w:rFonts w:ascii="Arial" w:hAnsi="Arial" w:cs="Arial"/>
          <w:sz w:val="24"/>
          <w:szCs w:val="24"/>
          <w:lang w:val="es-MX"/>
        </w:rPr>
      </w:pPr>
    </w:p>
    <w:p w14:paraId="79535F52" w14:textId="77777777" w:rsidR="0024577B" w:rsidRDefault="0024577B" w:rsidP="0024577B">
      <w:pPr>
        <w:rPr>
          <w:rFonts w:ascii="Arial" w:hAnsi="Arial" w:cs="Arial"/>
          <w:sz w:val="24"/>
          <w:szCs w:val="24"/>
          <w:lang w:val="es-MX"/>
        </w:rPr>
      </w:pPr>
    </w:p>
    <w:p w14:paraId="0E7CCD12" w14:textId="77777777" w:rsidR="0024577B" w:rsidRDefault="0024577B" w:rsidP="0024577B">
      <w:pPr>
        <w:rPr>
          <w:rFonts w:ascii="Arial" w:hAnsi="Arial" w:cs="Arial"/>
          <w:sz w:val="24"/>
          <w:szCs w:val="24"/>
          <w:lang w:val="es-MX"/>
        </w:rPr>
      </w:pPr>
    </w:p>
    <w:p w14:paraId="64D3DDD0" w14:textId="77777777" w:rsidR="0024577B" w:rsidRDefault="0024577B" w:rsidP="0024577B">
      <w:pPr>
        <w:rPr>
          <w:rFonts w:ascii="Arial" w:hAnsi="Arial" w:cs="Arial"/>
          <w:sz w:val="24"/>
          <w:szCs w:val="24"/>
          <w:lang w:val="es-MX"/>
        </w:rPr>
      </w:pPr>
    </w:p>
    <w:p w14:paraId="2EF17032" w14:textId="77777777" w:rsidR="0024577B" w:rsidRDefault="0024577B" w:rsidP="0024577B">
      <w:pPr>
        <w:rPr>
          <w:rFonts w:ascii="Arial" w:hAnsi="Arial" w:cs="Arial"/>
          <w:sz w:val="24"/>
          <w:szCs w:val="24"/>
          <w:lang w:val="es-MX"/>
        </w:rPr>
      </w:pPr>
    </w:p>
    <w:p w14:paraId="7F69FCC3" w14:textId="77777777" w:rsidR="0024577B" w:rsidRDefault="0024577B" w:rsidP="0024577B">
      <w:pPr>
        <w:rPr>
          <w:rFonts w:ascii="Arial" w:hAnsi="Arial" w:cs="Arial"/>
          <w:sz w:val="24"/>
          <w:szCs w:val="24"/>
          <w:lang w:val="es-MX"/>
        </w:rPr>
      </w:pPr>
    </w:p>
    <w:p w14:paraId="2012B370" w14:textId="77777777" w:rsidR="0024577B" w:rsidRDefault="0024577B" w:rsidP="0024577B">
      <w:pPr>
        <w:rPr>
          <w:rFonts w:ascii="Arial" w:hAnsi="Arial" w:cs="Arial"/>
          <w:sz w:val="24"/>
          <w:szCs w:val="24"/>
          <w:lang w:val="es-MX"/>
        </w:rPr>
      </w:pPr>
    </w:p>
    <w:p w14:paraId="087A8710" w14:textId="77777777" w:rsidR="0024577B" w:rsidRDefault="0024577B" w:rsidP="0024577B">
      <w:pPr>
        <w:rPr>
          <w:rFonts w:ascii="Arial" w:hAnsi="Arial" w:cs="Arial"/>
          <w:sz w:val="24"/>
          <w:szCs w:val="24"/>
          <w:lang w:val="es-MX"/>
        </w:rPr>
      </w:pPr>
    </w:p>
    <w:p w14:paraId="5F9C2D34" w14:textId="77777777" w:rsidR="0024577B" w:rsidRDefault="0024577B" w:rsidP="0024577B">
      <w:pPr>
        <w:rPr>
          <w:rFonts w:ascii="Arial" w:hAnsi="Arial" w:cs="Arial"/>
          <w:sz w:val="24"/>
          <w:szCs w:val="24"/>
          <w:lang w:val="es-MX"/>
        </w:rPr>
      </w:pPr>
    </w:p>
    <w:p w14:paraId="057F0D2B" w14:textId="77777777" w:rsidR="0024577B" w:rsidRDefault="0024577B" w:rsidP="0024577B">
      <w:pPr>
        <w:rPr>
          <w:rFonts w:ascii="Arial" w:hAnsi="Arial" w:cs="Arial"/>
          <w:sz w:val="24"/>
          <w:szCs w:val="24"/>
          <w:lang w:val="es-MX"/>
        </w:rPr>
      </w:pPr>
    </w:p>
    <w:p w14:paraId="7628E5F6" w14:textId="77777777" w:rsidR="0024577B" w:rsidRDefault="0024577B" w:rsidP="0024577B">
      <w:pPr>
        <w:rPr>
          <w:rFonts w:ascii="Arial" w:hAnsi="Arial" w:cs="Arial"/>
          <w:sz w:val="24"/>
          <w:szCs w:val="24"/>
          <w:lang w:val="es-MX"/>
        </w:rPr>
      </w:pPr>
    </w:p>
    <w:p w14:paraId="1A0B092D" w14:textId="77777777" w:rsidR="0024577B" w:rsidRDefault="0024577B" w:rsidP="0024577B">
      <w:pPr>
        <w:rPr>
          <w:rFonts w:ascii="Arial" w:hAnsi="Arial" w:cs="Arial"/>
          <w:sz w:val="24"/>
          <w:szCs w:val="24"/>
          <w:lang w:val="es-MX"/>
        </w:rPr>
      </w:pPr>
    </w:p>
    <w:p w14:paraId="346BD219" w14:textId="77777777" w:rsidR="0024577B" w:rsidRDefault="0024577B" w:rsidP="0024577B">
      <w:pPr>
        <w:rPr>
          <w:rFonts w:ascii="Arial" w:hAnsi="Arial" w:cs="Arial"/>
          <w:sz w:val="24"/>
          <w:szCs w:val="24"/>
          <w:lang w:val="es-MX"/>
        </w:rPr>
      </w:pPr>
    </w:p>
    <w:p w14:paraId="2767DF40" w14:textId="77777777" w:rsidR="0024577B" w:rsidRDefault="0024577B" w:rsidP="0024577B">
      <w:pPr>
        <w:rPr>
          <w:rFonts w:ascii="Arial" w:hAnsi="Arial" w:cs="Arial"/>
          <w:sz w:val="24"/>
          <w:szCs w:val="24"/>
          <w:lang w:val="es-MX"/>
        </w:rPr>
      </w:pPr>
    </w:p>
    <w:p w14:paraId="56EC6FBE" w14:textId="77777777" w:rsidR="0024577B" w:rsidRDefault="0024577B" w:rsidP="0024577B">
      <w:pPr>
        <w:rPr>
          <w:rFonts w:ascii="Arial" w:hAnsi="Arial" w:cs="Arial"/>
          <w:sz w:val="24"/>
          <w:szCs w:val="24"/>
          <w:lang w:val="es-MX"/>
        </w:rPr>
      </w:pPr>
    </w:p>
    <w:p w14:paraId="4787AF87" w14:textId="77777777" w:rsidR="0024577B" w:rsidRDefault="0024577B" w:rsidP="0024577B">
      <w:pPr>
        <w:rPr>
          <w:rFonts w:ascii="Arial" w:hAnsi="Arial" w:cs="Arial"/>
          <w:sz w:val="24"/>
          <w:szCs w:val="24"/>
          <w:lang w:val="es-MX"/>
        </w:rPr>
      </w:pPr>
    </w:p>
    <w:p w14:paraId="3B65B046" w14:textId="77777777" w:rsidR="0024577B" w:rsidRDefault="0024577B" w:rsidP="0024577B">
      <w:pPr>
        <w:rPr>
          <w:rFonts w:ascii="Times New Roman" w:hAnsi="Times New Roman" w:cs="Times New Roman"/>
          <w:sz w:val="24"/>
          <w:szCs w:val="24"/>
          <w:lang w:val="es-MX"/>
        </w:rPr>
      </w:pPr>
    </w:p>
    <w:p w14:paraId="47284C4A"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lastRenderedPageBreak/>
        <w:t>Durante décadas la violencia en México ha dejado de verse como una serie de actos delictivos o eventos aislados que se daban en el país, y ha pasado a verse como una parte natural dentro de la cotidianidad. Este fenómeno de normalización comenzó desde el siglo XX, pero ha sido en el siglo XXI cuando se ha integrado en la fibra del entorno mexicano. No todos los ciudadanos tienen experiencias directas con esta violencia, pero la presencia de la delincuencia junto con las representaciones mediáticas ha permitido esta constante desensibilización frente a los fenómenos violentos.</w:t>
      </w:r>
    </w:p>
    <w:p w14:paraId="70038B12"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Hablar de violencia en México es hablar de un problema que atraviesa lo social, económico, laboral y cultural. A lo largo de los años se ha ido integrando cada vez más en el día a día de los mexicanos. Para situarnos en la realidad actual del país, consideremos que los últimos datos recogidos según el Observatorio Nacional Ciudadano muestran que, para diciembre de 2024, se habían registrado un total de 2,091,776 delitos en el territorio nacional, según las carpetas de investigación abiertas a nivel nacional. Esta cifra incluye delitos tanto graves como otros de menor gravedad: robos, homicidios, trata, violaciones, secuestros, extorsiones… delitos que reflejan con claridad la incidencia delictiva del país.</w:t>
      </w:r>
    </w:p>
    <w:p w14:paraId="52FB29B9"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Dentro de la cifra total, los homicidios registrados alcanzaron un total de 33,241, siendo el principal medio el disparo con armas de fuego (Instituto Nacional de Estadística y Geografía [INEGI], 2025).</w:t>
      </w:r>
      <w:r w:rsidRPr="00BB0C04">
        <w:rPr>
          <w:rFonts w:ascii="Times New Roman" w:hAnsi="Times New Roman" w:cs="Times New Roman"/>
          <w:sz w:val="24"/>
          <w:szCs w:val="24"/>
          <w:lang w:val="es-MX"/>
        </w:rPr>
        <w:br/>
        <w:t>Por otro lado, y de acuerdo con la Encuesta Nacional de Victimización y Percepción sobre Seguridad Pública (INEGI, 2025), 50,895 fueron robos, los cuales incluyen robos de vehículo, en casa habitada y en la calle o transporte público (aproximadamente 40,000 de vehículo; alrededor de 2,000 en casa o vía pública).</w:t>
      </w:r>
      <w:r w:rsidRPr="00BB0C04">
        <w:rPr>
          <w:rFonts w:ascii="Times New Roman" w:hAnsi="Times New Roman" w:cs="Times New Roman"/>
          <w:sz w:val="24"/>
          <w:szCs w:val="24"/>
          <w:lang w:val="es-MX"/>
        </w:rPr>
        <w:br/>
        <w:t>En esta cifra total destacan los secuestros, que alcanzaron 94,679 en 2024 (INEGI, 2025). Esto equivale a 71 secuestros por cada 100 mil habitantes, o 259 secuestros al día a lo largo de todo el año.</w:t>
      </w:r>
    </w:p>
    <w:p w14:paraId="087C8589"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Estas cifras nos permiten dimensionar de qué manera afecta la delincuencia a la sociedad mexicana. Al ser cifras tan elevadas, podemos concluir que no es algo que se pueda pasar por alto, y se ha convertido en un elemento integrado en la vida de los ciudadanos. No puede considerarse un hecho aislado, sino una realidad incrustada en la dinámica social. Para los mexicanos no son solo estadísticas anuales, sino la realidad diaria.</w:t>
      </w:r>
    </w:p>
    <w:p w14:paraId="2C1B9EC1"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lastRenderedPageBreak/>
        <w:t>Ahora bien, para entender de verdad este fenómeno no basta con mirar los números: hay que ver cómo los medios, la cultura y las condiciones sociales hacen que la violencia se vuelva parte de lo cotidiano.</w:t>
      </w:r>
    </w:p>
    <w:p w14:paraId="3AA61E9E"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Considerando la magnitud de estas cifras, podríamos pensar que este fenómeno es estrictamente cuantificable. Sin embargo, en este trabajo se mostrará que el impacto social de la violencia va más allá de los datos. Es la percepción de la violencia la que ha afectado más fuertemente al fenómeno analizado. La percepción que tiene la ciudadanía del estado de seguridad del país está fuertemente influida por la memoria colectiva, los discursos públicos y, sobre todo, los medios de comunicación.</w:t>
      </w:r>
    </w:p>
    <w:p w14:paraId="11F15856"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A lo largo de las últimas décadas ha habido momentos en los que las cifras delictivas han disminuido, pero la percepción social no mejora. En estos casos la violencia deja de ser un evento y se convierte en un clima. Ese clima afecta a lo emocional, lo simbólico y lo político, y acompaña a los mexicanos moldeando tanto su comportamiento como su interpretación del entorno.</w:t>
      </w:r>
    </w:p>
    <w:p w14:paraId="72D692E9"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Entender por qué existe esta discrepancia entre las cifras de delincuencia y la sensación subjetiva de inseguridad obliga a analizar los factores que moldean la opinión pública. Lo que se ha encontrado es que los medios de comunicación —desde noticieros hasta series de televisión y música popular— juegan un papel central en la forma en que la violencia es representada, en ocasiones amplificada, glamourizada y finalmente consumida.</w:t>
      </w:r>
    </w:p>
    <w:p w14:paraId="2CCEF346"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Históricamente los noticieros de televisión han sido influyentes en la construcción de la narrativa sobre la escala de violencia. Aunque teóricamente deberían informar de manera objetiva, estos noticieros, por múltiples razones, han focalizado su contenido en el impacto emocional y la espectacularización. Presentan hechos delictivos de una forma que genera percepciones distorsionadas y produce desensibilización ante la violencia.</w:t>
      </w:r>
    </w:p>
    <w:p w14:paraId="1A579D39"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 xml:space="preserve">La desensibilización ocurre cuando hay una exposición constante a contenidos violentos: disminuye la reacción emocional ante estos contenidos. Algo que al inicio causa alarma, miedo o indignación, con el tiempo y la repetida exposición se convierte en algo esperado o normal. Deja de provocar la respuesta emocional que amerita. Este fenómeno es observable en México: la exposición constante a historias de homicidios, secuestros, robos, balaceras... día tras día, genera </w:t>
      </w:r>
      <w:r w:rsidRPr="00BB0C04">
        <w:rPr>
          <w:rFonts w:ascii="Times New Roman" w:hAnsi="Times New Roman" w:cs="Times New Roman"/>
          <w:sz w:val="24"/>
          <w:szCs w:val="24"/>
          <w:lang w:val="es-MX"/>
        </w:rPr>
        <w:lastRenderedPageBreak/>
        <w:t>cada vez menos reacción en la población. Es un resultado de la relación sostenida entre narrativas mediáticas y experiencias sociales.</w:t>
      </w:r>
    </w:p>
    <w:p w14:paraId="2E37508D"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En México es fundamental analizar el papel del narcotráfico para comprender cómo se ha normalizado culturalmente la violencia. Esta industria opera simultáneamente como estructura económica, sistema de poder, referente aspiracional y fenómeno cultural.</w:t>
      </w:r>
    </w:p>
    <w:p w14:paraId="1B19F795"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Es necesario regresar a finales de los años setenta. Fue entonces cuando se dio un "boom" en la industria del narcotráfico: un crecimiento en el tráfico de drogas hacia Estados Unidos y una transformación económica en comunidades involucradas. La actividad dejó de ser puramente clandestina y se convirtió en un mecanismo de movilidad económica en zonas con pobreza estructural. Por primera vez, surge una narrativa social en la que el narcotraficante deja de ser una figura exclusivamente criminal y empieza a convertirse en un símbolo de éxito.</w:t>
      </w:r>
    </w:p>
    <w:p w14:paraId="4E3BD81C"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Este símbolo originó una estética específica alrededor del narco. Se convirtió en algo aspiracional para muchos colectivos en México: vehículos de lujo, armas bañadas en oro, joyería excesiva, la figura de las buchonas, un género musical propio (el narcocorrido). Este género, además de narrar eventos vinculados a violencia y contrabando, legitimaba y romantizaba esta forma de vida como una vía accesible de ascenso social.</w:t>
      </w:r>
    </w:p>
    <w:p w14:paraId="68DE80DD"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A mediados de los setenta, Los Tigres del Norte fueron pioneros con canciones como “Camelia la Tejana”, donde se abordan temas como contrabando, violencia y desafío a la ley.</w:t>
      </w:r>
    </w:p>
    <w:p w14:paraId="3B027E32"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Para los años noventa, el narco ya era una figura central en la cultura popular. En los 2000, la violencia empieza a permear noticieros, programas y series, consolidando al narco como un antihéroe poderoso, valiente y admirado. En este clima cultural crecen muchos jóvenes de 15 a 29 años: consumiendo narrativas donde la violencia se muestra como inevitable, cotidiana e incluso deseable.</w:t>
      </w:r>
    </w:p>
    <w:p w14:paraId="69B00AD2"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A comienzos del siglo XXI, la violencia y el narcotráfico se convierten en temas constantes en la representación mediática. El país entra a una época en la que los homicidios comienzan a escalar, pero también escala la capacidad de los medios para amplificar estos sucesos y convertirlos en fenómenos mediáticos.</w:t>
      </w:r>
    </w:p>
    <w:p w14:paraId="219BFF25"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lastRenderedPageBreak/>
        <w:t>En esta etapa evolucionan los corridos hacia los narcocorridos modernos: ya no solo cuentan historias de contrabando, sino que nombran abiertamente operativos, líderes criminales, muertes violentas y estilos de vida asociados al narco. Este cambio musical corre paralelo al aumento en la visibilidad del crimen organizado.</w:t>
      </w:r>
    </w:p>
    <w:p w14:paraId="7897F4A5"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Simultáneamente, los noticieros adoptan la violencia como eje narrativo. Se normaliza ver imágenes de cuerpos, balaceras, operativos militares... todo dentro del consumo mediático cotidiano. La violencia se convierte en espectáculo visual.</w:t>
      </w:r>
    </w:p>
    <w:p w14:paraId="789165B5"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En 2006, con el inicio de la "guerra contra el narcotráfico", los homicidios aumentan significativamente. Los noticieros continúan presentando imágenes violentas que refuerzan la idea de un peligro permanente.</w:t>
      </w:r>
    </w:p>
    <w:p w14:paraId="7CF7D60C"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En este contexto surgen las series centradas en el narcotráfico: El Señor de los Cielos, La Reina del Sur, Narcos México. Estas series presentan a los capos como protagonistas con poder, carisma, códigos propios y capas de complejidad moral. Se vuelven íconos culturales y justifican, dentro de la ficción, episodios de violencia extrema.</w:t>
      </w:r>
    </w:p>
    <w:p w14:paraId="4ADB8FF5"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La estética del narco también evoluciona. Comunidades que recibieron ingresos asociados al narcotráfico desarrollaron formas de distinción basadas en el lujo. De ahí emerge la figura de la buchona: hipersexualizada, ostentosa, con cirugías estéticas y ligada simbólicamente al poder del narco. Hoy aparece en videos, series y redes sociales, convirtiéndose también en un modelo aspiracional para sectores jóvenes sin acceso a otras vías de ascenso social.</w:t>
      </w:r>
    </w:p>
    <w:p w14:paraId="642E7EBF"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Desde 2010, las redes sociales amplifican estas representaciones: TikTok, Instagram, YouTube están llenos de fragmentos de narcocorridos, estilos de vida lujosos, escenas de series, y memes donde la figura del narco aparece romantizada. Un joven puede estar expuesto a miles de imágenes al mes donde la violencia es parte del entretenimiento, lo que acelera su normalización.</w:t>
      </w:r>
    </w:p>
    <w:p w14:paraId="66C14FEF"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Como se ha mencionado, el hecho de que la violencia real y la percibida no coincidan revela que la percepción no refleja de forma automática los cambios reales en criminalidad. La percepción depende más de las narrativas, las imágenes y la repetición constante de ciertos mensajes.</w:t>
      </w:r>
    </w:p>
    <w:p w14:paraId="212468E8"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lastRenderedPageBreak/>
        <w:t>Este trabajo se construye sobre la idea de que la normalización de la violencia surge de la interacción entre violencia real, representación mediática y procesos culturales que convierten todo esto en una estética, una narrativa y un estilo de vida aspiracional.</w:t>
      </w:r>
    </w:p>
    <w:p w14:paraId="0CD94109"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Desde 1970 hasta la actualidad, la figura del narco ha pasado de ser un criminal clandestino a convertirse en un protagonista central de la cultura mexicana. La música, las series, los noticieros y las redes sociales desempeñan un papel en esta transformación y moldean la percepción de los jóvenes.</w:t>
      </w:r>
    </w:p>
    <w:p w14:paraId="05A0A4F4"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Este trabajo surge de la pregunta: ¿cómo contribuyen el narcotráfico y sus representaciones mediáticas a la normalización de la violencia entre jóvenes en México?</w:t>
      </w:r>
      <w:r w:rsidRPr="00BB0C04">
        <w:rPr>
          <w:rFonts w:ascii="Times New Roman" w:hAnsi="Times New Roman" w:cs="Times New Roman"/>
          <w:sz w:val="24"/>
          <w:szCs w:val="24"/>
          <w:lang w:val="es-MX"/>
        </w:rPr>
        <w:br/>
        <w:t>Para contestarla, se analizará la evolución histórica de la narcocultura, la presencia mediática del narco, la relación entre percepción de violencia y exposición a contenido violento, y el impacto de estas narrativas en jóvenes de 15 a 29 años.</w:t>
      </w:r>
    </w:p>
    <w:p w14:paraId="7EE4DE55"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La metodología es principalmente cualitativa: revisión bibliográfica, análisis histórico-cultural y análisis de contenido mediático, contrastado con datos oficiales de violencia real y percepción de seguridad.</w:t>
      </w:r>
    </w:p>
    <w:p w14:paraId="2D325DD6"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El grupo central serán jóvenes de 15 a 29 años, según clasificaciones de ONU e INEGI, por ser quienes mayor exposición mediática tienen y quienes se encuentran en un momento clave de formación identitaria.</w:t>
      </w:r>
    </w:p>
    <w:p w14:paraId="0046B76F"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Este trabajo tiene como objetivo analizar de qué manera las representaciones del narcotráfico contribuyen a la normalización de la violencia entre jóvenes. Se explorará el papel de la música, la televisión, las series y redes sociales, y se contrastará esta representación con datos de violencia real y percepción pública.</w:t>
      </w:r>
    </w:p>
    <w:p w14:paraId="33F7C4E3" w14:textId="77777777" w:rsidR="0024577B" w:rsidRPr="00BB0C04" w:rsidRDefault="0024577B" w:rsidP="0024577B">
      <w:pPr>
        <w:spacing w:line="360" w:lineRule="auto"/>
        <w:rPr>
          <w:rFonts w:ascii="Times New Roman" w:hAnsi="Times New Roman" w:cs="Times New Roman"/>
          <w:sz w:val="24"/>
          <w:szCs w:val="24"/>
          <w:lang w:val="es-MX"/>
        </w:rPr>
      </w:pPr>
      <w:r w:rsidRPr="00BB0C04">
        <w:rPr>
          <w:rFonts w:ascii="Times New Roman" w:hAnsi="Times New Roman" w:cs="Times New Roman"/>
          <w:sz w:val="24"/>
          <w:szCs w:val="24"/>
          <w:lang w:val="es-MX"/>
        </w:rPr>
        <w:t>La normalización de la violencia no depende solo de niveles reales de criminalidad, sino del peso cultural del narco en los medios. Estas representaciones han creado modelos aspiracionales que moldean la percepción de violencia y la integran al imaginario social de los jóvenes.</w:t>
      </w:r>
    </w:p>
    <w:p w14:paraId="4982E61A" w14:textId="77777777" w:rsidR="00DD5F31" w:rsidRDefault="00DD5F31">
      <w:pPr>
        <w:rPr>
          <w:lang w:val="es-MX"/>
        </w:rPr>
      </w:pPr>
    </w:p>
    <w:p w14:paraId="4936A688" w14:textId="77777777" w:rsidR="00167C94" w:rsidRDefault="00167C94">
      <w:pPr>
        <w:rPr>
          <w:lang w:val="es-MX"/>
        </w:rPr>
      </w:pPr>
    </w:p>
    <w:p w14:paraId="14669BCB" w14:textId="77777777" w:rsidR="00167C94" w:rsidRDefault="00167C94">
      <w:pPr>
        <w:rPr>
          <w:lang w:val="es-MX"/>
        </w:rPr>
      </w:pPr>
    </w:p>
    <w:p w14:paraId="5CF15841" w14:textId="77777777" w:rsidR="00471302" w:rsidRPr="000D60FD" w:rsidRDefault="00471302" w:rsidP="00471302">
      <w:pPr>
        <w:pStyle w:val="BodyText"/>
        <w:spacing w:after="0"/>
        <w:jc w:val="both"/>
        <w:rPr>
          <w:rFonts w:ascii="Arial" w:hAnsi="Arial" w:cs="Arial"/>
          <w:sz w:val="72"/>
          <w:szCs w:val="72"/>
        </w:rPr>
      </w:pPr>
      <w:r w:rsidRPr="000D60FD">
        <w:rPr>
          <w:rFonts w:ascii="Arial" w:hAnsi="Arial" w:cs="Arial"/>
          <w:sz w:val="72"/>
          <w:szCs w:val="72"/>
        </w:rPr>
        <w:lastRenderedPageBreak/>
        <w:t>BIBLIOGRAFIA:</w:t>
      </w:r>
    </w:p>
    <w:p w14:paraId="31D38F14" w14:textId="77777777" w:rsidR="00471302" w:rsidRDefault="00471302" w:rsidP="00471302">
      <w:pPr>
        <w:pStyle w:val="BodyText"/>
        <w:spacing w:after="0"/>
        <w:jc w:val="both"/>
        <w:rPr>
          <w:rFonts w:ascii="Arial" w:hAnsi="Arial" w:cs="Arial"/>
          <w:sz w:val="22"/>
          <w:szCs w:val="22"/>
        </w:rPr>
      </w:pPr>
    </w:p>
    <w:p w14:paraId="1C24C776" w14:textId="77777777" w:rsidR="00471302" w:rsidRDefault="00471302" w:rsidP="00471302">
      <w:pPr>
        <w:pStyle w:val="BodyText"/>
        <w:spacing w:after="0"/>
        <w:jc w:val="both"/>
        <w:rPr>
          <w:rFonts w:ascii="Arial" w:hAnsi="Arial" w:cs="Arial"/>
          <w:sz w:val="22"/>
          <w:szCs w:val="22"/>
        </w:rPr>
      </w:pPr>
    </w:p>
    <w:p w14:paraId="4A04C180" w14:textId="77777777" w:rsidR="00471302" w:rsidRPr="00471302" w:rsidRDefault="00471302" w:rsidP="00471302">
      <w:pPr>
        <w:pStyle w:val="BodyText"/>
        <w:spacing w:after="0"/>
        <w:jc w:val="both"/>
        <w:rPr>
          <w:rFonts w:ascii="Arial" w:hAnsi="Arial" w:cs="Arial"/>
          <w:sz w:val="22"/>
          <w:szCs w:val="22"/>
          <w:highlight w:val="yellow"/>
          <w:lang w:val="fr-FR"/>
        </w:rPr>
      </w:pPr>
      <w:r w:rsidRPr="00540A22">
        <w:rPr>
          <w:rFonts w:ascii="Arial" w:hAnsi="Arial" w:cs="Arial"/>
          <w:sz w:val="22"/>
          <w:szCs w:val="22"/>
          <w:highlight w:val="yellow"/>
        </w:rPr>
        <w:t>Olivera-Villarroel, S. M., &amp; López, M. G. R. (2022). Normalización de la violencia machista en México: cómo la perciben las mujeres y qué factores intervienen. </w:t>
      </w:r>
      <w:proofErr w:type="spellStart"/>
      <w:r w:rsidRPr="00471302">
        <w:rPr>
          <w:rFonts w:ascii="Arial" w:hAnsi="Arial" w:cs="Arial"/>
          <w:i/>
          <w:iCs/>
          <w:sz w:val="22"/>
          <w:szCs w:val="22"/>
          <w:highlight w:val="yellow"/>
          <w:lang w:val="fr-FR"/>
        </w:rPr>
        <w:t>Poiésis</w:t>
      </w:r>
      <w:proofErr w:type="spellEnd"/>
      <w:r w:rsidRPr="00471302">
        <w:rPr>
          <w:rFonts w:ascii="Arial" w:hAnsi="Arial" w:cs="Arial"/>
          <w:sz w:val="22"/>
          <w:szCs w:val="22"/>
          <w:highlight w:val="yellow"/>
          <w:lang w:val="fr-FR"/>
        </w:rPr>
        <w:t>, (43), 15-30.</w:t>
      </w:r>
    </w:p>
    <w:p w14:paraId="338017DA" w14:textId="77777777" w:rsidR="00471302" w:rsidRPr="00471302" w:rsidRDefault="00471302" w:rsidP="00471302">
      <w:pPr>
        <w:pStyle w:val="BodyText"/>
        <w:spacing w:after="0"/>
        <w:jc w:val="both"/>
        <w:rPr>
          <w:rFonts w:ascii="Arial" w:hAnsi="Arial" w:cs="Arial"/>
          <w:sz w:val="22"/>
          <w:szCs w:val="22"/>
          <w:lang w:val="fr-FR"/>
        </w:rPr>
      </w:pPr>
      <w:r w:rsidRPr="00471302">
        <w:rPr>
          <w:rFonts w:ascii="Arial" w:hAnsi="Arial" w:cs="Arial"/>
          <w:sz w:val="22"/>
          <w:szCs w:val="22"/>
          <w:lang w:val="fr-FR"/>
        </w:rPr>
        <w:t>(</w:t>
      </w:r>
      <w:hyperlink r:id="rId5" w:history="1">
        <w:r w:rsidRPr="00471302">
          <w:rPr>
            <w:rStyle w:val="Hyperlink"/>
            <w:rFonts w:ascii="Arial" w:eastAsiaTheme="majorEastAsia" w:hAnsi="Arial" w:cs="Arial"/>
            <w:sz w:val="22"/>
            <w:szCs w:val="22"/>
            <w:lang w:val="fr-FR"/>
          </w:rPr>
          <w:t>https://revistas.ucatolicaluisamigo.edu.co/index.php/poiesis/article/view/4293/3668</w:t>
        </w:r>
      </w:hyperlink>
      <w:r w:rsidRPr="00471302">
        <w:rPr>
          <w:rFonts w:ascii="Arial" w:hAnsi="Arial" w:cs="Arial"/>
          <w:sz w:val="22"/>
          <w:szCs w:val="22"/>
          <w:lang w:val="fr-FR"/>
        </w:rPr>
        <w:t xml:space="preserve"> )</w:t>
      </w:r>
    </w:p>
    <w:p w14:paraId="541FE38E" w14:textId="77777777" w:rsidR="00471302" w:rsidRPr="00471302" w:rsidRDefault="00471302" w:rsidP="00471302">
      <w:pPr>
        <w:pStyle w:val="BodyText"/>
        <w:spacing w:after="0"/>
        <w:jc w:val="both"/>
        <w:rPr>
          <w:rFonts w:ascii="Arial" w:hAnsi="Arial" w:cs="Arial"/>
          <w:sz w:val="22"/>
          <w:szCs w:val="22"/>
          <w:lang w:val="fr-FR"/>
        </w:rPr>
      </w:pPr>
    </w:p>
    <w:p w14:paraId="6669A4DC" w14:textId="77777777" w:rsidR="00471302" w:rsidRDefault="00471302" w:rsidP="00471302">
      <w:pPr>
        <w:pStyle w:val="BodyText"/>
        <w:spacing w:after="0"/>
        <w:jc w:val="both"/>
        <w:rPr>
          <w:rFonts w:ascii="Arial" w:hAnsi="Arial" w:cs="Arial"/>
          <w:sz w:val="22"/>
          <w:szCs w:val="22"/>
        </w:rPr>
      </w:pPr>
      <w:r w:rsidRPr="00540A22">
        <w:rPr>
          <w:rFonts w:ascii="Arial" w:hAnsi="Arial" w:cs="Arial"/>
          <w:sz w:val="22"/>
          <w:szCs w:val="22"/>
        </w:rPr>
        <w:t xml:space="preserve">La educación significa un aliado en el afrontamiento y apreciación de la violencia contra las mujeres; dado lo anterior, se llevó a cabo un estudio de tipo exploratorio en mujeres entre dieciocho y cincuenta años con diferente escolaridad y con el objetivo de conocer si el nivel educativo influye, y si es así, cómo lo hace en la normalización de la violencia. Los resultados muestran que las mujeres con una mayor escolaridad tienden a </w:t>
      </w:r>
      <w:proofErr w:type="spellStart"/>
      <w:r w:rsidRPr="00540A22">
        <w:rPr>
          <w:rFonts w:ascii="Arial" w:hAnsi="Arial" w:cs="Arial"/>
          <w:sz w:val="22"/>
          <w:szCs w:val="22"/>
        </w:rPr>
        <w:t>incre</w:t>
      </w:r>
      <w:proofErr w:type="spellEnd"/>
      <w:r w:rsidRPr="00540A22">
        <w:rPr>
          <w:rFonts w:ascii="Arial" w:hAnsi="Arial" w:cs="Arial"/>
          <w:sz w:val="22"/>
          <w:szCs w:val="22"/>
        </w:rPr>
        <w:t xml:space="preserve">-mentar su percepción de la violencia, respecto a aquellas mujeres con un menor nivel educativo. Asimismo, se mostró que cuando un hombre es colaborador en el hogar, es percibido con una menor probabilidad de ser violento. Los obtenido muestra que </w:t>
      </w:r>
      <w:proofErr w:type="spellStart"/>
      <w:r w:rsidRPr="00540A22">
        <w:rPr>
          <w:rFonts w:ascii="Arial" w:hAnsi="Arial" w:cs="Arial"/>
          <w:sz w:val="22"/>
          <w:szCs w:val="22"/>
        </w:rPr>
        <w:t>aque-llas</w:t>
      </w:r>
      <w:proofErr w:type="spellEnd"/>
      <w:r w:rsidRPr="00540A22">
        <w:rPr>
          <w:rFonts w:ascii="Arial" w:hAnsi="Arial" w:cs="Arial"/>
          <w:sz w:val="22"/>
          <w:szCs w:val="22"/>
        </w:rPr>
        <w:t xml:space="preserve"> mujeres con un menor nivel educativo tienden a normalizar lo obtenido y, por tanto, suelen percibirla en un menor grado, la normalizan y la consideran un hecho inherente a su género.</w:t>
      </w:r>
    </w:p>
    <w:p w14:paraId="7DE689CC" w14:textId="77777777" w:rsidR="00471302" w:rsidRDefault="00471302" w:rsidP="00471302">
      <w:pPr>
        <w:pStyle w:val="BodyText"/>
        <w:spacing w:after="0"/>
        <w:jc w:val="both"/>
        <w:rPr>
          <w:rFonts w:ascii="Arial" w:hAnsi="Arial" w:cs="Arial"/>
          <w:sz w:val="22"/>
          <w:szCs w:val="22"/>
        </w:rPr>
      </w:pPr>
    </w:p>
    <w:p w14:paraId="10415D4F" w14:textId="77777777" w:rsidR="00471302" w:rsidRDefault="00471302" w:rsidP="00471302">
      <w:pPr>
        <w:pStyle w:val="BodyText"/>
        <w:spacing w:after="0"/>
        <w:jc w:val="both"/>
        <w:rPr>
          <w:rFonts w:ascii="Arial" w:hAnsi="Arial" w:cs="Arial"/>
          <w:sz w:val="22"/>
          <w:szCs w:val="22"/>
        </w:rPr>
      </w:pPr>
    </w:p>
    <w:p w14:paraId="36A55F77" w14:textId="77777777" w:rsidR="00471302" w:rsidRDefault="00471302" w:rsidP="00471302">
      <w:pPr>
        <w:pStyle w:val="BodyText"/>
        <w:spacing w:after="0"/>
        <w:jc w:val="both"/>
        <w:rPr>
          <w:rFonts w:ascii="Arial" w:hAnsi="Arial" w:cs="Arial"/>
          <w:sz w:val="22"/>
          <w:szCs w:val="22"/>
        </w:rPr>
      </w:pPr>
      <w:r w:rsidRPr="001C3F95">
        <w:rPr>
          <w:rFonts w:ascii="Arial" w:hAnsi="Arial" w:cs="Arial"/>
          <w:sz w:val="22"/>
          <w:szCs w:val="22"/>
          <w:highlight w:val="yellow"/>
        </w:rPr>
        <w:t xml:space="preserve">Valente Beltrán, M. D. C., Quintero Romero, D. M., &amp; Méndez Cadena, M. E. (2024). La normalización de la violencia en jóvenes de secundaria y su impacto socioambiental: El caso de </w:t>
      </w:r>
      <w:proofErr w:type="spellStart"/>
      <w:r w:rsidRPr="001C3F95">
        <w:rPr>
          <w:rFonts w:ascii="Arial" w:hAnsi="Arial" w:cs="Arial"/>
          <w:sz w:val="22"/>
          <w:szCs w:val="22"/>
          <w:highlight w:val="yellow"/>
        </w:rPr>
        <w:t>Chichihualco</w:t>
      </w:r>
      <w:proofErr w:type="spellEnd"/>
      <w:r w:rsidRPr="001C3F95">
        <w:rPr>
          <w:rFonts w:ascii="Arial" w:hAnsi="Arial" w:cs="Arial"/>
          <w:sz w:val="22"/>
          <w:szCs w:val="22"/>
          <w:highlight w:val="yellow"/>
        </w:rPr>
        <w:t>, Guerrero. México.</w:t>
      </w:r>
    </w:p>
    <w:p w14:paraId="014C21D0" w14:textId="77777777" w:rsidR="00471302" w:rsidRDefault="00471302" w:rsidP="00471302">
      <w:pPr>
        <w:pStyle w:val="BodyText"/>
        <w:spacing w:after="0"/>
        <w:jc w:val="both"/>
        <w:rPr>
          <w:rFonts w:ascii="Arial" w:hAnsi="Arial" w:cs="Arial"/>
          <w:sz w:val="22"/>
          <w:szCs w:val="22"/>
        </w:rPr>
      </w:pPr>
      <w:r>
        <w:rPr>
          <w:rFonts w:ascii="Arial" w:hAnsi="Arial" w:cs="Arial"/>
          <w:sz w:val="22"/>
          <w:szCs w:val="22"/>
        </w:rPr>
        <w:t>DESCARGADO</w:t>
      </w:r>
    </w:p>
    <w:p w14:paraId="60B9EA46" w14:textId="77777777" w:rsidR="00471302" w:rsidRPr="001300E4" w:rsidRDefault="00471302" w:rsidP="00471302">
      <w:pPr>
        <w:pStyle w:val="BodyText"/>
        <w:spacing w:after="0"/>
        <w:jc w:val="both"/>
        <w:rPr>
          <w:rFonts w:ascii="Arial" w:hAnsi="Arial" w:cs="Arial"/>
          <w:sz w:val="22"/>
          <w:szCs w:val="22"/>
          <w:lang w:val="es-MX"/>
        </w:rPr>
      </w:pPr>
      <w:r w:rsidRPr="001300E4">
        <w:rPr>
          <w:rFonts w:ascii="Arial" w:hAnsi="Arial" w:cs="Arial"/>
          <w:sz w:val="22"/>
          <w:szCs w:val="22"/>
          <w:lang w:val="es-MX"/>
        </w:rPr>
        <w:t>La investigación busca comprender cómo la violencia se manifiesta y es percibida por jóvenes de secundaria en un municipio con alta delincuencia en Guerrero, con el fin de diseñar acciones para construir una cultura de paz y promover la resolución de conflictos. El estudio subraya que la gestión sustentable y la sensibilización ambiental deben incluir el desarrollo de capacidades para enfrentar la violencia y mejorar el bienestar comunitario.</w:t>
      </w:r>
    </w:p>
    <w:p w14:paraId="575D64BC" w14:textId="77777777" w:rsidR="00471302" w:rsidRPr="001300E4" w:rsidRDefault="00471302" w:rsidP="00471302">
      <w:pPr>
        <w:pStyle w:val="BodyText"/>
        <w:spacing w:after="0"/>
        <w:jc w:val="both"/>
        <w:rPr>
          <w:rFonts w:ascii="Arial" w:hAnsi="Arial" w:cs="Arial"/>
          <w:sz w:val="22"/>
          <w:szCs w:val="22"/>
          <w:lang w:val="es-MX"/>
        </w:rPr>
      </w:pPr>
      <w:r w:rsidRPr="001300E4">
        <w:rPr>
          <w:rFonts w:ascii="Arial" w:hAnsi="Arial" w:cs="Arial"/>
          <w:sz w:val="22"/>
          <w:szCs w:val="22"/>
          <w:lang w:val="es-MX"/>
        </w:rPr>
        <w:t>Se analizaron expresiones de violencia en el lenguaje de 16 estudiantes, mostrando que la agresividad dentro del aula está ligada a la normalización de conductas violentas en su contexto social. Los resultados preliminares indican que la violencia es un fenómeno sistémico que trasciende la escuela e involucra dinámicas familiares y comunitarias. Se concluye que para reducir estas conductas es necesario involucrar no solo a los actores escolares, sino también a profesionales de distintas disciplinas, promoviendo estrategias de innovación social y trabajo colectivo que atiendan el problema de manera integral.</w:t>
      </w:r>
    </w:p>
    <w:p w14:paraId="34EE556B" w14:textId="77777777" w:rsidR="00471302" w:rsidRDefault="00471302" w:rsidP="00471302">
      <w:pPr>
        <w:pStyle w:val="BodyText"/>
        <w:spacing w:after="0"/>
        <w:jc w:val="both"/>
        <w:rPr>
          <w:rFonts w:ascii="Arial" w:hAnsi="Arial" w:cs="Arial"/>
          <w:sz w:val="22"/>
          <w:szCs w:val="22"/>
          <w:lang w:val="es-MX"/>
        </w:rPr>
      </w:pPr>
    </w:p>
    <w:p w14:paraId="364FAA89" w14:textId="77777777" w:rsidR="00471302" w:rsidRDefault="00471302" w:rsidP="00471302">
      <w:pPr>
        <w:pStyle w:val="BodyText"/>
        <w:spacing w:after="0"/>
        <w:jc w:val="both"/>
        <w:rPr>
          <w:rFonts w:ascii="Arial" w:hAnsi="Arial" w:cs="Arial"/>
          <w:sz w:val="22"/>
          <w:szCs w:val="22"/>
        </w:rPr>
      </w:pPr>
      <w:r w:rsidRPr="00365E7F">
        <w:rPr>
          <w:rFonts w:ascii="Arial" w:hAnsi="Arial" w:cs="Arial"/>
          <w:sz w:val="22"/>
          <w:szCs w:val="22"/>
          <w:highlight w:val="cyan"/>
        </w:rPr>
        <w:t>Ripoll, J. L. Las zonas sin ley y la normalización de la violencia en México y Colombia.</w:t>
      </w:r>
    </w:p>
    <w:p w14:paraId="294E1A3F" w14:textId="77777777" w:rsidR="00471302" w:rsidRDefault="00471302" w:rsidP="00471302">
      <w:pPr>
        <w:pStyle w:val="BodyText"/>
        <w:spacing w:after="0"/>
        <w:jc w:val="both"/>
        <w:rPr>
          <w:rFonts w:ascii="Arial" w:hAnsi="Arial" w:cs="Arial"/>
          <w:sz w:val="22"/>
          <w:szCs w:val="22"/>
        </w:rPr>
      </w:pPr>
      <w:r>
        <w:rPr>
          <w:rFonts w:ascii="Arial" w:hAnsi="Arial" w:cs="Arial"/>
          <w:sz w:val="22"/>
          <w:szCs w:val="22"/>
        </w:rPr>
        <w:t>DESCARGADO</w:t>
      </w:r>
    </w:p>
    <w:p w14:paraId="34519983" w14:textId="77777777" w:rsidR="00471302" w:rsidRDefault="00471302" w:rsidP="00471302">
      <w:pPr>
        <w:pStyle w:val="BodyText"/>
        <w:spacing w:after="0"/>
        <w:jc w:val="both"/>
        <w:rPr>
          <w:rFonts w:ascii="Arial" w:hAnsi="Arial" w:cs="Arial"/>
          <w:sz w:val="22"/>
          <w:szCs w:val="22"/>
        </w:rPr>
      </w:pPr>
    </w:p>
    <w:p w14:paraId="397AFA07" w14:textId="77777777" w:rsidR="00471302" w:rsidRPr="00213783" w:rsidRDefault="00471302" w:rsidP="00471302">
      <w:pPr>
        <w:pStyle w:val="BodyText"/>
        <w:spacing w:after="0"/>
        <w:jc w:val="both"/>
        <w:rPr>
          <w:rFonts w:ascii="Arial" w:hAnsi="Arial" w:cs="Arial"/>
          <w:sz w:val="22"/>
          <w:szCs w:val="22"/>
          <w:lang w:val="es-MX"/>
        </w:rPr>
      </w:pPr>
      <w:r w:rsidRPr="00213783">
        <w:rPr>
          <w:rFonts w:ascii="Arial" w:hAnsi="Arial" w:cs="Arial"/>
          <w:sz w:val="22"/>
          <w:szCs w:val="22"/>
          <w:lang w:val="es-MX"/>
        </w:rPr>
        <w:t xml:space="preserve">El texto analiza cómo en México y Colombia la violencia extrema —sobre todo los homicidios de hombres jóvenes pobres— se ha vuelto parte de la vida cotidiana y ha dejado de generar indignación social. Explica que la opinión pública, la prensa y los discursos oficiales tienden a </w:t>
      </w:r>
      <w:r w:rsidRPr="00213783">
        <w:rPr>
          <w:rFonts w:ascii="Arial" w:hAnsi="Arial" w:cs="Arial"/>
          <w:b/>
          <w:bCs/>
          <w:sz w:val="22"/>
          <w:szCs w:val="22"/>
          <w:lang w:val="es-MX"/>
        </w:rPr>
        <w:t>distinguir entre “víctimas inocentes” y criminales</w:t>
      </w:r>
      <w:r w:rsidRPr="00213783">
        <w:rPr>
          <w:rFonts w:ascii="Arial" w:hAnsi="Arial" w:cs="Arial"/>
          <w:sz w:val="22"/>
          <w:szCs w:val="22"/>
          <w:lang w:val="es-MX"/>
        </w:rPr>
        <w:t>, de modo que las muertes de quienes son percibidos como miembros del crimen organizado se consideran “normales” o justificadas.</w:t>
      </w:r>
    </w:p>
    <w:p w14:paraId="3DD6A44D" w14:textId="77777777" w:rsidR="00471302" w:rsidRPr="00213783" w:rsidRDefault="00471302" w:rsidP="00471302">
      <w:pPr>
        <w:pStyle w:val="BodyText"/>
        <w:spacing w:after="0"/>
        <w:jc w:val="both"/>
        <w:rPr>
          <w:rFonts w:ascii="Arial" w:hAnsi="Arial" w:cs="Arial"/>
          <w:sz w:val="22"/>
          <w:szCs w:val="22"/>
          <w:lang w:val="es-MX"/>
        </w:rPr>
      </w:pPr>
      <w:r w:rsidRPr="00213783">
        <w:rPr>
          <w:rFonts w:ascii="Arial" w:hAnsi="Arial" w:cs="Arial"/>
          <w:sz w:val="22"/>
          <w:szCs w:val="22"/>
          <w:lang w:val="es-MX"/>
        </w:rPr>
        <w:t xml:space="preserve">La autora muestra que el </w:t>
      </w:r>
      <w:r w:rsidRPr="00213783">
        <w:rPr>
          <w:rFonts w:ascii="Arial" w:hAnsi="Arial" w:cs="Arial"/>
          <w:b/>
          <w:bCs/>
          <w:sz w:val="22"/>
          <w:szCs w:val="22"/>
          <w:lang w:val="es-MX"/>
        </w:rPr>
        <w:t>lugar geográfico</w:t>
      </w:r>
      <w:r w:rsidRPr="00213783">
        <w:rPr>
          <w:rFonts w:ascii="Arial" w:hAnsi="Arial" w:cs="Arial"/>
          <w:sz w:val="22"/>
          <w:szCs w:val="22"/>
          <w:lang w:val="es-MX"/>
        </w:rPr>
        <w:t xml:space="preserve"> donde ocurre la violencia influye en su interpretación: en las “zonas sin ley”, donde el Estado tiene control limitado y actores armados ilegales gobiernan, las muertes violentas se asumen como esperadas. Estas zonas funcionan como </w:t>
      </w:r>
      <w:r w:rsidRPr="00213783">
        <w:rPr>
          <w:rFonts w:ascii="Arial" w:hAnsi="Arial" w:cs="Arial"/>
          <w:b/>
          <w:bCs/>
          <w:sz w:val="22"/>
          <w:szCs w:val="22"/>
          <w:lang w:val="es-MX"/>
        </w:rPr>
        <w:lastRenderedPageBreak/>
        <w:t>espacios de excepción</w:t>
      </w:r>
      <w:r w:rsidRPr="00213783">
        <w:rPr>
          <w:rFonts w:ascii="Arial" w:hAnsi="Arial" w:cs="Arial"/>
          <w:sz w:val="22"/>
          <w:szCs w:val="22"/>
          <w:lang w:val="es-MX"/>
        </w:rPr>
        <w:t>, donde las normas se relajan y la violencia del Estado y de los grupos criminales se naturaliza.</w:t>
      </w:r>
    </w:p>
    <w:p w14:paraId="6E69FBEE" w14:textId="77777777" w:rsidR="00471302" w:rsidRPr="00213783" w:rsidRDefault="00471302" w:rsidP="00471302">
      <w:pPr>
        <w:pStyle w:val="BodyText"/>
        <w:spacing w:after="0"/>
        <w:jc w:val="both"/>
        <w:rPr>
          <w:rFonts w:ascii="Arial" w:hAnsi="Arial" w:cs="Arial"/>
          <w:sz w:val="22"/>
          <w:szCs w:val="22"/>
          <w:lang w:val="es-MX"/>
        </w:rPr>
      </w:pPr>
      <w:r w:rsidRPr="00213783">
        <w:rPr>
          <w:rFonts w:ascii="Arial" w:hAnsi="Arial" w:cs="Arial"/>
          <w:sz w:val="22"/>
          <w:szCs w:val="22"/>
          <w:lang w:val="es-MX"/>
        </w:rPr>
        <w:t xml:space="preserve">El texto también explora cómo la </w:t>
      </w:r>
      <w:r w:rsidRPr="00213783">
        <w:rPr>
          <w:rFonts w:ascii="Arial" w:hAnsi="Arial" w:cs="Arial"/>
          <w:b/>
          <w:bCs/>
          <w:sz w:val="22"/>
          <w:szCs w:val="22"/>
          <w:lang w:val="es-MX"/>
        </w:rPr>
        <w:t>guerra contra las drogas</w:t>
      </w:r>
      <w:r w:rsidRPr="00213783">
        <w:rPr>
          <w:rFonts w:ascii="Arial" w:hAnsi="Arial" w:cs="Arial"/>
          <w:sz w:val="22"/>
          <w:szCs w:val="22"/>
          <w:lang w:val="es-MX"/>
        </w:rPr>
        <w:t xml:space="preserve"> ha reforzado esta normalización, creando un nuevo lenguaje (“abatimientos”, “levantones”, “narcofosas”) que anestesia a la sociedad frente a la violencia. Concluye que la normalización de la muerte violenta es un fenómeno social, político y territorial, y que revertirlo exige repensar la justicia y la presencia del Estado en estas regiones.</w:t>
      </w:r>
    </w:p>
    <w:p w14:paraId="72F2D11E" w14:textId="77777777" w:rsidR="00471302" w:rsidRDefault="00471302" w:rsidP="00471302">
      <w:pPr>
        <w:pStyle w:val="BodyText"/>
        <w:spacing w:after="0"/>
        <w:jc w:val="both"/>
        <w:rPr>
          <w:rFonts w:ascii="Arial" w:hAnsi="Arial" w:cs="Arial"/>
          <w:sz w:val="22"/>
          <w:szCs w:val="22"/>
          <w:lang w:val="es-MX"/>
        </w:rPr>
      </w:pPr>
    </w:p>
    <w:p w14:paraId="684D6F3F" w14:textId="77777777" w:rsidR="00471302" w:rsidRDefault="00471302" w:rsidP="00471302">
      <w:pPr>
        <w:pStyle w:val="BodyText"/>
        <w:spacing w:after="0"/>
        <w:jc w:val="both"/>
        <w:rPr>
          <w:rFonts w:ascii="Arial" w:hAnsi="Arial" w:cs="Arial"/>
          <w:sz w:val="22"/>
          <w:szCs w:val="22"/>
          <w:lang w:val="es-MX"/>
        </w:rPr>
      </w:pPr>
    </w:p>
    <w:p w14:paraId="7DB1ADC2" w14:textId="77777777" w:rsidR="00471302" w:rsidRDefault="00471302" w:rsidP="00471302">
      <w:pPr>
        <w:pStyle w:val="BodyText"/>
        <w:spacing w:after="0"/>
        <w:jc w:val="both"/>
        <w:rPr>
          <w:rFonts w:ascii="Arial" w:hAnsi="Arial" w:cs="Arial"/>
          <w:sz w:val="22"/>
          <w:szCs w:val="22"/>
        </w:rPr>
      </w:pPr>
      <w:r w:rsidRPr="000C154E">
        <w:rPr>
          <w:rFonts w:ascii="Arial" w:hAnsi="Arial" w:cs="Arial"/>
          <w:sz w:val="22"/>
          <w:szCs w:val="22"/>
          <w:highlight w:val="yellow"/>
        </w:rPr>
        <w:t>Ortega, M. D. L. G., &amp; González, E. Á. El uso lexical para la configuración de la violencia de género en los medios de comunicación en México. </w:t>
      </w:r>
      <w:r w:rsidRPr="000C154E">
        <w:rPr>
          <w:rFonts w:ascii="Arial" w:hAnsi="Arial" w:cs="Arial"/>
          <w:i/>
          <w:iCs/>
          <w:sz w:val="22"/>
          <w:szCs w:val="22"/>
          <w:highlight w:val="yellow"/>
        </w:rPr>
        <w:t>EL LÉXICO</w:t>
      </w:r>
      <w:r w:rsidRPr="000C154E">
        <w:rPr>
          <w:rFonts w:ascii="Arial" w:hAnsi="Arial" w:cs="Arial"/>
          <w:sz w:val="22"/>
          <w:szCs w:val="22"/>
          <w:highlight w:val="yellow"/>
        </w:rPr>
        <w:t>, 177.</w:t>
      </w:r>
    </w:p>
    <w:p w14:paraId="2463DE92" w14:textId="77777777" w:rsidR="00471302" w:rsidRDefault="00471302" w:rsidP="00471302">
      <w:pPr>
        <w:pStyle w:val="BodyText"/>
        <w:spacing w:after="0"/>
        <w:jc w:val="both"/>
        <w:rPr>
          <w:rFonts w:ascii="Arial" w:hAnsi="Arial" w:cs="Arial"/>
          <w:sz w:val="22"/>
          <w:szCs w:val="22"/>
        </w:rPr>
      </w:pPr>
      <w:r>
        <w:rPr>
          <w:rFonts w:ascii="Arial" w:hAnsi="Arial" w:cs="Arial"/>
          <w:sz w:val="22"/>
          <w:szCs w:val="22"/>
        </w:rPr>
        <w:t>DESCARGADO</w:t>
      </w:r>
    </w:p>
    <w:p w14:paraId="265E3A84" w14:textId="77777777" w:rsidR="00471302" w:rsidRDefault="00471302" w:rsidP="00471302">
      <w:pPr>
        <w:pStyle w:val="BodyText"/>
        <w:spacing w:after="0"/>
        <w:jc w:val="both"/>
        <w:rPr>
          <w:rFonts w:ascii="Arial" w:hAnsi="Arial" w:cs="Arial"/>
          <w:sz w:val="22"/>
          <w:szCs w:val="22"/>
        </w:rPr>
      </w:pPr>
    </w:p>
    <w:p w14:paraId="07F7ABA1" w14:textId="77777777" w:rsidR="00471302" w:rsidRDefault="00471302" w:rsidP="00471302">
      <w:pPr>
        <w:pStyle w:val="BodyText"/>
        <w:spacing w:after="0"/>
        <w:jc w:val="both"/>
        <w:rPr>
          <w:rFonts w:ascii="Arial" w:hAnsi="Arial" w:cs="Arial"/>
          <w:sz w:val="22"/>
          <w:szCs w:val="22"/>
        </w:rPr>
      </w:pPr>
      <w:r w:rsidRPr="002721DB">
        <w:rPr>
          <w:rFonts w:ascii="Arial" w:hAnsi="Arial" w:cs="Arial"/>
          <w:sz w:val="22"/>
          <w:szCs w:val="22"/>
        </w:rPr>
        <w:t xml:space="preserve">La investigación analiza cómo los medios de comunicación en México </w:t>
      </w:r>
      <w:r w:rsidRPr="002721DB">
        <w:rPr>
          <w:rFonts w:ascii="Arial" w:hAnsi="Arial" w:cs="Arial"/>
          <w:b/>
          <w:bCs/>
          <w:sz w:val="22"/>
          <w:szCs w:val="22"/>
        </w:rPr>
        <w:t>normalizan la violencia de género</w:t>
      </w:r>
      <w:r w:rsidRPr="002721DB">
        <w:rPr>
          <w:rFonts w:ascii="Arial" w:hAnsi="Arial" w:cs="Arial"/>
          <w:sz w:val="22"/>
          <w:szCs w:val="22"/>
        </w:rPr>
        <w:t>, presentándola como entretenimiento y limitando el discurso de erradicación únicamente a la violencia física. Se estudió el impacto de estos contenidos en adolescentes, mostrando que reproducen estereotipos que cosifican a la mujer, minimizan sus opiniones y la colocan en posición de sumisión frente al hombre. El trabajo concluye que esta violencia está arraigada en la cultura mexicana y, mientras no cambie la ideología social, los medios seguirán reforzando estas conductas y perpetuando la desigualdad de género</w:t>
      </w:r>
    </w:p>
    <w:p w14:paraId="437FF284" w14:textId="77777777" w:rsidR="00471302" w:rsidRDefault="00471302" w:rsidP="00471302">
      <w:pPr>
        <w:pStyle w:val="BodyText"/>
        <w:spacing w:after="0"/>
        <w:jc w:val="both"/>
        <w:rPr>
          <w:rFonts w:ascii="Arial" w:hAnsi="Arial" w:cs="Arial"/>
          <w:sz w:val="22"/>
          <w:szCs w:val="22"/>
        </w:rPr>
      </w:pPr>
    </w:p>
    <w:p w14:paraId="1E87802E" w14:textId="77777777" w:rsidR="00471302" w:rsidRDefault="00471302" w:rsidP="00471302">
      <w:pPr>
        <w:pStyle w:val="BodyText"/>
        <w:spacing w:after="0"/>
        <w:jc w:val="both"/>
        <w:rPr>
          <w:rFonts w:ascii="Arial" w:hAnsi="Arial" w:cs="Arial"/>
          <w:sz w:val="22"/>
          <w:szCs w:val="22"/>
        </w:rPr>
      </w:pPr>
    </w:p>
    <w:p w14:paraId="4F4D3076" w14:textId="77777777" w:rsidR="00471302" w:rsidRDefault="00471302" w:rsidP="00471302">
      <w:pPr>
        <w:pStyle w:val="BodyText"/>
        <w:spacing w:after="0"/>
        <w:jc w:val="both"/>
        <w:rPr>
          <w:rFonts w:ascii="Arial" w:hAnsi="Arial" w:cs="Arial"/>
          <w:sz w:val="22"/>
          <w:szCs w:val="22"/>
        </w:rPr>
      </w:pPr>
      <w:r w:rsidRPr="00995499">
        <w:rPr>
          <w:rFonts w:ascii="Arial" w:hAnsi="Arial" w:cs="Arial"/>
          <w:sz w:val="22"/>
          <w:szCs w:val="22"/>
          <w:highlight w:val="yellow"/>
        </w:rPr>
        <w:t>Mata, T. C. NORMALIZACIÓN DE LA VIOLENCIA EN REDES SOCIALES: PERCEPCIONES DE JÓVENES UNIVERSITARIOS. </w:t>
      </w:r>
      <w:r w:rsidRPr="00995499">
        <w:rPr>
          <w:rFonts w:ascii="Arial" w:hAnsi="Arial" w:cs="Arial"/>
          <w:i/>
          <w:iCs/>
          <w:sz w:val="22"/>
          <w:szCs w:val="22"/>
          <w:highlight w:val="yellow"/>
        </w:rPr>
        <w:t>RETOS Y OPORTUNIDADES PARA LA INTELIGENCIA ARTIFICIAL EN LA EDUCACIÓN</w:t>
      </w:r>
      <w:r w:rsidRPr="00995499">
        <w:rPr>
          <w:rFonts w:ascii="Arial" w:hAnsi="Arial" w:cs="Arial"/>
          <w:sz w:val="22"/>
          <w:szCs w:val="22"/>
          <w:highlight w:val="yellow"/>
        </w:rPr>
        <w:t>, 294.</w:t>
      </w:r>
    </w:p>
    <w:p w14:paraId="5F491135" w14:textId="77777777" w:rsidR="00471302" w:rsidRDefault="00471302" w:rsidP="00471302">
      <w:pPr>
        <w:pStyle w:val="BodyText"/>
        <w:spacing w:after="0"/>
        <w:jc w:val="both"/>
        <w:rPr>
          <w:rFonts w:ascii="Arial" w:hAnsi="Arial" w:cs="Arial"/>
          <w:sz w:val="22"/>
          <w:szCs w:val="22"/>
        </w:rPr>
      </w:pPr>
      <w:r>
        <w:rPr>
          <w:rFonts w:ascii="Arial" w:hAnsi="Arial" w:cs="Arial"/>
          <w:sz w:val="22"/>
          <w:szCs w:val="22"/>
        </w:rPr>
        <w:t>DESCARGADO: PAG 295</w:t>
      </w:r>
    </w:p>
    <w:p w14:paraId="1125FF24" w14:textId="77777777" w:rsidR="00471302" w:rsidRDefault="00471302" w:rsidP="00471302">
      <w:pPr>
        <w:pStyle w:val="BodyText"/>
        <w:spacing w:after="0"/>
        <w:jc w:val="both"/>
        <w:rPr>
          <w:rFonts w:ascii="Arial" w:hAnsi="Arial" w:cs="Arial"/>
          <w:sz w:val="22"/>
          <w:szCs w:val="22"/>
        </w:rPr>
      </w:pPr>
    </w:p>
    <w:p w14:paraId="79B9B63B" w14:textId="77777777" w:rsidR="00471302" w:rsidRDefault="00471302" w:rsidP="00471302">
      <w:pPr>
        <w:pStyle w:val="BodyText"/>
        <w:spacing w:after="0"/>
        <w:jc w:val="both"/>
        <w:rPr>
          <w:rFonts w:ascii="Arial" w:hAnsi="Arial" w:cs="Arial"/>
          <w:sz w:val="22"/>
          <w:szCs w:val="22"/>
        </w:rPr>
      </w:pPr>
      <w:r w:rsidRPr="00267D5B">
        <w:rPr>
          <w:rFonts w:ascii="Arial" w:hAnsi="Arial" w:cs="Arial"/>
          <w:sz w:val="22"/>
          <w:szCs w:val="22"/>
        </w:rPr>
        <w:t xml:space="preserve">El estudio, basado en entrevistas a profundidad con universitarios, analizó cómo las redes sociales contribuyen a la </w:t>
      </w:r>
      <w:r w:rsidRPr="00267D5B">
        <w:rPr>
          <w:rFonts w:ascii="Arial" w:hAnsi="Arial" w:cs="Arial"/>
          <w:b/>
          <w:bCs/>
          <w:sz w:val="22"/>
          <w:szCs w:val="22"/>
        </w:rPr>
        <w:t>normalización de diferentes tipos de violencia</w:t>
      </w:r>
      <w:r w:rsidRPr="00267D5B">
        <w:rPr>
          <w:rFonts w:ascii="Arial" w:hAnsi="Arial" w:cs="Arial"/>
          <w:sz w:val="22"/>
          <w:szCs w:val="22"/>
        </w:rPr>
        <w:t>. Los jóvenes reconocen beneficios de estas plataformas —expresión, identidad digital y creación de comunidades— pero también efectos negativos como adicción, pérdida de sueño, ansiedad y aislamiento. Concluyen que el uso descontrolado de redes facilita la exposición a contenidos violentos, refuerza estereotipos y hace que estas conductas se perciban como normales y reproducibles en su generación.</w:t>
      </w:r>
    </w:p>
    <w:p w14:paraId="6490F170" w14:textId="77777777" w:rsidR="00471302" w:rsidRDefault="00471302" w:rsidP="00471302">
      <w:pPr>
        <w:pStyle w:val="BodyText"/>
        <w:spacing w:after="0"/>
        <w:jc w:val="both"/>
        <w:rPr>
          <w:rFonts w:ascii="Arial" w:hAnsi="Arial" w:cs="Arial"/>
          <w:sz w:val="22"/>
          <w:szCs w:val="22"/>
        </w:rPr>
      </w:pPr>
    </w:p>
    <w:p w14:paraId="278B4735" w14:textId="77777777" w:rsidR="00471302" w:rsidRDefault="00471302" w:rsidP="00471302">
      <w:pPr>
        <w:pStyle w:val="BodyText"/>
        <w:spacing w:after="0"/>
        <w:jc w:val="both"/>
        <w:rPr>
          <w:rFonts w:ascii="Arial" w:hAnsi="Arial" w:cs="Arial"/>
          <w:sz w:val="22"/>
          <w:szCs w:val="22"/>
        </w:rPr>
      </w:pPr>
    </w:p>
    <w:p w14:paraId="253776DA" w14:textId="77777777" w:rsidR="00471302" w:rsidRDefault="00471302" w:rsidP="00471302">
      <w:pPr>
        <w:pStyle w:val="BodyText"/>
        <w:spacing w:after="0"/>
        <w:jc w:val="both"/>
        <w:rPr>
          <w:rFonts w:ascii="Arial" w:hAnsi="Arial" w:cs="Arial"/>
          <w:sz w:val="22"/>
          <w:szCs w:val="22"/>
        </w:rPr>
      </w:pPr>
      <w:r w:rsidRPr="00645904">
        <w:rPr>
          <w:rFonts w:ascii="Arial" w:hAnsi="Arial" w:cs="Arial"/>
          <w:sz w:val="22"/>
          <w:szCs w:val="22"/>
          <w:highlight w:val="yellow"/>
        </w:rPr>
        <w:t xml:space="preserve">López, D. C. V., Niño, I. I. B., &amp; García, G. M. LA </w:t>
      </w:r>
      <w:proofErr w:type="spellStart"/>
      <w:r w:rsidRPr="00645904">
        <w:rPr>
          <w:rFonts w:ascii="Arial" w:hAnsi="Arial" w:cs="Arial"/>
          <w:sz w:val="22"/>
          <w:szCs w:val="22"/>
          <w:highlight w:val="yellow"/>
        </w:rPr>
        <w:t>NORMALIZACIóN</w:t>
      </w:r>
      <w:proofErr w:type="spellEnd"/>
      <w:r w:rsidRPr="00645904">
        <w:rPr>
          <w:rFonts w:ascii="Arial" w:hAnsi="Arial" w:cs="Arial"/>
          <w:sz w:val="22"/>
          <w:szCs w:val="22"/>
          <w:highlight w:val="yellow"/>
        </w:rPr>
        <w:t xml:space="preserve"> DE LA VIOLENCIA: OTRA </w:t>
      </w:r>
      <w:proofErr w:type="spellStart"/>
      <w:r w:rsidRPr="00645904">
        <w:rPr>
          <w:rFonts w:ascii="Arial" w:hAnsi="Arial" w:cs="Arial"/>
          <w:sz w:val="22"/>
          <w:szCs w:val="22"/>
          <w:highlight w:val="yellow"/>
        </w:rPr>
        <w:t>DIMENSIóN</w:t>
      </w:r>
      <w:proofErr w:type="spellEnd"/>
      <w:r w:rsidRPr="00645904">
        <w:rPr>
          <w:rFonts w:ascii="Arial" w:hAnsi="Arial" w:cs="Arial"/>
          <w:sz w:val="22"/>
          <w:szCs w:val="22"/>
          <w:highlight w:val="yellow"/>
        </w:rPr>
        <w:t xml:space="preserve"> DE LA POBREZA URBANA. </w:t>
      </w:r>
      <w:r w:rsidRPr="00645904">
        <w:rPr>
          <w:rFonts w:ascii="Arial" w:hAnsi="Arial" w:cs="Arial"/>
          <w:i/>
          <w:iCs/>
          <w:sz w:val="22"/>
          <w:szCs w:val="22"/>
          <w:highlight w:val="yellow"/>
        </w:rPr>
        <w:t>Investigación en Ciencias Administrativas</w:t>
      </w:r>
      <w:r w:rsidRPr="00645904">
        <w:rPr>
          <w:rFonts w:ascii="Arial" w:hAnsi="Arial" w:cs="Arial"/>
          <w:sz w:val="22"/>
          <w:szCs w:val="22"/>
          <w:highlight w:val="yellow"/>
        </w:rPr>
        <w:t>, 275.</w:t>
      </w:r>
    </w:p>
    <w:p w14:paraId="5BD73E51" w14:textId="77777777" w:rsidR="00471302" w:rsidRDefault="00471302" w:rsidP="00471302">
      <w:pPr>
        <w:pStyle w:val="BodyText"/>
        <w:spacing w:after="0"/>
        <w:jc w:val="both"/>
        <w:rPr>
          <w:rFonts w:ascii="Arial" w:hAnsi="Arial" w:cs="Arial"/>
          <w:sz w:val="22"/>
          <w:szCs w:val="22"/>
        </w:rPr>
      </w:pPr>
      <w:r>
        <w:rPr>
          <w:rFonts w:ascii="Arial" w:hAnsi="Arial" w:cs="Arial"/>
          <w:sz w:val="22"/>
          <w:szCs w:val="22"/>
        </w:rPr>
        <w:t>DESCARGADO PAG 275</w:t>
      </w:r>
    </w:p>
    <w:p w14:paraId="6B7EA14F" w14:textId="77777777" w:rsidR="00471302" w:rsidRDefault="00471302" w:rsidP="00471302">
      <w:pPr>
        <w:pStyle w:val="BodyText"/>
        <w:spacing w:after="0"/>
        <w:jc w:val="both"/>
        <w:rPr>
          <w:rFonts w:ascii="Arial" w:hAnsi="Arial" w:cs="Arial"/>
          <w:sz w:val="22"/>
          <w:szCs w:val="22"/>
        </w:rPr>
      </w:pPr>
    </w:p>
    <w:p w14:paraId="73FF4583" w14:textId="77777777" w:rsidR="00471302" w:rsidRDefault="00471302" w:rsidP="00471302">
      <w:pPr>
        <w:pStyle w:val="BodyText"/>
        <w:spacing w:after="0"/>
        <w:jc w:val="both"/>
        <w:rPr>
          <w:rFonts w:ascii="Arial" w:hAnsi="Arial" w:cs="Arial"/>
          <w:sz w:val="22"/>
          <w:szCs w:val="22"/>
        </w:rPr>
      </w:pPr>
      <w:r w:rsidRPr="00837D8C">
        <w:rPr>
          <w:rFonts w:ascii="Arial" w:hAnsi="Arial" w:cs="Arial"/>
          <w:sz w:val="22"/>
          <w:szCs w:val="22"/>
        </w:rPr>
        <w:t>La pobreza en México ha sido un fenómeno que desde años remotos ha afectado en mayor proporción a las áreas rurales que a las urbanas. En 2000, más de 50% de la población rural fue clasificada como pobre alimentaria (o extrema), mientras que la pobreza urbana sólo representaba 14.5% (</w:t>
      </w:r>
      <w:proofErr w:type="spellStart"/>
      <w:r w:rsidRPr="00837D8C">
        <w:rPr>
          <w:rFonts w:ascii="Arial" w:hAnsi="Arial" w:cs="Arial"/>
          <w:sz w:val="22"/>
          <w:szCs w:val="22"/>
        </w:rPr>
        <w:t>Damian</w:t>
      </w:r>
      <w:proofErr w:type="spellEnd"/>
      <w:r w:rsidRPr="00837D8C">
        <w:rPr>
          <w:rFonts w:ascii="Arial" w:hAnsi="Arial" w:cs="Arial"/>
          <w:sz w:val="22"/>
          <w:szCs w:val="22"/>
        </w:rPr>
        <w:t xml:space="preserve">, 2006). Esta misma situación, es decir la intensa pobreza, en zonas rurales provocó las crecientes migraciones de la población rural hacia las zonas urbanas para buscar una mejor calidad de vida; esto, a su vez, ha causado que en la actualidad aproximadamente 80% de la población del país viva en las ciudades (datos del Banco Mundial). Sin embargo, la pobreza urbana se ha agudizado más en los últimos años en comparación con la pobreza rural. Según datos del Coneval (2014), 2 de cada 3 personas en condiciones de pobreza habitan en localidades urbanas. Las limitadas oportunidades que tiene la población migrante para acceder a una mejor calidad de vida y la dinámica de las </w:t>
      </w:r>
      <w:proofErr w:type="gramStart"/>
      <w:r w:rsidRPr="00837D8C">
        <w:rPr>
          <w:rFonts w:ascii="Arial" w:hAnsi="Arial" w:cs="Arial"/>
          <w:sz w:val="22"/>
          <w:szCs w:val="22"/>
        </w:rPr>
        <w:t>ciudades,</w:t>
      </w:r>
      <w:proofErr w:type="gramEnd"/>
      <w:r w:rsidRPr="00837D8C">
        <w:rPr>
          <w:rFonts w:ascii="Arial" w:hAnsi="Arial" w:cs="Arial"/>
          <w:sz w:val="22"/>
          <w:szCs w:val="22"/>
        </w:rPr>
        <w:t xml:space="preserve"> dan como </w:t>
      </w:r>
      <w:r w:rsidRPr="00837D8C">
        <w:rPr>
          <w:rFonts w:ascii="Arial" w:hAnsi="Arial" w:cs="Arial"/>
          <w:sz w:val="22"/>
          <w:szCs w:val="22"/>
        </w:rPr>
        <w:lastRenderedPageBreak/>
        <w:t>resultado la aglomeración de comunidades marginadas y en zonas de riesgo, que se caracterizan por la falta de servicios básicos y educación, así como por la violencia, inseguridad, presencia de drogas, etc. Mediante esta investigación, se pretende demostrar cómo una de las características de la pobreza urbana, que es la violencia, se ha normalizado en estas localidades hasta el punto de considerar que estas últimas son zonas seguras y sin riesgos.</w:t>
      </w:r>
    </w:p>
    <w:p w14:paraId="231AAF7F" w14:textId="77777777" w:rsidR="00471302" w:rsidRDefault="00471302" w:rsidP="00471302">
      <w:pPr>
        <w:pStyle w:val="BodyText"/>
        <w:spacing w:after="0"/>
        <w:jc w:val="both"/>
        <w:rPr>
          <w:rFonts w:ascii="Arial" w:hAnsi="Arial" w:cs="Arial"/>
          <w:sz w:val="22"/>
          <w:szCs w:val="22"/>
        </w:rPr>
      </w:pPr>
    </w:p>
    <w:p w14:paraId="51CB6D2F" w14:textId="77777777" w:rsidR="00471302" w:rsidRDefault="00471302" w:rsidP="00471302">
      <w:pPr>
        <w:pStyle w:val="BodyText"/>
        <w:spacing w:after="0"/>
        <w:jc w:val="both"/>
        <w:rPr>
          <w:rFonts w:ascii="Arial" w:hAnsi="Arial" w:cs="Arial"/>
          <w:sz w:val="22"/>
          <w:szCs w:val="22"/>
        </w:rPr>
      </w:pPr>
    </w:p>
    <w:p w14:paraId="042879F2" w14:textId="77777777" w:rsidR="00471302" w:rsidRDefault="00471302" w:rsidP="00471302">
      <w:pPr>
        <w:pStyle w:val="BodyText"/>
        <w:spacing w:after="0"/>
        <w:jc w:val="both"/>
        <w:rPr>
          <w:rFonts w:ascii="Arial" w:hAnsi="Arial" w:cs="Arial"/>
          <w:sz w:val="22"/>
          <w:szCs w:val="22"/>
          <w:lang w:val="en-US"/>
        </w:rPr>
      </w:pPr>
      <w:r w:rsidRPr="00C44939">
        <w:rPr>
          <w:rFonts w:ascii="Arial" w:hAnsi="Arial" w:cs="Arial"/>
          <w:sz w:val="22"/>
          <w:szCs w:val="22"/>
          <w:highlight w:val="yellow"/>
          <w:lang w:val="en-US"/>
        </w:rPr>
        <w:t xml:space="preserve">De Choudhury, M., Monroy-Hernandez, A., &amp; Mark, G. (2014, April). " </w:t>
      </w:r>
      <w:proofErr w:type="spellStart"/>
      <w:r w:rsidRPr="00C44939">
        <w:rPr>
          <w:rFonts w:ascii="Arial" w:hAnsi="Arial" w:cs="Arial"/>
          <w:sz w:val="22"/>
          <w:szCs w:val="22"/>
          <w:highlight w:val="yellow"/>
          <w:lang w:val="en-US"/>
        </w:rPr>
        <w:t>Narco</w:t>
      </w:r>
      <w:proofErr w:type="spellEnd"/>
      <w:r w:rsidRPr="00C44939">
        <w:rPr>
          <w:rFonts w:ascii="Arial" w:hAnsi="Arial" w:cs="Arial"/>
          <w:sz w:val="22"/>
          <w:szCs w:val="22"/>
          <w:highlight w:val="yellow"/>
          <w:lang w:val="en-US"/>
        </w:rPr>
        <w:t xml:space="preserve">" emotions: affect and desensitization in social media during the </w:t>
      </w:r>
      <w:proofErr w:type="spellStart"/>
      <w:r w:rsidRPr="00C44939">
        <w:rPr>
          <w:rFonts w:ascii="Arial" w:hAnsi="Arial" w:cs="Arial"/>
          <w:sz w:val="22"/>
          <w:szCs w:val="22"/>
          <w:highlight w:val="yellow"/>
          <w:lang w:val="en-US"/>
        </w:rPr>
        <w:t>mexican</w:t>
      </w:r>
      <w:proofErr w:type="spellEnd"/>
      <w:r w:rsidRPr="00C44939">
        <w:rPr>
          <w:rFonts w:ascii="Arial" w:hAnsi="Arial" w:cs="Arial"/>
          <w:sz w:val="22"/>
          <w:szCs w:val="22"/>
          <w:highlight w:val="yellow"/>
          <w:lang w:val="en-US"/>
        </w:rPr>
        <w:t xml:space="preserve"> drug war. In </w:t>
      </w:r>
      <w:r w:rsidRPr="00C44939">
        <w:rPr>
          <w:rFonts w:ascii="Arial" w:hAnsi="Arial" w:cs="Arial"/>
          <w:i/>
          <w:iCs/>
          <w:sz w:val="22"/>
          <w:szCs w:val="22"/>
          <w:highlight w:val="yellow"/>
          <w:lang w:val="en-US"/>
        </w:rPr>
        <w:t>Proceedings of the SIGCHI conference on Human Factors in Computing Systems</w:t>
      </w:r>
      <w:r w:rsidRPr="00C44939">
        <w:rPr>
          <w:rFonts w:ascii="Arial" w:hAnsi="Arial" w:cs="Arial"/>
          <w:sz w:val="22"/>
          <w:szCs w:val="22"/>
          <w:highlight w:val="yellow"/>
          <w:lang w:val="en-US"/>
        </w:rPr>
        <w:t> (pp. 3563-3572).</w:t>
      </w:r>
    </w:p>
    <w:p w14:paraId="1FDAF289" w14:textId="77777777" w:rsidR="00471302" w:rsidRDefault="00471302" w:rsidP="00471302">
      <w:pPr>
        <w:pStyle w:val="BodyText"/>
        <w:spacing w:after="0"/>
        <w:jc w:val="both"/>
        <w:rPr>
          <w:rFonts w:ascii="Arial" w:hAnsi="Arial" w:cs="Arial"/>
          <w:sz w:val="22"/>
          <w:szCs w:val="22"/>
          <w:lang w:val="en-US"/>
        </w:rPr>
      </w:pPr>
      <w:r>
        <w:rPr>
          <w:rFonts w:ascii="Arial" w:hAnsi="Arial" w:cs="Arial"/>
          <w:sz w:val="22"/>
          <w:szCs w:val="22"/>
          <w:lang w:val="en-US"/>
        </w:rPr>
        <w:t>NO ACCESS</w:t>
      </w:r>
    </w:p>
    <w:p w14:paraId="2D973F66" w14:textId="77777777" w:rsidR="00471302" w:rsidRDefault="00471302" w:rsidP="00471302">
      <w:pPr>
        <w:pStyle w:val="BodyText"/>
        <w:spacing w:after="0"/>
        <w:jc w:val="both"/>
        <w:rPr>
          <w:rFonts w:ascii="Arial" w:hAnsi="Arial" w:cs="Arial"/>
          <w:sz w:val="22"/>
          <w:szCs w:val="22"/>
          <w:lang w:val="en-US"/>
        </w:rPr>
      </w:pPr>
    </w:p>
    <w:p w14:paraId="1E67E66D" w14:textId="77777777" w:rsidR="00471302" w:rsidRDefault="00471302" w:rsidP="00471302">
      <w:pPr>
        <w:pStyle w:val="BodyText"/>
        <w:spacing w:after="0"/>
        <w:jc w:val="both"/>
        <w:rPr>
          <w:rFonts w:ascii="Arial" w:hAnsi="Arial" w:cs="Arial"/>
          <w:sz w:val="22"/>
          <w:szCs w:val="22"/>
          <w:lang w:val="en-US"/>
        </w:rPr>
      </w:pPr>
      <w:r w:rsidRPr="000F3E77">
        <w:rPr>
          <w:rFonts w:ascii="Arial" w:hAnsi="Arial" w:cs="Arial"/>
          <w:sz w:val="22"/>
          <w:szCs w:val="22"/>
          <w:lang w:val="en-US"/>
        </w:rPr>
        <w:t xml:space="preserve">Social media platforms have emerged as prominent information sharing ecosystems in the context of a variety of recent crises, ranging </w:t>
      </w:r>
      <w:proofErr w:type="gramStart"/>
      <w:r w:rsidRPr="000F3E77">
        <w:rPr>
          <w:rFonts w:ascii="Arial" w:hAnsi="Arial" w:cs="Arial"/>
          <w:sz w:val="22"/>
          <w:szCs w:val="22"/>
          <w:lang w:val="en-US"/>
        </w:rPr>
        <w:t>from mass emergencies,</w:t>
      </w:r>
      <w:proofErr w:type="gramEnd"/>
      <w:r w:rsidRPr="000F3E77">
        <w:rPr>
          <w:rFonts w:ascii="Arial" w:hAnsi="Arial" w:cs="Arial"/>
          <w:sz w:val="22"/>
          <w:szCs w:val="22"/>
          <w:lang w:val="en-US"/>
        </w:rPr>
        <w:t xml:space="preserve"> to wars and political conflicts. We study affective responses in social media and how they might indicate desensitization to violence experienced in communities embroiled in an armed conflict. Specifically, we examine three established affect measures: negative affect, activation, and dominance as observed on Twitter in relation to </w:t>
      </w:r>
      <w:proofErr w:type="gramStart"/>
      <w:r w:rsidRPr="000F3E77">
        <w:rPr>
          <w:rFonts w:ascii="Arial" w:hAnsi="Arial" w:cs="Arial"/>
          <w:sz w:val="22"/>
          <w:szCs w:val="22"/>
          <w:lang w:val="en-US"/>
        </w:rPr>
        <w:t>a number of</w:t>
      </w:r>
      <w:proofErr w:type="gramEnd"/>
      <w:r w:rsidRPr="000F3E77">
        <w:rPr>
          <w:rFonts w:ascii="Arial" w:hAnsi="Arial" w:cs="Arial"/>
          <w:sz w:val="22"/>
          <w:szCs w:val="22"/>
          <w:lang w:val="en-US"/>
        </w:rPr>
        <w:t xml:space="preserve"> statistics on protracted violence in four major cities afflicted by the Mexican Drug War. During a </w:t>
      </w:r>
      <w:proofErr w:type="gramStart"/>
      <w:r w:rsidRPr="000F3E77">
        <w:rPr>
          <w:rFonts w:ascii="Arial" w:hAnsi="Arial" w:cs="Arial"/>
          <w:sz w:val="22"/>
          <w:szCs w:val="22"/>
          <w:lang w:val="en-US"/>
        </w:rPr>
        <w:t>two year</w:t>
      </w:r>
      <w:proofErr w:type="gramEnd"/>
      <w:r w:rsidRPr="000F3E77">
        <w:rPr>
          <w:rFonts w:ascii="Arial" w:hAnsi="Arial" w:cs="Arial"/>
          <w:sz w:val="22"/>
          <w:szCs w:val="22"/>
          <w:lang w:val="en-US"/>
        </w:rPr>
        <w:t xml:space="preserve"> period (Aug 2010 - Dec 2012), while violence was on the rise in these regions, our findings show a decline in negative emotional expression as well as a rise in emotional arousal and dominance in Twitter posts: aspects known to be psychological markers of desensitization. We discuss the implications of our work for behavioral health, facilitating rehabilitation efforts in communities enmeshed in an acute and persistent urban warfare, and the impact on civic engagement.</w:t>
      </w:r>
    </w:p>
    <w:p w14:paraId="12FFAA2F" w14:textId="77777777" w:rsidR="00471302" w:rsidRDefault="00471302" w:rsidP="00471302">
      <w:pPr>
        <w:pStyle w:val="BodyText"/>
        <w:spacing w:after="0"/>
        <w:jc w:val="both"/>
        <w:rPr>
          <w:rFonts w:ascii="Arial" w:hAnsi="Arial" w:cs="Arial"/>
          <w:sz w:val="22"/>
          <w:szCs w:val="22"/>
          <w:lang w:val="en-US"/>
        </w:rPr>
      </w:pPr>
    </w:p>
    <w:p w14:paraId="75308498" w14:textId="77777777" w:rsidR="00471302" w:rsidRDefault="00471302" w:rsidP="00471302">
      <w:pPr>
        <w:pStyle w:val="BodyText"/>
        <w:spacing w:after="0"/>
        <w:jc w:val="both"/>
        <w:rPr>
          <w:rFonts w:ascii="Arial" w:hAnsi="Arial" w:cs="Arial"/>
          <w:sz w:val="22"/>
          <w:szCs w:val="22"/>
          <w:lang w:val="en-US"/>
        </w:rPr>
      </w:pPr>
    </w:p>
    <w:p w14:paraId="615BABE9" w14:textId="77777777" w:rsidR="00471302" w:rsidRDefault="00471302" w:rsidP="00471302">
      <w:pPr>
        <w:pStyle w:val="BodyText"/>
        <w:spacing w:after="0"/>
        <w:jc w:val="both"/>
        <w:rPr>
          <w:rFonts w:ascii="Arial" w:hAnsi="Arial" w:cs="Arial"/>
          <w:sz w:val="22"/>
          <w:szCs w:val="22"/>
        </w:rPr>
      </w:pPr>
      <w:r w:rsidRPr="00B361E2">
        <w:rPr>
          <w:rFonts w:ascii="Arial" w:hAnsi="Arial" w:cs="Arial"/>
          <w:sz w:val="22"/>
          <w:szCs w:val="22"/>
          <w:highlight w:val="yellow"/>
          <w:lang w:val="en-US"/>
        </w:rPr>
        <w:t xml:space="preserve">Smith, S. L., &amp; </w:t>
      </w:r>
      <w:proofErr w:type="spellStart"/>
      <w:r w:rsidRPr="00B361E2">
        <w:rPr>
          <w:rFonts w:ascii="Arial" w:hAnsi="Arial" w:cs="Arial"/>
          <w:sz w:val="22"/>
          <w:szCs w:val="22"/>
          <w:highlight w:val="yellow"/>
          <w:lang w:val="en-US"/>
        </w:rPr>
        <w:t>Donnerstein</w:t>
      </w:r>
      <w:proofErr w:type="spellEnd"/>
      <w:r w:rsidRPr="00B361E2">
        <w:rPr>
          <w:rFonts w:ascii="Arial" w:hAnsi="Arial" w:cs="Arial"/>
          <w:sz w:val="22"/>
          <w:szCs w:val="22"/>
          <w:highlight w:val="yellow"/>
          <w:lang w:val="en-US"/>
        </w:rPr>
        <w:t xml:space="preserve">, E. (1998). Harmful effects of exposure to media violence: Learning of aggression, emotional desensitization, and fear. </w:t>
      </w:r>
      <w:r w:rsidRPr="00B361E2">
        <w:rPr>
          <w:rFonts w:ascii="Arial" w:hAnsi="Arial" w:cs="Arial"/>
          <w:sz w:val="22"/>
          <w:szCs w:val="22"/>
          <w:highlight w:val="yellow"/>
        </w:rPr>
        <w:t>In </w:t>
      </w:r>
      <w:r w:rsidRPr="00B361E2">
        <w:rPr>
          <w:rFonts w:ascii="Arial" w:hAnsi="Arial" w:cs="Arial"/>
          <w:i/>
          <w:iCs/>
          <w:sz w:val="22"/>
          <w:szCs w:val="22"/>
          <w:highlight w:val="yellow"/>
        </w:rPr>
        <w:t xml:space="preserve">Human </w:t>
      </w:r>
      <w:proofErr w:type="spellStart"/>
      <w:r w:rsidRPr="00B361E2">
        <w:rPr>
          <w:rFonts w:ascii="Arial" w:hAnsi="Arial" w:cs="Arial"/>
          <w:i/>
          <w:iCs/>
          <w:sz w:val="22"/>
          <w:szCs w:val="22"/>
          <w:highlight w:val="yellow"/>
        </w:rPr>
        <w:t>aggression</w:t>
      </w:r>
      <w:proofErr w:type="spellEnd"/>
      <w:r w:rsidRPr="00B361E2">
        <w:rPr>
          <w:rFonts w:ascii="Arial" w:hAnsi="Arial" w:cs="Arial"/>
          <w:sz w:val="22"/>
          <w:szCs w:val="22"/>
          <w:highlight w:val="yellow"/>
        </w:rPr>
        <w:t xml:space="preserve"> (pp. 167-202). </w:t>
      </w:r>
      <w:proofErr w:type="spellStart"/>
      <w:r w:rsidRPr="00B361E2">
        <w:rPr>
          <w:rFonts w:ascii="Arial" w:hAnsi="Arial" w:cs="Arial"/>
          <w:sz w:val="22"/>
          <w:szCs w:val="22"/>
          <w:highlight w:val="yellow"/>
        </w:rPr>
        <w:t>Academic</w:t>
      </w:r>
      <w:proofErr w:type="spellEnd"/>
      <w:r w:rsidRPr="00B361E2">
        <w:rPr>
          <w:rFonts w:ascii="Arial" w:hAnsi="Arial" w:cs="Arial"/>
          <w:sz w:val="22"/>
          <w:szCs w:val="22"/>
          <w:highlight w:val="yellow"/>
        </w:rPr>
        <w:t xml:space="preserve"> </w:t>
      </w:r>
      <w:proofErr w:type="spellStart"/>
      <w:r w:rsidRPr="00B361E2">
        <w:rPr>
          <w:rFonts w:ascii="Arial" w:hAnsi="Arial" w:cs="Arial"/>
          <w:sz w:val="22"/>
          <w:szCs w:val="22"/>
          <w:highlight w:val="yellow"/>
        </w:rPr>
        <w:t>Press</w:t>
      </w:r>
      <w:proofErr w:type="spellEnd"/>
      <w:r w:rsidRPr="00B361E2">
        <w:rPr>
          <w:rFonts w:ascii="Arial" w:hAnsi="Arial" w:cs="Arial"/>
          <w:sz w:val="22"/>
          <w:szCs w:val="22"/>
          <w:highlight w:val="yellow"/>
        </w:rPr>
        <w:t>.</w:t>
      </w:r>
    </w:p>
    <w:p w14:paraId="14DEEAAE" w14:textId="77777777" w:rsidR="00471302" w:rsidRDefault="00471302" w:rsidP="00471302">
      <w:pPr>
        <w:pStyle w:val="BodyText"/>
        <w:spacing w:after="0"/>
        <w:jc w:val="both"/>
        <w:rPr>
          <w:rFonts w:ascii="Arial" w:hAnsi="Arial" w:cs="Arial"/>
          <w:sz w:val="22"/>
          <w:szCs w:val="22"/>
        </w:rPr>
      </w:pPr>
      <w:r>
        <w:rPr>
          <w:rFonts w:ascii="Arial" w:hAnsi="Arial" w:cs="Arial"/>
          <w:sz w:val="22"/>
          <w:szCs w:val="22"/>
        </w:rPr>
        <w:t>NO ACCESS</w:t>
      </w:r>
    </w:p>
    <w:p w14:paraId="46DDD14E" w14:textId="77777777" w:rsidR="00471302" w:rsidRDefault="00471302" w:rsidP="00471302">
      <w:pPr>
        <w:pStyle w:val="BodyText"/>
        <w:spacing w:after="0"/>
        <w:jc w:val="both"/>
        <w:rPr>
          <w:rFonts w:ascii="Arial" w:hAnsi="Arial" w:cs="Arial"/>
          <w:sz w:val="22"/>
          <w:szCs w:val="22"/>
        </w:rPr>
      </w:pPr>
    </w:p>
    <w:p w14:paraId="46B36ABD" w14:textId="77777777" w:rsidR="00471302" w:rsidRDefault="00471302" w:rsidP="00471302">
      <w:pPr>
        <w:pStyle w:val="BodyText"/>
        <w:spacing w:after="0"/>
        <w:jc w:val="both"/>
        <w:rPr>
          <w:rFonts w:ascii="Arial" w:hAnsi="Arial" w:cs="Arial"/>
          <w:sz w:val="22"/>
          <w:szCs w:val="22"/>
        </w:rPr>
      </w:pPr>
      <w:r w:rsidRPr="00B361E2">
        <w:rPr>
          <w:rFonts w:ascii="Arial" w:hAnsi="Arial" w:cs="Arial"/>
          <w:sz w:val="22"/>
          <w:szCs w:val="22"/>
        </w:rPr>
        <w:t xml:space="preserve">El capítulo analiza los hábitos de consumo televisivo y la cantidad de violencia en la televisión estadounidense, revisando investigaciones que muestran que la </w:t>
      </w:r>
      <w:r w:rsidRPr="00B361E2">
        <w:rPr>
          <w:rFonts w:ascii="Arial" w:hAnsi="Arial" w:cs="Arial"/>
          <w:b/>
          <w:bCs/>
          <w:sz w:val="22"/>
          <w:szCs w:val="22"/>
        </w:rPr>
        <w:t>exposición a violencia en medios incrementa la conducta agresiva</w:t>
      </w:r>
      <w:r w:rsidRPr="00B361E2">
        <w:rPr>
          <w:rFonts w:ascii="Arial" w:hAnsi="Arial" w:cs="Arial"/>
          <w:sz w:val="22"/>
          <w:szCs w:val="22"/>
        </w:rPr>
        <w:t>, especialmente en niños. Explica los mecanismos teóricos implicados (aprendizaje de actitudes agresivas, desensibilización y miedo) y señala que los niños pequeños son más vulnerables debido a su menor desarrollo cognitivo. También describe características del contexto televisivo que pueden amplificar o reducir los efectos negativos y propone soluciones para mitigar el impacto dañino de la exposición a violencia en televisión.</w:t>
      </w:r>
    </w:p>
    <w:p w14:paraId="6C12A07C" w14:textId="77777777" w:rsidR="00471302" w:rsidRDefault="00471302" w:rsidP="00471302">
      <w:pPr>
        <w:pStyle w:val="BodyText"/>
        <w:spacing w:after="0"/>
        <w:jc w:val="both"/>
        <w:rPr>
          <w:rFonts w:ascii="Arial" w:hAnsi="Arial" w:cs="Arial"/>
          <w:sz w:val="22"/>
          <w:szCs w:val="22"/>
        </w:rPr>
      </w:pPr>
    </w:p>
    <w:p w14:paraId="21A3AE5C" w14:textId="77777777" w:rsidR="00471302" w:rsidRDefault="00471302" w:rsidP="00471302">
      <w:pPr>
        <w:pStyle w:val="BodyText"/>
        <w:spacing w:after="0"/>
        <w:jc w:val="both"/>
        <w:rPr>
          <w:rFonts w:ascii="Arial" w:hAnsi="Arial" w:cs="Arial"/>
          <w:sz w:val="22"/>
          <w:szCs w:val="22"/>
        </w:rPr>
      </w:pPr>
    </w:p>
    <w:p w14:paraId="1F64B5E6" w14:textId="77777777" w:rsidR="00471302" w:rsidRDefault="00471302" w:rsidP="00471302">
      <w:pPr>
        <w:pStyle w:val="BodyText"/>
        <w:spacing w:after="0"/>
        <w:jc w:val="both"/>
        <w:rPr>
          <w:rFonts w:ascii="Arial" w:hAnsi="Arial" w:cs="Arial"/>
          <w:sz w:val="22"/>
          <w:szCs w:val="22"/>
        </w:rPr>
      </w:pPr>
      <w:r w:rsidRPr="004F1095">
        <w:rPr>
          <w:rFonts w:ascii="Arial" w:hAnsi="Arial" w:cs="Arial"/>
          <w:sz w:val="22"/>
          <w:szCs w:val="22"/>
          <w:highlight w:val="yellow"/>
        </w:rPr>
        <w:t xml:space="preserve">Galán Jiménez, J. S. F., Calderón </w:t>
      </w:r>
      <w:proofErr w:type="spellStart"/>
      <w:r w:rsidRPr="004F1095">
        <w:rPr>
          <w:rFonts w:ascii="Arial" w:hAnsi="Arial" w:cs="Arial"/>
          <w:sz w:val="22"/>
          <w:szCs w:val="22"/>
          <w:highlight w:val="yellow"/>
        </w:rPr>
        <w:t>Mafud</w:t>
      </w:r>
      <w:proofErr w:type="spellEnd"/>
      <w:r w:rsidRPr="004F1095">
        <w:rPr>
          <w:rFonts w:ascii="Arial" w:hAnsi="Arial" w:cs="Arial"/>
          <w:sz w:val="22"/>
          <w:szCs w:val="22"/>
          <w:highlight w:val="yellow"/>
        </w:rPr>
        <w:t>, J. L., Sánchez-</w:t>
      </w:r>
      <w:proofErr w:type="spellStart"/>
      <w:r w:rsidRPr="004F1095">
        <w:rPr>
          <w:rFonts w:ascii="Arial" w:hAnsi="Arial" w:cs="Arial"/>
          <w:sz w:val="22"/>
          <w:szCs w:val="22"/>
          <w:highlight w:val="yellow"/>
        </w:rPr>
        <w:t>Armáss</w:t>
      </w:r>
      <w:proofErr w:type="spellEnd"/>
      <w:r w:rsidRPr="004F1095">
        <w:rPr>
          <w:rFonts w:ascii="Arial" w:hAnsi="Arial" w:cs="Arial"/>
          <w:sz w:val="22"/>
          <w:szCs w:val="22"/>
          <w:highlight w:val="yellow"/>
        </w:rPr>
        <w:t xml:space="preserve"> </w:t>
      </w:r>
      <w:proofErr w:type="spellStart"/>
      <w:r w:rsidRPr="004F1095">
        <w:rPr>
          <w:rFonts w:ascii="Arial" w:hAnsi="Arial" w:cs="Arial"/>
          <w:sz w:val="22"/>
          <w:szCs w:val="22"/>
          <w:highlight w:val="yellow"/>
        </w:rPr>
        <w:t>Cappello</w:t>
      </w:r>
      <w:proofErr w:type="spellEnd"/>
      <w:r w:rsidRPr="004F1095">
        <w:rPr>
          <w:rFonts w:ascii="Arial" w:hAnsi="Arial" w:cs="Arial"/>
          <w:sz w:val="22"/>
          <w:szCs w:val="22"/>
          <w:highlight w:val="yellow"/>
        </w:rPr>
        <w:t xml:space="preserve">, O., &amp; Guzmán </w:t>
      </w:r>
      <w:proofErr w:type="spellStart"/>
      <w:r w:rsidRPr="004F1095">
        <w:rPr>
          <w:rFonts w:ascii="Arial" w:hAnsi="Arial" w:cs="Arial"/>
          <w:sz w:val="22"/>
          <w:szCs w:val="22"/>
          <w:highlight w:val="yellow"/>
        </w:rPr>
        <w:t>Sescosse</w:t>
      </w:r>
      <w:proofErr w:type="spellEnd"/>
      <w:r w:rsidRPr="004F1095">
        <w:rPr>
          <w:rFonts w:ascii="Arial" w:hAnsi="Arial" w:cs="Arial"/>
          <w:sz w:val="22"/>
          <w:szCs w:val="22"/>
          <w:highlight w:val="yellow"/>
        </w:rPr>
        <w:t>, M. (2022). Exposición y desensibilización a la violencia en jóvenes mexicanos en distintos contextos sociales. </w:t>
      </w:r>
      <w:r w:rsidRPr="004F1095">
        <w:rPr>
          <w:rFonts w:ascii="Arial" w:hAnsi="Arial" w:cs="Arial"/>
          <w:i/>
          <w:iCs/>
          <w:sz w:val="22"/>
          <w:szCs w:val="22"/>
          <w:highlight w:val="yellow"/>
        </w:rPr>
        <w:t>Acta de investigación psicológica</w:t>
      </w:r>
      <w:r w:rsidRPr="004F1095">
        <w:rPr>
          <w:rFonts w:ascii="Arial" w:hAnsi="Arial" w:cs="Arial"/>
          <w:sz w:val="22"/>
          <w:szCs w:val="22"/>
          <w:highlight w:val="yellow"/>
        </w:rPr>
        <w:t>, </w:t>
      </w:r>
      <w:r w:rsidRPr="004F1095">
        <w:rPr>
          <w:rFonts w:ascii="Arial" w:hAnsi="Arial" w:cs="Arial"/>
          <w:i/>
          <w:iCs/>
          <w:sz w:val="22"/>
          <w:szCs w:val="22"/>
          <w:highlight w:val="yellow"/>
        </w:rPr>
        <w:t>12</w:t>
      </w:r>
      <w:r w:rsidRPr="004F1095">
        <w:rPr>
          <w:rFonts w:ascii="Arial" w:hAnsi="Arial" w:cs="Arial"/>
          <w:sz w:val="22"/>
          <w:szCs w:val="22"/>
          <w:highlight w:val="yellow"/>
        </w:rPr>
        <w:t>(3), 5-17.</w:t>
      </w:r>
    </w:p>
    <w:p w14:paraId="75A2EE0D" w14:textId="77777777" w:rsidR="00471302" w:rsidRDefault="00471302" w:rsidP="00471302">
      <w:pPr>
        <w:pStyle w:val="BodyText"/>
        <w:spacing w:after="0"/>
        <w:jc w:val="both"/>
        <w:rPr>
          <w:rFonts w:ascii="Arial" w:hAnsi="Arial" w:cs="Arial"/>
          <w:sz w:val="22"/>
          <w:szCs w:val="22"/>
        </w:rPr>
      </w:pPr>
      <w:hyperlink r:id="rId6" w:history="1">
        <w:r w:rsidRPr="009D689B">
          <w:rPr>
            <w:rStyle w:val="Hyperlink"/>
            <w:rFonts w:ascii="Arial" w:eastAsiaTheme="majorEastAsia" w:hAnsi="Arial" w:cs="Arial"/>
            <w:sz w:val="22"/>
            <w:szCs w:val="22"/>
          </w:rPr>
          <w:t>https://www.scielo.org.mx/scielo.php?pid=S2007-48322022000300005&amp;script=sci_arttext</w:t>
        </w:r>
      </w:hyperlink>
    </w:p>
    <w:p w14:paraId="06935D17" w14:textId="77777777" w:rsidR="00471302" w:rsidRDefault="00471302" w:rsidP="00471302">
      <w:pPr>
        <w:pStyle w:val="BodyText"/>
        <w:spacing w:after="0"/>
        <w:jc w:val="both"/>
        <w:rPr>
          <w:rFonts w:ascii="Arial" w:hAnsi="Arial" w:cs="Arial"/>
          <w:sz w:val="22"/>
          <w:szCs w:val="22"/>
        </w:rPr>
      </w:pPr>
    </w:p>
    <w:p w14:paraId="5E66F247" w14:textId="77777777" w:rsidR="00471302" w:rsidRDefault="00471302" w:rsidP="00471302">
      <w:pPr>
        <w:pStyle w:val="BodyText"/>
        <w:spacing w:after="0"/>
        <w:jc w:val="both"/>
        <w:rPr>
          <w:rFonts w:ascii="Arial" w:hAnsi="Arial" w:cs="Arial"/>
          <w:sz w:val="22"/>
          <w:szCs w:val="22"/>
        </w:rPr>
      </w:pPr>
      <w:r w:rsidRPr="001C3542">
        <w:rPr>
          <w:rFonts w:ascii="Arial" w:hAnsi="Arial" w:cs="Arial"/>
          <w:sz w:val="22"/>
          <w:szCs w:val="22"/>
        </w:rPr>
        <w:t xml:space="preserve">El objetivo fue conocer la exposición y desensibilización a la violencia en jóvenes de cinco contextos en distintas instituciones educativas y de readaptación social de la ciudad de San Luis Potosí. Método: se realizó un estudio analítico transversal comparativo de 25 instituciones de educación media superior, ubicados en Zonas Rurales (ZR), en Polígonos de Violencia (PV), Cercanas a Polígonos de Violencia (CPV), en Zonas Alejadas de los Polígonos de Violencia </w:t>
      </w:r>
      <w:r w:rsidRPr="001C3542">
        <w:rPr>
          <w:rFonts w:ascii="Arial" w:hAnsi="Arial" w:cs="Arial"/>
          <w:sz w:val="22"/>
          <w:szCs w:val="22"/>
        </w:rPr>
        <w:lastRenderedPageBreak/>
        <w:t>(ZAPV), y en un Centro de Internamiento Juvenil (CIJ) con un total de 1720 participantes; 851 (49.5 %) hombres y 869 (50.5%) mujeres. Resultados: Se encontraron medias significativamente más altas en desensibilización a la violencia en participantes del CIJ, seguidos por participantes de las ZAPV, y al final el ZR. Referente a la exposición a la violencia fue mayor en aquellos provenientes de las ZAPV después en jóvenes del CIJ y finalmente los de ZR. Conclusiones: La desensibilización a la violencia se presenta como consecuencia a la exposición de la violencia y las conductas que atentan contra la seguridad social. Finalmente, se encontró que las actividades artísticas y los padres unidos funcionan como factores de protección contra la desensibilización a la violencia.</w:t>
      </w:r>
    </w:p>
    <w:p w14:paraId="2E696D1A" w14:textId="77777777" w:rsidR="00471302" w:rsidRDefault="00471302" w:rsidP="00471302">
      <w:pPr>
        <w:pStyle w:val="BodyText"/>
        <w:spacing w:after="0"/>
        <w:jc w:val="both"/>
        <w:rPr>
          <w:rFonts w:ascii="Arial" w:hAnsi="Arial" w:cs="Arial"/>
          <w:sz w:val="22"/>
          <w:szCs w:val="22"/>
        </w:rPr>
      </w:pPr>
    </w:p>
    <w:p w14:paraId="1D8B5A16" w14:textId="77777777" w:rsidR="00471302" w:rsidRDefault="00471302" w:rsidP="00471302">
      <w:pPr>
        <w:pStyle w:val="BodyText"/>
        <w:spacing w:after="0"/>
        <w:jc w:val="both"/>
        <w:rPr>
          <w:rFonts w:ascii="Arial" w:hAnsi="Arial" w:cs="Arial"/>
          <w:sz w:val="22"/>
          <w:szCs w:val="22"/>
        </w:rPr>
      </w:pPr>
      <w:r w:rsidRPr="000B3ADC">
        <w:rPr>
          <w:rFonts w:ascii="Arial" w:hAnsi="Arial" w:cs="Arial"/>
          <w:sz w:val="22"/>
          <w:szCs w:val="22"/>
          <w:highlight w:val="yellow"/>
        </w:rPr>
        <w:t>Hernández, G. B., Noriega, J. Á. V., &amp; Zaragoza, M. R. (2012). Conducta antisocial, alienación y anomia en jóvenes infractores y jóvenes sin oportunidades. </w:t>
      </w:r>
      <w:r w:rsidRPr="000B3ADC">
        <w:rPr>
          <w:rFonts w:ascii="Arial" w:hAnsi="Arial" w:cs="Arial"/>
          <w:i/>
          <w:iCs/>
          <w:sz w:val="22"/>
          <w:szCs w:val="22"/>
          <w:highlight w:val="yellow"/>
        </w:rPr>
        <w:t>La psicología social en México</w:t>
      </w:r>
      <w:r w:rsidRPr="000B3ADC">
        <w:rPr>
          <w:rFonts w:ascii="Arial" w:hAnsi="Arial" w:cs="Arial"/>
          <w:sz w:val="22"/>
          <w:szCs w:val="22"/>
          <w:highlight w:val="yellow"/>
        </w:rPr>
        <w:t>, </w:t>
      </w:r>
      <w:r w:rsidRPr="000B3ADC">
        <w:rPr>
          <w:rFonts w:ascii="Arial" w:hAnsi="Arial" w:cs="Arial"/>
          <w:i/>
          <w:iCs/>
          <w:sz w:val="22"/>
          <w:szCs w:val="22"/>
          <w:highlight w:val="yellow"/>
        </w:rPr>
        <w:t>13</w:t>
      </w:r>
      <w:r w:rsidRPr="000B3ADC">
        <w:rPr>
          <w:rFonts w:ascii="Arial" w:hAnsi="Arial" w:cs="Arial"/>
          <w:sz w:val="22"/>
          <w:szCs w:val="22"/>
          <w:highlight w:val="yellow"/>
        </w:rPr>
        <w:t>, 129-134.</w:t>
      </w:r>
    </w:p>
    <w:p w14:paraId="060BB717" w14:textId="77777777" w:rsidR="00471302" w:rsidRDefault="00471302" w:rsidP="00471302">
      <w:pPr>
        <w:pStyle w:val="BodyText"/>
        <w:spacing w:after="0"/>
        <w:jc w:val="both"/>
        <w:rPr>
          <w:rFonts w:ascii="Arial" w:hAnsi="Arial" w:cs="Arial"/>
          <w:sz w:val="22"/>
          <w:szCs w:val="22"/>
        </w:rPr>
      </w:pPr>
      <w:r>
        <w:rPr>
          <w:rFonts w:ascii="Arial" w:hAnsi="Arial" w:cs="Arial"/>
          <w:sz w:val="22"/>
          <w:szCs w:val="22"/>
        </w:rPr>
        <w:t>DESCARGADO</w:t>
      </w:r>
    </w:p>
    <w:p w14:paraId="0A7BB092" w14:textId="77777777" w:rsidR="00471302" w:rsidRDefault="00471302" w:rsidP="00471302">
      <w:pPr>
        <w:pStyle w:val="BodyText"/>
        <w:spacing w:after="0"/>
        <w:jc w:val="both"/>
        <w:rPr>
          <w:rFonts w:ascii="Arial" w:hAnsi="Arial" w:cs="Arial"/>
          <w:sz w:val="22"/>
          <w:szCs w:val="22"/>
        </w:rPr>
      </w:pPr>
    </w:p>
    <w:p w14:paraId="463181E4" w14:textId="77777777" w:rsidR="00471302" w:rsidRDefault="00471302" w:rsidP="00471302">
      <w:pPr>
        <w:pStyle w:val="BodyText"/>
        <w:spacing w:after="0"/>
        <w:jc w:val="both"/>
        <w:rPr>
          <w:rFonts w:ascii="Arial" w:hAnsi="Arial" w:cs="Arial"/>
          <w:sz w:val="22"/>
          <w:szCs w:val="22"/>
        </w:rPr>
      </w:pPr>
      <w:r w:rsidRPr="003248DF">
        <w:rPr>
          <w:rFonts w:ascii="Arial" w:hAnsi="Arial" w:cs="Arial"/>
          <w:sz w:val="22"/>
          <w:szCs w:val="22"/>
        </w:rPr>
        <w:t>El estudio compara jóvenes infractores y jóvenes sin oportunidades en Sonora para medir conducta antisocial, alienación y anomia.</w:t>
      </w:r>
      <w:r w:rsidRPr="003248DF">
        <w:rPr>
          <w:rFonts w:ascii="Arial" w:hAnsi="Arial" w:cs="Arial"/>
          <w:sz w:val="22"/>
          <w:szCs w:val="22"/>
        </w:rPr>
        <w:br/>
        <w:t xml:space="preserve">Encuentra que </w:t>
      </w:r>
      <w:r w:rsidRPr="003248DF">
        <w:rPr>
          <w:rFonts w:ascii="Arial" w:hAnsi="Arial" w:cs="Arial"/>
          <w:b/>
          <w:bCs/>
          <w:sz w:val="22"/>
          <w:szCs w:val="22"/>
        </w:rPr>
        <w:t>los infractores tienen más conducta delictiva y mayor alienación</w:t>
      </w:r>
      <w:r w:rsidRPr="003248DF">
        <w:rPr>
          <w:rFonts w:ascii="Arial" w:hAnsi="Arial" w:cs="Arial"/>
          <w:sz w:val="22"/>
          <w:szCs w:val="22"/>
        </w:rPr>
        <w:t xml:space="preserve">, pero ambos grupos comparten </w:t>
      </w:r>
      <w:r w:rsidRPr="003248DF">
        <w:rPr>
          <w:rFonts w:ascii="Arial" w:hAnsi="Arial" w:cs="Arial"/>
          <w:b/>
          <w:bCs/>
          <w:sz w:val="22"/>
          <w:szCs w:val="22"/>
        </w:rPr>
        <w:t>desconfianza institucional y sensación de exclusión social</w:t>
      </w:r>
      <w:r w:rsidRPr="003248DF">
        <w:rPr>
          <w:rFonts w:ascii="Arial" w:hAnsi="Arial" w:cs="Arial"/>
          <w:sz w:val="22"/>
          <w:szCs w:val="22"/>
        </w:rPr>
        <w:t>, lo que los coloca en riesgo de reproducir ciclos de criminalidad.</w:t>
      </w:r>
      <w:r w:rsidRPr="003248DF">
        <w:rPr>
          <w:rFonts w:ascii="Arial" w:hAnsi="Arial" w:cs="Arial"/>
          <w:sz w:val="22"/>
          <w:szCs w:val="22"/>
        </w:rPr>
        <w:br/>
        <w:t xml:space="preserve">Se concluye que se necesitan políticas de </w:t>
      </w:r>
      <w:r w:rsidRPr="003248DF">
        <w:rPr>
          <w:rFonts w:ascii="Arial" w:hAnsi="Arial" w:cs="Arial"/>
          <w:b/>
          <w:bCs/>
          <w:sz w:val="22"/>
          <w:szCs w:val="22"/>
        </w:rPr>
        <w:t>integración social y fortalecimiento institucional</w:t>
      </w:r>
      <w:r w:rsidRPr="003248DF">
        <w:rPr>
          <w:rFonts w:ascii="Arial" w:hAnsi="Arial" w:cs="Arial"/>
          <w:sz w:val="22"/>
          <w:szCs w:val="22"/>
        </w:rPr>
        <w:t xml:space="preserve"> para prevenir que la marginación derive en delito</w:t>
      </w:r>
    </w:p>
    <w:p w14:paraId="7450F226" w14:textId="77777777" w:rsidR="00471302" w:rsidRDefault="00471302" w:rsidP="00471302">
      <w:pPr>
        <w:pStyle w:val="BodyText"/>
        <w:spacing w:after="0"/>
        <w:jc w:val="both"/>
        <w:rPr>
          <w:rFonts w:ascii="Arial" w:hAnsi="Arial" w:cs="Arial"/>
          <w:sz w:val="22"/>
          <w:szCs w:val="22"/>
          <w:lang w:val="es-MX"/>
        </w:rPr>
      </w:pPr>
    </w:p>
    <w:p w14:paraId="60669257" w14:textId="77777777" w:rsidR="00471302" w:rsidRDefault="00471302" w:rsidP="00471302">
      <w:pPr>
        <w:pStyle w:val="BodyText"/>
        <w:spacing w:after="0"/>
        <w:jc w:val="both"/>
        <w:rPr>
          <w:rFonts w:ascii="Arial" w:hAnsi="Arial" w:cs="Arial"/>
          <w:sz w:val="22"/>
          <w:szCs w:val="22"/>
          <w:lang w:val="es-MX"/>
        </w:rPr>
      </w:pPr>
    </w:p>
    <w:p w14:paraId="5A08FB15" w14:textId="77777777" w:rsidR="00471302" w:rsidRDefault="00471302" w:rsidP="00471302">
      <w:pPr>
        <w:pStyle w:val="BodyText"/>
        <w:spacing w:after="0"/>
        <w:jc w:val="both"/>
        <w:rPr>
          <w:rFonts w:ascii="Arial" w:hAnsi="Arial" w:cs="Arial"/>
          <w:sz w:val="22"/>
          <w:szCs w:val="22"/>
        </w:rPr>
      </w:pPr>
      <w:r w:rsidRPr="002E6E53">
        <w:rPr>
          <w:rFonts w:ascii="Arial" w:hAnsi="Arial" w:cs="Arial"/>
          <w:sz w:val="22"/>
          <w:szCs w:val="22"/>
          <w:highlight w:val="yellow"/>
        </w:rPr>
        <w:t xml:space="preserve">CRUZ, D. A. H. 529 La </w:t>
      </w:r>
      <w:proofErr w:type="spellStart"/>
      <w:r w:rsidRPr="002E6E53">
        <w:rPr>
          <w:rFonts w:ascii="Arial" w:hAnsi="Arial" w:cs="Arial"/>
          <w:sz w:val="22"/>
          <w:szCs w:val="22"/>
          <w:highlight w:val="yellow"/>
        </w:rPr>
        <w:t>narcocultura</w:t>
      </w:r>
      <w:proofErr w:type="spellEnd"/>
      <w:r w:rsidRPr="002E6E53">
        <w:rPr>
          <w:rFonts w:ascii="Arial" w:hAnsi="Arial" w:cs="Arial"/>
          <w:sz w:val="22"/>
          <w:szCs w:val="22"/>
          <w:highlight w:val="yellow"/>
        </w:rPr>
        <w:t xml:space="preserve"> como patrón de dominación ideológica en los jóvenes mexicanos. </w:t>
      </w:r>
      <w:r w:rsidRPr="002E6E53">
        <w:rPr>
          <w:rFonts w:ascii="Arial" w:hAnsi="Arial" w:cs="Arial"/>
          <w:i/>
          <w:iCs/>
          <w:sz w:val="22"/>
          <w:szCs w:val="22"/>
          <w:highlight w:val="yellow"/>
        </w:rPr>
        <w:t>América Latina y el Caribe atraviesan, en los últimos años, una situación dinámica en la que se generan cambios importantes en algunas áreas, con notables persistencias en otras. A su vez, se registran diversas situaciones entre países y regiones, determinadas por la profundidad con la que se han asumido las transformaciones sociales y políticas, necesarias en cada caso. Si bien, la mayoría de los índices sociales han mejorado en la región, las desigualdades sociales persisten</w:t>
      </w:r>
      <w:r w:rsidRPr="002E6E53">
        <w:rPr>
          <w:rFonts w:ascii="Arial" w:hAnsi="Arial" w:cs="Arial"/>
          <w:sz w:val="22"/>
          <w:szCs w:val="22"/>
          <w:highlight w:val="yellow"/>
        </w:rPr>
        <w:t>.</w:t>
      </w:r>
    </w:p>
    <w:p w14:paraId="2595288D" w14:textId="77777777" w:rsidR="00471302" w:rsidRDefault="00471302" w:rsidP="00471302">
      <w:pPr>
        <w:pStyle w:val="BodyText"/>
        <w:spacing w:after="0"/>
        <w:jc w:val="both"/>
        <w:rPr>
          <w:rFonts w:ascii="Arial" w:hAnsi="Arial" w:cs="Arial"/>
          <w:sz w:val="22"/>
          <w:szCs w:val="22"/>
        </w:rPr>
      </w:pPr>
      <w:r w:rsidRPr="00890A3A">
        <w:rPr>
          <w:rFonts w:ascii="Arial" w:hAnsi="Arial" w:cs="Arial"/>
          <w:sz w:val="22"/>
          <w:szCs w:val="22"/>
        </w:rPr>
        <w:t xml:space="preserve">https://bienal-clacso-redinju-umz.cinde.org.co/IIBienal/memorias/Eje%202_.pdf#page=23 </w:t>
      </w:r>
      <w:r>
        <w:rPr>
          <w:rFonts w:ascii="Arial" w:hAnsi="Arial" w:cs="Arial"/>
          <w:sz w:val="22"/>
          <w:szCs w:val="22"/>
        </w:rPr>
        <w:t xml:space="preserve">  PAG 23</w:t>
      </w:r>
    </w:p>
    <w:p w14:paraId="66416D7B" w14:textId="77777777" w:rsidR="00471302" w:rsidRDefault="00471302" w:rsidP="00471302">
      <w:pPr>
        <w:pStyle w:val="BodyText"/>
        <w:spacing w:after="0"/>
        <w:jc w:val="both"/>
        <w:rPr>
          <w:rFonts w:ascii="Arial" w:hAnsi="Arial" w:cs="Arial"/>
          <w:sz w:val="22"/>
          <w:szCs w:val="22"/>
        </w:rPr>
      </w:pPr>
    </w:p>
    <w:p w14:paraId="7711F3BA" w14:textId="77777777" w:rsidR="00471302" w:rsidRDefault="00471302" w:rsidP="00471302">
      <w:pPr>
        <w:pStyle w:val="BodyText"/>
        <w:spacing w:after="0"/>
        <w:jc w:val="both"/>
        <w:rPr>
          <w:rFonts w:ascii="Arial" w:hAnsi="Arial" w:cs="Arial"/>
          <w:sz w:val="22"/>
          <w:szCs w:val="22"/>
        </w:rPr>
      </w:pPr>
    </w:p>
    <w:p w14:paraId="06C023EE" w14:textId="77777777" w:rsidR="00471302" w:rsidRPr="000D60FD" w:rsidRDefault="00471302" w:rsidP="00471302">
      <w:pPr>
        <w:pStyle w:val="BodyText"/>
        <w:spacing w:after="0"/>
        <w:jc w:val="both"/>
        <w:rPr>
          <w:rFonts w:ascii="Arial" w:hAnsi="Arial" w:cs="Arial"/>
          <w:sz w:val="22"/>
          <w:szCs w:val="22"/>
          <w:lang w:val="en-US"/>
        </w:rPr>
      </w:pPr>
      <w:r w:rsidRPr="00621B54">
        <w:rPr>
          <w:rFonts w:ascii="Arial" w:hAnsi="Arial" w:cs="Arial"/>
          <w:sz w:val="22"/>
          <w:szCs w:val="22"/>
          <w:highlight w:val="yellow"/>
          <w:lang w:val="en-US"/>
        </w:rPr>
        <w:t>Gamlin, J. B., &amp; Hawkes, S. J. (2018). Masculinities on the continuum of structural violence: the case of Mexico’s homicide epidemic. </w:t>
      </w:r>
      <w:r w:rsidRPr="000D60FD">
        <w:rPr>
          <w:rFonts w:ascii="Arial" w:hAnsi="Arial" w:cs="Arial"/>
          <w:i/>
          <w:iCs/>
          <w:sz w:val="22"/>
          <w:szCs w:val="22"/>
          <w:highlight w:val="yellow"/>
          <w:lang w:val="en-US"/>
        </w:rPr>
        <w:t>Social Politics: International Studies in Gender, State &amp; Society</w:t>
      </w:r>
      <w:r w:rsidRPr="000D60FD">
        <w:rPr>
          <w:rFonts w:ascii="Arial" w:hAnsi="Arial" w:cs="Arial"/>
          <w:sz w:val="22"/>
          <w:szCs w:val="22"/>
          <w:highlight w:val="yellow"/>
          <w:lang w:val="en-US"/>
        </w:rPr>
        <w:t>, </w:t>
      </w:r>
      <w:r w:rsidRPr="000D60FD">
        <w:rPr>
          <w:rFonts w:ascii="Arial" w:hAnsi="Arial" w:cs="Arial"/>
          <w:i/>
          <w:iCs/>
          <w:sz w:val="22"/>
          <w:szCs w:val="22"/>
          <w:highlight w:val="yellow"/>
          <w:lang w:val="en-US"/>
        </w:rPr>
        <w:t>25</w:t>
      </w:r>
      <w:r w:rsidRPr="000D60FD">
        <w:rPr>
          <w:rFonts w:ascii="Arial" w:hAnsi="Arial" w:cs="Arial"/>
          <w:sz w:val="22"/>
          <w:szCs w:val="22"/>
          <w:highlight w:val="yellow"/>
          <w:lang w:val="en-US"/>
        </w:rPr>
        <w:t>(1), 50-71.</w:t>
      </w:r>
    </w:p>
    <w:p w14:paraId="142F1098" w14:textId="77777777" w:rsidR="00471302" w:rsidRPr="000D60FD" w:rsidRDefault="00471302" w:rsidP="00471302">
      <w:pPr>
        <w:pStyle w:val="BodyText"/>
        <w:spacing w:after="0"/>
        <w:jc w:val="both"/>
        <w:rPr>
          <w:rFonts w:ascii="Arial" w:hAnsi="Arial" w:cs="Arial"/>
          <w:sz w:val="22"/>
          <w:szCs w:val="22"/>
          <w:lang w:val="en-US"/>
        </w:rPr>
      </w:pPr>
      <w:r w:rsidRPr="000D60FD">
        <w:rPr>
          <w:rFonts w:ascii="Arial" w:hAnsi="Arial" w:cs="Arial"/>
          <w:sz w:val="22"/>
          <w:szCs w:val="22"/>
          <w:lang w:val="en-US"/>
        </w:rPr>
        <w:t>DECSRGADO</w:t>
      </w:r>
    </w:p>
    <w:p w14:paraId="6C9C545C" w14:textId="77777777" w:rsidR="00471302" w:rsidRDefault="00471302" w:rsidP="00471302">
      <w:pPr>
        <w:pStyle w:val="BodyText"/>
        <w:spacing w:after="0"/>
        <w:jc w:val="both"/>
        <w:rPr>
          <w:rFonts w:ascii="Arial" w:hAnsi="Arial" w:cs="Arial"/>
          <w:sz w:val="22"/>
          <w:szCs w:val="22"/>
          <w:lang w:val="en-US"/>
        </w:rPr>
      </w:pPr>
      <w:r w:rsidRPr="00747AE3">
        <w:rPr>
          <w:rFonts w:ascii="Arial" w:hAnsi="Arial" w:cs="Arial"/>
          <w:sz w:val="22"/>
          <w:szCs w:val="22"/>
          <w:lang w:val="en-US"/>
        </w:rPr>
        <w:t>Through the theoretical lens of a “violence continuum” we explore how, in many of the most marginalized areas of Mexico, global and regional historical and contemporary structures have shaped and constrained men’s ability to achieve the hegemonic masculinity of neoliberal Mexico. An analysis of statistics and local research studies on male homicide is used to understand how impoverishment and extreme inequality can undermine men’s capacity to access a dignified standard of living and exercise their masculinity, in the process of which many draw on interpersonal violence as a resource for respect and manhood.</w:t>
      </w:r>
    </w:p>
    <w:p w14:paraId="445D2FA7" w14:textId="77777777" w:rsidR="00471302" w:rsidRDefault="00471302" w:rsidP="00471302">
      <w:pPr>
        <w:pStyle w:val="BodyText"/>
        <w:spacing w:after="0"/>
        <w:jc w:val="both"/>
        <w:rPr>
          <w:rFonts w:ascii="Arial" w:hAnsi="Arial" w:cs="Arial"/>
          <w:sz w:val="22"/>
          <w:szCs w:val="22"/>
          <w:lang w:val="en-US"/>
        </w:rPr>
      </w:pPr>
    </w:p>
    <w:p w14:paraId="45F9F89A" w14:textId="77777777" w:rsidR="00471302" w:rsidRPr="005029BB" w:rsidRDefault="00471302" w:rsidP="00471302">
      <w:pPr>
        <w:pStyle w:val="BodyText"/>
        <w:spacing w:after="0"/>
        <w:jc w:val="both"/>
        <w:rPr>
          <w:rFonts w:ascii="Arial" w:hAnsi="Arial" w:cs="Arial"/>
          <w:sz w:val="22"/>
          <w:szCs w:val="22"/>
          <w:lang w:val="en-US"/>
        </w:rPr>
      </w:pPr>
      <w:r w:rsidRPr="00EB197F">
        <w:rPr>
          <w:rFonts w:ascii="Arial" w:hAnsi="Arial" w:cs="Arial"/>
          <w:sz w:val="22"/>
          <w:szCs w:val="22"/>
          <w:highlight w:val="yellow"/>
          <w:lang w:val="en-US"/>
        </w:rPr>
        <w:t>Teichman, J. (2012). Violent conflict and unequal development: The case of Mexico. In </w:t>
      </w:r>
      <w:r w:rsidRPr="00EB197F">
        <w:rPr>
          <w:rFonts w:ascii="Arial" w:hAnsi="Arial" w:cs="Arial"/>
          <w:i/>
          <w:iCs/>
          <w:sz w:val="22"/>
          <w:szCs w:val="22"/>
          <w:highlight w:val="yellow"/>
          <w:lang w:val="en-US"/>
        </w:rPr>
        <w:t>Economic development strategies and the evolution of violence in Latin America</w:t>
      </w:r>
      <w:r w:rsidRPr="00EB197F">
        <w:rPr>
          <w:rFonts w:ascii="Arial" w:hAnsi="Arial" w:cs="Arial"/>
          <w:sz w:val="22"/>
          <w:szCs w:val="22"/>
          <w:highlight w:val="yellow"/>
          <w:lang w:val="en-US"/>
        </w:rPr>
        <w:t xml:space="preserve"> (pp. 41-69). </w:t>
      </w:r>
      <w:r w:rsidRPr="005029BB">
        <w:rPr>
          <w:rFonts w:ascii="Arial" w:hAnsi="Arial" w:cs="Arial"/>
          <w:sz w:val="22"/>
          <w:szCs w:val="22"/>
          <w:highlight w:val="yellow"/>
          <w:lang w:val="en-US"/>
        </w:rPr>
        <w:t>New York: Palgrave Macmillan US.</w:t>
      </w:r>
    </w:p>
    <w:p w14:paraId="21C30B1B" w14:textId="77777777" w:rsidR="00471302" w:rsidRPr="005029BB" w:rsidRDefault="00471302" w:rsidP="00471302">
      <w:pPr>
        <w:pStyle w:val="BodyText"/>
        <w:spacing w:after="0"/>
        <w:jc w:val="both"/>
        <w:rPr>
          <w:rFonts w:ascii="Arial" w:hAnsi="Arial" w:cs="Arial"/>
          <w:sz w:val="22"/>
          <w:szCs w:val="22"/>
          <w:lang w:val="en-US"/>
        </w:rPr>
      </w:pPr>
      <w:r w:rsidRPr="005029BB">
        <w:rPr>
          <w:rFonts w:ascii="Arial" w:hAnsi="Arial" w:cs="Arial"/>
          <w:sz w:val="22"/>
          <w:szCs w:val="22"/>
          <w:lang w:val="en-US"/>
        </w:rPr>
        <w:t>NO ACCESS</w:t>
      </w:r>
    </w:p>
    <w:p w14:paraId="528DD882" w14:textId="77777777" w:rsidR="00471302" w:rsidRPr="005029BB" w:rsidRDefault="00471302" w:rsidP="00471302">
      <w:pPr>
        <w:pStyle w:val="BodyText"/>
        <w:spacing w:after="0"/>
        <w:jc w:val="both"/>
        <w:rPr>
          <w:rFonts w:ascii="Arial" w:hAnsi="Arial" w:cs="Arial"/>
          <w:sz w:val="22"/>
          <w:szCs w:val="22"/>
          <w:lang w:val="en-US"/>
        </w:rPr>
      </w:pPr>
    </w:p>
    <w:p w14:paraId="26B7DAEE" w14:textId="77777777" w:rsidR="00471302" w:rsidRDefault="00471302" w:rsidP="00471302">
      <w:pPr>
        <w:pStyle w:val="BodyText"/>
        <w:spacing w:after="0"/>
        <w:jc w:val="both"/>
        <w:rPr>
          <w:rFonts w:ascii="Arial" w:hAnsi="Arial" w:cs="Arial"/>
          <w:sz w:val="22"/>
          <w:szCs w:val="22"/>
          <w:lang w:val="en-US"/>
        </w:rPr>
      </w:pPr>
      <w:r w:rsidRPr="004C2C0A">
        <w:rPr>
          <w:rFonts w:ascii="Arial" w:hAnsi="Arial" w:cs="Arial"/>
          <w:sz w:val="22"/>
          <w:szCs w:val="22"/>
          <w:lang w:val="en-US"/>
        </w:rPr>
        <w:t xml:space="preserve">In the last 15 years, Mexico has experienced high levels of both political and criminal violence. While the Zapatistas are the most well-known insurgent group in southern Mexico, by the twenty-first century various sources were reporting guerrilla activities in </w:t>
      </w:r>
      <w:proofErr w:type="gramStart"/>
      <w:r w:rsidRPr="004C2C0A">
        <w:rPr>
          <w:rFonts w:ascii="Arial" w:hAnsi="Arial" w:cs="Arial"/>
          <w:sz w:val="22"/>
          <w:szCs w:val="22"/>
          <w:lang w:val="en-US"/>
        </w:rPr>
        <w:t>the majority of</w:t>
      </w:r>
      <w:proofErr w:type="gramEnd"/>
      <w:r w:rsidRPr="004C2C0A">
        <w:rPr>
          <w:rFonts w:ascii="Arial" w:hAnsi="Arial" w:cs="Arial"/>
          <w:sz w:val="22"/>
          <w:szCs w:val="22"/>
          <w:lang w:val="en-US"/>
        </w:rPr>
        <w:t xml:space="preserve"> states and in the Federal District.</w:t>
      </w:r>
      <w:r w:rsidRPr="004C2C0A">
        <w:rPr>
          <w:rFonts w:ascii="Arial" w:hAnsi="Arial" w:cs="Arial"/>
          <w:sz w:val="22"/>
          <w:szCs w:val="22"/>
          <w:vertAlign w:val="superscript"/>
          <w:lang w:val="en-US"/>
        </w:rPr>
        <w:t>1</w:t>
      </w:r>
      <w:r w:rsidRPr="004C2C0A">
        <w:rPr>
          <w:rFonts w:ascii="Arial" w:hAnsi="Arial" w:cs="Arial"/>
          <w:sz w:val="22"/>
          <w:szCs w:val="22"/>
          <w:lang w:val="en-US"/>
        </w:rPr>
        <w:t xml:space="preserve"> In addition, drug trafficking and drug violence have expanded throughout the country. These problems have long historical roots and spring from a variety of interrelated social, political, and economic factors. This chapter will focus on the country’s development trajectory from the mid-nineteenth century to the early twenty-first century and will make the case that even when the Mexican economy was growing and social peace appeared to </w:t>
      </w:r>
      <w:proofErr w:type="gramStart"/>
      <w:r w:rsidRPr="004C2C0A">
        <w:rPr>
          <w:rFonts w:ascii="Arial" w:hAnsi="Arial" w:cs="Arial"/>
          <w:sz w:val="22"/>
          <w:szCs w:val="22"/>
          <w:lang w:val="en-US"/>
        </w:rPr>
        <w:t>prevail,</w:t>
      </w:r>
      <w:proofErr w:type="gramEnd"/>
      <w:r w:rsidRPr="004C2C0A">
        <w:rPr>
          <w:rFonts w:ascii="Arial" w:hAnsi="Arial" w:cs="Arial"/>
          <w:sz w:val="22"/>
          <w:szCs w:val="22"/>
          <w:lang w:val="en-US"/>
        </w:rPr>
        <w:t xml:space="preserve"> inequality and exclusion persisted. I will further argue that the failure to mitigate these negative aspects of the country’s development trajectory has contributed to the current high levels of criminal and political violence. However, poverty and inequality, by themselves, did not produce political violence in Mexico; a key ingredient was a particular kind of state response to societal grievances: one that combined encouraging promises with minimal real concessions, supplemented by brutal repression of those reaping the least from economic policies. Politicizing agents, who contributed to the collective awareness of grievances, also played a crucial role</w:t>
      </w:r>
    </w:p>
    <w:p w14:paraId="76569EEB" w14:textId="77777777" w:rsidR="00471302" w:rsidRDefault="00471302" w:rsidP="00471302">
      <w:pPr>
        <w:pStyle w:val="BodyText"/>
        <w:spacing w:after="0"/>
        <w:jc w:val="both"/>
        <w:rPr>
          <w:rFonts w:ascii="Arial" w:hAnsi="Arial" w:cs="Arial"/>
          <w:sz w:val="22"/>
          <w:szCs w:val="22"/>
          <w:lang w:val="en-US"/>
        </w:rPr>
      </w:pPr>
    </w:p>
    <w:p w14:paraId="741BA1FE" w14:textId="77777777" w:rsidR="00471302" w:rsidRDefault="00471302" w:rsidP="00471302">
      <w:pPr>
        <w:pStyle w:val="BodyText"/>
        <w:spacing w:after="0"/>
        <w:jc w:val="both"/>
        <w:rPr>
          <w:rFonts w:ascii="Arial" w:hAnsi="Arial" w:cs="Arial"/>
          <w:sz w:val="22"/>
          <w:szCs w:val="22"/>
        </w:rPr>
      </w:pPr>
      <w:r w:rsidRPr="00227305">
        <w:rPr>
          <w:rFonts w:ascii="Arial" w:hAnsi="Arial" w:cs="Arial"/>
          <w:sz w:val="22"/>
          <w:szCs w:val="22"/>
          <w:highlight w:val="yellow"/>
        </w:rPr>
        <w:t>Navarro, A. G. A., &amp; Vázquez, E. G. L. (2022). Análisis del sistema penitenciario mexicano y los retos de la reinserción social. </w:t>
      </w:r>
      <w:r w:rsidRPr="00227305">
        <w:rPr>
          <w:rFonts w:ascii="Arial" w:hAnsi="Arial" w:cs="Arial"/>
          <w:i/>
          <w:iCs/>
          <w:sz w:val="22"/>
          <w:szCs w:val="22"/>
          <w:highlight w:val="yellow"/>
        </w:rPr>
        <w:t>Archivos de criminología, seguridad privada y criminalística</w:t>
      </w:r>
      <w:r w:rsidRPr="00227305">
        <w:rPr>
          <w:rFonts w:ascii="Arial" w:hAnsi="Arial" w:cs="Arial"/>
          <w:sz w:val="22"/>
          <w:szCs w:val="22"/>
          <w:highlight w:val="yellow"/>
        </w:rPr>
        <w:t>, (29), 75-86.</w:t>
      </w:r>
    </w:p>
    <w:p w14:paraId="63227A71" w14:textId="77777777" w:rsidR="00471302" w:rsidRDefault="00471302" w:rsidP="00471302">
      <w:pPr>
        <w:pStyle w:val="BodyText"/>
        <w:spacing w:after="0"/>
        <w:jc w:val="both"/>
        <w:rPr>
          <w:rFonts w:ascii="Arial" w:hAnsi="Arial" w:cs="Arial"/>
          <w:sz w:val="22"/>
          <w:szCs w:val="22"/>
        </w:rPr>
      </w:pPr>
      <w:r>
        <w:rPr>
          <w:rFonts w:ascii="Arial" w:hAnsi="Arial" w:cs="Arial"/>
          <w:sz w:val="22"/>
          <w:szCs w:val="22"/>
        </w:rPr>
        <w:t>DESCARGADO</w:t>
      </w:r>
    </w:p>
    <w:p w14:paraId="3CC033EB" w14:textId="77777777" w:rsidR="00471302" w:rsidRDefault="00471302" w:rsidP="00471302">
      <w:pPr>
        <w:pStyle w:val="BodyText"/>
        <w:spacing w:after="0"/>
        <w:jc w:val="both"/>
        <w:rPr>
          <w:rFonts w:ascii="Arial" w:hAnsi="Arial" w:cs="Arial"/>
          <w:sz w:val="22"/>
          <w:szCs w:val="22"/>
        </w:rPr>
      </w:pPr>
    </w:p>
    <w:p w14:paraId="3494834E" w14:textId="77777777" w:rsidR="00471302" w:rsidRDefault="00471302" w:rsidP="00471302">
      <w:pPr>
        <w:pStyle w:val="BodyText"/>
        <w:spacing w:after="0"/>
        <w:jc w:val="both"/>
        <w:rPr>
          <w:rFonts w:ascii="Arial" w:hAnsi="Arial" w:cs="Arial"/>
          <w:sz w:val="22"/>
          <w:szCs w:val="22"/>
        </w:rPr>
      </w:pPr>
      <w:r w:rsidRPr="00E77CEE">
        <w:rPr>
          <w:rFonts w:ascii="Arial" w:hAnsi="Arial" w:cs="Arial"/>
          <w:sz w:val="22"/>
          <w:szCs w:val="22"/>
        </w:rPr>
        <w:t>El objetivo del presente tema de investigación se enfoca en analizar los problemas por los que está pasando el sistema penitenciario mexicano, para finalizar con una reflexión final de los detallado en este artículo, además, se analizará en qué consiste el tratamiento penitenciario y se abordará el tema de la reincidencia delictiva y sus posibles causas. El tipo de investigación que se llevó a cabo para este artículo es de tipo mixto, de forma que utilizo el método cualitativo Y cuantitativo, debido a que se realizó un análisis y explico el comportamiento de las personas que participan en actividades ilícitas y que continuamente se ingresan a los centros de reinserción social, obteniendo como resultado emitidos por medio del INEGI que en el año 2019, 112 811 personas ingresaron a un centro penitenciario mientras que 102 799 personas egresaron detonando más ingresos que egresos.</w:t>
      </w:r>
    </w:p>
    <w:p w14:paraId="407E255F" w14:textId="77777777" w:rsidR="00471302" w:rsidRDefault="00471302" w:rsidP="00471302">
      <w:pPr>
        <w:pStyle w:val="BodyText"/>
        <w:spacing w:after="0"/>
        <w:jc w:val="both"/>
        <w:rPr>
          <w:rFonts w:ascii="Arial" w:hAnsi="Arial" w:cs="Arial"/>
          <w:sz w:val="22"/>
          <w:szCs w:val="22"/>
        </w:rPr>
      </w:pPr>
    </w:p>
    <w:p w14:paraId="426C85C7" w14:textId="77777777" w:rsidR="00471302" w:rsidRDefault="00471302" w:rsidP="00471302">
      <w:pPr>
        <w:pStyle w:val="BodyText"/>
        <w:spacing w:after="0"/>
        <w:jc w:val="both"/>
        <w:rPr>
          <w:rFonts w:ascii="Arial" w:hAnsi="Arial" w:cs="Arial"/>
          <w:sz w:val="22"/>
          <w:szCs w:val="22"/>
        </w:rPr>
      </w:pPr>
      <w:r w:rsidRPr="0086008E">
        <w:rPr>
          <w:rFonts w:ascii="Arial" w:hAnsi="Arial" w:cs="Arial"/>
          <w:sz w:val="22"/>
          <w:szCs w:val="22"/>
          <w:highlight w:val="yellow"/>
        </w:rPr>
        <w:t xml:space="preserve">Tenorio Colón, K. N. (2022, mayo). </w:t>
      </w:r>
      <w:r w:rsidRPr="0086008E">
        <w:rPr>
          <w:rFonts w:ascii="Arial" w:hAnsi="Arial" w:cs="Arial"/>
          <w:i/>
          <w:iCs/>
          <w:sz w:val="22"/>
          <w:szCs w:val="22"/>
          <w:highlight w:val="yellow"/>
        </w:rPr>
        <w:t>Evolución del secuestro en México (2017-2021)</w:t>
      </w:r>
      <w:r w:rsidRPr="0086008E">
        <w:rPr>
          <w:rFonts w:ascii="Arial" w:hAnsi="Arial" w:cs="Arial"/>
          <w:sz w:val="22"/>
          <w:szCs w:val="22"/>
          <w:highlight w:val="yellow"/>
        </w:rPr>
        <w:t xml:space="preserve"> [Carpeta informativa No. 195]. Dirección General de Finanzas, Cámara de Diputados LXV Legislatura.</w:t>
      </w:r>
    </w:p>
    <w:p w14:paraId="5854FC15" w14:textId="77777777" w:rsidR="00471302" w:rsidRDefault="00471302" w:rsidP="00471302">
      <w:pPr>
        <w:pStyle w:val="BodyText"/>
        <w:spacing w:after="0"/>
        <w:jc w:val="both"/>
        <w:rPr>
          <w:rFonts w:ascii="Arial" w:hAnsi="Arial" w:cs="Arial"/>
          <w:sz w:val="22"/>
          <w:szCs w:val="22"/>
        </w:rPr>
      </w:pPr>
      <w:r>
        <w:rPr>
          <w:rFonts w:ascii="Arial" w:hAnsi="Arial" w:cs="Arial"/>
          <w:sz w:val="22"/>
          <w:szCs w:val="22"/>
        </w:rPr>
        <w:t>DESCXARGADO</w:t>
      </w:r>
    </w:p>
    <w:p w14:paraId="4B91A448" w14:textId="77777777" w:rsidR="00167C94" w:rsidRPr="0024577B" w:rsidRDefault="00167C94">
      <w:pPr>
        <w:rPr>
          <w:lang w:val="es-MX"/>
        </w:rPr>
      </w:pPr>
    </w:p>
    <w:sectPr w:rsidR="00167C94" w:rsidRPr="0024577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77B"/>
    <w:rsid w:val="00156E9F"/>
    <w:rsid w:val="00167C94"/>
    <w:rsid w:val="0024577B"/>
    <w:rsid w:val="00411752"/>
    <w:rsid w:val="00466EFE"/>
    <w:rsid w:val="00471302"/>
    <w:rsid w:val="005275E6"/>
    <w:rsid w:val="0072590F"/>
    <w:rsid w:val="007D2410"/>
    <w:rsid w:val="007E6751"/>
    <w:rsid w:val="00AF1950"/>
    <w:rsid w:val="00DD5F31"/>
    <w:rsid w:val="00EE6E10"/>
    <w:rsid w:val="00F13B95"/>
  </w:rsids>
  <m:mathPr>
    <m:mathFont m:val="Cambria Math"/>
    <m:brkBin m:val="before"/>
    <m:brkBinSub m:val="--"/>
    <m:smallFrac m:val="0"/>
    <m:dispDef/>
    <m:lMargin m:val="0"/>
    <m:rMargin m:val="0"/>
    <m:defJc m:val="centerGroup"/>
    <m:wrapIndent m:val="1440"/>
    <m:intLim m:val="subSup"/>
    <m:naryLim m:val="undOvr"/>
  </m:mathPr>
  <w:themeFontLang w:val="en-MX"/>
  <w:clrSchemeMapping w:bg1="light1" w:t1="dark1" w:bg2="light2" w:t2="dark2" w:accent1="accent1" w:accent2="accent2" w:accent3="accent3" w:accent4="accent4" w:accent5="accent5" w:accent6="accent6" w:hyperlink="hyperlink" w:followedHyperlink="followedHyperlink"/>
  <w:decimalSymbol w:val="."/>
  <w:listSeparator w:val=","/>
  <w14:docId w14:val="2B7501EF"/>
  <w15:chartTrackingRefBased/>
  <w15:docId w15:val="{DBB115FD-91C4-5A45-B345-6DB1615E3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577B"/>
    <w:pPr>
      <w:spacing w:line="259" w:lineRule="auto"/>
    </w:pPr>
    <w:rPr>
      <w:kern w:val="0"/>
      <w:sz w:val="22"/>
      <w:szCs w:val="22"/>
      <w:lang w:val="es-ES" w:bidi="he-IL"/>
      <w14:ligatures w14:val="none"/>
    </w:rPr>
  </w:style>
  <w:style w:type="paragraph" w:styleId="Heading1">
    <w:name w:val="heading 1"/>
    <w:basedOn w:val="Normal"/>
    <w:next w:val="Normal"/>
    <w:link w:val="Heading1Char"/>
    <w:uiPriority w:val="9"/>
    <w:qFormat/>
    <w:rsid w:val="0024577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MX" w:bidi="ar-SA"/>
      <w14:ligatures w14:val="standardContextual"/>
    </w:rPr>
  </w:style>
  <w:style w:type="paragraph" w:styleId="Heading2">
    <w:name w:val="heading 2"/>
    <w:basedOn w:val="Normal"/>
    <w:next w:val="Normal"/>
    <w:link w:val="Heading2Char"/>
    <w:uiPriority w:val="9"/>
    <w:semiHidden/>
    <w:unhideWhenUsed/>
    <w:qFormat/>
    <w:rsid w:val="0024577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MX" w:bidi="ar-SA"/>
      <w14:ligatures w14:val="standardContextual"/>
    </w:rPr>
  </w:style>
  <w:style w:type="paragraph" w:styleId="Heading3">
    <w:name w:val="heading 3"/>
    <w:basedOn w:val="Normal"/>
    <w:next w:val="Normal"/>
    <w:link w:val="Heading3Char"/>
    <w:uiPriority w:val="9"/>
    <w:semiHidden/>
    <w:unhideWhenUsed/>
    <w:qFormat/>
    <w:rsid w:val="0024577B"/>
    <w:pPr>
      <w:keepNext/>
      <w:keepLines/>
      <w:spacing w:before="160" w:after="80" w:line="278" w:lineRule="auto"/>
      <w:outlineLvl w:val="2"/>
    </w:pPr>
    <w:rPr>
      <w:rFonts w:eastAsiaTheme="majorEastAsia" w:cstheme="majorBidi"/>
      <w:color w:val="0F4761" w:themeColor="accent1" w:themeShade="BF"/>
      <w:kern w:val="2"/>
      <w:sz w:val="28"/>
      <w:szCs w:val="28"/>
      <w:lang w:val="en-MX" w:bidi="ar-SA"/>
      <w14:ligatures w14:val="standardContextual"/>
    </w:rPr>
  </w:style>
  <w:style w:type="paragraph" w:styleId="Heading4">
    <w:name w:val="heading 4"/>
    <w:basedOn w:val="Normal"/>
    <w:next w:val="Normal"/>
    <w:link w:val="Heading4Char"/>
    <w:uiPriority w:val="9"/>
    <w:semiHidden/>
    <w:unhideWhenUsed/>
    <w:qFormat/>
    <w:rsid w:val="0024577B"/>
    <w:pPr>
      <w:keepNext/>
      <w:keepLines/>
      <w:spacing w:before="80" w:after="40" w:line="278" w:lineRule="auto"/>
      <w:outlineLvl w:val="3"/>
    </w:pPr>
    <w:rPr>
      <w:rFonts w:eastAsiaTheme="majorEastAsia" w:cstheme="majorBidi"/>
      <w:i/>
      <w:iCs/>
      <w:color w:val="0F4761" w:themeColor="accent1" w:themeShade="BF"/>
      <w:kern w:val="2"/>
      <w:sz w:val="24"/>
      <w:szCs w:val="24"/>
      <w:lang w:val="en-MX" w:bidi="ar-SA"/>
      <w14:ligatures w14:val="standardContextual"/>
    </w:rPr>
  </w:style>
  <w:style w:type="paragraph" w:styleId="Heading5">
    <w:name w:val="heading 5"/>
    <w:basedOn w:val="Normal"/>
    <w:next w:val="Normal"/>
    <w:link w:val="Heading5Char"/>
    <w:uiPriority w:val="9"/>
    <w:semiHidden/>
    <w:unhideWhenUsed/>
    <w:qFormat/>
    <w:rsid w:val="0024577B"/>
    <w:pPr>
      <w:keepNext/>
      <w:keepLines/>
      <w:spacing w:before="80" w:after="40" w:line="278" w:lineRule="auto"/>
      <w:outlineLvl w:val="4"/>
    </w:pPr>
    <w:rPr>
      <w:rFonts w:eastAsiaTheme="majorEastAsia" w:cstheme="majorBidi"/>
      <w:color w:val="0F4761" w:themeColor="accent1" w:themeShade="BF"/>
      <w:kern w:val="2"/>
      <w:sz w:val="24"/>
      <w:szCs w:val="24"/>
      <w:lang w:val="en-MX" w:bidi="ar-SA"/>
      <w14:ligatures w14:val="standardContextual"/>
    </w:rPr>
  </w:style>
  <w:style w:type="paragraph" w:styleId="Heading6">
    <w:name w:val="heading 6"/>
    <w:basedOn w:val="Normal"/>
    <w:next w:val="Normal"/>
    <w:link w:val="Heading6Char"/>
    <w:uiPriority w:val="9"/>
    <w:semiHidden/>
    <w:unhideWhenUsed/>
    <w:qFormat/>
    <w:rsid w:val="0024577B"/>
    <w:pPr>
      <w:keepNext/>
      <w:keepLines/>
      <w:spacing w:before="40" w:after="0" w:line="278" w:lineRule="auto"/>
      <w:outlineLvl w:val="5"/>
    </w:pPr>
    <w:rPr>
      <w:rFonts w:eastAsiaTheme="majorEastAsia" w:cstheme="majorBidi"/>
      <w:i/>
      <w:iCs/>
      <w:color w:val="595959" w:themeColor="text1" w:themeTint="A6"/>
      <w:kern w:val="2"/>
      <w:sz w:val="24"/>
      <w:szCs w:val="24"/>
      <w:lang w:val="en-MX" w:bidi="ar-SA"/>
      <w14:ligatures w14:val="standardContextual"/>
    </w:rPr>
  </w:style>
  <w:style w:type="paragraph" w:styleId="Heading7">
    <w:name w:val="heading 7"/>
    <w:basedOn w:val="Normal"/>
    <w:next w:val="Normal"/>
    <w:link w:val="Heading7Char"/>
    <w:uiPriority w:val="9"/>
    <w:semiHidden/>
    <w:unhideWhenUsed/>
    <w:qFormat/>
    <w:rsid w:val="0024577B"/>
    <w:pPr>
      <w:keepNext/>
      <w:keepLines/>
      <w:spacing w:before="40" w:after="0" w:line="278" w:lineRule="auto"/>
      <w:outlineLvl w:val="6"/>
    </w:pPr>
    <w:rPr>
      <w:rFonts w:eastAsiaTheme="majorEastAsia" w:cstheme="majorBidi"/>
      <w:color w:val="595959" w:themeColor="text1" w:themeTint="A6"/>
      <w:kern w:val="2"/>
      <w:sz w:val="24"/>
      <w:szCs w:val="24"/>
      <w:lang w:val="en-MX" w:bidi="ar-SA"/>
      <w14:ligatures w14:val="standardContextual"/>
    </w:rPr>
  </w:style>
  <w:style w:type="paragraph" w:styleId="Heading8">
    <w:name w:val="heading 8"/>
    <w:basedOn w:val="Normal"/>
    <w:next w:val="Normal"/>
    <w:link w:val="Heading8Char"/>
    <w:uiPriority w:val="9"/>
    <w:semiHidden/>
    <w:unhideWhenUsed/>
    <w:qFormat/>
    <w:rsid w:val="0024577B"/>
    <w:pPr>
      <w:keepNext/>
      <w:keepLines/>
      <w:spacing w:after="0" w:line="278" w:lineRule="auto"/>
      <w:outlineLvl w:val="7"/>
    </w:pPr>
    <w:rPr>
      <w:rFonts w:eastAsiaTheme="majorEastAsia" w:cstheme="majorBidi"/>
      <w:i/>
      <w:iCs/>
      <w:color w:val="272727" w:themeColor="text1" w:themeTint="D8"/>
      <w:kern w:val="2"/>
      <w:sz w:val="24"/>
      <w:szCs w:val="24"/>
      <w:lang w:val="en-MX" w:bidi="ar-SA"/>
      <w14:ligatures w14:val="standardContextual"/>
    </w:rPr>
  </w:style>
  <w:style w:type="paragraph" w:styleId="Heading9">
    <w:name w:val="heading 9"/>
    <w:basedOn w:val="Normal"/>
    <w:next w:val="Normal"/>
    <w:link w:val="Heading9Char"/>
    <w:uiPriority w:val="9"/>
    <w:semiHidden/>
    <w:unhideWhenUsed/>
    <w:qFormat/>
    <w:rsid w:val="0024577B"/>
    <w:pPr>
      <w:keepNext/>
      <w:keepLines/>
      <w:spacing w:after="0" w:line="278" w:lineRule="auto"/>
      <w:outlineLvl w:val="8"/>
    </w:pPr>
    <w:rPr>
      <w:rFonts w:eastAsiaTheme="majorEastAsia" w:cstheme="majorBidi"/>
      <w:color w:val="272727" w:themeColor="text1" w:themeTint="D8"/>
      <w:kern w:val="2"/>
      <w:sz w:val="24"/>
      <w:szCs w:val="24"/>
      <w:lang w:val="en-MX"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57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57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57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57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57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57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57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57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577B"/>
    <w:rPr>
      <w:rFonts w:eastAsiaTheme="majorEastAsia" w:cstheme="majorBidi"/>
      <w:color w:val="272727" w:themeColor="text1" w:themeTint="D8"/>
    </w:rPr>
  </w:style>
  <w:style w:type="paragraph" w:styleId="Title">
    <w:name w:val="Title"/>
    <w:basedOn w:val="Normal"/>
    <w:next w:val="Normal"/>
    <w:link w:val="TitleChar"/>
    <w:uiPriority w:val="10"/>
    <w:qFormat/>
    <w:rsid w:val="0024577B"/>
    <w:pPr>
      <w:spacing w:after="80" w:line="240" w:lineRule="auto"/>
      <w:contextualSpacing/>
    </w:pPr>
    <w:rPr>
      <w:rFonts w:asciiTheme="majorHAnsi" w:eastAsiaTheme="majorEastAsia" w:hAnsiTheme="majorHAnsi" w:cstheme="majorBidi"/>
      <w:spacing w:val="-10"/>
      <w:kern w:val="28"/>
      <w:sz w:val="56"/>
      <w:szCs w:val="56"/>
      <w:lang w:val="en-MX" w:bidi="ar-SA"/>
      <w14:ligatures w14:val="standardContextual"/>
    </w:rPr>
  </w:style>
  <w:style w:type="character" w:customStyle="1" w:styleId="TitleChar">
    <w:name w:val="Title Char"/>
    <w:basedOn w:val="DefaultParagraphFont"/>
    <w:link w:val="Title"/>
    <w:uiPriority w:val="10"/>
    <w:rsid w:val="002457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577B"/>
    <w:pPr>
      <w:numPr>
        <w:ilvl w:val="1"/>
      </w:numPr>
      <w:spacing w:line="278" w:lineRule="auto"/>
    </w:pPr>
    <w:rPr>
      <w:rFonts w:eastAsiaTheme="majorEastAsia" w:cstheme="majorBidi"/>
      <w:color w:val="595959" w:themeColor="text1" w:themeTint="A6"/>
      <w:spacing w:val="15"/>
      <w:kern w:val="2"/>
      <w:sz w:val="28"/>
      <w:szCs w:val="28"/>
      <w:lang w:val="en-MX" w:bidi="ar-SA"/>
      <w14:ligatures w14:val="standardContextual"/>
    </w:rPr>
  </w:style>
  <w:style w:type="character" w:customStyle="1" w:styleId="SubtitleChar">
    <w:name w:val="Subtitle Char"/>
    <w:basedOn w:val="DefaultParagraphFont"/>
    <w:link w:val="Subtitle"/>
    <w:uiPriority w:val="11"/>
    <w:rsid w:val="002457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577B"/>
    <w:pPr>
      <w:spacing w:before="160" w:line="278" w:lineRule="auto"/>
      <w:jc w:val="center"/>
    </w:pPr>
    <w:rPr>
      <w:i/>
      <w:iCs/>
      <w:color w:val="404040" w:themeColor="text1" w:themeTint="BF"/>
      <w:kern w:val="2"/>
      <w:sz w:val="24"/>
      <w:szCs w:val="24"/>
      <w:lang w:val="en-MX" w:bidi="ar-SA"/>
      <w14:ligatures w14:val="standardContextual"/>
    </w:rPr>
  </w:style>
  <w:style w:type="character" w:customStyle="1" w:styleId="QuoteChar">
    <w:name w:val="Quote Char"/>
    <w:basedOn w:val="DefaultParagraphFont"/>
    <w:link w:val="Quote"/>
    <w:uiPriority w:val="29"/>
    <w:rsid w:val="0024577B"/>
    <w:rPr>
      <w:i/>
      <w:iCs/>
      <w:color w:val="404040" w:themeColor="text1" w:themeTint="BF"/>
    </w:rPr>
  </w:style>
  <w:style w:type="paragraph" w:styleId="ListParagraph">
    <w:name w:val="List Paragraph"/>
    <w:basedOn w:val="Normal"/>
    <w:uiPriority w:val="34"/>
    <w:qFormat/>
    <w:rsid w:val="0024577B"/>
    <w:pPr>
      <w:spacing w:line="278" w:lineRule="auto"/>
      <w:ind w:left="720"/>
      <w:contextualSpacing/>
    </w:pPr>
    <w:rPr>
      <w:kern w:val="2"/>
      <w:sz w:val="24"/>
      <w:szCs w:val="24"/>
      <w:lang w:val="en-MX" w:bidi="ar-SA"/>
      <w14:ligatures w14:val="standardContextual"/>
    </w:rPr>
  </w:style>
  <w:style w:type="character" w:styleId="IntenseEmphasis">
    <w:name w:val="Intense Emphasis"/>
    <w:basedOn w:val="DefaultParagraphFont"/>
    <w:uiPriority w:val="21"/>
    <w:qFormat/>
    <w:rsid w:val="0024577B"/>
    <w:rPr>
      <w:i/>
      <w:iCs/>
      <w:color w:val="0F4761" w:themeColor="accent1" w:themeShade="BF"/>
    </w:rPr>
  </w:style>
  <w:style w:type="paragraph" w:styleId="IntenseQuote">
    <w:name w:val="Intense Quote"/>
    <w:basedOn w:val="Normal"/>
    <w:next w:val="Normal"/>
    <w:link w:val="IntenseQuoteChar"/>
    <w:uiPriority w:val="30"/>
    <w:qFormat/>
    <w:rsid w:val="0024577B"/>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MX" w:bidi="ar-SA"/>
      <w14:ligatures w14:val="standardContextual"/>
    </w:rPr>
  </w:style>
  <w:style w:type="character" w:customStyle="1" w:styleId="IntenseQuoteChar">
    <w:name w:val="Intense Quote Char"/>
    <w:basedOn w:val="DefaultParagraphFont"/>
    <w:link w:val="IntenseQuote"/>
    <w:uiPriority w:val="30"/>
    <w:rsid w:val="0024577B"/>
    <w:rPr>
      <w:i/>
      <w:iCs/>
      <w:color w:val="0F4761" w:themeColor="accent1" w:themeShade="BF"/>
    </w:rPr>
  </w:style>
  <w:style w:type="character" w:styleId="IntenseReference">
    <w:name w:val="Intense Reference"/>
    <w:basedOn w:val="DefaultParagraphFont"/>
    <w:uiPriority w:val="32"/>
    <w:qFormat/>
    <w:rsid w:val="0024577B"/>
    <w:rPr>
      <w:b/>
      <w:bCs/>
      <w:smallCaps/>
      <w:color w:val="0F4761" w:themeColor="accent1" w:themeShade="BF"/>
      <w:spacing w:val="5"/>
    </w:rPr>
  </w:style>
  <w:style w:type="paragraph" w:styleId="BodyText">
    <w:name w:val="Body Text"/>
    <w:basedOn w:val="Normal"/>
    <w:link w:val="BodyTextChar"/>
    <w:rsid w:val="0024577B"/>
    <w:pPr>
      <w:spacing w:after="120" w:line="240" w:lineRule="auto"/>
    </w:pPr>
    <w:rPr>
      <w:rFonts w:ascii="Times New Roman" w:eastAsia="Times New Roman" w:hAnsi="Times New Roman" w:cs="Times New Roman"/>
      <w:sz w:val="24"/>
      <w:szCs w:val="24"/>
      <w:lang w:eastAsia="es-ES" w:bidi="ar-SA"/>
    </w:rPr>
  </w:style>
  <w:style w:type="character" w:customStyle="1" w:styleId="BodyTextChar">
    <w:name w:val="Body Text Char"/>
    <w:basedOn w:val="DefaultParagraphFont"/>
    <w:link w:val="BodyText"/>
    <w:rsid w:val="0024577B"/>
    <w:rPr>
      <w:rFonts w:ascii="Times New Roman" w:eastAsia="Times New Roman" w:hAnsi="Times New Roman" w:cs="Times New Roman"/>
      <w:kern w:val="0"/>
      <w:lang w:val="es-ES" w:eastAsia="es-ES"/>
      <w14:ligatures w14:val="none"/>
    </w:rPr>
  </w:style>
  <w:style w:type="character" w:styleId="Hyperlink">
    <w:name w:val="Hyperlink"/>
    <w:basedOn w:val="DefaultParagraphFont"/>
    <w:uiPriority w:val="99"/>
    <w:unhideWhenUsed/>
    <w:rsid w:val="00471302"/>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cielo.org.mx/scielo.php?pid=S2007-48322022000300005&amp;script=sci_arttext" TargetMode="External"/><Relationship Id="rId5" Type="http://schemas.openxmlformats.org/officeDocument/2006/relationships/hyperlink" Target="https://revistas.ucatolicaluisamigo.edu.co/index.php/poiesis/article/view/4293/3668"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4147</Words>
  <Characters>23638</Characters>
  <Application>Microsoft Office Word</Application>
  <DocSecurity>0</DocSecurity>
  <Lines>196</Lines>
  <Paragraphs>55</Paragraphs>
  <ScaleCrop>false</ScaleCrop>
  <Company/>
  <LinksUpToDate>false</LinksUpToDate>
  <CharactersWithSpaces>27730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Paola Sánchez Gárate</dc:creator>
  <cp:keywords/>
  <dc:description/>
  <cp:lastModifiedBy>Diana Paola Sánchez Gárate</cp:lastModifiedBy>
  <cp:revision>2</cp:revision>
  <dcterms:created xsi:type="dcterms:W3CDTF">2026-02-06T19:25:00Z</dcterms:created>
  <dcterms:modified xsi:type="dcterms:W3CDTF">2026-02-06T19:25:00Z</dcterms:modified>
</cp:coreProperties>
</file>