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24E25" w14:textId="77777777" w:rsidR="002E5829" w:rsidRDefault="002E5829" w:rsidP="002E5829">
      <w:pPr>
        <w:spacing w:line="360" w:lineRule="auto"/>
        <w:jc w:val="center"/>
        <w:rPr>
          <w:rFonts w:cs="Times New Roman"/>
          <w:b/>
          <w:bCs/>
          <w:sz w:val="32"/>
          <w:szCs w:val="32"/>
        </w:rPr>
      </w:pPr>
      <w:r>
        <w:rPr>
          <w:noProof/>
        </w:rPr>
        <w:drawing>
          <wp:inline distT="0" distB="0" distL="0" distR="0" wp14:anchorId="5A7B9844" wp14:editId="528D4085">
            <wp:extent cx="5400040" cy="1419860"/>
            <wp:effectExtent l="0" t="0" r="0" b="8890"/>
            <wp:docPr id="1731519610" name="Imagen 1" descr="Dibujo con letras blanc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519610" name="Imagen 1" descr="Dibujo con letras blancas&#10;&#10;El contenido generado por IA puede ser incorrec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00040" cy="1419860"/>
                    </a:xfrm>
                    <a:prstGeom prst="rect">
                      <a:avLst/>
                    </a:prstGeom>
                    <a:noFill/>
                    <a:ln>
                      <a:noFill/>
                    </a:ln>
                  </pic:spPr>
                </pic:pic>
              </a:graphicData>
            </a:graphic>
          </wp:inline>
        </w:drawing>
      </w:r>
    </w:p>
    <w:p w14:paraId="4F6CB18A" w14:textId="77777777" w:rsidR="002E5829" w:rsidRDefault="002E5829" w:rsidP="002E5829">
      <w:pPr>
        <w:spacing w:line="360" w:lineRule="auto"/>
        <w:jc w:val="center"/>
        <w:rPr>
          <w:rFonts w:cs="Times New Roman"/>
          <w:b/>
          <w:bCs/>
          <w:sz w:val="32"/>
          <w:szCs w:val="32"/>
        </w:rPr>
      </w:pPr>
    </w:p>
    <w:p w14:paraId="17E3DBA5" w14:textId="77777777" w:rsidR="002E5829" w:rsidRPr="00977D06" w:rsidRDefault="002E5829" w:rsidP="002E5829">
      <w:pPr>
        <w:spacing w:line="360" w:lineRule="auto"/>
        <w:jc w:val="center"/>
        <w:rPr>
          <w:rFonts w:cs="Times New Roman"/>
          <w:sz w:val="32"/>
          <w:szCs w:val="32"/>
          <w:lang w:val="es-ES"/>
        </w:rPr>
      </w:pPr>
      <w:r w:rsidRPr="00977D06">
        <w:rPr>
          <w:rFonts w:cs="Times New Roman"/>
          <w:sz w:val="32"/>
          <w:szCs w:val="32"/>
          <w:lang w:val="es-ES"/>
        </w:rPr>
        <w:t>Facultad de Ciencias Humanas y Sociales</w:t>
      </w:r>
    </w:p>
    <w:p w14:paraId="1B6DFA9F" w14:textId="77777777" w:rsidR="002E5829" w:rsidRPr="00977D06" w:rsidRDefault="002E5829" w:rsidP="002E5829">
      <w:pPr>
        <w:spacing w:line="360" w:lineRule="auto"/>
        <w:jc w:val="center"/>
        <w:rPr>
          <w:rFonts w:cs="Times New Roman"/>
          <w:sz w:val="44"/>
          <w:szCs w:val="44"/>
          <w:lang w:val="es-ES"/>
        </w:rPr>
      </w:pPr>
      <w:r w:rsidRPr="00977D06">
        <w:rPr>
          <w:rFonts w:cs="Times New Roman"/>
          <w:sz w:val="44"/>
          <w:szCs w:val="44"/>
          <w:lang w:val="es-ES"/>
        </w:rPr>
        <w:t>Grado en Relaciones Internacionales</w:t>
      </w:r>
    </w:p>
    <w:p w14:paraId="653469A5" w14:textId="77777777" w:rsidR="002E5829" w:rsidRDefault="002E5829" w:rsidP="002E5829">
      <w:pPr>
        <w:spacing w:line="360" w:lineRule="auto"/>
        <w:jc w:val="center"/>
        <w:rPr>
          <w:rFonts w:cs="Times New Roman"/>
          <w:b/>
          <w:bCs/>
          <w:sz w:val="32"/>
          <w:szCs w:val="32"/>
          <w:lang w:val="es-ES"/>
        </w:rPr>
      </w:pPr>
    </w:p>
    <w:p w14:paraId="26C5CE83" w14:textId="77777777" w:rsidR="002E5829" w:rsidRDefault="002E5829" w:rsidP="002E5829">
      <w:pPr>
        <w:spacing w:line="360" w:lineRule="auto"/>
        <w:rPr>
          <w:rFonts w:cs="Times New Roman"/>
          <w:b/>
          <w:bCs/>
          <w:sz w:val="32"/>
          <w:szCs w:val="32"/>
          <w:lang w:val="es-ES"/>
        </w:rPr>
      </w:pPr>
    </w:p>
    <w:p w14:paraId="0D903CD4" w14:textId="77777777" w:rsidR="002E5829" w:rsidRPr="00CD4F7B" w:rsidRDefault="002E5829" w:rsidP="002E5829">
      <w:pPr>
        <w:spacing w:line="360" w:lineRule="auto"/>
        <w:jc w:val="center"/>
        <w:rPr>
          <w:rFonts w:cs="Times New Roman"/>
          <w:sz w:val="40"/>
          <w:szCs w:val="40"/>
          <w:lang w:val="es-ES"/>
        </w:rPr>
      </w:pPr>
      <w:r w:rsidRPr="00CD4F7B">
        <w:rPr>
          <w:rFonts w:cs="Times New Roman"/>
          <w:sz w:val="40"/>
          <w:szCs w:val="40"/>
          <w:lang w:val="es-ES"/>
        </w:rPr>
        <w:t>Trabajo Fin de Grado</w:t>
      </w:r>
    </w:p>
    <w:p w14:paraId="717A3E32" w14:textId="4854A8AF" w:rsidR="002E5829" w:rsidRPr="005B70FE" w:rsidRDefault="002E5829" w:rsidP="002E5829">
      <w:pPr>
        <w:spacing w:line="360" w:lineRule="auto"/>
        <w:jc w:val="center"/>
        <w:rPr>
          <w:rFonts w:cs="Times New Roman"/>
          <w:b/>
          <w:bCs/>
          <w:sz w:val="32"/>
          <w:szCs w:val="32"/>
          <w:lang w:val="es-ES"/>
        </w:rPr>
      </w:pPr>
      <w:r w:rsidRPr="005B70FE">
        <w:rPr>
          <w:rFonts w:cs="Times New Roman"/>
          <w:b/>
          <w:bCs/>
          <w:sz w:val="32"/>
          <w:szCs w:val="32"/>
          <w:lang w:val="es-ES"/>
        </w:rPr>
        <w:t>El papel del GATT y</w:t>
      </w:r>
      <w:r>
        <w:rPr>
          <w:rFonts w:cs="Times New Roman"/>
          <w:b/>
          <w:bCs/>
          <w:sz w:val="32"/>
          <w:szCs w:val="32"/>
          <w:lang w:val="es-ES"/>
        </w:rPr>
        <w:t xml:space="preserve"> GATS en la consolidación de Singapur como </w:t>
      </w:r>
      <w:r w:rsidRPr="000D2294">
        <w:rPr>
          <w:rFonts w:cs="Times New Roman"/>
          <w:b/>
          <w:bCs/>
          <w:sz w:val="32"/>
          <w:szCs w:val="32"/>
          <w:lang w:val="es-ES"/>
        </w:rPr>
        <w:t>centro</w:t>
      </w:r>
      <w:r>
        <w:rPr>
          <w:rFonts w:cs="Times New Roman"/>
          <w:b/>
          <w:bCs/>
          <w:sz w:val="32"/>
          <w:szCs w:val="32"/>
          <w:lang w:val="es-ES"/>
        </w:rPr>
        <w:t xml:space="preserve"> </w:t>
      </w:r>
      <w:r w:rsidR="005E4F20">
        <w:rPr>
          <w:rFonts w:cs="Times New Roman"/>
          <w:b/>
          <w:bCs/>
          <w:sz w:val="32"/>
          <w:szCs w:val="32"/>
          <w:lang w:val="es-ES"/>
        </w:rPr>
        <w:t>comercial</w:t>
      </w:r>
      <w:r>
        <w:rPr>
          <w:rFonts w:cs="Times New Roman"/>
          <w:b/>
          <w:bCs/>
          <w:sz w:val="32"/>
          <w:szCs w:val="32"/>
          <w:lang w:val="es-ES"/>
        </w:rPr>
        <w:t xml:space="preserve"> y </w:t>
      </w:r>
      <w:r w:rsidR="005E4F20">
        <w:rPr>
          <w:rFonts w:cs="Times New Roman"/>
          <w:b/>
          <w:bCs/>
          <w:sz w:val="32"/>
          <w:szCs w:val="32"/>
          <w:lang w:val="es-ES"/>
        </w:rPr>
        <w:t>financiero</w:t>
      </w:r>
      <w:r>
        <w:rPr>
          <w:rFonts w:cs="Times New Roman"/>
          <w:b/>
          <w:bCs/>
          <w:sz w:val="32"/>
          <w:szCs w:val="32"/>
          <w:lang w:val="es-ES"/>
        </w:rPr>
        <w:t xml:space="preserve"> en Asia</w:t>
      </w:r>
    </w:p>
    <w:p w14:paraId="79B0F24E" w14:textId="77777777" w:rsidR="002E5829" w:rsidRDefault="002E5829" w:rsidP="002E5829">
      <w:pPr>
        <w:spacing w:line="360" w:lineRule="auto"/>
        <w:jc w:val="center"/>
        <w:rPr>
          <w:rFonts w:cs="Times New Roman"/>
          <w:b/>
          <w:bCs/>
          <w:sz w:val="32"/>
          <w:szCs w:val="32"/>
          <w:lang w:val="es-ES"/>
        </w:rPr>
      </w:pPr>
    </w:p>
    <w:p w14:paraId="144C9B24" w14:textId="77777777" w:rsidR="002E5829" w:rsidRDefault="002E5829" w:rsidP="002E5829">
      <w:pPr>
        <w:spacing w:line="360" w:lineRule="auto"/>
        <w:jc w:val="center"/>
        <w:rPr>
          <w:rFonts w:cs="Times New Roman"/>
          <w:b/>
          <w:bCs/>
          <w:sz w:val="32"/>
          <w:szCs w:val="32"/>
          <w:lang w:val="es-ES"/>
        </w:rPr>
      </w:pPr>
    </w:p>
    <w:p w14:paraId="59E870D8" w14:textId="77777777" w:rsidR="002E5829" w:rsidRPr="005B70FE" w:rsidRDefault="002E5829" w:rsidP="002E5829">
      <w:pPr>
        <w:spacing w:line="360" w:lineRule="auto"/>
        <w:jc w:val="center"/>
        <w:rPr>
          <w:rFonts w:cs="Times New Roman"/>
          <w:b/>
          <w:bCs/>
          <w:sz w:val="32"/>
          <w:szCs w:val="32"/>
          <w:lang w:val="es-ES"/>
        </w:rPr>
      </w:pPr>
    </w:p>
    <w:p w14:paraId="453DF439" w14:textId="77777777" w:rsidR="002E5829" w:rsidRPr="005B70FE" w:rsidRDefault="002E5829" w:rsidP="002E5829">
      <w:pPr>
        <w:spacing w:line="360" w:lineRule="auto"/>
        <w:rPr>
          <w:rFonts w:cs="Times New Roman"/>
          <w:b/>
          <w:bCs/>
          <w:sz w:val="32"/>
          <w:szCs w:val="32"/>
          <w:lang w:val="es-ES"/>
        </w:rPr>
      </w:pPr>
    </w:p>
    <w:p w14:paraId="74CEFBCE" w14:textId="77777777" w:rsidR="002E5829" w:rsidRPr="003644D9" w:rsidRDefault="002E5829" w:rsidP="00F376A4">
      <w:pPr>
        <w:spacing w:line="360" w:lineRule="auto"/>
        <w:jc w:val="center"/>
        <w:rPr>
          <w:rFonts w:cs="Times New Roman"/>
          <w:sz w:val="28"/>
          <w:szCs w:val="28"/>
          <w:lang w:val="es-ES"/>
        </w:rPr>
      </w:pPr>
      <w:r w:rsidRPr="003644D9">
        <w:rPr>
          <w:rFonts w:cs="Times New Roman"/>
          <w:b/>
          <w:bCs/>
          <w:sz w:val="28"/>
          <w:szCs w:val="28"/>
          <w:lang w:val="es-ES"/>
        </w:rPr>
        <w:t>Estudiante</w:t>
      </w:r>
      <w:r w:rsidRPr="003644D9">
        <w:rPr>
          <w:rFonts w:cs="Times New Roman"/>
          <w:sz w:val="28"/>
          <w:szCs w:val="28"/>
          <w:lang w:val="es-ES"/>
        </w:rPr>
        <w:t>: Santiago Jiménez Sánchez</w:t>
      </w:r>
    </w:p>
    <w:p w14:paraId="439F0A84" w14:textId="77777777" w:rsidR="002E5829" w:rsidRPr="003644D9" w:rsidRDefault="002E5829" w:rsidP="00F376A4">
      <w:pPr>
        <w:spacing w:line="360" w:lineRule="auto"/>
        <w:jc w:val="center"/>
        <w:rPr>
          <w:rFonts w:cs="Times New Roman"/>
          <w:sz w:val="28"/>
          <w:szCs w:val="28"/>
          <w:lang w:val="es-ES"/>
        </w:rPr>
      </w:pPr>
      <w:r w:rsidRPr="003644D9">
        <w:rPr>
          <w:rFonts w:cs="Times New Roman"/>
          <w:b/>
          <w:bCs/>
          <w:sz w:val="28"/>
          <w:szCs w:val="28"/>
          <w:lang w:val="es-ES"/>
        </w:rPr>
        <w:t>Directora</w:t>
      </w:r>
      <w:r w:rsidRPr="003644D9">
        <w:rPr>
          <w:rFonts w:cs="Times New Roman"/>
          <w:sz w:val="28"/>
          <w:szCs w:val="28"/>
          <w:lang w:val="es-ES"/>
        </w:rPr>
        <w:t>: Irene Lorenzo Rego</w:t>
      </w:r>
    </w:p>
    <w:p w14:paraId="47634D62" w14:textId="77777777" w:rsidR="002E5829" w:rsidRPr="003644D9" w:rsidRDefault="002E5829" w:rsidP="002E5829">
      <w:pPr>
        <w:spacing w:line="360" w:lineRule="auto"/>
        <w:rPr>
          <w:rFonts w:cs="Times New Roman"/>
          <w:sz w:val="28"/>
          <w:szCs w:val="28"/>
          <w:lang w:val="es-ES"/>
        </w:rPr>
      </w:pPr>
    </w:p>
    <w:p w14:paraId="479C83DD" w14:textId="5E7EC458" w:rsidR="002E5829" w:rsidRPr="003644D9" w:rsidRDefault="002E5829" w:rsidP="002E5829">
      <w:pPr>
        <w:spacing w:line="360" w:lineRule="auto"/>
        <w:jc w:val="center"/>
        <w:rPr>
          <w:rFonts w:cs="Times New Roman"/>
          <w:sz w:val="28"/>
          <w:szCs w:val="28"/>
          <w:lang w:val="es-ES"/>
        </w:rPr>
      </w:pPr>
      <w:r w:rsidRPr="003644D9">
        <w:rPr>
          <w:rFonts w:cs="Times New Roman"/>
          <w:sz w:val="28"/>
          <w:szCs w:val="28"/>
          <w:lang w:val="es-ES"/>
        </w:rPr>
        <w:t xml:space="preserve">Madrid, </w:t>
      </w:r>
      <w:r w:rsidR="00440637">
        <w:rPr>
          <w:rFonts w:cs="Times New Roman"/>
          <w:sz w:val="28"/>
          <w:szCs w:val="28"/>
          <w:lang w:val="es-ES"/>
        </w:rPr>
        <w:t>abril</w:t>
      </w:r>
      <w:r w:rsidRPr="003644D9">
        <w:rPr>
          <w:rFonts w:cs="Times New Roman"/>
          <w:sz w:val="28"/>
          <w:szCs w:val="28"/>
          <w:lang w:val="es-ES"/>
        </w:rPr>
        <w:t xml:space="preserve"> 202</w:t>
      </w:r>
      <w:r w:rsidR="0043163F">
        <w:rPr>
          <w:rFonts w:cs="Times New Roman"/>
          <w:sz w:val="28"/>
          <w:szCs w:val="28"/>
          <w:lang w:val="es-ES"/>
        </w:rPr>
        <w:t>6</w:t>
      </w:r>
    </w:p>
    <w:p w14:paraId="29CEF2E2" w14:textId="08ED3269" w:rsidR="003E25C5" w:rsidRPr="00095684" w:rsidRDefault="00095684" w:rsidP="00F376A4">
      <w:pPr>
        <w:spacing w:line="360" w:lineRule="auto"/>
        <w:rPr>
          <w:rFonts w:cs="Times New Roman"/>
          <w:b/>
          <w:bCs/>
          <w:sz w:val="28"/>
          <w:szCs w:val="28"/>
          <w:lang w:val="es-ES"/>
        </w:rPr>
      </w:pPr>
      <w:commentRangeStart w:id="0"/>
      <w:r w:rsidRPr="00095684">
        <w:rPr>
          <w:rFonts w:cs="Times New Roman"/>
          <w:b/>
          <w:bCs/>
          <w:sz w:val="28"/>
          <w:szCs w:val="28"/>
          <w:lang w:val="es-ES"/>
        </w:rPr>
        <w:lastRenderedPageBreak/>
        <w:t>Resumen</w:t>
      </w:r>
      <w:commentRangeEnd w:id="0"/>
      <w:r w:rsidR="000C48E0" w:rsidRPr="00095684">
        <w:rPr>
          <w:rStyle w:val="Refdecomentario"/>
          <w:rFonts w:cs="Times New Roman"/>
          <w:b/>
          <w:bCs/>
          <w:sz w:val="28"/>
          <w:szCs w:val="28"/>
          <w:lang w:val="es-ES"/>
        </w:rPr>
        <w:commentReference w:id="0"/>
      </w:r>
    </w:p>
    <w:p w14:paraId="49CFE6F2" w14:textId="0B2C6014" w:rsidR="00433904" w:rsidRPr="00095684" w:rsidRDefault="00433904" w:rsidP="00433904">
      <w:pPr>
        <w:spacing w:line="360" w:lineRule="auto"/>
        <w:rPr>
          <w:rFonts w:cs="Times New Roman"/>
          <w:lang w:val="es-ES"/>
        </w:rPr>
      </w:pPr>
      <w:r w:rsidRPr="00095684">
        <w:rPr>
          <w:rFonts w:cs="Times New Roman"/>
          <w:lang w:val="es-ES"/>
        </w:rPr>
        <w:t xml:space="preserve">Desde su independencia del Reino Unido en 1965, Singapur ha pasado de ser un pequeño puerto comercial de escala regional del Sudeste Asiático a consolidarse, en la actualidad, como uno de los principales centros financieros y comerciales del mundo. Este proceso de desarrollo y transformación ha estado profundamente ligado a la evolución del sistema internacional de comercio, primero bajo el </w:t>
      </w:r>
      <w:commentRangeStart w:id="1"/>
      <w:commentRangeStart w:id="2"/>
      <w:r w:rsidRPr="00095684">
        <w:rPr>
          <w:rFonts w:cs="Times New Roman"/>
          <w:lang w:val="es-ES"/>
        </w:rPr>
        <w:t xml:space="preserve">Acuerdo General sobre Aranceles Aduaneros y Comercio </w:t>
      </w:r>
      <w:commentRangeEnd w:id="1"/>
      <w:r w:rsidRPr="00095684">
        <w:rPr>
          <w:rStyle w:val="Refdecomentario"/>
          <w:rFonts w:cs="Times New Roman"/>
          <w:sz w:val="24"/>
          <w:szCs w:val="24"/>
          <w:lang w:val="es-ES"/>
        </w:rPr>
        <w:commentReference w:id="1"/>
      </w:r>
      <w:commentRangeEnd w:id="2"/>
      <w:r w:rsidR="00C6128A" w:rsidRPr="00095684">
        <w:rPr>
          <w:rStyle w:val="Refdecomentario"/>
          <w:rFonts w:cs="Times New Roman"/>
          <w:sz w:val="24"/>
          <w:szCs w:val="24"/>
          <w:lang w:val="es-ES"/>
        </w:rPr>
        <w:commentReference w:id="2"/>
      </w:r>
      <w:r w:rsidRPr="00095684">
        <w:rPr>
          <w:rFonts w:cs="Times New Roman"/>
          <w:lang w:val="es-ES"/>
        </w:rPr>
        <w:t>(</w:t>
      </w:r>
      <w:r w:rsidR="00C6128A" w:rsidRPr="00C6128A">
        <w:rPr>
          <w:rFonts w:cs="Times New Roman"/>
          <w:i/>
          <w:iCs/>
          <w:lang w:val="es-ES"/>
        </w:rPr>
        <w:t>General Agreement on Tariffs and Trad</w:t>
      </w:r>
      <w:r w:rsidR="00EF4CE4">
        <w:rPr>
          <w:rFonts w:cs="Times New Roman"/>
          <w:i/>
          <w:iCs/>
          <w:lang w:val="es-ES"/>
        </w:rPr>
        <w:t>e</w:t>
      </w:r>
      <w:r w:rsidR="00EF4CE4" w:rsidRPr="00EF4CE4">
        <w:rPr>
          <w:rFonts w:cs="Times New Roman"/>
          <w:lang w:val="es-ES"/>
        </w:rPr>
        <w:t>)</w:t>
      </w:r>
      <w:r w:rsidR="00C6128A" w:rsidRPr="00EF4CE4">
        <w:rPr>
          <w:rFonts w:cs="Times New Roman"/>
          <w:lang w:val="es-ES"/>
        </w:rPr>
        <w:t xml:space="preserve"> </w:t>
      </w:r>
      <w:r w:rsidR="00EF4CE4">
        <w:rPr>
          <w:rFonts w:cs="Times New Roman"/>
          <w:lang w:val="es-ES"/>
        </w:rPr>
        <w:t>(</w:t>
      </w:r>
      <w:r w:rsidRPr="00095684">
        <w:rPr>
          <w:rFonts w:cs="Times New Roman"/>
          <w:lang w:val="es-ES"/>
        </w:rPr>
        <w:t>GATT, 1947) y posteriormente con el nacimiento de la Organización Mundial del Comercio (OMC) y la creación del Acuerdo General sobre el Comercio de Servicios (</w:t>
      </w:r>
      <w:r w:rsidR="006C60C3" w:rsidRPr="006C60C3">
        <w:rPr>
          <w:rFonts w:cs="Times New Roman"/>
          <w:i/>
          <w:iCs/>
          <w:lang w:val="es-ES"/>
        </w:rPr>
        <w:t>General Agreement on Trade in Services</w:t>
      </w:r>
      <w:r w:rsidR="00EF4CE4">
        <w:rPr>
          <w:rFonts w:cs="Times New Roman"/>
          <w:lang w:val="es-ES"/>
        </w:rPr>
        <w:t>)</w:t>
      </w:r>
      <w:r w:rsidR="006C60C3">
        <w:rPr>
          <w:rFonts w:cs="Times New Roman"/>
          <w:lang w:val="es-ES"/>
        </w:rPr>
        <w:t xml:space="preserve"> </w:t>
      </w:r>
      <w:r w:rsidR="00EF4CE4">
        <w:rPr>
          <w:rFonts w:cs="Times New Roman"/>
          <w:lang w:val="es-ES"/>
        </w:rPr>
        <w:t>(</w:t>
      </w:r>
      <w:r w:rsidRPr="00095684">
        <w:rPr>
          <w:rFonts w:cs="Times New Roman"/>
          <w:lang w:val="es-ES"/>
        </w:rPr>
        <w:t xml:space="preserve">GATS, 1995). Este Trabajo Fin de </w:t>
      </w:r>
      <w:commentRangeStart w:id="3"/>
      <w:commentRangeStart w:id="4"/>
      <w:r w:rsidRPr="00095684">
        <w:rPr>
          <w:rFonts w:cs="Times New Roman"/>
          <w:lang w:val="es-ES"/>
        </w:rPr>
        <w:t>Grado tiene por objetivo analizar cómo estos marcos normativos multilaterales, junto a las políticas estatales, establecieron los cimientos y sirvieron como base para el desarrollo económico y social del país.</w:t>
      </w:r>
      <w:commentRangeEnd w:id="3"/>
      <w:r w:rsidRPr="00095684">
        <w:rPr>
          <w:rStyle w:val="Refdecomentario"/>
          <w:rFonts w:cs="Times New Roman"/>
          <w:sz w:val="24"/>
          <w:szCs w:val="24"/>
          <w:lang w:val="es-ES"/>
        </w:rPr>
        <w:commentReference w:id="3"/>
      </w:r>
      <w:commentRangeEnd w:id="4"/>
      <w:r w:rsidR="00840A1C" w:rsidRPr="00095684">
        <w:rPr>
          <w:rStyle w:val="Refdecomentario"/>
          <w:rFonts w:cs="Times New Roman"/>
          <w:sz w:val="24"/>
          <w:szCs w:val="24"/>
          <w:lang w:val="es-ES"/>
        </w:rPr>
        <w:commentReference w:id="4"/>
      </w:r>
    </w:p>
    <w:p w14:paraId="47DBA396" w14:textId="77777777" w:rsidR="00433904" w:rsidRPr="00095684" w:rsidRDefault="00433904" w:rsidP="00433904">
      <w:pPr>
        <w:spacing w:line="360" w:lineRule="auto"/>
        <w:rPr>
          <w:rFonts w:cs="Times New Roman"/>
          <w:lang w:val="es-ES"/>
        </w:rPr>
      </w:pPr>
      <w:r w:rsidRPr="00095684">
        <w:rPr>
          <w:rFonts w:cs="Times New Roman"/>
          <w:lang w:val="es-ES"/>
        </w:rPr>
        <w:t>En primer lugar, se aborda el contexto histórico del GATT como pilar del orden económico liberal tras la Segunda Guerra Mundial, basado en la promoción del libre comercio de bienes entre países a través de la reducción arancelaria y la eliminación de barreras no arancelarias. Posteriormente se analiza la estrategia de Singapur para construir una economía basada en la exportación, la atracción de inversión extranjera directa y la participación en las cadenas globales de valor, posicionándose como la entrada al sudeste asiático para las empresas de economías avanzadas.</w:t>
      </w:r>
    </w:p>
    <w:p w14:paraId="501F8AE2" w14:textId="5400DF08" w:rsidR="00433904" w:rsidRPr="00095684" w:rsidRDefault="00433904" w:rsidP="00433904">
      <w:pPr>
        <w:spacing w:line="360" w:lineRule="auto"/>
        <w:rPr>
          <w:rFonts w:cs="Times New Roman"/>
          <w:lang w:val="es-ES"/>
        </w:rPr>
      </w:pPr>
      <w:r w:rsidRPr="00095684">
        <w:rPr>
          <w:rFonts w:cs="Times New Roman"/>
          <w:lang w:val="es-ES"/>
        </w:rPr>
        <w:t>En segundo lugar, el trabajo examina el impacto del</w:t>
      </w:r>
      <w:r w:rsidR="008C3A9A">
        <w:rPr>
          <w:rFonts w:cs="Times New Roman"/>
          <w:lang w:val="es-ES"/>
        </w:rPr>
        <w:t xml:space="preserve"> </w:t>
      </w:r>
      <w:r w:rsidRPr="00095684">
        <w:rPr>
          <w:rFonts w:cs="Times New Roman"/>
          <w:lang w:val="es-ES"/>
        </w:rPr>
        <w:t>GATS en la consolidación de Singapur como centro financiero y de servicios en Asia, siendo el marco normativo que respaldó la expansión de sus operaciones y atrajo a las firmas de capital extranjero para comenzar a operar en el país, posicionándolo como nexo entre Asia y Occidente. Posteriormente, se analiza la adopción de medidas nacionales aperturistas en el ámbito financiero como pilar fundamental de la economía, apoyado por un sistema sólido y estable.</w:t>
      </w:r>
    </w:p>
    <w:p w14:paraId="651FCE53" w14:textId="77777777" w:rsidR="00433904" w:rsidRPr="00095684" w:rsidRDefault="00433904" w:rsidP="00433904">
      <w:pPr>
        <w:spacing w:line="360" w:lineRule="auto"/>
        <w:rPr>
          <w:rFonts w:cs="Times New Roman"/>
          <w:b/>
          <w:bCs/>
          <w:sz w:val="32"/>
          <w:szCs w:val="32"/>
          <w:lang w:val="es-ES"/>
        </w:rPr>
      </w:pPr>
      <w:r w:rsidRPr="00095684">
        <w:rPr>
          <w:rFonts w:cs="Times New Roman"/>
          <w:lang w:val="es-ES"/>
        </w:rPr>
        <w:t xml:space="preserve">Se concluye argumentando que la estructura normativa multilateral del comercio facilitó el crecimiento de Singapur, económica y socialmente, desarrollando su PIB exponencialmente y siendo la base de un modelo de crecimiento basado en el aperturismo, el liberalismo económico y la estabilidad institucional. El caso de Singapur muestra el ejemplo de cómo la correcta implementación de los instrumentos regulatorios del comercio internacional pueden ser catalizadores del desarrollo económico, del </w:t>
      </w:r>
      <w:r w:rsidRPr="00095684">
        <w:rPr>
          <w:rFonts w:cs="Times New Roman"/>
          <w:lang w:val="es-ES"/>
        </w:rPr>
        <w:lastRenderedPageBreak/>
        <w:t>posicionamiento favorable en un ecosistema global altamente interconectado y de la integración de economías pequeñas y dependientes del exterior en el sistema internacional, transformando una situación estructuralmente desfavorable en una ventaja competitiva.</w:t>
      </w:r>
    </w:p>
    <w:p w14:paraId="3A55A6DD" w14:textId="6B080EA9" w:rsidR="00DF3250" w:rsidRDefault="00DF3250" w:rsidP="00433904">
      <w:pPr>
        <w:spacing w:line="360" w:lineRule="auto"/>
        <w:rPr>
          <w:rFonts w:cs="Times New Roman"/>
          <w:b/>
          <w:bCs/>
          <w:sz w:val="32"/>
          <w:szCs w:val="32"/>
          <w:lang w:val="es-ES"/>
        </w:rPr>
      </w:pPr>
    </w:p>
    <w:p w14:paraId="160AE455" w14:textId="77777777" w:rsidR="00DF3250" w:rsidRDefault="00DF3250" w:rsidP="00433904">
      <w:pPr>
        <w:spacing w:line="360" w:lineRule="auto"/>
        <w:rPr>
          <w:rFonts w:cs="Times New Roman"/>
          <w:b/>
          <w:bCs/>
          <w:sz w:val="32"/>
          <w:szCs w:val="32"/>
          <w:lang w:val="es-ES"/>
        </w:rPr>
      </w:pPr>
    </w:p>
    <w:p w14:paraId="2FD33D7B" w14:textId="77777777" w:rsidR="00DF3250" w:rsidRDefault="00DF3250" w:rsidP="00433904">
      <w:pPr>
        <w:spacing w:line="360" w:lineRule="auto"/>
        <w:rPr>
          <w:rFonts w:cs="Times New Roman"/>
          <w:b/>
          <w:bCs/>
          <w:sz w:val="32"/>
          <w:szCs w:val="32"/>
          <w:lang w:val="es-ES"/>
        </w:rPr>
      </w:pPr>
    </w:p>
    <w:p w14:paraId="1C03EB05" w14:textId="77777777" w:rsidR="00DF3250" w:rsidRDefault="00DF3250" w:rsidP="00433904">
      <w:pPr>
        <w:spacing w:line="360" w:lineRule="auto"/>
        <w:rPr>
          <w:rFonts w:cs="Times New Roman"/>
          <w:b/>
          <w:bCs/>
          <w:sz w:val="32"/>
          <w:szCs w:val="32"/>
          <w:lang w:val="es-ES"/>
        </w:rPr>
      </w:pPr>
    </w:p>
    <w:p w14:paraId="2A56CE1D" w14:textId="77777777" w:rsidR="00DF3250" w:rsidRDefault="00DF3250" w:rsidP="00433904">
      <w:pPr>
        <w:spacing w:line="360" w:lineRule="auto"/>
        <w:rPr>
          <w:rFonts w:cs="Times New Roman"/>
          <w:b/>
          <w:bCs/>
          <w:sz w:val="32"/>
          <w:szCs w:val="32"/>
          <w:lang w:val="es-ES"/>
        </w:rPr>
      </w:pPr>
    </w:p>
    <w:p w14:paraId="00BFA22F" w14:textId="77777777" w:rsidR="00DF3250" w:rsidRDefault="00DF3250" w:rsidP="00433904">
      <w:pPr>
        <w:spacing w:line="360" w:lineRule="auto"/>
        <w:rPr>
          <w:rFonts w:cs="Times New Roman"/>
          <w:b/>
          <w:bCs/>
          <w:sz w:val="32"/>
          <w:szCs w:val="32"/>
          <w:lang w:val="es-ES"/>
        </w:rPr>
      </w:pPr>
    </w:p>
    <w:p w14:paraId="4FFF3A78" w14:textId="77777777" w:rsidR="00DF3250" w:rsidRDefault="00DF3250" w:rsidP="00433904">
      <w:pPr>
        <w:spacing w:line="360" w:lineRule="auto"/>
        <w:rPr>
          <w:rFonts w:cs="Times New Roman"/>
          <w:b/>
          <w:bCs/>
          <w:sz w:val="32"/>
          <w:szCs w:val="32"/>
          <w:lang w:val="es-ES"/>
        </w:rPr>
      </w:pPr>
    </w:p>
    <w:p w14:paraId="0FD9F452" w14:textId="77777777" w:rsidR="00DF3250" w:rsidRDefault="00DF3250" w:rsidP="00433904">
      <w:pPr>
        <w:spacing w:line="360" w:lineRule="auto"/>
        <w:rPr>
          <w:rFonts w:cs="Times New Roman"/>
          <w:b/>
          <w:bCs/>
          <w:sz w:val="32"/>
          <w:szCs w:val="32"/>
          <w:lang w:val="es-ES"/>
        </w:rPr>
      </w:pPr>
    </w:p>
    <w:p w14:paraId="1316DBAF" w14:textId="77777777" w:rsidR="00DF3250" w:rsidRDefault="00DF3250" w:rsidP="00433904">
      <w:pPr>
        <w:spacing w:line="360" w:lineRule="auto"/>
        <w:rPr>
          <w:rFonts w:cs="Times New Roman"/>
          <w:b/>
          <w:bCs/>
          <w:sz w:val="32"/>
          <w:szCs w:val="32"/>
          <w:lang w:val="es-ES"/>
        </w:rPr>
      </w:pPr>
    </w:p>
    <w:p w14:paraId="02F5F9E5" w14:textId="77777777" w:rsidR="00DF3250" w:rsidRDefault="00DF3250" w:rsidP="00433904">
      <w:pPr>
        <w:spacing w:line="360" w:lineRule="auto"/>
        <w:rPr>
          <w:rFonts w:cs="Times New Roman"/>
          <w:b/>
          <w:bCs/>
          <w:sz w:val="32"/>
          <w:szCs w:val="32"/>
          <w:lang w:val="es-ES"/>
        </w:rPr>
      </w:pPr>
    </w:p>
    <w:p w14:paraId="2A7D5324" w14:textId="77777777" w:rsidR="00DF3250" w:rsidRDefault="00DF3250" w:rsidP="00433904">
      <w:pPr>
        <w:spacing w:line="360" w:lineRule="auto"/>
        <w:rPr>
          <w:rFonts w:cs="Times New Roman"/>
          <w:b/>
          <w:bCs/>
          <w:sz w:val="32"/>
          <w:szCs w:val="32"/>
          <w:lang w:val="es-ES"/>
        </w:rPr>
      </w:pPr>
    </w:p>
    <w:p w14:paraId="71704B0E" w14:textId="77777777" w:rsidR="00DF3250" w:rsidRDefault="00DF3250" w:rsidP="00433904">
      <w:pPr>
        <w:spacing w:line="360" w:lineRule="auto"/>
        <w:rPr>
          <w:rFonts w:cs="Times New Roman"/>
          <w:b/>
          <w:bCs/>
          <w:sz w:val="32"/>
          <w:szCs w:val="32"/>
          <w:lang w:val="es-ES"/>
        </w:rPr>
      </w:pPr>
    </w:p>
    <w:p w14:paraId="191C147E" w14:textId="77777777" w:rsidR="00DF3250" w:rsidRDefault="00DF3250" w:rsidP="00433904">
      <w:pPr>
        <w:spacing w:line="360" w:lineRule="auto"/>
        <w:rPr>
          <w:rFonts w:cs="Times New Roman"/>
          <w:b/>
          <w:bCs/>
          <w:sz w:val="32"/>
          <w:szCs w:val="32"/>
          <w:lang w:val="es-ES"/>
        </w:rPr>
      </w:pPr>
    </w:p>
    <w:p w14:paraId="080689AE" w14:textId="77777777" w:rsidR="00DF3250" w:rsidRDefault="00DF3250" w:rsidP="00433904">
      <w:pPr>
        <w:spacing w:line="360" w:lineRule="auto"/>
        <w:rPr>
          <w:rFonts w:cs="Times New Roman"/>
          <w:b/>
          <w:bCs/>
          <w:sz w:val="32"/>
          <w:szCs w:val="32"/>
          <w:lang w:val="es-ES"/>
        </w:rPr>
      </w:pPr>
    </w:p>
    <w:p w14:paraId="0E8C0BC5" w14:textId="77777777" w:rsidR="00DF3250" w:rsidRDefault="00DF3250" w:rsidP="00433904">
      <w:pPr>
        <w:spacing w:line="360" w:lineRule="auto"/>
        <w:rPr>
          <w:rFonts w:cs="Times New Roman"/>
          <w:b/>
          <w:bCs/>
          <w:sz w:val="32"/>
          <w:szCs w:val="32"/>
          <w:lang w:val="es-ES"/>
        </w:rPr>
      </w:pPr>
    </w:p>
    <w:p w14:paraId="4613AB75" w14:textId="77777777" w:rsidR="00DF3250" w:rsidRDefault="00DF3250" w:rsidP="00433904">
      <w:pPr>
        <w:spacing w:line="360" w:lineRule="auto"/>
        <w:rPr>
          <w:rFonts w:cs="Times New Roman"/>
          <w:b/>
          <w:bCs/>
          <w:sz w:val="32"/>
          <w:szCs w:val="32"/>
          <w:lang w:val="es-ES"/>
        </w:rPr>
      </w:pPr>
    </w:p>
    <w:p w14:paraId="200164C8" w14:textId="77777777" w:rsidR="00DF3250" w:rsidRDefault="00DF3250" w:rsidP="00433904">
      <w:pPr>
        <w:spacing w:line="360" w:lineRule="auto"/>
        <w:rPr>
          <w:rFonts w:cs="Times New Roman"/>
          <w:b/>
          <w:bCs/>
          <w:sz w:val="32"/>
          <w:szCs w:val="32"/>
          <w:lang w:val="es-ES"/>
        </w:rPr>
      </w:pPr>
    </w:p>
    <w:sdt>
      <w:sdtPr>
        <w:rPr>
          <w:rFonts w:ascii="Times New Roman" w:eastAsiaTheme="minorHAnsi" w:hAnsi="Times New Roman" w:cstheme="minorBidi"/>
          <w:color w:val="auto"/>
          <w:kern w:val="2"/>
          <w:sz w:val="24"/>
          <w:szCs w:val="24"/>
          <w:lang w:val="en-AU" w:eastAsia="en-US"/>
          <w14:ligatures w14:val="standardContextual"/>
        </w:rPr>
        <w:id w:val="1463623771"/>
        <w:docPartObj>
          <w:docPartGallery w:val="Table of Contents"/>
          <w:docPartUnique/>
        </w:docPartObj>
      </w:sdtPr>
      <w:sdtEndPr>
        <w:rPr>
          <w:b/>
          <w:bCs/>
        </w:rPr>
      </w:sdtEndPr>
      <w:sdtContent>
        <w:commentRangeStart w:id="5" w:displacedByCustomXml="prev"/>
        <w:p w14:paraId="735A7592" w14:textId="291C98A9" w:rsidR="002A661B" w:rsidRDefault="002B3AA8">
          <w:pPr>
            <w:pStyle w:val="TtuloTDC"/>
            <w:rPr>
              <w:rFonts w:ascii="Times New Roman" w:hAnsi="Times New Roman" w:cs="Times New Roman"/>
              <w:b/>
              <w:bCs/>
              <w:color w:val="auto"/>
              <w:u w:val="single"/>
            </w:rPr>
          </w:pPr>
          <w:r w:rsidRPr="002B3AA8">
            <w:rPr>
              <w:rFonts w:ascii="Times New Roman" w:hAnsi="Times New Roman" w:cs="Times New Roman"/>
              <w:b/>
              <w:bCs/>
              <w:color w:val="auto"/>
              <w:u w:val="single"/>
            </w:rPr>
            <w:t>Índice</w:t>
          </w:r>
          <w:commentRangeEnd w:id="5"/>
          <w:r w:rsidR="006010A9">
            <w:rPr>
              <w:rStyle w:val="Refdecomentario"/>
              <w:rFonts w:ascii="Times New Roman" w:hAnsi="Times New Roman" w:cs="Times New Roman"/>
              <w:b/>
              <w:bCs/>
              <w:color w:val="auto"/>
              <w:sz w:val="32"/>
              <w:szCs w:val="32"/>
              <w:u w:val="single"/>
            </w:rPr>
            <w:commentReference w:id="5"/>
          </w:r>
        </w:p>
        <w:p w14:paraId="59CEC683" w14:textId="77777777" w:rsidR="002B3AA8" w:rsidRPr="002B3AA8" w:rsidRDefault="002B3AA8" w:rsidP="002B3AA8">
          <w:pPr>
            <w:rPr>
              <w:lang w:val="es-ES" w:eastAsia="es-ES"/>
            </w:rPr>
          </w:pPr>
        </w:p>
        <w:p w14:paraId="1C0793F6" w14:textId="6FD8CA73" w:rsidR="00AB7CDB" w:rsidRDefault="002A661B">
          <w:pPr>
            <w:pStyle w:val="TDC1"/>
            <w:tabs>
              <w:tab w:val="right" w:leader="dot" w:pos="8494"/>
            </w:tabs>
            <w:rPr>
              <w:rFonts w:asciiTheme="minorHAnsi" w:eastAsiaTheme="minorEastAsia" w:hAnsiTheme="minorHAnsi"/>
              <w:noProof/>
              <w:lang w:val="es-ES" w:eastAsia="es-ES"/>
            </w:rPr>
          </w:pPr>
          <w:r>
            <w:fldChar w:fldCharType="begin"/>
          </w:r>
          <w:r>
            <w:instrText xml:space="preserve"> TOC \o "1-3" \h \z \u </w:instrText>
          </w:r>
          <w:r>
            <w:fldChar w:fldCharType="separate"/>
          </w:r>
          <w:hyperlink w:anchor="_Toc226749098" w:history="1">
            <w:r w:rsidR="00AB7CDB" w:rsidRPr="00503490">
              <w:rPr>
                <w:rStyle w:val="Hipervnculo"/>
                <w:noProof/>
              </w:rPr>
              <w:t>1. Introducción</w:t>
            </w:r>
            <w:r w:rsidR="00AB7CDB">
              <w:rPr>
                <w:noProof/>
                <w:webHidden/>
              </w:rPr>
              <w:tab/>
            </w:r>
            <w:r w:rsidR="00AB7CDB">
              <w:rPr>
                <w:noProof/>
                <w:webHidden/>
              </w:rPr>
              <w:fldChar w:fldCharType="begin"/>
            </w:r>
            <w:r w:rsidR="00AB7CDB">
              <w:rPr>
                <w:noProof/>
                <w:webHidden/>
              </w:rPr>
              <w:instrText xml:space="preserve"> PAGEREF _Toc226749098 \h </w:instrText>
            </w:r>
            <w:r w:rsidR="00AB7CDB">
              <w:rPr>
                <w:noProof/>
                <w:webHidden/>
              </w:rPr>
            </w:r>
            <w:r w:rsidR="00AB7CDB">
              <w:rPr>
                <w:noProof/>
                <w:webHidden/>
              </w:rPr>
              <w:fldChar w:fldCharType="separate"/>
            </w:r>
            <w:r w:rsidR="00AB7CDB">
              <w:rPr>
                <w:noProof/>
                <w:webHidden/>
              </w:rPr>
              <w:t>6</w:t>
            </w:r>
            <w:r w:rsidR="00AB7CDB">
              <w:rPr>
                <w:noProof/>
                <w:webHidden/>
              </w:rPr>
              <w:fldChar w:fldCharType="end"/>
            </w:r>
          </w:hyperlink>
        </w:p>
        <w:p w14:paraId="69C413F0" w14:textId="03239C25" w:rsidR="00AB7CDB" w:rsidRDefault="00AB7CDB">
          <w:pPr>
            <w:pStyle w:val="TDC2"/>
            <w:tabs>
              <w:tab w:val="right" w:leader="dot" w:pos="8494"/>
            </w:tabs>
            <w:rPr>
              <w:rFonts w:asciiTheme="minorHAnsi" w:eastAsiaTheme="minorEastAsia" w:hAnsiTheme="minorHAnsi"/>
              <w:noProof/>
              <w:lang w:val="es-ES" w:eastAsia="es-ES"/>
            </w:rPr>
          </w:pPr>
          <w:hyperlink w:anchor="_Toc226749099" w:history="1">
            <w:r w:rsidRPr="00503490">
              <w:rPr>
                <w:rStyle w:val="Hipervnculo"/>
                <w:rFonts w:cs="Times New Roman"/>
                <w:b/>
                <w:bCs/>
                <w:noProof/>
                <w:lang w:val="es-ES"/>
              </w:rPr>
              <w:t>1.1. Finalidad, justificación y delimitación de la investigación</w:t>
            </w:r>
            <w:r>
              <w:rPr>
                <w:noProof/>
                <w:webHidden/>
              </w:rPr>
              <w:tab/>
            </w:r>
            <w:r>
              <w:rPr>
                <w:noProof/>
                <w:webHidden/>
              </w:rPr>
              <w:fldChar w:fldCharType="begin"/>
            </w:r>
            <w:r>
              <w:rPr>
                <w:noProof/>
                <w:webHidden/>
              </w:rPr>
              <w:instrText xml:space="preserve"> PAGEREF _Toc226749099 \h </w:instrText>
            </w:r>
            <w:r>
              <w:rPr>
                <w:noProof/>
                <w:webHidden/>
              </w:rPr>
            </w:r>
            <w:r>
              <w:rPr>
                <w:noProof/>
                <w:webHidden/>
              </w:rPr>
              <w:fldChar w:fldCharType="separate"/>
            </w:r>
            <w:r>
              <w:rPr>
                <w:noProof/>
                <w:webHidden/>
              </w:rPr>
              <w:t>6</w:t>
            </w:r>
            <w:r>
              <w:rPr>
                <w:noProof/>
                <w:webHidden/>
              </w:rPr>
              <w:fldChar w:fldCharType="end"/>
            </w:r>
          </w:hyperlink>
        </w:p>
        <w:p w14:paraId="223DDAA5" w14:textId="4C95FA7E" w:rsidR="00AB7CDB" w:rsidRDefault="00AB7CDB">
          <w:pPr>
            <w:pStyle w:val="TDC2"/>
            <w:tabs>
              <w:tab w:val="right" w:leader="dot" w:pos="8494"/>
            </w:tabs>
            <w:rPr>
              <w:rFonts w:asciiTheme="minorHAnsi" w:eastAsiaTheme="minorEastAsia" w:hAnsiTheme="minorHAnsi"/>
              <w:noProof/>
              <w:lang w:val="es-ES" w:eastAsia="es-ES"/>
            </w:rPr>
          </w:pPr>
          <w:hyperlink w:anchor="_Toc226749100" w:history="1">
            <w:r w:rsidRPr="00503490">
              <w:rPr>
                <w:rStyle w:val="Hipervnculo"/>
                <w:rFonts w:cs="Times New Roman"/>
                <w:b/>
                <w:bCs/>
                <w:noProof/>
                <w:lang w:val="es-ES"/>
              </w:rPr>
              <w:t>1.2. Objetivos y preguntas de investigación</w:t>
            </w:r>
            <w:r>
              <w:rPr>
                <w:noProof/>
                <w:webHidden/>
              </w:rPr>
              <w:tab/>
            </w:r>
            <w:r>
              <w:rPr>
                <w:noProof/>
                <w:webHidden/>
              </w:rPr>
              <w:fldChar w:fldCharType="begin"/>
            </w:r>
            <w:r>
              <w:rPr>
                <w:noProof/>
                <w:webHidden/>
              </w:rPr>
              <w:instrText xml:space="preserve"> PAGEREF _Toc226749100 \h </w:instrText>
            </w:r>
            <w:r>
              <w:rPr>
                <w:noProof/>
                <w:webHidden/>
              </w:rPr>
            </w:r>
            <w:r>
              <w:rPr>
                <w:noProof/>
                <w:webHidden/>
              </w:rPr>
              <w:fldChar w:fldCharType="separate"/>
            </w:r>
            <w:r>
              <w:rPr>
                <w:noProof/>
                <w:webHidden/>
              </w:rPr>
              <w:t>8</w:t>
            </w:r>
            <w:r>
              <w:rPr>
                <w:noProof/>
                <w:webHidden/>
              </w:rPr>
              <w:fldChar w:fldCharType="end"/>
            </w:r>
          </w:hyperlink>
        </w:p>
        <w:p w14:paraId="39F9BA78" w14:textId="0BD1A06F" w:rsidR="00AB7CDB" w:rsidRDefault="00AB7CDB">
          <w:pPr>
            <w:pStyle w:val="TDC2"/>
            <w:tabs>
              <w:tab w:val="right" w:leader="dot" w:pos="8494"/>
            </w:tabs>
            <w:rPr>
              <w:rFonts w:asciiTheme="minorHAnsi" w:eastAsiaTheme="minorEastAsia" w:hAnsiTheme="minorHAnsi"/>
              <w:noProof/>
              <w:lang w:val="es-ES" w:eastAsia="es-ES"/>
            </w:rPr>
          </w:pPr>
          <w:hyperlink w:anchor="_Toc226749101" w:history="1">
            <w:r w:rsidRPr="00503490">
              <w:rPr>
                <w:rStyle w:val="Hipervnculo"/>
                <w:rFonts w:cs="Times New Roman"/>
                <w:b/>
                <w:bCs/>
                <w:noProof/>
                <w:lang w:val="es-ES"/>
              </w:rPr>
              <w:t>1.3. Metodología</w:t>
            </w:r>
            <w:r>
              <w:rPr>
                <w:noProof/>
                <w:webHidden/>
              </w:rPr>
              <w:tab/>
            </w:r>
            <w:r>
              <w:rPr>
                <w:noProof/>
                <w:webHidden/>
              </w:rPr>
              <w:fldChar w:fldCharType="begin"/>
            </w:r>
            <w:r>
              <w:rPr>
                <w:noProof/>
                <w:webHidden/>
              </w:rPr>
              <w:instrText xml:space="preserve"> PAGEREF _Toc226749101 \h </w:instrText>
            </w:r>
            <w:r>
              <w:rPr>
                <w:noProof/>
                <w:webHidden/>
              </w:rPr>
            </w:r>
            <w:r>
              <w:rPr>
                <w:noProof/>
                <w:webHidden/>
              </w:rPr>
              <w:fldChar w:fldCharType="separate"/>
            </w:r>
            <w:r>
              <w:rPr>
                <w:noProof/>
                <w:webHidden/>
              </w:rPr>
              <w:t>9</w:t>
            </w:r>
            <w:r>
              <w:rPr>
                <w:noProof/>
                <w:webHidden/>
              </w:rPr>
              <w:fldChar w:fldCharType="end"/>
            </w:r>
          </w:hyperlink>
        </w:p>
        <w:p w14:paraId="3C734EDB" w14:textId="394AB51A" w:rsidR="00AB7CDB" w:rsidRDefault="00AB7CDB">
          <w:pPr>
            <w:pStyle w:val="TDC1"/>
            <w:tabs>
              <w:tab w:val="right" w:leader="dot" w:pos="8494"/>
            </w:tabs>
            <w:rPr>
              <w:rFonts w:asciiTheme="minorHAnsi" w:eastAsiaTheme="minorEastAsia" w:hAnsiTheme="minorHAnsi"/>
              <w:noProof/>
              <w:lang w:val="es-ES" w:eastAsia="es-ES"/>
            </w:rPr>
          </w:pPr>
          <w:hyperlink w:anchor="_Toc226749102" w:history="1">
            <w:r w:rsidRPr="00503490">
              <w:rPr>
                <w:rStyle w:val="Hipervnculo"/>
                <w:noProof/>
              </w:rPr>
              <w:t>2. Estado de la cuestión y marco teórico</w:t>
            </w:r>
            <w:r>
              <w:rPr>
                <w:noProof/>
                <w:webHidden/>
              </w:rPr>
              <w:tab/>
            </w:r>
            <w:r>
              <w:rPr>
                <w:noProof/>
                <w:webHidden/>
              </w:rPr>
              <w:fldChar w:fldCharType="begin"/>
            </w:r>
            <w:r>
              <w:rPr>
                <w:noProof/>
                <w:webHidden/>
              </w:rPr>
              <w:instrText xml:space="preserve"> PAGEREF _Toc226749102 \h </w:instrText>
            </w:r>
            <w:r>
              <w:rPr>
                <w:noProof/>
                <w:webHidden/>
              </w:rPr>
            </w:r>
            <w:r>
              <w:rPr>
                <w:noProof/>
                <w:webHidden/>
              </w:rPr>
              <w:fldChar w:fldCharType="separate"/>
            </w:r>
            <w:r>
              <w:rPr>
                <w:noProof/>
                <w:webHidden/>
              </w:rPr>
              <w:t>11</w:t>
            </w:r>
            <w:r>
              <w:rPr>
                <w:noProof/>
                <w:webHidden/>
              </w:rPr>
              <w:fldChar w:fldCharType="end"/>
            </w:r>
          </w:hyperlink>
        </w:p>
        <w:p w14:paraId="2EA5096B" w14:textId="1C4E90FE" w:rsidR="00AB7CDB" w:rsidRDefault="00AB7CDB">
          <w:pPr>
            <w:pStyle w:val="TDC2"/>
            <w:tabs>
              <w:tab w:val="right" w:leader="dot" w:pos="8494"/>
            </w:tabs>
            <w:rPr>
              <w:rFonts w:asciiTheme="minorHAnsi" w:eastAsiaTheme="minorEastAsia" w:hAnsiTheme="minorHAnsi"/>
              <w:noProof/>
              <w:lang w:val="es-ES" w:eastAsia="es-ES"/>
            </w:rPr>
          </w:pPr>
          <w:hyperlink w:anchor="_Toc226749103" w:history="1">
            <w:r w:rsidRPr="00503490">
              <w:rPr>
                <w:rStyle w:val="Hipervnculo"/>
                <w:rFonts w:cs="Times New Roman"/>
                <w:b/>
                <w:bCs/>
                <w:noProof/>
                <w:lang w:val="es-ES"/>
              </w:rPr>
              <w:t>2.1. Estado de la cuestión</w:t>
            </w:r>
            <w:r>
              <w:rPr>
                <w:noProof/>
                <w:webHidden/>
              </w:rPr>
              <w:tab/>
            </w:r>
            <w:r>
              <w:rPr>
                <w:noProof/>
                <w:webHidden/>
              </w:rPr>
              <w:fldChar w:fldCharType="begin"/>
            </w:r>
            <w:r>
              <w:rPr>
                <w:noProof/>
                <w:webHidden/>
              </w:rPr>
              <w:instrText xml:space="preserve"> PAGEREF _Toc226749103 \h </w:instrText>
            </w:r>
            <w:r>
              <w:rPr>
                <w:noProof/>
                <w:webHidden/>
              </w:rPr>
            </w:r>
            <w:r>
              <w:rPr>
                <w:noProof/>
                <w:webHidden/>
              </w:rPr>
              <w:fldChar w:fldCharType="separate"/>
            </w:r>
            <w:r>
              <w:rPr>
                <w:noProof/>
                <w:webHidden/>
              </w:rPr>
              <w:t>11</w:t>
            </w:r>
            <w:r>
              <w:rPr>
                <w:noProof/>
                <w:webHidden/>
              </w:rPr>
              <w:fldChar w:fldCharType="end"/>
            </w:r>
          </w:hyperlink>
        </w:p>
        <w:p w14:paraId="0C6709E4" w14:textId="339386FF" w:rsidR="00AB7CDB" w:rsidRDefault="00AB7CDB">
          <w:pPr>
            <w:pStyle w:val="TDC2"/>
            <w:tabs>
              <w:tab w:val="right" w:leader="dot" w:pos="8494"/>
            </w:tabs>
            <w:rPr>
              <w:rFonts w:asciiTheme="minorHAnsi" w:eastAsiaTheme="minorEastAsia" w:hAnsiTheme="minorHAnsi"/>
              <w:noProof/>
              <w:lang w:val="es-ES" w:eastAsia="es-ES"/>
            </w:rPr>
          </w:pPr>
          <w:hyperlink w:anchor="_Toc226749104" w:history="1">
            <w:r w:rsidRPr="00503490">
              <w:rPr>
                <w:rStyle w:val="Hipervnculo"/>
                <w:rFonts w:cs="Times New Roman"/>
                <w:b/>
                <w:bCs/>
                <w:noProof/>
                <w:lang w:val="es-ES"/>
              </w:rPr>
              <w:t>2.2. Marco teórico</w:t>
            </w:r>
            <w:r>
              <w:rPr>
                <w:noProof/>
                <w:webHidden/>
              </w:rPr>
              <w:tab/>
            </w:r>
            <w:r>
              <w:rPr>
                <w:noProof/>
                <w:webHidden/>
              </w:rPr>
              <w:fldChar w:fldCharType="begin"/>
            </w:r>
            <w:r>
              <w:rPr>
                <w:noProof/>
                <w:webHidden/>
              </w:rPr>
              <w:instrText xml:space="preserve"> PAGEREF _Toc226749104 \h </w:instrText>
            </w:r>
            <w:r>
              <w:rPr>
                <w:noProof/>
                <w:webHidden/>
              </w:rPr>
            </w:r>
            <w:r>
              <w:rPr>
                <w:noProof/>
                <w:webHidden/>
              </w:rPr>
              <w:fldChar w:fldCharType="separate"/>
            </w:r>
            <w:r>
              <w:rPr>
                <w:noProof/>
                <w:webHidden/>
              </w:rPr>
              <w:t>13</w:t>
            </w:r>
            <w:r>
              <w:rPr>
                <w:noProof/>
                <w:webHidden/>
              </w:rPr>
              <w:fldChar w:fldCharType="end"/>
            </w:r>
          </w:hyperlink>
        </w:p>
        <w:p w14:paraId="67F33642" w14:textId="74E21393" w:rsidR="00AB7CDB" w:rsidRDefault="00AB7CDB">
          <w:pPr>
            <w:pStyle w:val="TDC1"/>
            <w:tabs>
              <w:tab w:val="right" w:leader="dot" w:pos="8494"/>
            </w:tabs>
            <w:rPr>
              <w:rFonts w:asciiTheme="minorHAnsi" w:eastAsiaTheme="minorEastAsia" w:hAnsiTheme="minorHAnsi"/>
              <w:noProof/>
              <w:lang w:val="es-ES" w:eastAsia="es-ES"/>
            </w:rPr>
          </w:pPr>
          <w:hyperlink w:anchor="_Toc226749105" w:history="1">
            <w:r w:rsidRPr="00503490">
              <w:rPr>
                <w:rStyle w:val="Hipervnculo"/>
                <w:noProof/>
              </w:rPr>
              <w:t>3. Antecedentes: La vulnerabilidad previa a la inserción global</w:t>
            </w:r>
            <w:r>
              <w:rPr>
                <w:noProof/>
                <w:webHidden/>
              </w:rPr>
              <w:tab/>
            </w:r>
            <w:r>
              <w:rPr>
                <w:noProof/>
                <w:webHidden/>
              </w:rPr>
              <w:fldChar w:fldCharType="begin"/>
            </w:r>
            <w:r>
              <w:rPr>
                <w:noProof/>
                <w:webHidden/>
              </w:rPr>
              <w:instrText xml:space="preserve"> PAGEREF _Toc226749105 \h </w:instrText>
            </w:r>
            <w:r>
              <w:rPr>
                <w:noProof/>
                <w:webHidden/>
              </w:rPr>
            </w:r>
            <w:r>
              <w:rPr>
                <w:noProof/>
                <w:webHidden/>
              </w:rPr>
              <w:fldChar w:fldCharType="separate"/>
            </w:r>
            <w:r>
              <w:rPr>
                <w:noProof/>
                <w:webHidden/>
              </w:rPr>
              <w:t>21</w:t>
            </w:r>
            <w:r>
              <w:rPr>
                <w:noProof/>
                <w:webHidden/>
              </w:rPr>
              <w:fldChar w:fldCharType="end"/>
            </w:r>
          </w:hyperlink>
        </w:p>
        <w:p w14:paraId="78757849" w14:textId="02925787" w:rsidR="00AB7CDB" w:rsidRDefault="00AB7CDB">
          <w:pPr>
            <w:pStyle w:val="TDC2"/>
            <w:tabs>
              <w:tab w:val="right" w:leader="dot" w:pos="8494"/>
            </w:tabs>
            <w:rPr>
              <w:rFonts w:asciiTheme="minorHAnsi" w:eastAsiaTheme="minorEastAsia" w:hAnsiTheme="minorHAnsi"/>
              <w:noProof/>
              <w:lang w:val="es-ES" w:eastAsia="es-ES"/>
            </w:rPr>
          </w:pPr>
          <w:hyperlink w:anchor="_Toc226749106" w:history="1">
            <w:r w:rsidRPr="00503490">
              <w:rPr>
                <w:rStyle w:val="Hipervnculo"/>
                <w:rFonts w:cs="Times New Roman"/>
                <w:b/>
                <w:bCs/>
                <w:noProof/>
                <w:lang w:val="es-ES"/>
              </w:rPr>
              <w:t xml:space="preserve">3.1. El legado colonial y el comercio de </w:t>
            </w:r>
            <w:r w:rsidRPr="00503490">
              <w:rPr>
                <w:rStyle w:val="Hipervnculo"/>
                <w:rFonts w:cs="Times New Roman"/>
                <w:b/>
                <w:bCs/>
                <w:i/>
                <w:iCs/>
                <w:noProof/>
                <w:lang w:val="es-ES"/>
              </w:rPr>
              <w:t>entrepôt</w:t>
            </w:r>
            <w:r>
              <w:rPr>
                <w:noProof/>
                <w:webHidden/>
              </w:rPr>
              <w:tab/>
            </w:r>
            <w:r>
              <w:rPr>
                <w:noProof/>
                <w:webHidden/>
              </w:rPr>
              <w:fldChar w:fldCharType="begin"/>
            </w:r>
            <w:r>
              <w:rPr>
                <w:noProof/>
                <w:webHidden/>
              </w:rPr>
              <w:instrText xml:space="preserve"> PAGEREF _Toc226749106 \h </w:instrText>
            </w:r>
            <w:r>
              <w:rPr>
                <w:noProof/>
                <w:webHidden/>
              </w:rPr>
            </w:r>
            <w:r>
              <w:rPr>
                <w:noProof/>
                <w:webHidden/>
              </w:rPr>
              <w:fldChar w:fldCharType="separate"/>
            </w:r>
            <w:r>
              <w:rPr>
                <w:noProof/>
                <w:webHidden/>
              </w:rPr>
              <w:t>21</w:t>
            </w:r>
            <w:r>
              <w:rPr>
                <w:noProof/>
                <w:webHidden/>
              </w:rPr>
              <w:fldChar w:fldCharType="end"/>
            </w:r>
          </w:hyperlink>
        </w:p>
        <w:p w14:paraId="4D948174" w14:textId="518F64DC" w:rsidR="00AB7CDB" w:rsidRDefault="00AB7CDB">
          <w:pPr>
            <w:pStyle w:val="TDC2"/>
            <w:tabs>
              <w:tab w:val="right" w:leader="dot" w:pos="8494"/>
            </w:tabs>
            <w:rPr>
              <w:rFonts w:asciiTheme="minorHAnsi" w:eastAsiaTheme="minorEastAsia" w:hAnsiTheme="minorHAnsi"/>
              <w:noProof/>
              <w:lang w:val="es-ES" w:eastAsia="es-ES"/>
            </w:rPr>
          </w:pPr>
          <w:hyperlink w:anchor="_Toc226749107" w:history="1">
            <w:r w:rsidRPr="00503490">
              <w:rPr>
                <w:rStyle w:val="Hipervnculo"/>
                <w:rFonts w:cs="Times New Roman"/>
                <w:b/>
                <w:bCs/>
                <w:noProof/>
                <w:lang w:val="es-ES"/>
              </w:rPr>
              <w:t xml:space="preserve">3.2. La crisis de supervivencia: la Federación Malaya, la </w:t>
            </w:r>
            <w:r w:rsidRPr="00503490">
              <w:rPr>
                <w:rStyle w:val="Hipervnculo"/>
                <w:rFonts w:cs="Times New Roman"/>
                <w:b/>
                <w:bCs/>
                <w:i/>
                <w:iCs/>
                <w:noProof/>
                <w:lang w:val="es-ES"/>
              </w:rPr>
              <w:t>Konfrontasi</w:t>
            </w:r>
            <w:r w:rsidRPr="00503490">
              <w:rPr>
                <w:rStyle w:val="Hipervnculo"/>
                <w:rFonts w:cs="Times New Roman"/>
                <w:b/>
                <w:bCs/>
                <w:noProof/>
                <w:lang w:val="es-ES"/>
              </w:rPr>
              <w:t xml:space="preserve"> y la fractura política</w:t>
            </w:r>
            <w:r>
              <w:rPr>
                <w:noProof/>
                <w:webHidden/>
              </w:rPr>
              <w:tab/>
            </w:r>
            <w:r>
              <w:rPr>
                <w:noProof/>
                <w:webHidden/>
              </w:rPr>
              <w:fldChar w:fldCharType="begin"/>
            </w:r>
            <w:r>
              <w:rPr>
                <w:noProof/>
                <w:webHidden/>
              </w:rPr>
              <w:instrText xml:space="preserve"> PAGEREF _Toc226749107 \h </w:instrText>
            </w:r>
            <w:r>
              <w:rPr>
                <w:noProof/>
                <w:webHidden/>
              </w:rPr>
            </w:r>
            <w:r>
              <w:rPr>
                <w:noProof/>
                <w:webHidden/>
              </w:rPr>
              <w:fldChar w:fldCharType="separate"/>
            </w:r>
            <w:r>
              <w:rPr>
                <w:noProof/>
                <w:webHidden/>
              </w:rPr>
              <w:t>21</w:t>
            </w:r>
            <w:r>
              <w:rPr>
                <w:noProof/>
                <w:webHidden/>
              </w:rPr>
              <w:fldChar w:fldCharType="end"/>
            </w:r>
          </w:hyperlink>
        </w:p>
        <w:p w14:paraId="55371F93" w14:textId="4D019BB2" w:rsidR="00AB7CDB" w:rsidRDefault="00AB7CDB">
          <w:pPr>
            <w:pStyle w:val="TDC2"/>
            <w:tabs>
              <w:tab w:val="right" w:leader="dot" w:pos="8494"/>
            </w:tabs>
            <w:rPr>
              <w:rFonts w:asciiTheme="minorHAnsi" w:eastAsiaTheme="minorEastAsia" w:hAnsiTheme="minorHAnsi"/>
              <w:noProof/>
              <w:lang w:val="es-ES" w:eastAsia="es-ES"/>
            </w:rPr>
          </w:pPr>
          <w:hyperlink w:anchor="_Toc226749108" w:history="1">
            <w:r w:rsidRPr="00503490">
              <w:rPr>
                <w:rStyle w:val="Hipervnculo"/>
                <w:rFonts w:cs="Times New Roman"/>
                <w:b/>
                <w:bCs/>
                <w:noProof/>
                <w:lang w:val="es-ES"/>
              </w:rPr>
              <w:t>3.3. La reorientación estructural de 1965: de la crisis al modelo de inversión extranjera</w:t>
            </w:r>
            <w:r>
              <w:rPr>
                <w:noProof/>
                <w:webHidden/>
              </w:rPr>
              <w:tab/>
            </w:r>
            <w:r>
              <w:rPr>
                <w:noProof/>
                <w:webHidden/>
              </w:rPr>
              <w:fldChar w:fldCharType="begin"/>
            </w:r>
            <w:r>
              <w:rPr>
                <w:noProof/>
                <w:webHidden/>
              </w:rPr>
              <w:instrText xml:space="preserve"> PAGEREF _Toc226749108 \h </w:instrText>
            </w:r>
            <w:r>
              <w:rPr>
                <w:noProof/>
                <w:webHidden/>
              </w:rPr>
            </w:r>
            <w:r>
              <w:rPr>
                <w:noProof/>
                <w:webHidden/>
              </w:rPr>
              <w:fldChar w:fldCharType="separate"/>
            </w:r>
            <w:r>
              <w:rPr>
                <w:noProof/>
                <w:webHidden/>
              </w:rPr>
              <w:t>23</w:t>
            </w:r>
            <w:r>
              <w:rPr>
                <w:noProof/>
                <w:webHidden/>
              </w:rPr>
              <w:fldChar w:fldCharType="end"/>
            </w:r>
          </w:hyperlink>
        </w:p>
        <w:p w14:paraId="3EC31B7A" w14:textId="244D624B" w:rsidR="00AB7CDB" w:rsidRDefault="00AB7CDB">
          <w:pPr>
            <w:pStyle w:val="TDC1"/>
            <w:tabs>
              <w:tab w:val="right" w:leader="dot" w:pos="8494"/>
            </w:tabs>
            <w:rPr>
              <w:rFonts w:asciiTheme="minorHAnsi" w:eastAsiaTheme="minorEastAsia" w:hAnsiTheme="minorHAnsi"/>
              <w:noProof/>
              <w:lang w:val="es-ES" w:eastAsia="es-ES"/>
            </w:rPr>
          </w:pPr>
          <w:hyperlink w:anchor="_Toc226749109" w:history="1">
            <w:r w:rsidRPr="00503490">
              <w:rPr>
                <w:rStyle w:val="Hipervnculo"/>
                <w:noProof/>
              </w:rPr>
              <w:t>4. Análisis GATT: La Construcción del Ecosistema Industrial y Logístico</w:t>
            </w:r>
            <w:r>
              <w:rPr>
                <w:noProof/>
                <w:webHidden/>
              </w:rPr>
              <w:tab/>
            </w:r>
            <w:r>
              <w:rPr>
                <w:noProof/>
                <w:webHidden/>
              </w:rPr>
              <w:fldChar w:fldCharType="begin"/>
            </w:r>
            <w:r>
              <w:rPr>
                <w:noProof/>
                <w:webHidden/>
              </w:rPr>
              <w:instrText xml:space="preserve"> PAGEREF _Toc226749109 \h </w:instrText>
            </w:r>
            <w:r>
              <w:rPr>
                <w:noProof/>
                <w:webHidden/>
              </w:rPr>
            </w:r>
            <w:r>
              <w:rPr>
                <w:noProof/>
                <w:webHidden/>
              </w:rPr>
              <w:fldChar w:fldCharType="separate"/>
            </w:r>
            <w:r>
              <w:rPr>
                <w:noProof/>
                <w:webHidden/>
              </w:rPr>
              <w:t>25</w:t>
            </w:r>
            <w:r>
              <w:rPr>
                <w:noProof/>
                <w:webHidden/>
              </w:rPr>
              <w:fldChar w:fldCharType="end"/>
            </w:r>
          </w:hyperlink>
        </w:p>
        <w:p w14:paraId="5E01DF53" w14:textId="40E16984" w:rsidR="00AB7CDB" w:rsidRDefault="00AB7CDB">
          <w:pPr>
            <w:pStyle w:val="TDC2"/>
            <w:tabs>
              <w:tab w:val="right" w:leader="dot" w:pos="8494"/>
            </w:tabs>
            <w:rPr>
              <w:rFonts w:asciiTheme="minorHAnsi" w:eastAsiaTheme="minorEastAsia" w:hAnsiTheme="minorHAnsi"/>
              <w:noProof/>
              <w:lang w:val="es-ES" w:eastAsia="es-ES"/>
            </w:rPr>
          </w:pPr>
          <w:hyperlink w:anchor="_Toc226749110" w:history="1">
            <w:r w:rsidRPr="00503490">
              <w:rPr>
                <w:rStyle w:val="Hipervnculo"/>
                <w:rFonts w:cs="Times New Roman"/>
                <w:b/>
                <w:bCs/>
                <w:noProof/>
                <w:lang w:val="es-ES"/>
              </w:rPr>
              <w:t>4.1. Facilitación del comercio y aduanas</w:t>
            </w:r>
            <w:r>
              <w:rPr>
                <w:noProof/>
                <w:webHidden/>
              </w:rPr>
              <w:tab/>
            </w:r>
            <w:r>
              <w:rPr>
                <w:noProof/>
                <w:webHidden/>
              </w:rPr>
              <w:fldChar w:fldCharType="begin"/>
            </w:r>
            <w:r>
              <w:rPr>
                <w:noProof/>
                <w:webHidden/>
              </w:rPr>
              <w:instrText xml:space="preserve"> PAGEREF _Toc226749110 \h </w:instrText>
            </w:r>
            <w:r>
              <w:rPr>
                <w:noProof/>
                <w:webHidden/>
              </w:rPr>
            </w:r>
            <w:r>
              <w:rPr>
                <w:noProof/>
                <w:webHidden/>
              </w:rPr>
              <w:fldChar w:fldCharType="separate"/>
            </w:r>
            <w:r>
              <w:rPr>
                <w:noProof/>
                <w:webHidden/>
              </w:rPr>
              <w:t>26</w:t>
            </w:r>
            <w:r>
              <w:rPr>
                <w:noProof/>
                <w:webHidden/>
              </w:rPr>
              <w:fldChar w:fldCharType="end"/>
            </w:r>
          </w:hyperlink>
        </w:p>
        <w:p w14:paraId="08E1625A" w14:textId="018B9E7D" w:rsidR="00AB7CDB" w:rsidRDefault="00AB7CDB">
          <w:pPr>
            <w:pStyle w:val="TDC2"/>
            <w:tabs>
              <w:tab w:val="right" w:leader="dot" w:pos="8494"/>
            </w:tabs>
            <w:rPr>
              <w:rFonts w:asciiTheme="minorHAnsi" w:eastAsiaTheme="minorEastAsia" w:hAnsiTheme="minorHAnsi"/>
              <w:noProof/>
              <w:lang w:val="es-ES" w:eastAsia="es-ES"/>
            </w:rPr>
          </w:pPr>
          <w:hyperlink w:anchor="_Toc226749111" w:history="1">
            <w:r w:rsidRPr="00503490">
              <w:rPr>
                <w:rStyle w:val="Hipervnculo"/>
                <w:rFonts w:cs="Times New Roman"/>
                <w:b/>
                <w:bCs/>
                <w:noProof/>
                <w:lang w:val="es-ES"/>
              </w:rPr>
              <w:t>4.2. La inserción en las cadenas de valor: Normas de origen y libre comercio.</w:t>
            </w:r>
            <w:r>
              <w:rPr>
                <w:noProof/>
                <w:webHidden/>
              </w:rPr>
              <w:tab/>
            </w:r>
            <w:r>
              <w:rPr>
                <w:noProof/>
                <w:webHidden/>
              </w:rPr>
              <w:fldChar w:fldCharType="begin"/>
            </w:r>
            <w:r>
              <w:rPr>
                <w:noProof/>
                <w:webHidden/>
              </w:rPr>
              <w:instrText xml:space="preserve"> PAGEREF _Toc226749111 \h </w:instrText>
            </w:r>
            <w:r>
              <w:rPr>
                <w:noProof/>
                <w:webHidden/>
              </w:rPr>
            </w:r>
            <w:r>
              <w:rPr>
                <w:noProof/>
                <w:webHidden/>
              </w:rPr>
              <w:fldChar w:fldCharType="separate"/>
            </w:r>
            <w:r>
              <w:rPr>
                <w:noProof/>
                <w:webHidden/>
              </w:rPr>
              <w:t>28</w:t>
            </w:r>
            <w:r>
              <w:rPr>
                <w:noProof/>
                <w:webHidden/>
              </w:rPr>
              <w:fldChar w:fldCharType="end"/>
            </w:r>
          </w:hyperlink>
        </w:p>
        <w:p w14:paraId="4986B916" w14:textId="4D9D09D8" w:rsidR="00AB7CDB" w:rsidRDefault="00AB7CDB">
          <w:pPr>
            <w:pStyle w:val="TDC2"/>
            <w:tabs>
              <w:tab w:val="right" w:leader="dot" w:pos="8494"/>
            </w:tabs>
            <w:rPr>
              <w:rFonts w:asciiTheme="minorHAnsi" w:eastAsiaTheme="minorEastAsia" w:hAnsiTheme="minorHAnsi"/>
              <w:noProof/>
              <w:lang w:val="es-ES" w:eastAsia="es-ES"/>
            </w:rPr>
          </w:pPr>
          <w:hyperlink w:anchor="_Toc226749112" w:history="1">
            <w:r w:rsidRPr="00503490">
              <w:rPr>
                <w:rStyle w:val="Hipervnculo"/>
                <w:rFonts w:cs="Times New Roman"/>
                <w:b/>
                <w:bCs/>
                <w:noProof/>
                <w:lang w:val="es-ES"/>
              </w:rPr>
              <w:t>4.3. Garantías de libre mercado: Empresas Comerciales del Estado y competencia</w:t>
            </w:r>
            <w:r>
              <w:rPr>
                <w:noProof/>
                <w:webHidden/>
              </w:rPr>
              <w:tab/>
            </w:r>
            <w:r>
              <w:rPr>
                <w:noProof/>
                <w:webHidden/>
              </w:rPr>
              <w:fldChar w:fldCharType="begin"/>
            </w:r>
            <w:r>
              <w:rPr>
                <w:noProof/>
                <w:webHidden/>
              </w:rPr>
              <w:instrText xml:space="preserve"> PAGEREF _Toc226749112 \h </w:instrText>
            </w:r>
            <w:r>
              <w:rPr>
                <w:noProof/>
                <w:webHidden/>
              </w:rPr>
            </w:r>
            <w:r>
              <w:rPr>
                <w:noProof/>
                <w:webHidden/>
              </w:rPr>
              <w:fldChar w:fldCharType="separate"/>
            </w:r>
            <w:r>
              <w:rPr>
                <w:noProof/>
                <w:webHidden/>
              </w:rPr>
              <w:t>31</w:t>
            </w:r>
            <w:r>
              <w:rPr>
                <w:noProof/>
                <w:webHidden/>
              </w:rPr>
              <w:fldChar w:fldCharType="end"/>
            </w:r>
          </w:hyperlink>
        </w:p>
        <w:p w14:paraId="50776924" w14:textId="465A01CC" w:rsidR="00AB7CDB" w:rsidRDefault="00AB7CDB">
          <w:pPr>
            <w:pStyle w:val="TDC1"/>
            <w:tabs>
              <w:tab w:val="right" w:leader="dot" w:pos="8494"/>
            </w:tabs>
            <w:rPr>
              <w:rFonts w:asciiTheme="minorHAnsi" w:eastAsiaTheme="minorEastAsia" w:hAnsiTheme="minorHAnsi"/>
              <w:noProof/>
              <w:lang w:val="es-ES" w:eastAsia="es-ES"/>
            </w:rPr>
          </w:pPr>
          <w:hyperlink w:anchor="_Toc226749113" w:history="1">
            <w:r w:rsidRPr="00503490">
              <w:rPr>
                <w:rStyle w:val="Hipervnculo"/>
                <w:noProof/>
              </w:rPr>
              <w:t xml:space="preserve">5. Análisis GATS: La Consolidación del </w:t>
            </w:r>
            <w:r w:rsidRPr="00503490">
              <w:rPr>
                <w:rStyle w:val="Hipervnculo"/>
                <w:i/>
                <w:iCs/>
                <w:noProof/>
              </w:rPr>
              <w:t>Hub</w:t>
            </w:r>
            <w:r w:rsidRPr="00503490">
              <w:rPr>
                <w:rStyle w:val="Hipervnculo"/>
                <w:noProof/>
              </w:rPr>
              <w:t xml:space="preserve"> Financiero y Legal</w:t>
            </w:r>
            <w:r>
              <w:rPr>
                <w:noProof/>
                <w:webHidden/>
              </w:rPr>
              <w:tab/>
            </w:r>
            <w:r>
              <w:rPr>
                <w:noProof/>
                <w:webHidden/>
              </w:rPr>
              <w:fldChar w:fldCharType="begin"/>
            </w:r>
            <w:r>
              <w:rPr>
                <w:noProof/>
                <w:webHidden/>
              </w:rPr>
              <w:instrText xml:space="preserve"> PAGEREF _Toc226749113 \h </w:instrText>
            </w:r>
            <w:r>
              <w:rPr>
                <w:noProof/>
                <w:webHidden/>
              </w:rPr>
            </w:r>
            <w:r>
              <w:rPr>
                <w:noProof/>
                <w:webHidden/>
              </w:rPr>
              <w:fldChar w:fldCharType="separate"/>
            </w:r>
            <w:r>
              <w:rPr>
                <w:noProof/>
                <w:webHidden/>
              </w:rPr>
              <w:t>33</w:t>
            </w:r>
            <w:r>
              <w:rPr>
                <w:noProof/>
                <w:webHidden/>
              </w:rPr>
              <w:fldChar w:fldCharType="end"/>
            </w:r>
          </w:hyperlink>
        </w:p>
        <w:p w14:paraId="1009765A" w14:textId="58219C64" w:rsidR="00AB7CDB" w:rsidRDefault="00AB7CDB">
          <w:pPr>
            <w:pStyle w:val="TDC2"/>
            <w:tabs>
              <w:tab w:val="right" w:leader="dot" w:pos="8494"/>
            </w:tabs>
            <w:rPr>
              <w:rFonts w:asciiTheme="minorHAnsi" w:eastAsiaTheme="minorEastAsia" w:hAnsiTheme="minorHAnsi"/>
              <w:noProof/>
              <w:lang w:val="es-ES" w:eastAsia="es-ES"/>
            </w:rPr>
          </w:pPr>
          <w:hyperlink w:anchor="_Toc226749114" w:history="1">
            <w:r w:rsidRPr="00503490">
              <w:rPr>
                <w:rStyle w:val="Hipervnculo"/>
                <w:rFonts w:cs="Times New Roman"/>
                <w:b/>
                <w:bCs/>
                <w:noProof/>
                <w:lang w:val="es-ES"/>
              </w:rPr>
              <w:t>5.1. La mercantilización de la justicia: Servicios legales y Arbitraje Internacional</w:t>
            </w:r>
            <w:r>
              <w:rPr>
                <w:noProof/>
                <w:webHidden/>
              </w:rPr>
              <w:tab/>
            </w:r>
            <w:r>
              <w:rPr>
                <w:noProof/>
                <w:webHidden/>
              </w:rPr>
              <w:fldChar w:fldCharType="begin"/>
            </w:r>
            <w:r>
              <w:rPr>
                <w:noProof/>
                <w:webHidden/>
              </w:rPr>
              <w:instrText xml:space="preserve"> PAGEREF _Toc226749114 \h </w:instrText>
            </w:r>
            <w:r>
              <w:rPr>
                <w:noProof/>
                <w:webHidden/>
              </w:rPr>
            </w:r>
            <w:r>
              <w:rPr>
                <w:noProof/>
                <w:webHidden/>
              </w:rPr>
              <w:fldChar w:fldCharType="separate"/>
            </w:r>
            <w:r>
              <w:rPr>
                <w:noProof/>
                <w:webHidden/>
              </w:rPr>
              <w:t>33</w:t>
            </w:r>
            <w:r>
              <w:rPr>
                <w:noProof/>
                <w:webHidden/>
              </w:rPr>
              <w:fldChar w:fldCharType="end"/>
            </w:r>
          </w:hyperlink>
        </w:p>
        <w:p w14:paraId="560E203A" w14:textId="7E2FCA05" w:rsidR="00AB7CDB" w:rsidRDefault="00AB7CDB">
          <w:pPr>
            <w:pStyle w:val="TDC2"/>
            <w:tabs>
              <w:tab w:val="right" w:leader="dot" w:pos="8494"/>
            </w:tabs>
            <w:rPr>
              <w:rFonts w:asciiTheme="minorHAnsi" w:eastAsiaTheme="minorEastAsia" w:hAnsiTheme="minorHAnsi"/>
              <w:noProof/>
              <w:lang w:val="es-ES" w:eastAsia="es-ES"/>
            </w:rPr>
          </w:pPr>
          <w:hyperlink w:anchor="_Toc226749115" w:history="1">
            <w:r w:rsidRPr="00503490">
              <w:rPr>
                <w:rStyle w:val="Hipervnculo"/>
                <w:rFonts w:cs="Times New Roman"/>
                <w:b/>
                <w:bCs/>
                <w:noProof/>
                <w:lang w:val="es-ES"/>
              </w:rPr>
              <w:t>5.2. Servicios financieros y bancarios: la presencia comercial</w:t>
            </w:r>
            <w:r>
              <w:rPr>
                <w:noProof/>
                <w:webHidden/>
              </w:rPr>
              <w:tab/>
            </w:r>
            <w:r>
              <w:rPr>
                <w:noProof/>
                <w:webHidden/>
              </w:rPr>
              <w:fldChar w:fldCharType="begin"/>
            </w:r>
            <w:r>
              <w:rPr>
                <w:noProof/>
                <w:webHidden/>
              </w:rPr>
              <w:instrText xml:space="preserve"> PAGEREF _Toc226749115 \h </w:instrText>
            </w:r>
            <w:r>
              <w:rPr>
                <w:noProof/>
                <w:webHidden/>
              </w:rPr>
            </w:r>
            <w:r>
              <w:rPr>
                <w:noProof/>
                <w:webHidden/>
              </w:rPr>
              <w:fldChar w:fldCharType="separate"/>
            </w:r>
            <w:r>
              <w:rPr>
                <w:noProof/>
                <w:webHidden/>
              </w:rPr>
              <w:t>33</w:t>
            </w:r>
            <w:r>
              <w:rPr>
                <w:noProof/>
                <w:webHidden/>
              </w:rPr>
              <w:fldChar w:fldCharType="end"/>
            </w:r>
          </w:hyperlink>
        </w:p>
        <w:p w14:paraId="76F7407C" w14:textId="0B1A0CCE" w:rsidR="00AB7CDB" w:rsidRDefault="00AB7CDB">
          <w:pPr>
            <w:pStyle w:val="TDC2"/>
            <w:tabs>
              <w:tab w:val="right" w:leader="dot" w:pos="8494"/>
            </w:tabs>
            <w:rPr>
              <w:rFonts w:asciiTheme="minorHAnsi" w:eastAsiaTheme="minorEastAsia" w:hAnsiTheme="minorHAnsi"/>
              <w:noProof/>
              <w:lang w:val="es-ES" w:eastAsia="es-ES"/>
            </w:rPr>
          </w:pPr>
          <w:hyperlink w:anchor="_Toc226749116" w:history="1">
            <w:r w:rsidRPr="00503490">
              <w:rPr>
                <w:rStyle w:val="Hipervnculo"/>
                <w:rFonts w:cs="Times New Roman"/>
                <w:b/>
                <w:bCs/>
                <w:noProof/>
                <w:lang w:val="es-ES"/>
              </w:rPr>
              <w:t>5.3. Imperativo demográfico: Movimiento de personas físicas y talento</w:t>
            </w:r>
            <w:r>
              <w:rPr>
                <w:noProof/>
                <w:webHidden/>
              </w:rPr>
              <w:tab/>
            </w:r>
            <w:r>
              <w:rPr>
                <w:noProof/>
                <w:webHidden/>
              </w:rPr>
              <w:fldChar w:fldCharType="begin"/>
            </w:r>
            <w:r>
              <w:rPr>
                <w:noProof/>
                <w:webHidden/>
              </w:rPr>
              <w:instrText xml:space="preserve"> PAGEREF _Toc226749116 \h </w:instrText>
            </w:r>
            <w:r>
              <w:rPr>
                <w:noProof/>
                <w:webHidden/>
              </w:rPr>
            </w:r>
            <w:r>
              <w:rPr>
                <w:noProof/>
                <w:webHidden/>
              </w:rPr>
              <w:fldChar w:fldCharType="separate"/>
            </w:r>
            <w:r>
              <w:rPr>
                <w:noProof/>
                <w:webHidden/>
              </w:rPr>
              <w:t>33</w:t>
            </w:r>
            <w:r>
              <w:rPr>
                <w:noProof/>
                <w:webHidden/>
              </w:rPr>
              <w:fldChar w:fldCharType="end"/>
            </w:r>
          </w:hyperlink>
        </w:p>
        <w:p w14:paraId="0671D913" w14:textId="59BCCFA7" w:rsidR="00AB7CDB" w:rsidRDefault="00AB7CDB">
          <w:pPr>
            <w:pStyle w:val="TDC1"/>
            <w:tabs>
              <w:tab w:val="right" w:leader="dot" w:pos="8494"/>
            </w:tabs>
            <w:rPr>
              <w:rFonts w:asciiTheme="minorHAnsi" w:eastAsiaTheme="minorEastAsia" w:hAnsiTheme="minorHAnsi"/>
              <w:noProof/>
              <w:lang w:val="es-ES" w:eastAsia="es-ES"/>
            </w:rPr>
          </w:pPr>
          <w:hyperlink w:anchor="_Toc226749117" w:history="1">
            <w:r w:rsidRPr="00503490">
              <w:rPr>
                <w:rStyle w:val="Hipervnculo"/>
                <w:noProof/>
              </w:rPr>
              <w:t>6. Discusión y Evaluación crítica</w:t>
            </w:r>
            <w:r>
              <w:rPr>
                <w:noProof/>
                <w:webHidden/>
              </w:rPr>
              <w:tab/>
            </w:r>
            <w:r>
              <w:rPr>
                <w:noProof/>
                <w:webHidden/>
              </w:rPr>
              <w:fldChar w:fldCharType="begin"/>
            </w:r>
            <w:r>
              <w:rPr>
                <w:noProof/>
                <w:webHidden/>
              </w:rPr>
              <w:instrText xml:space="preserve"> PAGEREF _Toc226749117 \h </w:instrText>
            </w:r>
            <w:r>
              <w:rPr>
                <w:noProof/>
                <w:webHidden/>
              </w:rPr>
            </w:r>
            <w:r>
              <w:rPr>
                <w:noProof/>
                <w:webHidden/>
              </w:rPr>
              <w:fldChar w:fldCharType="separate"/>
            </w:r>
            <w:r>
              <w:rPr>
                <w:noProof/>
                <w:webHidden/>
              </w:rPr>
              <w:t>34</w:t>
            </w:r>
            <w:r>
              <w:rPr>
                <w:noProof/>
                <w:webHidden/>
              </w:rPr>
              <w:fldChar w:fldCharType="end"/>
            </w:r>
          </w:hyperlink>
        </w:p>
        <w:p w14:paraId="58A1637A" w14:textId="64F47FAD" w:rsidR="00AB7CDB" w:rsidRDefault="00AB7CDB">
          <w:pPr>
            <w:pStyle w:val="TDC2"/>
            <w:tabs>
              <w:tab w:val="right" w:leader="dot" w:pos="8494"/>
            </w:tabs>
            <w:rPr>
              <w:rFonts w:asciiTheme="minorHAnsi" w:eastAsiaTheme="minorEastAsia" w:hAnsiTheme="minorHAnsi"/>
              <w:noProof/>
              <w:lang w:val="es-ES" w:eastAsia="es-ES"/>
            </w:rPr>
          </w:pPr>
          <w:hyperlink w:anchor="_Toc226749118" w:history="1">
            <w:r w:rsidRPr="00503490">
              <w:rPr>
                <w:rStyle w:val="Hipervnculo"/>
                <w:rFonts w:cs="Times New Roman"/>
                <w:b/>
                <w:bCs/>
                <w:noProof/>
                <w:lang w:val="es-ES"/>
              </w:rPr>
              <w:t>6.1. Evidencias y resultados tras la adhesión al sistema multilateral</w:t>
            </w:r>
            <w:r>
              <w:rPr>
                <w:noProof/>
                <w:webHidden/>
              </w:rPr>
              <w:tab/>
            </w:r>
            <w:r>
              <w:rPr>
                <w:noProof/>
                <w:webHidden/>
              </w:rPr>
              <w:fldChar w:fldCharType="begin"/>
            </w:r>
            <w:r>
              <w:rPr>
                <w:noProof/>
                <w:webHidden/>
              </w:rPr>
              <w:instrText xml:space="preserve"> PAGEREF _Toc226749118 \h </w:instrText>
            </w:r>
            <w:r>
              <w:rPr>
                <w:noProof/>
                <w:webHidden/>
              </w:rPr>
            </w:r>
            <w:r>
              <w:rPr>
                <w:noProof/>
                <w:webHidden/>
              </w:rPr>
              <w:fldChar w:fldCharType="separate"/>
            </w:r>
            <w:r>
              <w:rPr>
                <w:noProof/>
                <w:webHidden/>
              </w:rPr>
              <w:t>34</w:t>
            </w:r>
            <w:r>
              <w:rPr>
                <w:noProof/>
                <w:webHidden/>
              </w:rPr>
              <w:fldChar w:fldCharType="end"/>
            </w:r>
          </w:hyperlink>
        </w:p>
        <w:p w14:paraId="4272144A" w14:textId="43023817" w:rsidR="00AB7CDB" w:rsidRDefault="00AB7CDB">
          <w:pPr>
            <w:pStyle w:val="TDC2"/>
            <w:tabs>
              <w:tab w:val="right" w:leader="dot" w:pos="8494"/>
            </w:tabs>
            <w:rPr>
              <w:rFonts w:asciiTheme="minorHAnsi" w:eastAsiaTheme="minorEastAsia" w:hAnsiTheme="minorHAnsi"/>
              <w:noProof/>
              <w:lang w:val="es-ES" w:eastAsia="es-ES"/>
            </w:rPr>
          </w:pPr>
          <w:hyperlink w:anchor="_Toc226749119" w:history="1">
            <w:r w:rsidRPr="00503490">
              <w:rPr>
                <w:rStyle w:val="Hipervnculo"/>
                <w:rFonts w:cs="Times New Roman"/>
                <w:b/>
                <w:bCs/>
                <w:noProof/>
                <w:lang w:val="es-ES"/>
              </w:rPr>
              <w:t>6.2. Limitaciones y vulnerabilidades persistentes del modelo singapurense</w:t>
            </w:r>
            <w:r>
              <w:rPr>
                <w:noProof/>
                <w:webHidden/>
              </w:rPr>
              <w:tab/>
            </w:r>
            <w:r>
              <w:rPr>
                <w:noProof/>
                <w:webHidden/>
              </w:rPr>
              <w:fldChar w:fldCharType="begin"/>
            </w:r>
            <w:r>
              <w:rPr>
                <w:noProof/>
                <w:webHidden/>
              </w:rPr>
              <w:instrText xml:space="preserve"> PAGEREF _Toc226749119 \h </w:instrText>
            </w:r>
            <w:r>
              <w:rPr>
                <w:noProof/>
                <w:webHidden/>
              </w:rPr>
            </w:r>
            <w:r>
              <w:rPr>
                <w:noProof/>
                <w:webHidden/>
              </w:rPr>
              <w:fldChar w:fldCharType="separate"/>
            </w:r>
            <w:r>
              <w:rPr>
                <w:noProof/>
                <w:webHidden/>
              </w:rPr>
              <w:t>34</w:t>
            </w:r>
            <w:r>
              <w:rPr>
                <w:noProof/>
                <w:webHidden/>
              </w:rPr>
              <w:fldChar w:fldCharType="end"/>
            </w:r>
          </w:hyperlink>
        </w:p>
        <w:p w14:paraId="2D8133F9" w14:textId="61473BE4" w:rsidR="00AB7CDB" w:rsidRDefault="00AB7CDB">
          <w:pPr>
            <w:pStyle w:val="TDC1"/>
            <w:tabs>
              <w:tab w:val="right" w:leader="dot" w:pos="8494"/>
            </w:tabs>
            <w:rPr>
              <w:rFonts w:asciiTheme="minorHAnsi" w:eastAsiaTheme="minorEastAsia" w:hAnsiTheme="minorHAnsi"/>
              <w:noProof/>
              <w:lang w:val="es-ES" w:eastAsia="es-ES"/>
            </w:rPr>
          </w:pPr>
          <w:hyperlink w:anchor="_Toc226749120" w:history="1">
            <w:r w:rsidRPr="00503490">
              <w:rPr>
                <w:rStyle w:val="Hipervnculo"/>
                <w:noProof/>
              </w:rPr>
              <w:t>7. Conclusiones y propuestas</w:t>
            </w:r>
            <w:r>
              <w:rPr>
                <w:noProof/>
                <w:webHidden/>
              </w:rPr>
              <w:tab/>
            </w:r>
            <w:r>
              <w:rPr>
                <w:noProof/>
                <w:webHidden/>
              </w:rPr>
              <w:fldChar w:fldCharType="begin"/>
            </w:r>
            <w:r>
              <w:rPr>
                <w:noProof/>
                <w:webHidden/>
              </w:rPr>
              <w:instrText xml:space="preserve"> PAGEREF _Toc226749120 \h </w:instrText>
            </w:r>
            <w:r>
              <w:rPr>
                <w:noProof/>
                <w:webHidden/>
              </w:rPr>
            </w:r>
            <w:r>
              <w:rPr>
                <w:noProof/>
                <w:webHidden/>
              </w:rPr>
              <w:fldChar w:fldCharType="separate"/>
            </w:r>
            <w:r>
              <w:rPr>
                <w:noProof/>
                <w:webHidden/>
              </w:rPr>
              <w:t>35</w:t>
            </w:r>
            <w:r>
              <w:rPr>
                <w:noProof/>
                <w:webHidden/>
              </w:rPr>
              <w:fldChar w:fldCharType="end"/>
            </w:r>
          </w:hyperlink>
        </w:p>
        <w:p w14:paraId="50B3B02C" w14:textId="72213ADC" w:rsidR="00AB7CDB" w:rsidRDefault="00AB7CDB">
          <w:pPr>
            <w:pStyle w:val="TDC2"/>
            <w:tabs>
              <w:tab w:val="right" w:leader="dot" w:pos="8494"/>
            </w:tabs>
            <w:rPr>
              <w:rFonts w:asciiTheme="minorHAnsi" w:eastAsiaTheme="minorEastAsia" w:hAnsiTheme="minorHAnsi"/>
              <w:noProof/>
              <w:lang w:val="es-ES" w:eastAsia="es-ES"/>
            </w:rPr>
          </w:pPr>
          <w:hyperlink w:anchor="_Toc226749121" w:history="1">
            <w:r w:rsidRPr="00503490">
              <w:rPr>
                <w:rStyle w:val="Hipervnculo"/>
                <w:rFonts w:cs="Times New Roman"/>
                <w:b/>
                <w:bCs/>
                <w:noProof/>
                <w:lang w:val="es-ES"/>
              </w:rPr>
              <w:t>7.1. Conclusiones generales</w:t>
            </w:r>
            <w:r>
              <w:rPr>
                <w:noProof/>
                <w:webHidden/>
              </w:rPr>
              <w:tab/>
            </w:r>
            <w:r>
              <w:rPr>
                <w:noProof/>
                <w:webHidden/>
              </w:rPr>
              <w:fldChar w:fldCharType="begin"/>
            </w:r>
            <w:r>
              <w:rPr>
                <w:noProof/>
                <w:webHidden/>
              </w:rPr>
              <w:instrText xml:space="preserve"> PAGEREF _Toc226749121 \h </w:instrText>
            </w:r>
            <w:r>
              <w:rPr>
                <w:noProof/>
                <w:webHidden/>
              </w:rPr>
            </w:r>
            <w:r>
              <w:rPr>
                <w:noProof/>
                <w:webHidden/>
              </w:rPr>
              <w:fldChar w:fldCharType="separate"/>
            </w:r>
            <w:r>
              <w:rPr>
                <w:noProof/>
                <w:webHidden/>
              </w:rPr>
              <w:t>35</w:t>
            </w:r>
            <w:r>
              <w:rPr>
                <w:noProof/>
                <w:webHidden/>
              </w:rPr>
              <w:fldChar w:fldCharType="end"/>
            </w:r>
          </w:hyperlink>
        </w:p>
        <w:p w14:paraId="187A6439" w14:textId="35CE12C6" w:rsidR="00AB7CDB" w:rsidRDefault="00AB7CDB">
          <w:pPr>
            <w:pStyle w:val="TDC2"/>
            <w:tabs>
              <w:tab w:val="right" w:leader="dot" w:pos="8494"/>
            </w:tabs>
            <w:rPr>
              <w:rFonts w:asciiTheme="minorHAnsi" w:eastAsiaTheme="minorEastAsia" w:hAnsiTheme="minorHAnsi"/>
              <w:noProof/>
              <w:lang w:val="es-ES" w:eastAsia="es-ES"/>
            </w:rPr>
          </w:pPr>
          <w:hyperlink w:anchor="_Toc226749122" w:history="1">
            <w:r w:rsidRPr="00503490">
              <w:rPr>
                <w:rStyle w:val="Hipervnculo"/>
                <w:rFonts w:cs="Times New Roman"/>
                <w:b/>
                <w:bCs/>
                <w:noProof/>
                <w:lang w:val="es-ES"/>
              </w:rPr>
              <w:t>7.2. Futuras líneas de investigación</w:t>
            </w:r>
            <w:r>
              <w:rPr>
                <w:noProof/>
                <w:webHidden/>
              </w:rPr>
              <w:tab/>
            </w:r>
            <w:r>
              <w:rPr>
                <w:noProof/>
                <w:webHidden/>
              </w:rPr>
              <w:fldChar w:fldCharType="begin"/>
            </w:r>
            <w:r>
              <w:rPr>
                <w:noProof/>
                <w:webHidden/>
              </w:rPr>
              <w:instrText xml:space="preserve"> PAGEREF _Toc226749122 \h </w:instrText>
            </w:r>
            <w:r>
              <w:rPr>
                <w:noProof/>
                <w:webHidden/>
              </w:rPr>
            </w:r>
            <w:r>
              <w:rPr>
                <w:noProof/>
                <w:webHidden/>
              </w:rPr>
              <w:fldChar w:fldCharType="separate"/>
            </w:r>
            <w:r>
              <w:rPr>
                <w:noProof/>
                <w:webHidden/>
              </w:rPr>
              <w:t>35</w:t>
            </w:r>
            <w:r>
              <w:rPr>
                <w:noProof/>
                <w:webHidden/>
              </w:rPr>
              <w:fldChar w:fldCharType="end"/>
            </w:r>
          </w:hyperlink>
        </w:p>
        <w:p w14:paraId="2A63A930" w14:textId="1554B993" w:rsidR="00AB7CDB" w:rsidRDefault="00AB7CDB">
          <w:pPr>
            <w:pStyle w:val="TDC1"/>
            <w:tabs>
              <w:tab w:val="right" w:leader="dot" w:pos="8494"/>
            </w:tabs>
            <w:rPr>
              <w:rFonts w:asciiTheme="minorHAnsi" w:eastAsiaTheme="minorEastAsia" w:hAnsiTheme="minorHAnsi"/>
              <w:noProof/>
              <w:lang w:val="es-ES" w:eastAsia="es-ES"/>
            </w:rPr>
          </w:pPr>
          <w:hyperlink w:anchor="_Toc226749123" w:history="1">
            <w:r w:rsidRPr="00503490">
              <w:rPr>
                <w:rStyle w:val="Hipervnculo"/>
                <w:noProof/>
              </w:rPr>
              <w:t>8. Bibliografía</w:t>
            </w:r>
            <w:r>
              <w:rPr>
                <w:noProof/>
                <w:webHidden/>
              </w:rPr>
              <w:tab/>
            </w:r>
            <w:r>
              <w:rPr>
                <w:noProof/>
                <w:webHidden/>
              </w:rPr>
              <w:fldChar w:fldCharType="begin"/>
            </w:r>
            <w:r>
              <w:rPr>
                <w:noProof/>
                <w:webHidden/>
              </w:rPr>
              <w:instrText xml:space="preserve"> PAGEREF _Toc226749123 \h </w:instrText>
            </w:r>
            <w:r>
              <w:rPr>
                <w:noProof/>
                <w:webHidden/>
              </w:rPr>
            </w:r>
            <w:r>
              <w:rPr>
                <w:noProof/>
                <w:webHidden/>
              </w:rPr>
              <w:fldChar w:fldCharType="separate"/>
            </w:r>
            <w:r>
              <w:rPr>
                <w:noProof/>
                <w:webHidden/>
              </w:rPr>
              <w:t>36</w:t>
            </w:r>
            <w:r>
              <w:rPr>
                <w:noProof/>
                <w:webHidden/>
              </w:rPr>
              <w:fldChar w:fldCharType="end"/>
            </w:r>
          </w:hyperlink>
        </w:p>
        <w:p w14:paraId="705D4996" w14:textId="4C5E5F0B" w:rsidR="002A661B" w:rsidRDefault="002A661B">
          <w:r>
            <w:rPr>
              <w:b/>
              <w:bCs/>
            </w:rPr>
            <w:fldChar w:fldCharType="end"/>
          </w:r>
        </w:p>
      </w:sdtContent>
    </w:sdt>
    <w:p w14:paraId="3B79302C" w14:textId="77777777" w:rsidR="00DF3250" w:rsidRDefault="00DF3250" w:rsidP="00433904">
      <w:pPr>
        <w:spacing w:line="360" w:lineRule="auto"/>
        <w:rPr>
          <w:rFonts w:cs="Times New Roman"/>
          <w:b/>
          <w:bCs/>
          <w:sz w:val="32"/>
          <w:szCs w:val="32"/>
          <w:lang w:val="es-ES"/>
        </w:rPr>
      </w:pPr>
    </w:p>
    <w:p w14:paraId="50CB9583" w14:textId="77777777" w:rsidR="00021B00" w:rsidRDefault="00021B00" w:rsidP="00433904">
      <w:pPr>
        <w:spacing w:line="360" w:lineRule="auto"/>
        <w:rPr>
          <w:rFonts w:cs="Times New Roman"/>
          <w:b/>
          <w:bCs/>
          <w:sz w:val="32"/>
          <w:szCs w:val="32"/>
          <w:lang w:val="es-ES"/>
        </w:rPr>
      </w:pPr>
    </w:p>
    <w:p w14:paraId="2E5B8CC6" w14:textId="77777777" w:rsidR="00021B00" w:rsidRDefault="00021B00" w:rsidP="00433904">
      <w:pPr>
        <w:spacing w:line="360" w:lineRule="auto"/>
        <w:rPr>
          <w:rFonts w:cs="Times New Roman"/>
          <w:b/>
          <w:bCs/>
          <w:sz w:val="32"/>
          <w:szCs w:val="32"/>
          <w:lang w:val="es-ES"/>
        </w:rPr>
      </w:pPr>
    </w:p>
    <w:p w14:paraId="38F0DBBD" w14:textId="77777777" w:rsidR="00021B00" w:rsidRDefault="00021B00" w:rsidP="00433904">
      <w:pPr>
        <w:spacing w:line="360" w:lineRule="auto"/>
        <w:rPr>
          <w:rFonts w:cs="Times New Roman"/>
          <w:b/>
          <w:bCs/>
          <w:sz w:val="32"/>
          <w:szCs w:val="32"/>
          <w:lang w:val="es-ES"/>
        </w:rPr>
      </w:pPr>
    </w:p>
    <w:p w14:paraId="02A9E0B1" w14:textId="77777777" w:rsidR="00021B00" w:rsidRDefault="00021B00" w:rsidP="00433904">
      <w:pPr>
        <w:spacing w:line="360" w:lineRule="auto"/>
        <w:rPr>
          <w:rFonts w:cs="Times New Roman"/>
          <w:b/>
          <w:bCs/>
          <w:sz w:val="32"/>
          <w:szCs w:val="32"/>
          <w:lang w:val="es-ES"/>
        </w:rPr>
      </w:pPr>
    </w:p>
    <w:p w14:paraId="6C61FBCF" w14:textId="77777777" w:rsidR="00021B00" w:rsidRDefault="00021B00" w:rsidP="00433904">
      <w:pPr>
        <w:spacing w:line="360" w:lineRule="auto"/>
        <w:rPr>
          <w:rFonts w:cs="Times New Roman"/>
          <w:b/>
          <w:bCs/>
          <w:sz w:val="32"/>
          <w:szCs w:val="32"/>
          <w:lang w:val="es-ES"/>
        </w:rPr>
      </w:pPr>
    </w:p>
    <w:p w14:paraId="36CD4879" w14:textId="77777777" w:rsidR="00021B00" w:rsidRDefault="00021B00" w:rsidP="00433904">
      <w:pPr>
        <w:spacing w:line="360" w:lineRule="auto"/>
        <w:rPr>
          <w:rFonts w:cs="Times New Roman"/>
          <w:b/>
          <w:bCs/>
          <w:sz w:val="32"/>
          <w:szCs w:val="32"/>
          <w:lang w:val="es-ES"/>
        </w:rPr>
      </w:pPr>
    </w:p>
    <w:p w14:paraId="5C3AB853" w14:textId="77777777" w:rsidR="00021B00" w:rsidRDefault="00021B00" w:rsidP="00433904">
      <w:pPr>
        <w:spacing w:line="360" w:lineRule="auto"/>
        <w:rPr>
          <w:rFonts w:cs="Times New Roman"/>
          <w:b/>
          <w:bCs/>
          <w:sz w:val="32"/>
          <w:szCs w:val="32"/>
          <w:lang w:val="es-ES"/>
        </w:rPr>
      </w:pPr>
    </w:p>
    <w:p w14:paraId="3FE0224F" w14:textId="77777777" w:rsidR="00021B00" w:rsidRDefault="00021B00" w:rsidP="00433904">
      <w:pPr>
        <w:spacing w:line="360" w:lineRule="auto"/>
        <w:rPr>
          <w:rFonts w:cs="Times New Roman"/>
          <w:b/>
          <w:bCs/>
          <w:sz w:val="32"/>
          <w:szCs w:val="32"/>
          <w:lang w:val="es-ES"/>
        </w:rPr>
      </w:pPr>
    </w:p>
    <w:p w14:paraId="1A0C304B" w14:textId="77777777" w:rsidR="00021B00" w:rsidRDefault="00021B00" w:rsidP="00433904">
      <w:pPr>
        <w:spacing w:line="360" w:lineRule="auto"/>
        <w:rPr>
          <w:rFonts w:cs="Times New Roman"/>
          <w:b/>
          <w:bCs/>
          <w:sz w:val="32"/>
          <w:szCs w:val="32"/>
          <w:lang w:val="es-ES"/>
        </w:rPr>
      </w:pPr>
    </w:p>
    <w:p w14:paraId="43992996" w14:textId="77777777" w:rsidR="00021B00" w:rsidRDefault="00021B00" w:rsidP="00433904">
      <w:pPr>
        <w:spacing w:line="360" w:lineRule="auto"/>
        <w:rPr>
          <w:rFonts w:cs="Times New Roman"/>
          <w:b/>
          <w:bCs/>
          <w:sz w:val="32"/>
          <w:szCs w:val="32"/>
          <w:lang w:val="es-ES"/>
        </w:rPr>
      </w:pPr>
    </w:p>
    <w:p w14:paraId="726EC93D" w14:textId="77777777" w:rsidR="00021B00" w:rsidRDefault="00021B00" w:rsidP="00433904">
      <w:pPr>
        <w:spacing w:line="360" w:lineRule="auto"/>
        <w:rPr>
          <w:rFonts w:cs="Times New Roman"/>
          <w:b/>
          <w:bCs/>
          <w:sz w:val="32"/>
          <w:szCs w:val="32"/>
          <w:lang w:val="es-ES"/>
        </w:rPr>
      </w:pPr>
    </w:p>
    <w:p w14:paraId="543AF96A" w14:textId="77777777" w:rsidR="00021B00" w:rsidRDefault="00021B00" w:rsidP="00433904">
      <w:pPr>
        <w:spacing w:line="360" w:lineRule="auto"/>
        <w:rPr>
          <w:rFonts w:cs="Times New Roman"/>
          <w:b/>
          <w:bCs/>
          <w:sz w:val="32"/>
          <w:szCs w:val="32"/>
          <w:lang w:val="es-ES"/>
        </w:rPr>
      </w:pPr>
    </w:p>
    <w:p w14:paraId="2ABD5EB4" w14:textId="77777777" w:rsidR="00021B00" w:rsidRDefault="00021B00" w:rsidP="00433904">
      <w:pPr>
        <w:spacing w:line="360" w:lineRule="auto"/>
        <w:rPr>
          <w:rFonts w:cs="Times New Roman"/>
          <w:b/>
          <w:bCs/>
          <w:sz w:val="32"/>
          <w:szCs w:val="32"/>
          <w:lang w:val="es-ES"/>
        </w:rPr>
      </w:pPr>
    </w:p>
    <w:p w14:paraId="61391B00" w14:textId="77777777" w:rsidR="00021B00" w:rsidRDefault="00021B00" w:rsidP="00433904">
      <w:pPr>
        <w:spacing w:line="360" w:lineRule="auto"/>
        <w:rPr>
          <w:rFonts w:cs="Times New Roman"/>
          <w:b/>
          <w:bCs/>
          <w:sz w:val="32"/>
          <w:szCs w:val="32"/>
          <w:lang w:val="es-ES"/>
        </w:rPr>
      </w:pPr>
    </w:p>
    <w:p w14:paraId="7D2EB69E" w14:textId="77777777" w:rsidR="00021B00" w:rsidRDefault="00021B00" w:rsidP="00433904">
      <w:pPr>
        <w:spacing w:line="360" w:lineRule="auto"/>
        <w:rPr>
          <w:rFonts w:cs="Times New Roman"/>
          <w:b/>
          <w:bCs/>
          <w:sz w:val="32"/>
          <w:szCs w:val="32"/>
          <w:lang w:val="es-ES"/>
        </w:rPr>
      </w:pPr>
    </w:p>
    <w:p w14:paraId="75E84A74" w14:textId="77777777" w:rsidR="00021B00" w:rsidRDefault="00021B00" w:rsidP="00433904">
      <w:pPr>
        <w:spacing w:line="360" w:lineRule="auto"/>
        <w:rPr>
          <w:rFonts w:cs="Times New Roman"/>
          <w:b/>
          <w:bCs/>
          <w:sz w:val="32"/>
          <w:szCs w:val="32"/>
          <w:lang w:val="es-ES"/>
        </w:rPr>
      </w:pPr>
    </w:p>
    <w:p w14:paraId="3D0A7471" w14:textId="77777777" w:rsidR="00021B00" w:rsidRDefault="00021B00" w:rsidP="00433904">
      <w:pPr>
        <w:spacing w:line="360" w:lineRule="auto"/>
        <w:rPr>
          <w:rFonts w:cs="Times New Roman"/>
          <w:b/>
          <w:bCs/>
          <w:sz w:val="32"/>
          <w:szCs w:val="32"/>
          <w:lang w:val="es-ES"/>
        </w:rPr>
      </w:pPr>
    </w:p>
    <w:p w14:paraId="2CF85AA3" w14:textId="77777777" w:rsidR="003E25C5" w:rsidRPr="00095684" w:rsidRDefault="003E25C5" w:rsidP="00AF2183">
      <w:pPr>
        <w:spacing w:line="360" w:lineRule="auto"/>
        <w:rPr>
          <w:rFonts w:cs="Times New Roman"/>
          <w:b/>
          <w:bCs/>
          <w:sz w:val="32"/>
          <w:szCs w:val="32"/>
          <w:lang w:val="es-ES"/>
        </w:rPr>
      </w:pPr>
    </w:p>
    <w:p w14:paraId="4E105137" w14:textId="77777777" w:rsidR="003E25C5" w:rsidRPr="00095684" w:rsidRDefault="003E25C5" w:rsidP="00AF2183">
      <w:pPr>
        <w:spacing w:line="360" w:lineRule="auto"/>
        <w:rPr>
          <w:rFonts w:cs="Times New Roman"/>
          <w:b/>
          <w:bCs/>
          <w:sz w:val="32"/>
          <w:szCs w:val="32"/>
          <w:lang w:val="es-ES"/>
        </w:rPr>
      </w:pPr>
    </w:p>
    <w:p w14:paraId="2B8910DB" w14:textId="77777777" w:rsidR="00F33743" w:rsidRPr="00126EB8" w:rsidRDefault="00F33743" w:rsidP="00AF2183">
      <w:pPr>
        <w:spacing w:line="360" w:lineRule="auto"/>
        <w:rPr>
          <w:rFonts w:cs="Times New Roman"/>
          <w:lang w:val="es-ES"/>
        </w:rPr>
      </w:pPr>
    </w:p>
    <w:p w14:paraId="75CE6E12" w14:textId="3A87BD67" w:rsidR="0080772B" w:rsidRPr="00126EB8" w:rsidRDefault="00CF2C3D" w:rsidP="00F8631E">
      <w:pPr>
        <w:pStyle w:val="Ttulo1"/>
      </w:pPr>
      <w:bookmarkStart w:id="6" w:name="_Toc226749098"/>
      <w:commentRangeStart w:id="7"/>
      <w:r w:rsidRPr="00126EB8">
        <w:lastRenderedPageBreak/>
        <w:t>1</w:t>
      </w:r>
      <w:commentRangeEnd w:id="7"/>
      <w:r w:rsidR="0051512A" w:rsidRPr="00126EB8">
        <w:rPr>
          <w:rStyle w:val="Refdecomentario"/>
          <w:sz w:val="28"/>
          <w:szCs w:val="40"/>
        </w:rPr>
        <w:commentReference w:id="7"/>
      </w:r>
      <w:r w:rsidRPr="00126EB8">
        <w:t xml:space="preserve">. </w:t>
      </w:r>
      <w:commentRangeStart w:id="8"/>
      <w:r w:rsidR="00452B84" w:rsidRPr="00126EB8">
        <w:t>Introducción</w:t>
      </w:r>
      <w:bookmarkEnd w:id="6"/>
      <w:commentRangeEnd w:id="8"/>
      <w:r w:rsidR="00452B84" w:rsidRPr="00126EB8">
        <w:rPr>
          <w:rStyle w:val="Refdecomentario"/>
          <w:sz w:val="28"/>
          <w:szCs w:val="40"/>
        </w:rPr>
        <w:commentReference w:id="8"/>
      </w:r>
    </w:p>
    <w:p w14:paraId="4649DB4B" w14:textId="1D1A2277" w:rsidR="004C6F92" w:rsidRDefault="004C6F92" w:rsidP="00494589">
      <w:pPr>
        <w:spacing w:line="360" w:lineRule="auto"/>
        <w:rPr>
          <w:rFonts w:cs="Times New Roman"/>
          <w:lang w:val="es-ES"/>
        </w:rPr>
      </w:pPr>
      <w:r>
        <w:rPr>
          <w:rFonts w:cs="Times New Roman"/>
          <w:lang w:val="es-ES"/>
        </w:rPr>
        <w:t>Desde su abrupta independencia en 1965, Singapur ha experimentado una metamorfosis sin precedentes, consolidándose como una de las transformaciones económicas más notables del siglo XX. En apenas unas décadas</w:t>
      </w:r>
      <w:r w:rsidR="009017AC">
        <w:rPr>
          <w:rFonts w:cs="Times New Roman"/>
          <w:lang w:val="es-ES"/>
        </w:rPr>
        <w:t>, la Ciudad-Estado pasó de ser un enclave portuario</w:t>
      </w:r>
      <w:r w:rsidR="00CF3FE9">
        <w:rPr>
          <w:rFonts w:cs="Times New Roman"/>
          <w:lang w:val="es-ES"/>
        </w:rPr>
        <w:t xml:space="preserve"> poscolonial con escasos recursos naturales y profundos conflictos sociales a convertirse en uno de los principales centros financieros, logísticos </w:t>
      </w:r>
      <w:r w:rsidR="005D0DA1">
        <w:rPr>
          <w:rFonts w:cs="Times New Roman"/>
          <w:lang w:val="es-ES"/>
        </w:rPr>
        <w:t xml:space="preserve">e industriales </w:t>
      </w:r>
      <w:r w:rsidR="00CF3FE9">
        <w:rPr>
          <w:rFonts w:cs="Times New Roman"/>
          <w:lang w:val="es-ES"/>
        </w:rPr>
        <w:t>del mundo</w:t>
      </w:r>
      <w:r w:rsidR="005D0DA1">
        <w:rPr>
          <w:rFonts w:cs="Times New Roman"/>
          <w:lang w:val="es-ES"/>
        </w:rPr>
        <w:t>. Este Trabajo de Fin de Grado nace con el prop</w:t>
      </w:r>
      <w:r w:rsidR="00415366">
        <w:rPr>
          <w:rFonts w:cs="Times New Roman"/>
          <w:lang w:val="es-ES"/>
        </w:rPr>
        <w:t xml:space="preserve">ósito de desentrañar los mecanismos profundos que posibilitaron dicha transformación. El interrogante </w:t>
      </w:r>
      <w:r w:rsidR="00973DCC">
        <w:rPr>
          <w:rFonts w:cs="Times New Roman"/>
          <w:lang w:val="es-ES"/>
        </w:rPr>
        <w:t>que guía esta investigación es determinar si e</w:t>
      </w:r>
      <w:r w:rsidR="0051512A">
        <w:rPr>
          <w:rFonts w:cs="Times New Roman"/>
          <w:lang w:val="es-ES"/>
        </w:rPr>
        <w:t xml:space="preserve">ste excepcional crecimiento </w:t>
      </w:r>
      <w:r w:rsidR="00973DCC">
        <w:rPr>
          <w:rFonts w:cs="Times New Roman"/>
          <w:lang w:val="es-ES"/>
        </w:rPr>
        <w:t>fue producto de una estrategia deliberada basada en el uso, adaptación y respeto por el Derecho Internacional mercantil como herramienta de desarrollo.</w:t>
      </w:r>
    </w:p>
    <w:p w14:paraId="4D2FBA1C" w14:textId="5AD47F6B" w:rsidR="007E677E" w:rsidRDefault="007E677E" w:rsidP="00494589">
      <w:pPr>
        <w:spacing w:line="360" w:lineRule="auto"/>
        <w:rPr>
          <w:rFonts w:cs="Times New Roman"/>
          <w:lang w:val="es-ES"/>
        </w:rPr>
      </w:pPr>
      <w:r>
        <w:rPr>
          <w:rFonts w:cs="Times New Roman"/>
          <w:lang w:val="es-ES"/>
        </w:rPr>
        <w:t>Para dar respuesta a esta incógnit</w:t>
      </w:r>
      <w:r w:rsidR="0051512A">
        <w:rPr>
          <w:rFonts w:cs="Times New Roman"/>
          <w:lang w:val="es-ES"/>
        </w:rPr>
        <w:t>a</w:t>
      </w:r>
      <w:r>
        <w:rPr>
          <w:rFonts w:cs="Times New Roman"/>
          <w:lang w:val="es-ES"/>
        </w:rPr>
        <w:t xml:space="preserve">, el presente trabajo </w:t>
      </w:r>
      <w:r w:rsidR="004648E5">
        <w:rPr>
          <w:rFonts w:cs="Times New Roman"/>
          <w:lang w:val="es-ES"/>
        </w:rPr>
        <w:t xml:space="preserve">analiza </w:t>
      </w:r>
      <w:r w:rsidR="00C86791">
        <w:rPr>
          <w:rFonts w:cs="Times New Roman"/>
          <w:lang w:val="es-ES"/>
        </w:rPr>
        <w:t xml:space="preserve">cómo la evolución del sistema </w:t>
      </w:r>
      <w:r w:rsidR="00C86791" w:rsidRPr="0051512A">
        <w:rPr>
          <w:rFonts w:cs="Times New Roman"/>
          <w:lang w:val="es-ES"/>
        </w:rPr>
        <w:t>multilateral</w:t>
      </w:r>
      <w:r w:rsidR="00C86791">
        <w:rPr>
          <w:rFonts w:cs="Times New Roman"/>
          <w:lang w:val="es-ES"/>
        </w:rPr>
        <w:t xml:space="preserve"> del comercio, primero bajo el amparo del Acuerdo General </w:t>
      </w:r>
      <w:r w:rsidR="0095787D" w:rsidRPr="0095787D">
        <w:rPr>
          <w:rFonts w:cs="Times New Roman"/>
          <w:lang w:val="es-ES"/>
        </w:rPr>
        <w:t>sobre Aranceles Aduaneros y Comercio (GATT, 1947) y, posteriormente, mediante el Acuerdo General sobre el Comercio de Servicios (GATS, 1995) de la Organización Mundial del Comercio (OMC)</w:t>
      </w:r>
      <w:r w:rsidR="0095787D">
        <w:rPr>
          <w:rFonts w:cs="Times New Roman"/>
          <w:lang w:val="es-ES"/>
        </w:rPr>
        <w:t xml:space="preserve">, </w:t>
      </w:r>
      <w:r w:rsidR="0095787D" w:rsidRPr="0095787D">
        <w:rPr>
          <w:rFonts w:cs="Times New Roman"/>
          <w:lang w:val="es-ES"/>
        </w:rPr>
        <w:t xml:space="preserve">proporcionó a Singapur </w:t>
      </w:r>
      <w:r w:rsidR="0051512A">
        <w:rPr>
          <w:rFonts w:cs="Times New Roman"/>
          <w:lang w:val="es-ES"/>
        </w:rPr>
        <w:t>la estructura</w:t>
      </w:r>
      <w:r w:rsidR="0095787D" w:rsidRPr="0095787D">
        <w:rPr>
          <w:rFonts w:cs="Times New Roman"/>
          <w:lang w:val="es-ES"/>
        </w:rPr>
        <w:t xml:space="preserve"> institucional necesari</w:t>
      </w:r>
      <w:r w:rsidR="0051512A">
        <w:rPr>
          <w:rFonts w:cs="Times New Roman"/>
          <w:lang w:val="es-ES"/>
        </w:rPr>
        <w:t>a</w:t>
      </w:r>
      <w:r w:rsidR="0095787D" w:rsidRPr="0095787D">
        <w:rPr>
          <w:rFonts w:cs="Times New Roman"/>
          <w:lang w:val="es-ES"/>
        </w:rPr>
        <w:t xml:space="preserve"> para garantizar su supervivencia y proyectar su desarrollo socioeconómico a escala global.</w:t>
      </w:r>
    </w:p>
    <w:p w14:paraId="0F514921" w14:textId="2B1E6C1C" w:rsidR="00390BD3" w:rsidRDefault="00390BD3" w:rsidP="00494589">
      <w:pPr>
        <w:spacing w:line="360" w:lineRule="auto"/>
        <w:rPr>
          <w:rFonts w:cs="Times New Roman"/>
          <w:lang w:val="es-ES"/>
        </w:rPr>
      </w:pPr>
      <w:r w:rsidRPr="00390BD3">
        <w:rPr>
          <w:rFonts w:cs="Times New Roman"/>
          <w:lang w:val="es-ES"/>
        </w:rPr>
        <w:t xml:space="preserve">Esta investigación se </w:t>
      </w:r>
      <w:r>
        <w:rPr>
          <w:rFonts w:cs="Times New Roman"/>
          <w:lang w:val="es-ES"/>
        </w:rPr>
        <w:t>ubica</w:t>
      </w:r>
      <w:r w:rsidRPr="00390BD3">
        <w:rPr>
          <w:rFonts w:cs="Times New Roman"/>
          <w:lang w:val="es-ES"/>
        </w:rPr>
        <w:t xml:space="preserve">, por tanto, en la intersección entre las Relaciones Internacionales y el Derecho Mercantil Internacional. Analiza cómo Singapur utilizó </w:t>
      </w:r>
      <w:r w:rsidR="0051512A">
        <w:rPr>
          <w:rFonts w:cs="Times New Roman"/>
          <w:lang w:val="es-ES"/>
        </w:rPr>
        <w:t>estos tratados internacionales</w:t>
      </w:r>
      <w:r>
        <w:rPr>
          <w:rFonts w:cs="Times New Roman"/>
          <w:lang w:val="es-ES"/>
        </w:rPr>
        <w:t xml:space="preserve"> previamente mencionados </w:t>
      </w:r>
      <w:r w:rsidRPr="00390BD3">
        <w:rPr>
          <w:rFonts w:cs="Times New Roman"/>
          <w:lang w:val="es-ES"/>
        </w:rPr>
        <w:t xml:space="preserve">para atraer inversión extranjera directa, integrarse en las cadenas globales de valor y proyectar estabilidad política e institucional. Frente a las explicaciones estrictamente económicas o sociopolíticas del </w:t>
      </w:r>
      <w:r w:rsidRPr="0051512A">
        <w:rPr>
          <w:rFonts w:cs="Times New Roman"/>
          <w:lang w:val="es-ES"/>
        </w:rPr>
        <w:t>“milagro singapurense”,</w:t>
      </w:r>
      <w:r w:rsidRPr="00390BD3">
        <w:rPr>
          <w:rFonts w:cs="Times New Roman"/>
          <w:lang w:val="es-ES"/>
        </w:rPr>
        <w:t xml:space="preserve"> este trabajo propone una lectura jurídico-institucional: el Derecho Internacional no fue un marco accesorio del desarrollo, sino su núcleo estructural.</w:t>
      </w:r>
    </w:p>
    <w:p w14:paraId="4AB93AD6" w14:textId="6E21C3D0" w:rsidR="00455C8E" w:rsidRDefault="00CF2C3D" w:rsidP="00857ECD">
      <w:pPr>
        <w:pStyle w:val="Ttulo2"/>
        <w:spacing w:line="360" w:lineRule="auto"/>
        <w:rPr>
          <w:rFonts w:ascii="Times New Roman" w:hAnsi="Times New Roman" w:cs="Times New Roman"/>
          <w:b/>
          <w:bCs/>
          <w:color w:val="000000" w:themeColor="text1"/>
          <w:sz w:val="24"/>
          <w:szCs w:val="24"/>
          <w:lang w:val="es-ES"/>
        </w:rPr>
      </w:pPr>
      <w:bookmarkStart w:id="9" w:name="_Toc226749099"/>
      <w:r w:rsidRPr="00B20D8F">
        <w:rPr>
          <w:rFonts w:ascii="Times New Roman" w:hAnsi="Times New Roman" w:cs="Times New Roman"/>
          <w:b/>
          <w:bCs/>
          <w:color w:val="000000" w:themeColor="text1"/>
          <w:sz w:val="24"/>
          <w:szCs w:val="24"/>
          <w:lang w:val="es-ES"/>
        </w:rPr>
        <w:t xml:space="preserve">1.1. </w:t>
      </w:r>
      <w:r w:rsidR="000E5426">
        <w:rPr>
          <w:rFonts w:ascii="Times New Roman" w:hAnsi="Times New Roman" w:cs="Times New Roman"/>
          <w:b/>
          <w:bCs/>
          <w:color w:val="000000" w:themeColor="text1"/>
          <w:sz w:val="24"/>
          <w:szCs w:val="24"/>
          <w:lang w:val="es-ES"/>
        </w:rPr>
        <w:t>Finalidad, justificación y delimitación de la investigación</w:t>
      </w:r>
      <w:bookmarkEnd w:id="9"/>
    </w:p>
    <w:p w14:paraId="028EC86A" w14:textId="1E53DDD5" w:rsidR="00253C4B" w:rsidRDefault="0046657B" w:rsidP="009744F3">
      <w:pPr>
        <w:spacing w:line="360" w:lineRule="auto"/>
        <w:rPr>
          <w:lang w:val="es-ES"/>
        </w:rPr>
      </w:pPr>
      <w:r w:rsidRPr="0046657B">
        <w:rPr>
          <w:lang w:val="es-ES"/>
        </w:rPr>
        <w:t>La elección de este objeto de estudio responde a la necesidad de cubrir una importante brecha en la literatura académica. Tradicionalmente, el éxito de Singapur se ha abordado desde la macroeconomía pura o desde el análisis de su particular sistema político interno. Sin embargo,</w:t>
      </w:r>
      <w:r w:rsidR="00670339">
        <w:rPr>
          <w:lang w:val="es-ES"/>
        </w:rPr>
        <w:t xml:space="preserve"> </w:t>
      </w:r>
      <w:r w:rsidR="002A30F5" w:rsidRPr="002A30F5">
        <w:rPr>
          <w:lang w:val="es-ES"/>
        </w:rPr>
        <w:t xml:space="preserve">el problema subyacente que hace necesaria esta investigación radica en explicar cómo un micro-Estado, que partía de una vulnerabilidad estructural absoluta en 1965, logró generar la confianza institucional necesaria para atraer de forma masiva al </w:t>
      </w:r>
      <w:r w:rsidR="002A30F5" w:rsidRPr="002A30F5">
        <w:rPr>
          <w:lang w:val="es-ES"/>
        </w:rPr>
        <w:lastRenderedPageBreak/>
        <w:t>gran capital foráneo</w:t>
      </w:r>
      <w:r w:rsidR="002A30F5">
        <w:rPr>
          <w:lang w:val="es-ES"/>
        </w:rPr>
        <w:t xml:space="preserve"> y ser un actor relevante en el panorama internacional. </w:t>
      </w:r>
      <w:r w:rsidR="00670339">
        <w:rPr>
          <w:lang w:val="es-ES"/>
        </w:rPr>
        <w:t xml:space="preserve">En este sentido, </w:t>
      </w:r>
      <w:r w:rsidRPr="0046657B">
        <w:rPr>
          <w:lang w:val="es-ES"/>
        </w:rPr>
        <w:t>la finalidad de este trabajo es demostrar que la adhesión a los marcos normativos multilaterales no fue una mera formalidad diplomática, sino el pilar maestro de su modelo de desarrollo.</w:t>
      </w:r>
    </w:p>
    <w:p w14:paraId="0E29602A" w14:textId="2805E976" w:rsidR="0056393A" w:rsidRDefault="0056393A" w:rsidP="009744F3">
      <w:pPr>
        <w:spacing w:line="360" w:lineRule="auto"/>
        <w:rPr>
          <w:lang w:val="es-ES"/>
        </w:rPr>
      </w:pPr>
      <w:r w:rsidRPr="0056393A">
        <w:rPr>
          <w:lang w:val="es-ES"/>
        </w:rPr>
        <w:t>El trabajo es relevante tanto en el campo de las Relaciones Internacionales</w:t>
      </w:r>
      <w:r>
        <w:rPr>
          <w:lang w:val="es-ES"/>
        </w:rPr>
        <w:t xml:space="preserve"> (RR. II.)</w:t>
      </w:r>
      <w:r w:rsidRPr="0056393A">
        <w:rPr>
          <w:lang w:val="es-ES"/>
        </w:rPr>
        <w:t xml:space="preserve"> como en el del Derecho Mercantil Internacional. Desde el punto de vista de las RR. II.,</w:t>
      </w:r>
      <w:r w:rsidR="00484BC3">
        <w:rPr>
          <w:lang w:val="es-ES"/>
        </w:rPr>
        <w:t xml:space="preserve"> e</w:t>
      </w:r>
      <w:r w:rsidR="00484BC3" w:rsidRPr="00484BC3">
        <w:rPr>
          <w:lang w:val="es-ES"/>
        </w:rPr>
        <w:t>n un sistema internacional estructuralmente anárquico y plagado de incertidumbre</w:t>
      </w:r>
      <w:r w:rsidR="00484BC3">
        <w:rPr>
          <w:lang w:val="es-ES"/>
        </w:rPr>
        <w:t>,</w:t>
      </w:r>
      <w:r w:rsidRPr="0056393A">
        <w:rPr>
          <w:lang w:val="es-ES"/>
        </w:rPr>
        <w:t xml:space="preserve"> Singapur constituye un caso paradigmático de cómo un Estado pequeño (</w:t>
      </w:r>
      <w:r w:rsidRPr="001568B6">
        <w:rPr>
          <w:i/>
          <w:iCs/>
          <w:lang w:val="es-ES"/>
        </w:rPr>
        <w:t>small state</w:t>
      </w:r>
      <w:r w:rsidRPr="0056393A">
        <w:rPr>
          <w:lang w:val="es-ES"/>
        </w:rPr>
        <w:t>)</w:t>
      </w:r>
      <w:r w:rsidR="00484BC3">
        <w:rPr>
          <w:lang w:val="es-ES"/>
        </w:rPr>
        <w:t xml:space="preserve"> que parte desde la más absoluta vulnerabilidad,</w:t>
      </w:r>
      <w:r w:rsidRPr="0056393A">
        <w:rPr>
          <w:lang w:val="es-ES"/>
        </w:rPr>
        <w:t xml:space="preserve"> puede convertir el Derecho Internacional en una herramienta de supervivencia y poder. En lugar de intentar desafiar su entorno geopolítico</w:t>
      </w:r>
      <w:r w:rsidR="001568B6">
        <w:rPr>
          <w:lang w:val="es-ES"/>
        </w:rPr>
        <w:t xml:space="preserve">, </w:t>
      </w:r>
      <w:r w:rsidRPr="0056393A">
        <w:rPr>
          <w:lang w:val="es-ES"/>
        </w:rPr>
        <w:t xml:space="preserve">rodeado de países </w:t>
      </w:r>
      <w:r w:rsidR="001568B6">
        <w:rPr>
          <w:lang w:val="es-ES"/>
        </w:rPr>
        <w:t>de mayor relevancia geopolítica</w:t>
      </w:r>
      <w:r w:rsidRPr="0056393A">
        <w:rPr>
          <w:lang w:val="es-ES"/>
        </w:rPr>
        <w:t xml:space="preserve"> y con recursos abundantes, Singapur optó por </w:t>
      </w:r>
      <w:r w:rsidR="000951C7" w:rsidRPr="000951C7">
        <w:rPr>
          <w:lang w:val="es-ES"/>
        </w:rPr>
        <w:t>asumir estrictos compromisos jurídicos a nivel internacional. Esta estrategia restringió la capacidad del propio Estado para modificar sus leyes comerciales de forma arbitraria, pero a cambio aumentó exponencialmente</w:t>
      </w:r>
      <w:r w:rsidR="000951C7">
        <w:rPr>
          <w:lang w:val="es-ES"/>
        </w:rPr>
        <w:t xml:space="preserve"> </w:t>
      </w:r>
      <w:r w:rsidRPr="0056393A">
        <w:rPr>
          <w:lang w:val="es-ES"/>
        </w:rPr>
        <w:t>su reputación, predecibilidad y atractivo para el capital extranjero.</w:t>
      </w:r>
    </w:p>
    <w:p w14:paraId="4AF6D33C" w14:textId="74561917" w:rsidR="00CE7E13" w:rsidRDefault="00CE7E13" w:rsidP="009744F3">
      <w:pPr>
        <w:spacing w:line="360" w:lineRule="auto"/>
        <w:rPr>
          <w:lang w:val="es-ES"/>
        </w:rPr>
      </w:pPr>
      <w:r w:rsidRPr="00CE7E13">
        <w:rPr>
          <w:lang w:val="es-ES"/>
        </w:rPr>
        <w:t>En el plano jurídico y económico, el tema contribuye a demostrar que las instituciones multilaterales (como la OMC) funcionan como mecanismos de reducción de incertidumbre</w:t>
      </w:r>
      <w:r w:rsidR="006D1E58">
        <w:rPr>
          <w:lang w:val="es-ES"/>
        </w:rPr>
        <w:t>.</w:t>
      </w:r>
      <w:r w:rsidRPr="00CE7E13">
        <w:rPr>
          <w:lang w:val="es-ES"/>
        </w:rPr>
        <w:t xml:space="preserve"> </w:t>
      </w:r>
      <w:r w:rsidR="006D1E58">
        <w:rPr>
          <w:lang w:val="es-ES"/>
        </w:rPr>
        <w:t>Las</w:t>
      </w:r>
      <w:r w:rsidRPr="00CE7E13">
        <w:rPr>
          <w:lang w:val="es-ES"/>
        </w:rPr>
        <w:t xml:space="preserve"> teorías</w:t>
      </w:r>
      <w:r w:rsidR="006D1E58">
        <w:rPr>
          <w:lang w:val="es-ES"/>
        </w:rPr>
        <w:t xml:space="preserve"> expuestas en el trabajo</w:t>
      </w:r>
      <w:r w:rsidRPr="00CE7E13">
        <w:rPr>
          <w:lang w:val="es-ES"/>
        </w:rPr>
        <w:t xml:space="preserve"> explican que </w:t>
      </w:r>
      <w:r w:rsidR="00397E55" w:rsidRPr="00397E55">
        <w:rPr>
          <w:lang w:val="es-ES"/>
        </w:rPr>
        <w:t>el ordenamiento jurídico, cuando es claro, preciso y está dotado de mecanismos de cumplimiento coactivo</w:t>
      </w:r>
      <w:r w:rsidR="00397E55">
        <w:rPr>
          <w:lang w:val="es-ES"/>
        </w:rPr>
        <w:t xml:space="preserve"> (</w:t>
      </w:r>
      <w:r w:rsidRPr="006D1E58">
        <w:rPr>
          <w:i/>
          <w:iCs/>
          <w:lang w:val="es-ES"/>
        </w:rPr>
        <w:t>enforcement</w:t>
      </w:r>
      <w:r w:rsidR="00397E55" w:rsidRPr="00397E55">
        <w:rPr>
          <w:lang w:val="es-ES"/>
        </w:rPr>
        <w:t>)</w:t>
      </w:r>
      <w:r w:rsidR="006D1E58">
        <w:rPr>
          <w:lang w:val="es-ES"/>
        </w:rPr>
        <w:t>,</w:t>
      </w:r>
      <w:r w:rsidRPr="00CE7E13">
        <w:rPr>
          <w:lang w:val="es-ES"/>
        </w:rPr>
        <w:t xml:space="preserve"> reduce los costes de transacción y genera un entorno de confianza </w:t>
      </w:r>
      <w:r w:rsidR="00397E55">
        <w:rPr>
          <w:lang w:val="es-ES"/>
        </w:rPr>
        <w:t>indispensable</w:t>
      </w:r>
      <w:r w:rsidRPr="00CE7E13">
        <w:rPr>
          <w:lang w:val="es-ES"/>
        </w:rPr>
        <w:t xml:space="preserve"> para el comercio y la inversión. Singapur internalizó esta lógica de modo ejemplar, transformando el Derecho Internacional en un activo económico tangible</w:t>
      </w:r>
      <w:r w:rsidR="006D1E58">
        <w:rPr>
          <w:lang w:val="es-ES"/>
        </w:rPr>
        <w:t xml:space="preserve"> y atractivo más allá de sus fronteras</w:t>
      </w:r>
      <w:r w:rsidRPr="00CE7E13">
        <w:rPr>
          <w:lang w:val="es-ES"/>
        </w:rPr>
        <w:t>.</w:t>
      </w:r>
    </w:p>
    <w:p w14:paraId="7E5B0A97" w14:textId="693DF57A" w:rsidR="00A21578" w:rsidRPr="00A21578" w:rsidRDefault="00BF673B" w:rsidP="00A21578">
      <w:pPr>
        <w:spacing w:line="360" w:lineRule="auto"/>
        <w:rPr>
          <w:lang w:val="es-ES"/>
        </w:rPr>
      </w:pPr>
      <w:r w:rsidRPr="00BF673B">
        <w:rPr>
          <w:lang w:val="es-ES"/>
        </w:rPr>
        <w:t xml:space="preserve">Para abordar esta cuestión con el rigor necesario, la investigación se delimita temática y temporalmente. El análisis se centra deliberadamente en dos instrumentos jurídicos multilaterales, </w:t>
      </w:r>
      <w:r>
        <w:rPr>
          <w:lang w:val="es-ES"/>
        </w:rPr>
        <w:t>además de</w:t>
      </w:r>
      <w:r w:rsidRPr="00BF673B">
        <w:rPr>
          <w:lang w:val="es-ES"/>
        </w:rPr>
        <w:t xml:space="preserve"> en la transposición y aplicación directa de dichas normativas en el sistema legal nacional singapurense</w:t>
      </w:r>
      <w:r w:rsidR="00A21578" w:rsidRPr="00A21578">
        <w:rPr>
          <w:lang w:val="es-ES"/>
        </w:rPr>
        <w:t>:</w:t>
      </w:r>
    </w:p>
    <w:p w14:paraId="05B239F5" w14:textId="4E36BA92" w:rsidR="00A21578" w:rsidRPr="00A21578" w:rsidRDefault="00A21578" w:rsidP="00A21578">
      <w:pPr>
        <w:pStyle w:val="Prrafodelista"/>
        <w:numPr>
          <w:ilvl w:val="0"/>
          <w:numId w:val="31"/>
        </w:numPr>
        <w:spacing w:line="360" w:lineRule="auto"/>
        <w:rPr>
          <w:lang w:val="es-ES"/>
        </w:rPr>
      </w:pPr>
      <w:r w:rsidRPr="00A21578">
        <w:rPr>
          <w:lang w:val="es-ES"/>
        </w:rPr>
        <w:t xml:space="preserve">El </w:t>
      </w:r>
      <w:r w:rsidRPr="00A21578">
        <w:rPr>
          <w:b/>
          <w:bCs/>
          <w:lang w:val="es-ES"/>
        </w:rPr>
        <w:t>GATT</w:t>
      </w:r>
      <w:r w:rsidRPr="00A21578">
        <w:rPr>
          <w:lang w:val="es-ES"/>
        </w:rPr>
        <w:t xml:space="preserve"> (1947/1994), </w:t>
      </w:r>
      <w:r w:rsidR="00384D95" w:rsidRPr="00384D95">
        <w:rPr>
          <w:lang w:val="es-ES"/>
        </w:rPr>
        <w:t>cuyo análisis permitirá ilustrar cómo el Estado garantizó jurídicamente su ecosistema industrial y logístico. Se examinará cómo la adopción de los artículos de este tratado proporcionó a las empresas multinacionales la seguridad de operar en un marco aduanero libre de restricciones abusivas, facilitando la inserción de la isla en las cadenas globales de valor</w:t>
      </w:r>
      <w:r w:rsidRPr="00A21578">
        <w:rPr>
          <w:lang w:val="es-ES"/>
        </w:rPr>
        <w:t>.</w:t>
      </w:r>
    </w:p>
    <w:p w14:paraId="2288D0DC" w14:textId="0812E1E2" w:rsidR="00A21578" w:rsidRDefault="00A21578" w:rsidP="00A21578">
      <w:pPr>
        <w:pStyle w:val="Prrafodelista"/>
        <w:numPr>
          <w:ilvl w:val="0"/>
          <w:numId w:val="31"/>
        </w:numPr>
        <w:spacing w:line="360" w:lineRule="auto"/>
        <w:rPr>
          <w:lang w:val="es-ES"/>
        </w:rPr>
      </w:pPr>
      <w:r w:rsidRPr="00A21578">
        <w:rPr>
          <w:lang w:val="es-ES"/>
        </w:rPr>
        <w:lastRenderedPageBreak/>
        <w:t xml:space="preserve">El </w:t>
      </w:r>
      <w:r w:rsidRPr="00A21578">
        <w:rPr>
          <w:b/>
          <w:bCs/>
          <w:lang w:val="es-ES"/>
        </w:rPr>
        <w:t>GATS</w:t>
      </w:r>
      <w:r w:rsidRPr="00A21578">
        <w:rPr>
          <w:lang w:val="es-ES"/>
        </w:rPr>
        <w:t xml:space="preserve"> (1995), </w:t>
      </w:r>
      <w:r w:rsidR="00384D95" w:rsidRPr="00384D95">
        <w:rPr>
          <w:lang w:val="es-ES"/>
        </w:rPr>
        <w:t>cuyo estudio evidenciará el salto estructural hacia una economía de servicios. Se abordará cómo los compromisos adquiridos bajo este acuerdo brindaron el marco de garantías legales exigido por la banca y las corporaciones foráneas, consolidando la posición del país como el principal centro financiero y de arbitraje internacional en Asia</w:t>
      </w:r>
      <w:r>
        <w:rPr>
          <w:lang w:val="es-ES"/>
        </w:rPr>
        <w:t>.</w:t>
      </w:r>
    </w:p>
    <w:p w14:paraId="3D77D035" w14:textId="2E27D010" w:rsidR="00EE39BC" w:rsidRPr="00EE39BC" w:rsidRDefault="00EE39BC" w:rsidP="00EE39BC">
      <w:pPr>
        <w:spacing w:line="360" w:lineRule="auto"/>
        <w:rPr>
          <w:lang w:val="es-ES"/>
        </w:rPr>
      </w:pPr>
      <w:r w:rsidRPr="00EE39BC">
        <w:rPr>
          <w:lang w:val="es-ES"/>
        </w:rPr>
        <w:t xml:space="preserve">El estudio no pretende evaluar exhaustivamente </w:t>
      </w:r>
      <w:r>
        <w:rPr>
          <w:lang w:val="es-ES"/>
        </w:rPr>
        <w:t>la extensa totalidad de</w:t>
      </w:r>
      <w:r w:rsidRPr="00EE39BC">
        <w:rPr>
          <w:lang w:val="es-ES"/>
        </w:rPr>
        <w:t xml:space="preserve"> los factores del desarrollo singapurense. </w:t>
      </w:r>
      <w:r>
        <w:rPr>
          <w:lang w:val="es-ES"/>
        </w:rPr>
        <w:t>A</w:t>
      </w:r>
      <w:r w:rsidRPr="00EE39BC">
        <w:rPr>
          <w:lang w:val="es-ES"/>
        </w:rPr>
        <w:t xml:space="preserve">spectos puramente sociológicos, educativos o tecnológicos </w:t>
      </w:r>
      <w:r>
        <w:rPr>
          <w:lang w:val="es-ES"/>
        </w:rPr>
        <w:t xml:space="preserve">son excluidos deliberadamente </w:t>
      </w:r>
      <w:r w:rsidRPr="00EE39BC">
        <w:rPr>
          <w:lang w:val="es-ES"/>
        </w:rPr>
        <w:t>para focalizar el análisis en la dimensión jurídico-institucional de la apertura económica</w:t>
      </w:r>
      <w:r w:rsidR="00670339">
        <w:rPr>
          <w:lang w:val="es-ES"/>
        </w:rPr>
        <w:t xml:space="preserve">. </w:t>
      </w:r>
      <w:r w:rsidR="00670339" w:rsidRPr="00670339">
        <w:rPr>
          <w:lang w:val="es-ES"/>
        </w:rPr>
        <w:t>De este modo, la investigación se fundamenta en el escrutinio de los artículos específicos de los tratados mencionados y su impacto en la legislación interna, entendiendo este nexo legal como el eje que permitió que las políticas nacionales y las inversiones extranjeras se articularan bajo un marco de estricta seguridad jurídica</w:t>
      </w:r>
      <w:r w:rsidRPr="00EE39BC">
        <w:rPr>
          <w:lang w:val="es-ES"/>
        </w:rPr>
        <w:t>.</w:t>
      </w:r>
    </w:p>
    <w:p w14:paraId="76B056EA" w14:textId="1AB03FB0" w:rsidR="00390D44" w:rsidRDefault="00573A21" w:rsidP="00AF2183">
      <w:pPr>
        <w:pStyle w:val="Ttulo2"/>
        <w:spacing w:line="360" w:lineRule="auto"/>
        <w:rPr>
          <w:rFonts w:ascii="Times New Roman" w:hAnsi="Times New Roman" w:cs="Times New Roman"/>
          <w:b/>
          <w:bCs/>
          <w:color w:val="000000" w:themeColor="text1"/>
          <w:sz w:val="24"/>
          <w:szCs w:val="24"/>
          <w:lang w:val="es-ES"/>
        </w:rPr>
      </w:pPr>
      <w:bookmarkStart w:id="10" w:name="_Toc226749100"/>
      <w:r w:rsidRPr="009744F3">
        <w:rPr>
          <w:rFonts w:ascii="Times New Roman" w:hAnsi="Times New Roman" w:cs="Times New Roman"/>
          <w:b/>
          <w:bCs/>
          <w:color w:val="000000" w:themeColor="text1"/>
          <w:sz w:val="24"/>
          <w:szCs w:val="24"/>
          <w:lang w:val="es-ES"/>
        </w:rPr>
        <w:t xml:space="preserve">1.2. </w:t>
      </w:r>
      <w:r w:rsidR="0093639C">
        <w:rPr>
          <w:rFonts w:ascii="Times New Roman" w:hAnsi="Times New Roman" w:cs="Times New Roman"/>
          <w:b/>
          <w:bCs/>
          <w:color w:val="000000" w:themeColor="text1"/>
          <w:sz w:val="24"/>
          <w:szCs w:val="24"/>
          <w:lang w:val="es-ES"/>
        </w:rPr>
        <w:t>Objetivos y preguntas de investigación</w:t>
      </w:r>
      <w:bookmarkEnd w:id="10"/>
    </w:p>
    <w:p w14:paraId="0DCF51F4" w14:textId="0BE095B0" w:rsidR="007B3E84" w:rsidRDefault="007B3E84" w:rsidP="00F902E0">
      <w:pPr>
        <w:spacing w:line="360" w:lineRule="auto"/>
        <w:rPr>
          <w:rFonts w:cs="Times New Roman"/>
          <w:lang w:val="es-ES"/>
        </w:rPr>
      </w:pPr>
      <w:r w:rsidRPr="007B3E84">
        <w:rPr>
          <w:rFonts w:cs="Times New Roman"/>
          <w:lang w:val="es-ES"/>
        </w:rPr>
        <w:t>Para vertebrar el análisis, esta investigación persigue un objetivo general del que se derivan tres objetivos específicos, los cuales orientan la estructura de los capítulos posteriores</w:t>
      </w:r>
      <w:r>
        <w:rPr>
          <w:rFonts w:cs="Times New Roman"/>
          <w:lang w:val="es-ES"/>
        </w:rPr>
        <w:t>:</w:t>
      </w:r>
    </w:p>
    <w:p w14:paraId="10208793" w14:textId="1DEBD5B6" w:rsidR="007B3E84" w:rsidRDefault="007B3E84" w:rsidP="007B3E84">
      <w:pPr>
        <w:pStyle w:val="Prrafodelista"/>
        <w:numPr>
          <w:ilvl w:val="0"/>
          <w:numId w:val="32"/>
        </w:numPr>
        <w:spacing w:line="360" w:lineRule="auto"/>
        <w:rPr>
          <w:rFonts w:cs="Times New Roman"/>
          <w:lang w:val="es-ES"/>
        </w:rPr>
      </w:pPr>
      <w:r w:rsidRPr="00704227">
        <w:rPr>
          <w:rFonts w:cs="Times New Roman"/>
          <w:b/>
          <w:bCs/>
          <w:lang w:val="es-ES"/>
        </w:rPr>
        <w:t>Objetivo General:</w:t>
      </w:r>
      <w:r>
        <w:rPr>
          <w:rFonts w:cs="Times New Roman"/>
          <w:lang w:val="es-ES"/>
        </w:rPr>
        <w:t xml:space="preserve"> analizar el papel </w:t>
      </w:r>
      <w:r w:rsidR="00704227" w:rsidRPr="00704227">
        <w:rPr>
          <w:rFonts w:cs="Times New Roman"/>
          <w:lang w:val="es-ES"/>
        </w:rPr>
        <w:t>marcos normativos multilaterales de comercio (GATT y GATS) como pilares institucionales fundamentales en la estrategia de supervivencia, internacionalización y desarrollo económico de Singapur.</w:t>
      </w:r>
    </w:p>
    <w:p w14:paraId="70490583" w14:textId="16A55024" w:rsidR="00704227" w:rsidRPr="00704227" w:rsidRDefault="00704227" w:rsidP="007B3E84">
      <w:pPr>
        <w:pStyle w:val="Prrafodelista"/>
        <w:numPr>
          <w:ilvl w:val="0"/>
          <w:numId w:val="32"/>
        </w:numPr>
        <w:spacing w:line="360" w:lineRule="auto"/>
        <w:rPr>
          <w:rFonts w:cs="Times New Roman"/>
          <w:lang w:val="es-ES"/>
        </w:rPr>
      </w:pPr>
      <w:r>
        <w:rPr>
          <w:rFonts w:cs="Times New Roman"/>
          <w:b/>
          <w:bCs/>
          <w:lang w:val="es-ES"/>
        </w:rPr>
        <w:t>Objetivos específicos</w:t>
      </w:r>
    </w:p>
    <w:p w14:paraId="27C1177D" w14:textId="54E0C00F" w:rsidR="00704227" w:rsidRDefault="008B75F2" w:rsidP="00704227">
      <w:pPr>
        <w:pStyle w:val="Prrafodelista"/>
        <w:numPr>
          <w:ilvl w:val="1"/>
          <w:numId w:val="32"/>
        </w:numPr>
        <w:spacing w:line="360" w:lineRule="auto"/>
        <w:rPr>
          <w:rFonts w:cs="Times New Roman"/>
          <w:lang w:val="es-ES"/>
        </w:rPr>
      </w:pPr>
      <w:r w:rsidRPr="008B75F2">
        <w:rPr>
          <w:rFonts w:cs="Times New Roman"/>
          <w:lang w:val="es-ES"/>
        </w:rPr>
        <w:t>Examinar cómo la adhesión de Singapur a los preceptos del GATT (1947/1994) proporcionó la seguridad jurídica necesaria para implementar con éxito su programa de Industrialización Orientada a la Exportación (EOI)</w:t>
      </w:r>
      <w:r>
        <w:rPr>
          <w:rFonts w:cs="Times New Roman"/>
          <w:lang w:val="es-ES"/>
        </w:rPr>
        <w:t xml:space="preserve"> </w:t>
      </w:r>
      <w:r w:rsidRPr="008B75F2">
        <w:rPr>
          <w:rFonts w:cs="Times New Roman"/>
          <w:lang w:val="es-ES"/>
        </w:rPr>
        <w:t>y la creación de un ecosistema logístico competitivo.</w:t>
      </w:r>
    </w:p>
    <w:p w14:paraId="3CA032D8" w14:textId="2371733F" w:rsidR="008E4D0D" w:rsidRPr="002D4EF6" w:rsidRDefault="008E4D0D" w:rsidP="00704227">
      <w:pPr>
        <w:pStyle w:val="Prrafodelista"/>
        <w:numPr>
          <w:ilvl w:val="1"/>
          <w:numId w:val="32"/>
        </w:numPr>
        <w:spacing w:line="360" w:lineRule="auto"/>
        <w:rPr>
          <w:rFonts w:cs="Times New Roman"/>
          <w:lang w:val="es-ES"/>
        </w:rPr>
      </w:pPr>
      <w:r w:rsidRPr="002D4EF6">
        <w:rPr>
          <w:rFonts w:cs="Times New Roman"/>
          <w:lang w:val="es-ES"/>
        </w:rPr>
        <w:t xml:space="preserve">Evaluar el impacto de la liberalización normativa bajo el GATS en la transformación del país en un centro financiero y de servicios regional, a través de la liberalización de </w:t>
      </w:r>
      <w:r w:rsidR="002D4EF6" w:rsidRPr="002D4EF6">
        <w:rPr>
          <w:rFonts w:cs="Times New Roman"/>
          <w:lang w:val="es-ES"/>
        </w:rPr>
        <w:t>su mercado terciario</w:t>
      </w:r>
      <w:r w:rsidRPr="002D4EF6">
        <w:rPr>
          <w:rFonts w:cs="Times New Roman"/>
          <w:lang w:val="es-ES"/>
        </w:rPr>
        <w:t xml:space="preserve"> y del fortalecimiento del arbitraje internacional.</w:t>
      </w:r>
    </w:p>
    <w:p w14:paraId="4E480A25" w14:textId="3B7FCAAD" w:rsidR="00497E13" w:rsidRDefault="00497E13" w:rsidP="00704227">
      <w:pPr>
        <w:pStyle w:val="Prrafodelista"/>
        <w:numPr>
          <w:ilvl w:val="1"/>
          <w:numId w:val="32"/>
        </w:numPr>
        <w:spacing w:line="360" w:lineRule="auto"/>
        <w:rPr>
          <w:rFonts w:cs="Times New Roman"/>
          <w:lang w:val="es-ES"/>
        </w:rPr>
      </w:pPr>
      <w:r w:rsidRPr="00497E13">
        <w:rPr>
          <w:rFonts w:cs="Times New Roman"/>
          <w:lang w:val="es-ES"/>
        </w:rPr>
        <w:t xml:space="preserve">Demostrar empírica y </w:t>
      </w:r>
      <w:r w:rsidRPr="00A1675C">
        <w:rPr>
          <w:rFonts w:cs="Times New Roman"/>
          <w:lang w:val="es-ES"/>
        </w:rPr>
        <w:t>teóricamente</w:t>
      </w:r>
      <w:r>
        <w:rPr>
          <w:rFonts w:cs="Times New Roman"/>
          <w:lang w:val="es-ES"/>
        </w:rPr>
        <w:t xml:space="preserve"> la correlación directa entre </w:t>
      </w:r>
      <w:r w:rsidRPr="00497E13">
        <w:rPr>
          <w:rFonts w:cs="Times New Roman"/>
          <w:lang w:val="es-ES"/>
        </w:rPr>
        <w:t xml:space="preserve">la adopción de normas internacionales y el sometimiento voluntario a marcos jurídicos </w:t>
      </w:r>
      <w:r w:rsidRPr="00497E13">
        <w:rPr>
          <w:rFonts w:cs="Times New Roman"/>
          <w:lang w:val="es-ES"/>
        </w:rPr>
        <w:lastRenderedPageBreak/>
        <w:t xml:space="preserve">vinculantes </w:t>
      </w:r>
      <w:r w:rsidR="00FC0143">
        <w:rPr>
          <w:rFonts w:cs="Times New Roman"/>
          <w:lang w:val="es-ES"/>
        </w:rPr>
        <w:t xml:space="preserve">que </w:t>
      </w:r>
      <w:r w:rsidRPr="00497E13">
        <w:rPr>
          <w:rFonts w:cs="Times New Roman"/>
          <w:lang w:val="es-ES"/>
        </w:rPr>
        <w:t xml:space="preserve">generaron confianza, reputación y atracción </w:t>
      </w:r>
      <w:r w:rsidR="005C1A86">
        <w:rPr>
          <w:rFonts w:cs="Times New Roman"/>
          <w:lang w:val="es-ES"/>
        </w:rPr>
        <w:t xml:space="preserve">masiva </w:t>
      </w:r>
      <w:r w:rsidRPr="00497E13">
        <w:rPr>
          <w:rFonts w:cs="Times New Roman"/>
          <w:lang w:val="es-ES"/>
        </w:rPr>
        <w:t>de Inversión Extranjera Directa (IED)</w:t>
      </w:r>
      <w:r w:rsidR="005C1A86">
        <w:rPr>
          <w:rFonts w:cs="Times New Roman"/>
          <w:lang w:val="es-ES"/>
        </w:rPr>
        <w:t>.</w:t>
      </w:r>
    </w:p>
    <w:p w14:paraId="13FD90DE" w14:textId="4037B787" w:rsidR="00BF4187" w:rsidRDefault="00BF4187" w:rsidP="00704227">
      <w:pPr>
        <w:pStyle w:val="Prrafodelista"/>
        <w:numPr>
          <w:ilvl w:val="1"/>
          <w:numId w:val="32"/>
        </w:numPr>
        <w:spacing w:line="360" w:lineRule="auto"/>
        <w:rPr>
          <w:rFonts w:cs="Times New Roman"/>
          <w:lang w:val="es-ES"/>
        </w:rPr>
      </w:pPr>
      <w:r w:rsidRPr="00BF4187">
        <w:rPr>
          <w:rFonts w:cs="Times New Roman"/>
          <w:lang w:val="es-ES"/>
        </w:rPr>
        <w:t>Valorar cómo el Derecho Internacional económico funcionó como instrumento de supervivencia y no como mero condicionante externo para un Estado pequeño</w:t>
      </w:r>
      <w:r>
        <w:rPr>
          <w:rFonts w:cs="Times New Roman"/>
          <w:lang w:val="es-ES"/>
        </w:rPr>
        <w:t>.</w:t>
      </w:r>
    </w:p>
    <w:p w14:paraId="31E6382E" w14:textId="6D52B384" w:rsidR="00A1675C" w:rsidRDefault="00A1675C" w:rsidP="00704227">
      <w:pPr>
        <w:pStyle w:val="Prrafodelista"/>
        <w:numPr>
          <w:ilvl w:val="1"/>
          <w:numId w:val="32"/>
        </w:numPr>
        <w:spacing w:line="360" w:lineRule="auto"/>
        <w:rPr>
          <w:rFonts w:cs="Times New Roman"/>
          <w:lang w:val="es-ES"/>
        </w:rPr>
      </w:pPr>
      <w:r w:rsidRPr="00A1675C">
        <w:rPr>
          <w:rFonts w:cs="Times New Roman"/>
          <w:lang w:val="es-ES"/>
        </w:rPr>
        <w:t>Analizar el proceso de transposición de estas normativas internacionales al ordenamiento jurídico interno singapurense, valorando cómo la eficiencia y centralización de su sistema político facilitaron una rápida adaptación legal.</w:t>
      </w:r>
    </w:p>
    <w:p w14:paraId="5FB6DE61" w14:textId="7980DE22" w:rsidR="00757BDD" w:rsidRDefault="00757BDD" w:rsidP="00757BDD">
      <w:pPr>
        <w:spacing w:line="360" w:lineRule="auto"/>
        <w:rPr>
          <w:rFonts w:cs="Times New Roman"/>
          <w:lang w:val="es-ES"/>
        </w:rPr>
      </w:pPr>
      <w:r w:rsidRPr="00757BDD">
        <w:rPr>
          <w:rFonts w:cs="Times New Roman"/>
          <w:lang w:val="es-ES"/>
        </w:rPr>
        <w:t>Vinculadas a estos objetivos, el presente Trabajo Fin de Grado busca dar respuesta a las siguientes preguntas de investigación</w:t>
      </w:r>
      <w:r>
        <w:rPr>
          <w:rFonts w:cs="Times New Roman"/>
          <w:lang w:val="es-ES"/>
        </w:rPr>
        <w:t>:</w:t>
      </w:r>
    </w:p>
    <w:p w14:paraId="4AAFB279" w14:textId="1D42D084" w:rsidR="00757BDD" w:rsidRDefault="001A00C5" w:rsidP="00757BDD">
      <w:pPr>
        <w:pStyle w:val="Prrafodelista"/>
        <w:numPr>
          <w:ilvl w:val="0"/>
          <w:numId w:val="33"/>
        </w:numPr>
        <w:spacing w:line="360" w:lineRule="auto"/>
        <w:rPr>
          <w:rFonts w:cs="Times New Roman"/>
          <w:lang w:val="es-ES"/>
        </w:rPr>
      </w:pPr>
      <w:r w:rsidRPr="001A00C5">
        <w:rPr>
          <w:rFonts w:cs="Times New Roman"/>
          <w:lang w:val="es-ES"/>
        </w:rPr>
        <w:t xml:space="preserve">¿Actuó el marco jurídico internacional (GATT/GATS) como </w:t>
      </w:r>
      <w:r>
        <w:rPr>
          <w:rFonts w:cs="Times New Roman"/>
          <w:lang w:val="es-ES"/>
        </w:rPr>
        <w:t>un</w:t>
      </w:r>
      <w:r w:rsidRPr="001A00C5">
        <w:rPr>
          <w:rFonts w:cs="Times New Roman"/>
          <w:lang w:val="es-ES"/>
        </w:rPr>
        <w:t xml:space="preserve"> motor </w:t>
      </w:r>
      <w:r>
        <w:rPr>
          <w:rFonts w:cs="Times New Roman"/>
          <w:lang w:val="es-ES"/>
        </w:rPr>
        <w:t xml:space="preserve">activo </w:t>
      </w:r>
      <w:r w:rsidRPr="001A00C5">
        <w:rPr>
          <w:rFonts w:cs="Times New Roman"/>
          <w:lang w:val="es-ES"/>
        </w:rPr>
        <w:t xml:space="preserve">del crecimiento </w:t>
      </w:r>
      <w:r>
        <w:rPr>
          <w:rFonts w:cs="Times New Roman"/>
          <w:lang w:val="es-ES"/>
        </w:rPr>
        <w:t>de Singapur</w:t>
      </w:r>
      <w:r w:rsidRPr="001A00C5">
        <w:rPr>
          <w:rFonts w:cs="Times New Roman"/>
          <w:lang w:val="es-ES"/>
        </w:rPr>
        <w:t xml:space="preserve">, o desempeñó un papel de mero facilitador </w:t>
      </w:r>
      <w:r w:rsidRPr="00E116AE">
        <w:rPr>
          <w:rFonts w:cs="Times New Roman"/>
          <w:lang w:val="es-ES"/>
        </w:rPr>
        <w:t xml:space="preserve">pasivo </w:t>
      </w:r>
      <w:r w:rsidR="00C47BA0" w:rsidRPr="00E116AE">
        <w:rPr>
          <w:rFonts w:cs="Times New Roman"/>
          <w:lang w:val="es-ES"/>
        </w:rPr>
        <w:t xml:space="preserve">frente a </w:t>
      </w:r>
      <w:r w:rsidR="00E116AE" w:rsidRPr="00E116AE">
        <w:rPr>
          <w:rFonts w:cs="Times New Roman"/>
          <w:lang w:val="es-ES"/>
        </w:rPr>
        <w:t>la planificación estratégica de su Estado Desarrollista</w:t>
      </w:r>
      <w:r w:rsidRPr="001A00C5">
        <w:rPr>
          <w:rFonts w:cs="Times New Roman"/>
          <w:lang w:val="es-ES"/>
        </w:rPr>
        <w:t>?</w:t>
      </w:r>
    </w:p>
    <w:p w14:paraId="622FC31C" w14:textId="60A705DB" w:rsidR="001A00C5" w:rsidRDefault="002C729D" w:rsidP="00757BDD">
      <w:pPr>
        <w:pStyle w:val="Prrafodelista"/>
        <w:numPr>
          <w:ilvl w:val="0"/>
          <w:numId w:val="33"/>
        </w:numPr>
        <w:spacing w:line="360" w:lineRule="auto"/>
        <w:rPr>
          <w:rFonts w:cs="Times New Roman"/>
          <w:lang w:val="es-ES"/>
        </w:rPr>
      </w:pPr>
      <w:r w:rsidRPr="002C729D">
        <w:rPr>
          <w:rFonts w:cs="Times New Roman"/>
          <w:lang w:val="es-ES"/>
        </w:rPr>
        <w:t>¿De qué manera instrumentalizó Singapur la rigurosidad normativa del sistema multilateral</w:t>
      </w:r>
      <w:r w:rsidR="008B41D0">
        <w:rPr>
          <w:rFonts w:cs="Times New Roman"/>
          <w:lang w:val="es-ES"/>
        </w:rPr>
        <w:t xml:space="preserve">, </w:t>
      </w:r>
      <w:r w:rsidR="008B41D0" w:rsidRPr="008B41D0">
        <w:rPr>
          <w:rFonts w:cs="Times New Roman"/>
          <w:lang w:val="es-ES"/>
        </w:rPr>
        <w:t>integrándolo en su propia legislación nacional</w:t>
      </w:r>
      <w:r w:rsidR="008B41D0">
        <w:rPr>
          <w:rFonts w:cs="Times New Roman"/>
          <w:lang w:val="es-ES"/>
        </w:rPr>
        <w:t>,</w:t>
      </w:r>
      <w:r w:rsidRPr="002C729D">
        <w:rPr>
          <w:rFonts w:cs="Times New Roman"/>
          <w:lang w:val="es-ES"/>
        </w:rPr>
        <w:t xml:space="preserve"> para suplir su histórica falta de recursos materiales y mercado interno?</w:t>
      </w:r>
    </w:p>
    <w:p w14:paraId="0AD39362" w14:textId="77777777" w:rsidR="00CA097E" w:rsidRDefault="008B41D0" w:rsidP="00535113">
      <w:pPr>
        <w:pStyle w:val="Prrafodelista"/>
        <w:numPr>
          <w:ilvl w:val="0"/>
          <w:numId w:val="33"/>
        </w:numPr>
        <w:spacing w:line="360" w:lineRule="auto"/>
        <w:rPr>
          <w:rFonts w:cs="Times New Roman"/>
          <w:lang w:val="es-ES"/>
        </w:rPr>
      </w:pPr>
      <w:r w:rsidRPr="008B41D0">
        <w:rPr>
          <w:rFonts w:cs="Times New Roman"/>
          <w:lang w:val="es-ES"/>
        </w:rPr>
        <w:t xml:space="preserve">¿En qué medida es cuantificable el éxito de la adopción de estas normativas internacionales sobre la atracción masiva de </w:t>
      </w:r>
      <w:r w:rsidR="00F37131">
        <w:rPr>
          <w:rFonts w:cs="Times New Roman"/>
          <w:lang w:val="es-ES"/>
        </w:rPr>
        <w:t>capital</w:t>
      </w:r>
      <w:r w:rsidRPr="008B41D0">
        <w:rPr>
          <w:rFonts w:cs="Times New Roman"/>
          <w:lang w:val="es-ES"/>
        </w:rPr>
        <w:t xml:space="preserve"> y la expansión económica del Estado?</w:t>
      </w:r>
    </w:p>
    <w:p w14:paraId="3C3B610F" w14:textId="71C9D4A4" w:rsidR="00535113" w:rsidRPr="00CA097E" w:rsidRDefault="00CA097E" w:rsidP="00535113">
      <w:pPr>
        <w:pStyle w:val="Prrafodelista"/>
        <w:numPr>
          <w:ilvl w:val="0"/>
          <w:numId w:val="33"/>
        </w:numPr>
        <w:spacing w:line="360" w:lineRule="auto"/>
        <w:rPr>
          <w:rFonts w:cs="Times New Roman"/>
          <w:lang w:val="es-ES"/>
        </w:rPr>
      </w:pPr>
      <w:r w:rsidRPr="00CA097E">
        <w:rPr>
          <w:rFonts w:cs="Times New Roman"/>
          <w:lang w:val="es-ES"/>
        </w:rPr>
        <w:t>¿Cómo logró un "Estado Desarrollista" fuertemente centralizado y autoritario conciliar su férreo control político interno con la cesión de soberanía comercial que exige el sometimiento al Derecho Mercantil Internacional?</w:t>
      </w:r>
    </w:p>
    <w:p w14:paraId="5E9604BA" w14:textId="7CD2276A" w:rsidR="004F1D68" w:rsidRPr="00126EB8" w:rsidRDefault="00573A21" w:rsidP="00AF2183">
      <w:pPr>
        <w:pStyle w:val="Ttulo2"/>
        <w:spacing w:line="360" w:lineRule="auto"/>
        <w:rPr>
          <w:rFonts w:ascii="Times New Roman" w:hAnsi="Times New Roman" w:cs="Times New Roman"/>
          <w:b/>
          <w:bCs/>
          <w:color w:val="000000" w:themeColor="text1"/>
          <w:sz w:val="24"/>
          <w:szCs w:val="24"/>
          <w:lang w:val="es-ES"/>
        </w:rPr>
      </w:pPr>
      <w:bookmarkStart w:id="11" w:name="_Toc226749101"/>
      <w:r w:rsidRPr="00126EB8">
        <w:rPr>
          <w:rFonts w:ascii="Times New Roman" w:hAnsi="Times New Roman" w:cs="Times New Roman"/>
          <w:b/>
          <w:bCs/>
          <w:color w:val="000000" w:themeColor="text1"/>
          <w:sz w:val="24"/>
          <w:szCs w:val="24"/>
          <w:lang w:val="es-ES"/>
        </w:rPr>
        <w:t xml:space="preserve">1.3. </w:t>
      </w:r>
      <w:r w:rsidR="0093639C">
        <w:rPr>
          <w:rFonts w:ascii="Times New Roman" w:hAnsi="Times New Roman" w:cs="Times New Roman"/>
          <w:b/>
          <w:bCs/>
          <w:color w:val="000000" w:themeColor="text1"/>
          <w:sz w:val="24"/>
          <w:szCs w:val="24"/>
          <w:lang w:val="es-ES"/>
        </w:rPr>
        <w:t>Metodología</w:t>
      </w:r>
      <w:bookmarkEnd w:id="11"/>
    </w:p>
    <w:p w14:paraId="5CE04FDA" w14:textId="6F9D9BAE" w:rsidR="00BD2293" w:rsidRDefault="00BD2293" w:rsidP="000447A8">
      <w:pPr>
        <w:spacing w:line="360" w:lineRule="auto"/>
        <w:rPr>
          <w:rFonts w:cs="Times New Roman"/>
          <w:lang w:val="es-ES"/>
        </w:rPr>
      </w:pPr>
      <w:r w:rsidRPr="00BD2293">
        <w:rPr>
          <w:rFonts w:cs="Times New Roman"/>
          <w:lang w:val="es-ES"/>
        </w:rPr>
        <w:t xml:space="preserve">Para dar respuesta a los objetivos planteados, la investigación adopta un enfoque cualitativo </w:t>
      </w:r>
      <w:r w:rsidR="000127C9" w:rsidRPr="000127C9">
        <w:rPr>
          <w:rFonts w:cs="Times New Roman"/>
          <w:lang w:val="es-ES"/>
        </w:rPr>
        <w:t>centrado en un estudio de caso único</w:t>
      </w:r>
      <w:r w:rsidR="00477F70">
        <w:rPr>
          <w:lang w:val="es-ES"/>
        </w:rPr>
        <w:t xml:space="preserve">, el cual </w:t>
      </w:r>
      <w:r w:rsidR="00477F70" w:rsidRPr="00477F70">
        <w:rPr>
          <w:lang w:val="es-ES"/>
        </w:rPr>
        <w:t>permite analizar en profundidad y con un alto nivel de detalle la experiencia particular de</w:t>
      </w:r>
      <w:r w:rsidR="00477F70">
        <w:rPr>
          <w:lang w:val="es-ES"/>
        </w:rPr>
        <w:t xml:space="preserve">l </w:t>
      </w:r>
      <w:r w:rsidR="008D7375">
        <w:rPr>
          <w:lang w:val="es-ES"/>
        </w:rPr>
        <w:t>Estado</w:t>
      </w:r>
      <w:r w:rsidR="00477F70">
        <w:rPr>
          <w:lang w:val="es-ES"/>
        </w:rPr>
        <w:t xml:space="preserve"> singapurense</w:t>
      </w:r>
      <w:r w:rsidR="00004B78">
        <w:rPr>
          <w:lang w:val="es-ES"/>
        </w:rPr>
        <w:t>. Asimismo, el estudio</w:t>
      </w:r>
      <w:r w:rsidR="005E60A3">
        <w:rPr>
          <w:lang w:val="es-ES"/>
        </w:rPr>
        <w:t xml:space="preserve"> </w:t>
      </w:r>
      <w:r w:rsidR="005E60A3" w:rsidRPr="005E60A3">
        <w:rPr>
          <w:rFonts w:cs="Times New Roman"/>
          <w:lang w:val="es-ES"/>
        </w:rPr>
        <w:t xml:space="preserve">abarca un análisis </w:t>
      </w:r>
      <w:r w:rsidR="005E60A3">
        <w:rPr>
          <w:rFonts w:cs="Times New Roman"/>
          <w:lang w:val="es-ES"/>
        </w:rPr>
        <w:t>a lo largo</w:t>
      </w:r>
      <w:r w:rsidR="00004B78">
        <w:rPr>
          <w:rFonts w:cs="Times New Roman"/>
          <w:lang w:val="es-ES"/>
        </w:rPr>
        <w:t xml:space="preserve"> del tiempo</w:t>
      </w:r>
      <w:r w:rsidR="005E60A3">
        <w:rPr>
          <w:rFonts w:cs="Times New Roman"/>
          <w:lang w:val="es-ES"/>
        </w:rPr>
        <w:t xml:space="preserve"> </w:t>
      </w:r>
      <w:r w:rsidRPr="00BD2293">
        <w:rPr>
          <w:rFonts w:cs="Times New Roman"/>
          <w:lang w:val="es-ES"/>
        </w:rPr>
        <w:t>que permite evaluar la evolución de sus políticas desde 1965 hasta su consolidación contemporánea.</w:t>
      </w:r>
    </w:p>
    <w:p w14:paraId="0B200FBA" w14:textId="3B0EDC3C" w:rsidR="00937FB0" w:rsidRDefault="00937FB0" w:rsidP="000447A8">
      <w:pPr>
        <w:spacing w:line="360" w:lineRule="auto"/>
        <w:rPr>
          <w:rFonts w:cs="Times New Roman"/>
          <w:lang w:val="es-ES"/>
        </w:rPr>
      </w:pPr>
      <w:r w:rsidRPr="00937FB0">
        <w:rPr>
          <w:rFonts w:cs="Times New Roman"/>
          <w:lang w:val="es-ES"/>
        </w:rPr>
        <w:t xml:space="preserve">Las estrategias y técnicas de investigación empleadas pivotan sobre dos ejes. El primero es un análisis jurídico-documental exhaustivo de los textos legales que configuran la arquitectura del comercio global, con especial atención a las disposiciones del GATT y el </w:t>
      </w:r>
      <w:r w:rsidRPr="00937FB0">
        <w:rPr>
          <w:rFonts w:cs="Times New Roman"/>
          <w:lang w:val="es-ES"/>
        </w:rPr>
        <w:lastRenderedPageBreak/>
        <w:t xml:space="preserve">GATS </w:t>
      </w:r>
      <w:r w:rsidR="00C312BE" w:rsidRPr="00C312BE">
        <w:rPr>
          <w:rFonts w:cs="Times New Roman"/>
          <w:lang w:val="es-ES"/>
        </w:rPr>
        <w:t>que resultaron determinantes para la inserción internacional de</w:t>
      </w:r>
      <w:r w:rsidR="00C312BE">
        <w:rPr>
          <w:rFonts w:cs="Times New Roman"/>
          <w:lang w:val="es-ES"/>
        </w:rPr>
        <w:t>l país</w:t>
      </w:r>
      <w:r w:rsidRPr="00937FB0">
        <w:rPr>
          <w:rFonts w:cs="Times New Roman"/>
          <w:lang w:val="es-ES"/>
        </w:rPr>
        <w:t xml:space="preserve">. El segundo eje consiste en un análisis fundamentado en la economía política internacional, </w:t>
      </w:r>
      <w:r w:rsidR="00DF44FF" w:rsidRPr="00DF44FF">
        <w:rPr>
          <w:rFonts w:cs="Times New Roman"/>
          <w:lang w:val="es-ES"/>
        </w:rPr>
        <w:t>donde se aplican directamente las teorías del institucionalismo neoliberal y el modelo de Estado Desarrollista como lentes analíticas para interpretar</w:t>
      </w:r>
      <w:r w:rsidRPr="00937FB0">
        <w:rPr>
          <w:rFonts w:cs="Times New Roman"/>
          <w:lang w:val="es-ES"/>
        </w:rPr>
        <w:t xml:space="preserve"> las decisiones estatales adoptadas por el gobierno singapurense.</w:t>
      </w:r>
    </w:p>
    <w:p w14:paraId="775761C3" w14:textId="60A873E6" w:rsidR="00F33B3E" w:rsidRDefault="00F71509" w:rsidP="000447A8">
      <w:pPr>
        <w:spacing w:line="360" w:lineRule="auto"/>
        <w:rPr>
          <w:rFonts w:cs="Times New Roman"/>
          <w:lang w:val="es-ES"/>
        </w:rPr>
      </w:pPr>
      <w:r w:rsidRPr="00F71509">
        <w:rPr>
          <w:rFonts w:cs="Times New Roman"/>
          <w:lang w:val="es-ES"/>
        </w:rPr>
        <w:t>En lo que respecta a las fuentes de información, la investigación se nutre de fuentes primarias, tales como los textos legales de la OMC, tratados de libre comercio ratificados por el Estado</w:t>
      </w:r>
      <w:r>
        <w:rPr>
          <w:rFonts w:cs="Times New Roman"/>
          <w:lang w:val="es-ES"/>
        </w:rPr>
        <w:t>, legislación nacional</w:t>
      </w:r>
      <w:r w:rsidRPr="00F71509">
        <w:rPr>
          <w:rFonts w:cs="Times New Roman"/>
          <w:lang w:val="es-ES"/>
        </w:rPr>
        <w:t xml:space="preserve"> y reportes oficiales de entidades gubernamentales como el Consejo de Desarrollo Económico (</w:t>
      </w:r>
      <w:r w:rsidRPr="00F23A4A">
        <w:rPr>
          <w:rFonts w:cs="Times New Roman"/>
          <w:i/>
          <w:iCs/>
          <w:lang w:val="es-ES"/>
        </w:rPr>
        <w:t>Economic Development Board</w:t>
      </w:r>
      <w:r w:rsidRPr="00F71509">
        <w:rPr>
          <w:rFonts w:cs="Times New Roman"/>
          <w:lang w:val="es-ES"/>
        </w:rPr>
        <w:t xml:space="preserve"> </w:t>
      </w:r>
      <w:r w:rsidR="00F23A4A">
        <w:rPr>
          <w:rFonts w:cs="Times New Roman"/>
          <w:lang w:val="es-ES"/>
        </w:rPr>
        <w:t>–</w:t>
      </w:r>
      <w:r w:rsidRPr="00F71509">
        <w:rPr>
          <w:rFonts w:cs="Times New Roman"/>
          <w:lang w:val="es-ES"/>
        </w:rPr>
        <w:t xml:space="preserve"> EDB</w:t>
      </w:r>
      <w:r w:rsidR="00F23A4A">
        <w:rPr>
          <w:rFonts w:cs="Times New Roman"/>
          <w:lang w:val="es-ES"/>
        </w:rPr>
        <w:t>, por sus siglas en inglés</w:t>
      </w:r>
      <w:r w:rsidRPr="00F71509">
        <w:rPr>
          <w:rFonts w:cs="Times New Roman"/>
          <w:lang w:val="es-ES"/>
        </w:rPr>
        <w:t>). Estas se complementan con fuentes secundarias procedentes de la literatura académica especializada en economía asiática, teoría de las Relaciones Internacionales y Derecho Mercantil Internacional.</w:t>
      </w:r>
      <w:r w:rsidR="009341B1">
        <w:rPr>
          <w:rFonts w:cs="Times New Roman"/>
          <w:lang w:val="es-ES"/>
        </w:rPr>
        <w:t xml:space="preserve"> </w:t>
      </w:r>
      <w:r w:rsidR="009341B1" w:rsidRPr="009341B1">
        <w:rPr>
          <w:rFonts w:cs="Times New Roman"/>
          <w:lang w:val="es-ES"/>
        </w:rPr>
        <w:t>En este sentido, el trabajo se sustenta en los teóricos de referencia en institucionalismo (Keohane, North) y política desarrollista (Johnson, Rodan), así como en los estudios jurídicos de la región y los informes históricos del Banco Mundial sobre el desarrollo de las economías asiáticas de alto rendimiento (</w:t>
      </w:r>
      <w:r w:rsidR="009341B1" w:rsidRPr="009341B1">
        <w:rPr>
          <w:rFonts w:cs="Times New Roman"/>
          <w:i/>
          <w:iCs/>
          <w:lang w:val="es-ES"/>
        </w:rPr>
        <w:t>HPAEs</w:t>
      </w:r>
      <w:r w:rsidR="009341B1">
        <w:rPr>
          <w:rFonts w:cs="Times New Roman"/>
          <w:lang w:val="es-ES"/>
        </w:rPr>
        <w:t>, por sus siglas en inglés</w:t>
      </w:r>
      <w:r w:rsidR="009341B1" w:rsidRPr="009341B1">
        <w:rPr>
          <w:rFonts w:cs="Times New Roman"/>
          <w:lang w:val="es-ES"/>
        </w:rPr>
        <w:t>).</w:t>
      </w:r>
    </w:p>
    <w:p w14:paraId="6E89A25A" w14:textId="21E89A6F" w:rsidR="001F5D0F" w:rsidRDefault="00744938" w:rsidP="000447A8">
      <w:pPr>
        <w:spacing w:line="360" w:lineRule="auto"/>
        <w:rPr>
          <w:rFonts w:cs="Times New Roman"/>
          <w:lang w:val="es-ES"/>
        </w:rPr>
      </w:pPr>
      <w:r w:rsidRPr="00744938">
        <w:rPr>
          <w:rFonts w:cs="Times New Roman"/>
          <w:lang w:val="es-ES"/>
        </w:rPr>
        <w:t xml:space="preserve">Finalmente, con el propósito de dotar de robustez empírica a la argumentación teórica, </w:t>
      </w:r>
      <w:r w:rsidR="00FD1784">
        <w:rPr>
          <w:rFonts w:cs="Times New Roman"/>
          <w:lang w:val="es-ES"/>
        </w:rPr>
        <w:t xml:space="preserve">el </w:t>
      </w:r>
      <w:r w:rsidR="00FD1784" w:rsidRPr="00FD1784">
        <w:rPr>
          <w:rFonts w:cs="Times New Roman"/>
          <w:lang w:val="es-ES"/>
        </w:rPr>
        <w:t>análisis cualitativo se complementa con el respaldo de evidencia cuantitativa</w:t>
      </w:r>
      <w:r w:rsidRPr="00744938">
        <w:rPr>
          <w:rFonts w:cs="Times New Roman"/>
          <w:lang w:val="es-ES"/>
        </w:rPr>
        <w:t>. Para ello, se extraen y analizan series estadísticas e indicadores macroeconómicos provenientes de las bases de datos oficiales del Banco Mundial</w:t>
      </w:r>
      <w:r>
        <w:rPr>
          <w:rFonts w:cs="Times New Roman"/>
          <w:lang w:val="es-ES"/>
        </w:rPr>
        <w:t>, Gobierno de Singapur y demás instituciones pertinentes</w:t>
      </w:r>
      <w:r w:rsidR="00DC09EC">
        <w:rPr>
          <w:rFonts w:cs="Times New Roman"/>
          <w:lang w:val="es-ES"/>
        </w:rPr>
        <w:t xml:space="preserve">, de manera que se permita </w:t>
      </w:r>
      <w:r w:rsidR="00DC09EC" w:rsidRPr="00DC09EC">
        <w:rPr>
          <w:rFonts w:cs="Times New Roman"/>
          <w:lang w:val="es-ES"/>
        </w:rPr>
        <w:t>corroborar visual y analíticamente el impacto tangible de la adhesión normativa en el desempeño económico real de</w:t>
      </w:r>
      <w:r w:rsidR="00244E79">
        <w:rPr>
          <w:rFonts w:cs="Times New Roman"/>
          <w:lang w:val="es-ES"/>
        </w:rPr>
        <w:t>l país</w:t>
      </w:r>
      <w:r w:rsidR="00DC09EC" w:rsidRPr="00DC09EC">
        <w:rPr>
          <w:rFonts w:cs="Times New Roman"/>
          <w:lang w:val="es-ES"/>
        </w:rPr>
        <w:t>.</w:t>
      </w:r>
      <w:r w:rsidR="00DC09EC">
        <w:rPr>
          <w:rFonts w:cs="Times New Roman"/>
          <w:lang w:val="es-ES"/>
        </w:rPr>
        <w:t xml:space="preserve"> </w:t>
      </w:r>
    </w:p>
    <w:p w14:paraId="0225188E" w14:textId="3B6D635C" w:rsidR="000447A8" w:rsidRDefault="00DC2CE0" w:rsidP="000447A8">
      <w:pPr>
        <w:spacing w:line="360" w:lineRule="auto"/>
        <w:rPr>
          <w:rFonts w:cs="Times New Roman"/>
          <w:lang w:val="es-ES"/>
        </w:rPr>
      </w:pPr>
      <w:r>
        <w:rPr>
          <w:rFonts w:cs="Times New Roman"/>
          <w:lang w:val="es-ES"/>
        </w:rPr>
        <w:t>Enfoque</w:t>
      </w:r>
      <w:r w:rsidR="000447A8">
        <w:rPr>
          <w:rFonts w:cs="Times New Roman"/>
          <w:lang w:val="es-ES"/>
        </w:rPr>
        <w:t xml:space="preserve"> </w:t>
      </w:r>
      <w:r w:rsidR="000447A8" w:rsidRPr="000447A8">
        <w:rPr>
          <w:rFonts w:cs="Times New Roman"/>
          <w:lang w:val="es-ES"/>
        </w:rPr>
        <w:sym w:font="Wingdings" w:char="F0E0"/>
      </w:r>
      <w:r w:rsidR="000447A8">
        <w:rPr>
          <w:rFonts w:cs="Times New Roman"/>
          <w:lang w:val="es-ES"/>
        </w:rPr>
        <w:t xml:space="preserve"> </w:t>
      </w:r>
      <w:r w:rsidR="000447A8" w:rsidRPr="00A96FBC">
        <w:rPr>
          <w:rFonts w:cs="Times New Roman"/>
          <w:lang w:val="es-ES"/>
        </w:rPr>
        <w:t>Cualitativo. Método de Estudio de Caso Único (Singapur) con perspectiva longitudinal (histórica).</w:t>
      </w:r>
    </w:p>
    <w:p w14:paraId="75FAF702" w14:textId="77777777" w:rsidR="00535113" w:rsidRPr="00A96FBC" w:rsidRDefault="00535113" w:rsidP="000447A8">
      <w:pPr>
        <w:spacing w:line="360" w:lineRule="auto"/>
        <w:rPr>
          <w:rFonts w:cs="Times New Roman"/>
          <w:lang w:val="es-ES"/>
        </w:rPr>
      </w:pPr>
    </w:p>
    <w:p w14:paraId="562AC906" w14:textId="77777777" w:rsidR="007B2E96" w:rsidRDefault="007B2E96" w:rsidP="00B20D8F">
      <w:pPr>
        <w:spacing w:line="360" w:lineRule="auto"/>
        <w:rPr>
          <w:lang w:val="es-ES"/>
        </w:rPr>
      </w:pPr>
    </w:p>
    <w:p w14:paraId="25C437D6" w14:textId="77777777" w:rsidR="007B2E96" w:rsidRPr="00B20D8F" w:rsidRDefault="007B2E96" w:rsidP="00B20D8F">
      <w:pPr>
        <w:spacing w:line="360" w:lineRule="auto"/>
        <w:rPr>
          <w:rFonts w:cs="Times New Roman"/>
          <w:lang w:val="es-ES"/>
        </w:rPr>
      </w:pPr>
    </w:p>
    <w:p w14:paraId="5CAA557F" w14:textId="2C7A736E" w:rsidR="00D86886" w:rsidRPr="00F8631E" w:rsidRDefault="00D86886" w:rsidP="00F8631E">
      <w:pPr>
        <w:pStyle w:val="Ttulo1"/>
      </w:pPr>
      <w:bookmarkStart w:id="12" w:name="_Toc226749102"/>
      <w:r w:rsidRPr="00F8631E">
        <w:lastRenderedPageBreak/>
        <w:t xml:space="preserve">2. </w:t>
      </w:r>
      <w:r w:rsidR="00263255" w:rsidRPr="00F8631E">
        <w:t>Estado de la cuestión y marco teórico</w:t>
      </w:r>
      <w:bookmarkEnd w:id="12"/>
    </w:p>
    <w:p w14:paraId="3502DB28" w14:textId="300BB4D2" w:rsidR="00D86886" w:rsidRPr="00050448" w:rsidRDefault="00001694" w:rsidP="00AF2183">
      <w:pPr>
        <w:pStyle w:val="Ttulo2"/>
        <w:spacing w:line="360" w:lineRule="auto"/>
        <w:rPr>
          <w:rFonts w:ascii="Times New Roman" w:hAnsi="Times New Roman" w:cs="Times New Roman"/>
          <w:b/>
          <w:bCs/>
          <w:color w:val="000000" w:themeColor="text1"/>
          <w:sz w:val="24"/>
          <w:szCs w:val="24"/>
          <w:lang w:val="es-ES"/>
        </w:rPr>
      </w:pPr>
      <w:bookmarkStart w:id="13" w:name="_Toc226749103"/>
      <w:r w:rsidRPr="00050448">
        <w:rPr>
          <w:rFonts w:ascii="Times New Roman" w:hAnsi="Times New Roman" w:cs="Times New Roman"/>
          <w:b/>
          <w:bCs/>
          <w:color w:val="000000" w:themeColor="text1"/>
          <w:sz w:val="24"/>
          <w:szCs w:val="24"/>
          <w:lang w:val="es-ES"/>
        </w:rPr>
        <w:t xml:space="preserve">2.1. </w:t>
      </w:r>
      <w:r w:rsidR="00951B9A" w:rsidRPr="00050448">
        <w:rPr>
          <w:rFonts w:ascii="Times New Roman" w:hAnsi="Times New Roman" w:cs="Times New Roman"/>
          <w:b/>
          <w:bCs/>
          <w:color w:val="000000" w:themeColor="text1"/>
          <w:sz w:val="24"/>
          <w:szCs w:val="24"/>
          <w:lang w:val="es-ES"/>
        </w:rPr>
        <w:t>Estado de la cuestión</w:t>
      </w:r>
      <w:bookmarkEnd w:id="13"/>
    </w:p>
    <w:p w14:paraId="3357F363" w14:textId="07744013" w:rsidR="00FA173C" w:rsidRDefault="00FA173C" w:rsidP="00FA173C">
      <w:pPr>
        <w:spacing w:line="360" w:lineRule="auto"/>
        <w:rPr>
          <w:rFonts w:cs="Times New Roman"/>
          <w:lang w:val="es-ES"/>
        </w:rPr>
      </w:pPr>
      <w:r w:rsidRPr="00FA173C">
        <w:rPr>
          <w:rFonts w:cs="Times New Roman"/>
          <w:lang w:val="es-ES"/>
        </w:rPr>
        <w:t xml:space="preserve">La transformación económica de la República de Singapur, que pasó de ser una isla poscolonial con severa escasez de recursos en 1965 a convertirse en un centro financiero e industrial global de primer orden, sigue siendo uno de los fenómenos más examinados en los campos de la economía política internacional y los estudios de desarrollo. Este crecimiento acelerado desafió las predicciones pesimistas de los observadores de la época, que consideraban </w:t>
      </w:r>
      <w:r w:rsidR="00B76908" w:rsidRPr="00B76908">
        <w:rPr>
          <w:rFonts w:cs="Times New Roman"/>
          <w:lang w:val="es-ES"/>
        </w:rPr>
        <w:t xml:space="preserve">que el proyecto de la ciudad-Estado carecía de </w:t>
      </w:r>
      <w:commentRangeStart w:id="14"/>
      <w:commentRangeStart w:id="15"/>
      <w:r w:rsidR="00B76908" w:rsidRPr="00B76908">
        <w:rPr>
          <w:rFonts w:cs="Times New Roman"/>
          <w:lang w:val="es-ES"/>
        </w:rPr>
        <w:t xml:space="preserve">viabilidad </w:t>
      </w:r>
      <w:r w:rsidR="005F762D">
        <w:rPr>
          <w:rFonts w:cs="Times New Roman"/>
          <w:lang w:val="es-ES"/>
        </w:rPr>
        <w:t>(Leifer, 2000, pp. 157-162)</w:t>
      </w:r>
      <w:r w:rsidRPr="00FA173C">
        <w:rPr>
          <w:rFonts w:cs="Times New Roman"/>
          <w:lang w:val="es-ES"/>
        </w:rPr>
        <w:t>.</w:t>
      </w:r>
      <w:commentRangeEnd w:id="14"/>
      <w:r w:rsidR="009B5016" w:rsidRPr="00FA173C">
        <w:rPr>
          <w:rStyle w:val="Refdecomentario"/>
          <w:rFonts w:cs="Times New Roman"/>
          <w:sz w:val="24"/>
          <w:szCs w:val="24"/>
          <w:lang w:val="es-ES"/>
        </w:rPr>
        <w:commentReference w:id="14"/>
      </w:r>
      <w:commentRangeEnd w:id="15"/>
      <w:r w:rsidR="00B51AC2" w:rsidRPr="00FA173C">
        <w:rPr>
          <w:rStyle w:val="Refdecomentario"/>
          <w:rFonts w:cs="Times New Roman"/>
          <w:sz w:val="24"/>
          <w:szCs w:val="24"/>
          <w:lang w:val="es-ES"/>
        </w:rPr>
        <w:commentReference w:id="15"/>
      </w:r>
      <w:r w:rsidRPr="00FA173C">
        <w:rPr>
          <w:rFonts w:cs="Times New Roman"/>
          <w:lang w:val="es-ES"/>
        </w:rPr>
        <w:t xml:space="preserve"> Al revisar la literatura académica existente, el debate sobre </w:t>
      </w:r>
      <w:r w:rsidR="005D4EEF" w:rsidRPr="005D4EEF">
        <w:rPr>
          <w:rFonts w:cs="Times New Roman"/>
          <w:lang w:val="es-ES"/>
        </w:rPr>
        <w:t>los mecanismos que posibilitaron</w:t>
      </w:r>
      <w:r w:rsidR="005D4EEF">
        <w:rPr>
          <w:rFonts w:cs="Times New Roman"/>
          <w:lang w:val="es-ES"/>
        </w:rPr>
        <w:t xml:space="preserve"> </w:t>
      </w:r>
      <w:r w:rsidRPr="00FA173C">
        <w:rPr>
          <w:rFonts w:cs="Times New Roman"/>
          <w:lang w:val="es-ES"/>
        </w:rPr>
        <w:t xml:space="preserve">este éxito se divide en </w:t>
      </w:r>
      <w:r w:rsidR="005D4EEF">
        <w:rPr>
          <w:rFonts w:cs="Times New Roman"/>
          <w:lang w:val="es-ES"/>
        </w:rPr>
        <w:t>dos</w:t>
      </w:r>
      <w:r w:rsidRPr="00FA173C">
        <w:rPr>
          <w:rFonts w:cs="Times New Roman"/>
          <w:lang w:val="es-ES"/>
        </w:rPr>
        <w:t xml:space="preserve"> grandes corrientes explicativas, </w:t>
      </w:r>
      <w:r w:rsidR="005D4EEF" w:rsidRPr="005D4EEF">
        <w:rPr>
          <w:rFonts w:cs="Times New Roman"/>
          <w:lang w:val="es-ES"/>
        </w:rPr>
        <w:t>cuya limitación analítica sirve como base para justificar el enfoque de esta investigación</w:t>
      </w:r>
      <w:r w:rsidRPr="00FA173C">
        <w:rPr>
          <w:rFonts w:cs="Times New Roman"/>
          <w:lang w:val="es-ES"/>
        </w:rPr>
        <w:t>.</w:t>
      </w:r>
    </w:p>
    <w:p w14:paraId="1DFDE95C" w14:textId="72E980CA" w:rsidR="00CE3304" w:rsidRDefault="005300FF" w:rsidP="009E4D7E">
      <w:pPr>
        <w:spacing w:line="360" w:lineRule="auto"/>
        <w:rPr>
          <w:rFonts w:cs="Times New Roman"/>
          <w:lang w:val="es-ES"/>
        </w:rPr>
      </w:pPr>
      <w:r w:rsidRPr="005300FF">
        <w:rPr>
          <w:rFonts w:cs="Times New Roman"/>
          <w:lang w:val="es-ES"/>
        </w:rPr>
        <w:t>La interpretación neoliberal del éxito de Singapur es quizás la más difundida, impulsada por</w:t>
      </w:r>
      <w:r>
        <w:rPr>
          <w:rFonts w:cs="Times New Roman"/>
          <w:lang w:val="es-ES"/>
        </w:rPr>
        <w:t xml:space="preserve"> </w:t>
      </w:r>
      <w:r w:rsidRPr="005300FF">
        <w:rPr>
          <w:rFonts w:cs="Times New Roman"/>
          <w:lang w:val="es-ES"/>
        </w:rPr>
        <w:t>defensores del libre mercado</w:t>
      </w:r>
      <w:r>
        <w:rPr>
          <w:rFonts w:cs="Times New Roman"/>
          <w:lang w:val="es-ES"/>
        </w:rPr>
        <w:t xml:space="preserve"> e</w:t>
      </w:r>
      <w:r w:rsidRPr="005300FF">
        <w:rPr>
          <w:rFonts w:cs="Times New Roman"/>
          <w:lang w:val="es-ES"/>
        </w:rPr>
        <w:t xml:space="preserve"> instituciones financieras internacionales </w:t>
      </w:r>
      <w:r>
        <w:rPr>
          <w:rFonts w:cs="Times New Roman"/>
          <w:lang w:val="es-ES"/>
        </w:rPr>
        <w:t>como el Banco Mundial y el Fondo Monetario Internacional</w:t>
      </w:r>
      <w:r w:rsidRPr="005300FF">
        <w:rPr>
          <w:rFonts w:cs="Times New Roman"/>
          <w:lang w:val="es-ES"/>
        </w:rPr>
        <w:t xml:space="preserve">. Esta corriente de pensamiento argumenta que la prosperidad de Singapur es el resultado lógico de una adherencia disciplinada a </w:t>
      </w:r>
      <w:r w:rsidR="009061D3" w:rsidRPr="009061D3">
        <w:rPr>
          <w:rFonts w:cs="Times New Roman"/>
          <w:lang w:val="es-ES"/>
        </w:rPr>
        <w:t>los principios económicos básicos</w:t>
      </w:r>
      <w:r w:rsidRPr="005300FF">
        <w:rPr>
          <w:rFonts w:cs="Times New Roman"/>
          <w:lang w:val="es-ES"/>
        </w:rPr>
        <w:t>, incluyendo la</w:t>
      </w:r>
      <w:r w:rsidR="009764B5">
        <w:rPr>
          <w:rFonts w:cs="Times New Roman"/>
          <w:lang w:val="es-ES"/>
        </w:rPr>
        <w:t xml:space="preserve"> apertura comercial, la</w:t>
      </w:r>
      <w:r w:rsidRPr="005300FF">
        <w:rPr>
          <w:rFonts w:cs="Times New Roman"/>
          <w:lang w:val="es-ES"/>
        </w:rPr>
        <w:t xml:space="preserve"> estabilidad macroeconómica</w:t>
      </w:r>
      <w:r w:rsidR="00B15B85">
        <w:rPr>
          <w:rFonts w:cs="Times New Roman"/>
          <w:lang w:val="es-ES"/>
        </w:rPr>
        <w:t xml:space="preserve">, </w:t>
      </w:r>
      <w:r w:rsidR="00B15B85" w:rsidRPr="00B15B85">
        <w:rPr>
          <w:rFonts w:cs="Times New Roman"/>
          <w:lang w:val="es-ES"/>
        </w:rPr>
        <w:t>la férrea protección de los derechos de propiedad privada</w:t>
      </w:r>
      <w:r w:rsidRPr="005300FF">
        <w:rPr>
          <w:rFonts w:cs="Times New Roman"/>
          <w:lang w:val="es-ES"/>
        </w:rPr>
        <w:t xml:space="preserve"> y</w:t>
      </w:r>
      <w:r w:rsidR="00172271">
        <w:rPr>
          <w:rFonts w:cs="Times New Roman"/>
          <w:lang w:val="es-ES"/>
        </w:rPr>
        <w:t xml:space="preserve"> un marco jurídico sólido</w:t>
      </w:r>
      <w:r w:rsidR="009764B5">
        <w:rPr>
          <w:rFonts w:cs="Times New Roman"/>
          <w:lang w:val="es-ES"/>
        </w:rPr>
        <w:t xml:space="preserve"> favorable a la inversión </w:t>
      </w:r>
      <w:r w:rsidR="00BB023F">
        <w:rPr>
          <w:rFonts w:cs="Times New Roman"/>
          <w:lang w:val="es-ES"/>
        </w:rPr>
        <w:t>(</w:t>
      </w:r>
      <w:r w:rsidR="00172271" w:rsidRPr="00172271">
        <w:rPr>
          <w:rFonts w:cs="Times New Roman"/>
          <w:lang w:val="es-ES"/>
        </w:rPr>
        <w:t>World Bank, 1993, p</w:t>
      </w:r>
      <w:r w:rsidR="00172271">
        <w:rPr>
          <w:rFonts w:cs="Times New Roman"/>
          <w:lang w:val="es-ES"/>
        </w:rPr>
        <w:t>p. 5-</w:t>
      </w:r>
      <w:r w:rsidR="00172271" w:rsidRPr="00172271">
        <w:rPr>
          <w:rFonts w:cs="Times New Roman"/>
          <w:lang w:val="es-ES"/>
        </w:rPr>
        <w:t>9</w:t>
      </w:r>
      <w:r w:rsidR="00BB023F">
        <w:rPr>
          <w:rFonts w:cs="Times New Roman"/>
          <w:lang w:val="es-ES"/>
        </w:rPr>
        <w:t>)</w:t>
      </w:r>
      <w:r w:rsidR="00D808A4">
        <w:rPr>
          <w:rFonts w:cs="Times New Roman"/>
          <w:lang w:val="es-ES"/>
        </w:rPr>
        <w:t>.</w:t>
      </w:r>
      <w:r w:rsidR="009764B5">
        <w:rPr>
          <w:rFonts w:cs="Times New Roman"/>
          <w:lang w:val="es-ES"/>
        </w:rPr>
        <w:t xml:space="preserve"> </w:t>
      </w:r>
      <w:r w:rsidR="009E4D7E" w:rsidRPr="009E4D7E">
        <w:rPr>
          <w:rFonts w:cs="Times New Roman"/>
          <w:lang w:val="es-ES"/>
        </w:rPr>
        <w:t>La piedra angular de esta corriente se refleja en el influyente informe del Banco Mundial de 199</w:t>
      </w:r>
      <w:r w:rsidR="009E4D7E" w:rsidRPr="0072774B">
        <w:rPr>
          <w:rFonts w:cs="Times New Roman"/>
          <w:lang w:val="es-ES"/>
        </w:rPr>
        <w:t>3,</w:t>
      </w:r>
      <w:r w:rsidR="009E4D7E" w:rsidRPr="0072774B">
        <w:rPr>
          <w:rFonts w:cs="Times New Roman"/>
          <w:i/>
          <w:iCs/>
          <w:lang w:val="es-ES"/>
        </w:rPr>
        <w:t xml:space="preserve"> The East Asian Miracle: Economic Growth and Public Policy</w:t>
      </w:r>
      <w:r w:rsidR="009E4D7E" w:rsidRPr="009E4D7E">
        <w:rPr>
          <w:rFonts w:cs="Times New Roman"/>
          <w:lang w:val="es-ES"/>
        </w:rPr>
        <w:t xml:space="preserve">. Los economistas de esta escuela postulan que </w:t>
      </w:r>
      <w:r w:rsidR="00DE2E8C">
        <w:rPr>
          <w:rFonts w:cs="Times New Roman"/>
          <w:lang w:val="es-ES"/>
        </w:rPr>
        <w:t>el gobierno singapurense</w:t>
      </w:r>
      <w:r w:rsidR="009E4D7E" w:rsidRPr="009E4D7E">
        <w:rPr>
          <w:rFonts w:cs="Times New Roman"/>
          <w:lang w:val="es-ES"/>
        </w:rPr>
        <w:t xml:space="preserve"> triunfó principalmente porque </w:t>
      </w:r>
      <w:r w:rsidR="0033663F" w:rsidRPr="009061D3">
        <w:rPr>
          <w:rFonts w:cs="Times New Roman"/>
          <w:lang w:val="es-ES"/>
        </w:rPr>
        <w:t>"aplicó correctamente los fundamentos"</w:t>
      </w:r>
      <w:r w:rsidR="004532C4" w:rsidRPr="009061D3">
        <w:rPr>
          <w:rFonts w:cs="Times New Roman"/>
          <w:lang w:val="es-ES"/>
        </w:rPr>
        <w:t xml:space="preserve"> (</w:t>
      </w:r>
      <w:r w:rsidR="004532C4" w:rsidRPr="009061D3">
        <w:rPr>
          <w:rFonts w:cs="Times New Roman"/>
          <w:i/>
          <w:iCs/>
          <w:lang w:val="es-ES"/>
        </w:rPr>
        <w:t>getting the basics right</w:t>
      </w:r>
      <w:r w:rsidR="00A37C18">
        <w:rPr>
          <w:rFonts w:cs="Times New Roman"/>
          <w:i/>
          <w:iCs/>
          <w:lang w:val="es-ES"/>
        </w:rPr>
        <w:t>)</w:t>
      </w:r>
      <w:r w:rsidR="00A37C18" w:rsidRPr="00A37C18">
        <w:rPr>
          <w:rFonts w:cs="Times New Roman"/>
          <w:lang w:val="es-ES"/>
        </w:rPr>
        <w:t>,</w:t>
      </w:r>
      <w:r w:rsidR="00A37C18" w:rsidRPr="00A37C18">
        <w:rPr>
          <w:lang w:val="es-ES"/>
        </w:rPr>
        <w:t xml:space="preserve"> </w:t>
      </w:r>
      <w:r w:rsidR="00A37C18" w:rsidRPr="00A37C18">
        <w:rPr>
          <w:rFonts w:cs="Times New Roman"/>
          <w:lang w:val="es-ES"/>
        </w:rPr>
        <w:t xml:space="preserve">orientando sus políticas hacia la exportación e integrando el país en la economía global </w:t>
      </w:r>
      <w:r w:rsidR="0005729E">
        <w:rPr>
          <w:rFonts w:cs="Times New Roman"/>
          <w:lang w:val="es-ES"/>
        </w:rPr>
        <w:t>(</w:t>
      </w:r>
      <w:r w:rsidR="00843131">
        <w:rPr>
          <w:rFonts w:cs="Times New Roman"/>
          <w:lang w:val="es-ES"/>
        </w:rPr>
        <w:t>World Bank, 199</w:t>
      </w:r>
      <w:r w:rsidR="0072774B">
        <w:rPr>
          <w:rFonts w:cs="Times New Roman"/>
          <w:lang w:val="es-ES"/>
        </w:rPr>
        <w:t xml:space="preserve">3, </w:t>
      </w:r>
      <w:r w:rsidR="0005729E">
        <w:rPr>
          <w:rFonts w:cs="Times New Roman"/>
          <w:lang w:val="es-ES"/>
        </w:rPr>
        <w:t xml:space="preserve">pp. </w:t>
      </w:r>
      <w:r w:rsidR="00CD72B6">
        <w:rPr>
          <w:rFonts w:cs="Times New Roman"/>
          <w:lang w:val="es-ES"/>
        </w:rPr>
        <w:t>123-</w:t>
      </w:r>
      <w:r w:rsidR="0005729E">
        <w:rPr>
          <w:rFonts w:cs="Times New Roman"/>
          <w:lang w:val="es-ES"/>
        </w:rPr>
        <w:t>153)</w:t>
      </w:r>
      <w:r w:rsidR="009E4D7E" w:rsidRPr="009E4D7E">
        <w:rPr>
          <w:rFonts w:cs="Times New Roman"/>
          <w:lang w:val="es-ES"/>
        </w:rPr>
        <w:t xml:space="preserve">. </w:t>
      </w:r>
      <w:r w:rsidR="00CE3304" w:rsidRPr="00CE3304">
        <w:rPr>
          <w:rFonts w:cs="Times New Roman"/>
          <w:lang w:val="es-ES"/>
        </w:rPr>
        <w:t xml:space="preserve">Desde esta perspectiva, aunque el Estado intervino en ciertos sectores, el crecimiento fue favorable al mercado y las intervenciones </w:t>
      </w:r>
      <w:r w:rsidR="0070086B" w:rsidRPr="0070086B">
        <w:rPr>
          <w:rFonts w:cs="Times New Roman"/>
          <w:lang w:val="es-ES"/>
        </w:rPr>
        <w:t>lograron sus objetivos al abordar</w:t>
      </w:r>
      <w:r w:rsidR="00CE3304" w:rsidRPr="00CE3304">
        <w:rPr>
          <w:rFonts w:cs="Times New Roman"/>
          <w:lang w:val="es-ES"/>
        </w:rPr>
        <w:t xml:space="preserve"> fallos específicos dentro de un contexto de políticas ortodoxas rigurosas.</w:t>
      </w:r>
    </w:p>
    <w:p w14:paraId="18E25467" w14:textId="26AB4861" w:rsidR="00D808A4" w:rsidRDefault="009E4D7E" w:rsidP="009E4D7E">
      <w:pPr>
        <w:spacing w:line="360" w:lineRule="auto"/>
        <w:rPr>
          <w:rFonts w:cs="Times New Roman"/>
          <w:lang w:val="es-ES"/>
        </w:rPr>
      </w:pPr>
      <w:r w:rsidRPr="009E4D7E">
        <w:rPr>
          <w:rFonts w:cs="Times New Roman"/>
          <w:lang w:val="es-ES"/>
        </w:rPr>
        <w:t>Un pilar central de este argumento es el rechazo temprano de Singapur a la sustitución de importaciones en favor de una Industrialización Orientada a la Exportación</w:t>
      </w:r>
      <w:r w:rsidR="00DC431D">
        <w:rPr>
          <w:rFonts w:cs="Times New Roman"/>
          <w:lang w:val="es-ES"/>
        </w:rPr>
        <w:t xml:space="preserve"> (EOI)</w:t>
      </w:r>
      <w:r w:rsidRPr="009E4D7E">
        <w:rPr>
          <w:rFonts w:cs="Times New Roman"/>
          <w:lang w:val="es-ES"/>
        </w:rPr>
        <w:t xml:space="preserve">, </w:t>
      </w:r>
      <w:r w:rsidRPr="006612A8">
        <w:rPr>
          <w:rFonts w:cs="Times New Roman"/>
          <w:lang w:val="es-ES"/>
        </w:rPr>
        <w:t xml:space="preserve">desmantelando rápidamente las </w:t>
      </w:r>
      <w:r w:rsidR="006612A8" w:rsidRPr="006612A8">
        <w:rPr>
          <w:rFonts w:cs="Times New Roman"/>
          <w:lang w:val="es-ES"/>
        </w:rPr>
        <w:t>cuotas de importación</w:t>
      </w:r>
      <w:r w:rsidR="006612A8">
        <w:rPr>
          <w:rFonts w:cs="Times New Roman"/>
          <w:lang w:val="es-ES"/>
        </w:rPr>
        <w:t xml:space="preserve"> </w:t>
      </w:r>
      <w:r w:rsidRPr="009E4D7E">
        <w:rPr>
          <w:rFonts w:cs="Times New Roman"/>
          <w:lang w:val="es-ES"/>
        </w:rPr>
        <w:t>y reduciendo los aranceles. Economistas de la corriente liberal</w:t>
      </w:r>
      <w:r w:rsidR="00C85735">
        <w:rPr>
          <w:rFonts w:cs="Times New Roman"/>
          <w:lang w:val="es-ES"/>
        </w:rPr>
        <w:t xml:space="preserve"> </w:t>
      </w:r>
      <w:r w:rsidRPr="009E4D7E">
        <w:rPr>
          <w:rFonts w:cs="Times New Roman"/>
          <w:lang w:val="es-ES"/>
        </w:rPr>
        <w:t>argumentan que, al exponer</w:t>
      </w:r>
      <w:r w:rsidR="00741599">
        <w:rPr>
          <w:rFonts w:cs="Times New Roman"/>
          <w:lang w:val="es-ES"/>
        </w:rPr>
        <w:t xml:space="preserve"> a</w:t>
      </w:r>
      <w:r w:rsidRPr="009E4D7E">
        <w:rPr>
          <w:rFonts w:cs="Times New Roman"/>
          <w:lang w:val="es-ES"/>
        </w:rPr>
        <w:t xml:space="preserve"> </w:t>
      </w:r>
      <w:r w:rsidR="00345780">
        <w:rPr>
          <w:rFonts w:cs="Times New Roman"/>
          <w:lang w:val="es-ES"/>
        </w:rPr>
        <w:t xml:space="preserve">la incipiente industria local </w:t>
      </w:r>
      <w:r w:rsidRPr="009E4D7E">
        <w:rPr>
          <w:rFonts w:cs="Times New Roman"/>
          <w:lang w:val="es-ES"/>
        </w:rPr>
        <w:t xml:space="preserve">a la disciplina de la competencia </w:t>
      </w:r>
      <w:r w:rsidRPr="00CE059F">
        <w:rPr>
          <w:rFonts w:cs="Times New Roman"/>
          <w:lang w:val="es-ES"/>
        </w:rPr>
        <w:t xml:space="preserve">global y </w:t>
      </w:r>
      <w:r w:rsidR="00741599" w:rsidRPr="00CE059F">
        <w:rPr>
          <w:rFonts w:cs="Times New Roman"/>
          <w:lang w:val="es-ES"/>
        </w:rPr>
        <w:t>el</w:t>
      </w:r>
      <w:r w:rsidRPr="00CE059F">
        <w:rPr>
          <w:rFonts w:cs="Times New Roman"/>
          <w:lang w:val="es-ES"/>
        </w:rPr>
        <w:t xml:space="preserve"> libre comercio</w:t>
      </w:r>
      <w:r w:rsidRPr="009E4D7E">
        <w:rPr>
          <w:rFonts w:cs="Times New Roman"/>
          <w:lang w:val="es-ES"/>
        </w:rPr>
        <w:t xml:space="preserve">, </w:t>
      </w:r>
      <w:r w:rsidR="000D7790" w:rsidRPr="000D7790">
        <w:rPr>
          <w:rFonts w:cs="Times New Roman"/>
          <w:lang w:val="es-ES"/>
        </w:rPr>
        <w:t xml:space="preserve">Singapur obligó a su economía a </w:t>
      </w:r>
      <w:r w:rsidR="0059428E">
        <w:rPr>
          <w:rFonts w:cs="Times New Roman"/>
          <w:lang w:val="es-ES"/>
        </w:rPr>
        <w:t>innovar y optimizar procesos</w:t>
      </w:r>
      <w:r w:rsidR="000D7790">
        <w:rPr>
          <w:rFonts w:cs="Times New Roman"/>
          <w:lang w:val="es-ES"/>
        </w:rPr>
        <w:t xml:space="preserve">. </w:t>
      </w:r>
      <w:r w:rsidR="000D7790" w:rsidRPr="000D7790">
        <w:rPr>
          <w:rFonts w:cs="Times New Roman"/>
          <w:lang w:val="es-ES"/>
        </w:rPr>
        <w:t xml:space="preserve">La atracción de Inversión Extranjera Directa </w:t>
      </w:r>
      <w:r w:rsidR="000D7790" w:rsidRPr="000D7790">
        <w:rPr>
          <w:rFonts w:cs="Times New Roman"/>
          <w:lang w:val="es-ES"/>
        </w:rPr>
        <w:lastRenderedPageBreak/>
        <w:t>(IED</w:t>
      </w:r>
      <w:r w:rsidR="002F22C2">
        <w:rPr>
          <w:rFonts w:cs="Times New Roman"/>
          <w:lang w:val="es-ES"/>
        </w:rPr>
        <w:t>)</w:t>
      </w:r>
      <w:r w:rsidR="000D7790" w:rsidRPr="000D7790">
        <w:rPr>
          <w:rFonts w:cs="Times New Roman"/>
          <w:lang w:val="es-ES"/>
        </w:rPr>
        <w:t xml:space="preserve"> </w:t>
      </w:r>
      <w:r w:rsidR="00D54467" w:rsidRPr="00D54467">
        <w:rPr>
          <w:rFonts w:cs="Times New Roman"/>
          <w:lang w:val="es-ES"/>
        </w:rPr>
        <w:t xml:space="preserve">actuó como el mecanismo principal </w:t>
      </w:r>
      <w:r w:rsidR="00CE059F">
        <w:rPr>
          <w:rFonts w:cs="Times New Roman"/>
          <w:lang w:val="es-ES"/>
        </w:rPr>
        <w:t>de este modelo</w:t>
      </w:r>
      <w:r w:rsidR="000D7790" w:rsidRPr="000D7790">
        <w:rPr>
          <w:rFonts w:cs="Times New Roman"/>
          <w:lang w:val="es-ES"/>
        </w:rPr>
        <w:t>, permitiendo que la</w:t>
      </w:r>
      <w:r w:rsidR="00CE059F">
        <w:rPr>
          <w:rFonts w:cs="Times New Roman"/>
          <w:lang w:val="es-ES"/>
        </w:rPr>
        <w:t xml:space="preserve"> apertura económica integrara </w:t>
      </w:r>
      <w:r w:rsidR="000D7790" w:rsidRPr="000D7790">
        <w:rPr>
          <w:rFonts w:cs="Times New Roman"/>
          <w:lang w:val="es-ES"/>
        </w:rPr>
        <w:t>a Singapur en las cadenas de valor globales de las empresas multinacionales</w:t>
      </w:r>
      <w:r w:rsidR="00DE5C51">
        <w:rPr>
          <w:rFonts w:cs="Times New Roman"/>
          <w:lang w:val="es-ES"/>
        </w:rPr>
        <w:t xml:space="preserve"> (</w:t>
      </w:r>
      <w:r w:rsidR="00DE5C51" w:rsidRPr="00DE5C51">
        <w:rPr>
          <w:rFonts w:cs="Times New Roman"/>
          <w:lang w:val="es-ES"/>
        </w:rPr>
        <w:t>Omony Kerali</w:t>
      </w:r>
      <w:r w:rsidR="00DE5C51">
        <w:rPr>
          <w:rFonts w:cs="Times New Roman"/>
          <w:lang w:val="es-ES"/>
        </w:rPr>
        <w:t>, 2020, p. 5)</w:t>
      </w:r>
      <w:r w:rsidR="000D7790">
        <w:rPr>
          <w:rFonts w:cs="Times New Roman"/>
          <w:lang w:val="es-ES"/>
        </w:rPr>
        <w:t>.</w:t>
      </w:r>
    </w:p>
    <w:p w14:paraId="506154E2" w14:textId="3B7587AD" w:rsidR="00772A71" w:rsidRDefault="00180351" w:rsidP="00FA173C">
      <w:pPr>
        <w:spacing w:line="360" w:lineRule="auto"/>
        <w:rPr>
          <w:rFonts w:cs="Times New Roman"/>
          <w:lang w:val="es-ES"/>
        </w:rPr>
      </w:pPr>
      <w:r w:rsidRPr="00180351">
        <w:rPr>
          <w:rFonts w:cs="Times New Roman"/>
          <w:lang w:val="es-ES"/>
        </w:rPr>
        <w:t xml:space="preserve">La segunda gran corriente desafía la noción de que las fuerzas del libre mercado fueron el motor principal del desarrollo. Por el contrario, los académicos estatalistas argumentan que el verdadero catalizador del milagro singapurense fue </w:t>
      </w:r>
      <w:r w:rsidR="0060214C">
        <w:rPr>
          <w:rFonts w:cs="Times New Roman"/>
          <w:lang w:val="es-ES"/>
        </w:rPr>
        <w:t>el “Estado Desarrollista” (Salazar, 2023, p</w:t>
      </w:r>
      <w:r w:rsidR="005754F9">
        <w:rPr>
          <w:rFonts w:cs="Times New Roman"/>
          <w:lang w:val="es-ES"/>
        </w:rPr>
        <w:t>p</w:t>
      </w:r>
      <w:r w:rsidR="0060214C">
        <w:rPr>
          <w:rFonts w:cs="Times New Roman"/>
          <w:lang w:val="es-ES"/>
        </w:rPr>
        <w:t>. 273</w:t>
      </w:r>
      <w:r w:rsidR="005754F9">
        <w:rPr>
          <w:rFonts w:cs="Times New Roman"/>
          <w:lang w:val="es-ES"/>
        </w:rPr>
        <w:t>-275</w:t>
      </w:r>
      <w:r w:rsidR="0060214C">
        <w:rPr>
          <w:rFonts w:cs="Times New Roman"/>
          <w:lang w:val="es-ES"/>
        </w:rPr>
        <w:t>)</w:t>
      </w:r>
      <w:r w:rsidR="001A76BB">
        <w:rPr>
          <w:rFonts w:cs="Times New Roman"/>
          <w:lang w:val="es-ES"/>
        </w:rPr>
        <w:t>;</w:t>
      </w:r>
      <w:r w:rsidR="0060214C">
        <w:rPr>
          <w:rFonts w:cs="Times New Roman"/>
          <w:lang w:val="es-ES"/>
        </w:rPr>
        <w:t xml:space="preserve"> </w:t>
      </w:r>
      <w:r w:rsidRPr="00180351">
        <w:rPr>
          <w:rFonts w:cs="Times New Roman"/>
          <w:lang w:val="es-ES"/>
        </w:rPr>
        <w:t xml:space="preserve">un </w:t>
      </w:r>
      <w:r w:rsidR="001A76BB">
        <w:rPr>
          <w:rFonts w:cs="Times New Roman"/>
          <w:lang w:val="es-ES"/>
        </w:rPr>
        <w:t>sistema</w:t>
      </w:r>
      <w:r w:rsidRPr="00180351">
        <w:rPr>
          <w:rFonts w:cs="Times New Roman"/>
          <w:lang w:val="es-ES"/>
        </w:rPr>
        <w:t xml:space="preserve"> </w:t>
      </w:r>
      <w:r w:rsidR="00CE059F">
        <w:rPr>
          <w:rFonts w:cs="Times New Roman"/>
          <w:lang w:val="es-ES"/>
        </w:rPr>
        <w:t>altamente intervencionista</w:t>
      </w:r>
      <w:r w:rsidRPr="00180351">
        <w:rPr>
          <w:rFonts w:cs="Times New Roman"/>
          <w:lang w:val="es-ES"/>
        </w:rPr>
        <w:t xml:space="preserve">, centralizado y dotado de una </w:t>
      </w:r>
      <w:r w:rsidR="00CE059F">
        <w:rPr>
          <w:rFonts w:cs="Times New Roman"/>
          <w:lang w:val="es-ES"/>
        </w:rPr>
        <w:t>amplia</w:t>
      </w:r>
      <w:r w:rsidRPr="00180351">
        <w:rPr>
          <w:rFonts w:cs="Times New Roman"/>
          <w:lang w:val="es-ES"/>
        </w:rPr>
        <w:t xml:space="preserve"> capacidad burocrática</w:t>
      </w:r>
      <w:r w:rsidR="001A76BB">
        <w:rPr>
          <w:rFonts w:cs="Times New Roman"/>
          <w:lang w:val="es-ES"/>
        </w:rPr>
        <w:t xml:space="preserve"> </w:t>
      </w:r>
      <w:r w:rsidRPr="00180351">
        <w:rPr>
          <w:rFonts w:cs="Times New Roman"/>
          <w:lang w:val="es-ES"/>
        </w:rPr>
        <w:t>que dirigió activamente el desarrollo económico a través de la planificación estratégica.</w:t>
      </w:r>
      <w:r w:rsidR="001A76BB">
        <w:rPr>
          <w:rFonts w:cs="Times New Roman"/>
          <w:lang w:val="es-ES"/>
        </w:rPr>
        <w:t xml:space="preserve"> </w:t>
      </w:r>
      <w:r w:rsidR="000A420C" w:rsidRPr="000A420C">
        <w:rPr>
          <w:rFonts w:cs="Times New Roman"/>
          <w:lang w:val="es-ES"/>
        </w:rPr>
        <w:t xml:space="preserve">Académicos como Garry Rodan </w:t>
      </w:r>
      <w:r w:rsidR="003938C3">
        <w:rPr>
          <w:rFonts w:cs="Times New Roman"/>
          <w:lang w:val="es-ES"/>
        </w:rPr>
        <w:t>y W.G. Huff</w:t>
      </w:r>
      <w:r w:rsidR="000A420C" w:rsidRPr="000A420C">
        <w:rPr>
          <w:rFonts w:cs="Times New Roman"/>
          <w:lang w:val="es-ES"/>
        </w:rPr>
        <w:t xml:space="preserve"> </w:t>
      </w:r>
      <w:r w:rsidR="00A61F0A" w:rsidRPr="00A61F0A">
        <w:rPr>
          <w:rFonts w:cs="Times New Roman"/>
          <w:lang w:val="es-ES"/>
        </w:rPr>
        <w:t>enfatizan que, a diferencia del enfoque de laissez-faire, el Estado singapurense ha ejercido un control omnipresente</w:t>
      </w:r>
      <w:r w:rsidR="00A61F0A">
        <w:rPr>
          <w:rFonts w:cs="Times New Roman"/>
          <w:lang w:val="es-ES"/>
        </w:rPr>
        <w:t xml:space="preserve"> sobre la economía y la sociedad</w:t>
      </w:r>
      <w:r w:rsidR="000A420C" w:rsidRPr="000A420C">
        <w:rPr>
          <w:rFonts w:cs="Times New Roman"/>
          <w:lang w:val="es-ES"/>
        </w:rPr>
        <w:t>.</w:t>
      </w:r>
      <w:r w:rsidR="00AD2A31">
        <w:rPr>
          <w:rFonts w:cs="Times New Roman"/>
          <w:lang w:val="es-ES"/>
        </w:rPr>
        <w:t xml:space="preserve"> </w:t>
      </w:r>
      <w:r w:rsidR="00641E34">
        <w:rPr>
          <w:rFonts w:cs="Times New Roman"/>
          <w:lang w:val="es-ES"/>
        </w:rPr>
        <w:t>Argumentan</w:t>
      </w:r>
      <w:r w:rsidR="00AD2A31" w:rsidRPr="00AD2A31">
        <w:rPr>
          <w:rFonts w:cs="Times New Roman"/>
          <w:lang w:val="es-ES"/>
        </w:rPr>
        <w:t xml:space="preserve"> que </w:t>
      </w:r>
      <w:r w:rsidR="00641E34" w:rsidRPr="00641E34">
        <w:rPr>
          <w:rFonts w:cs="Times New Roman"/>
          <w:lang w:val="es-ES"/>
        </w:rPr>
        <w:t xml:space="preserve">la centralización política permitió a "agencias piloto" lideradas por una élite tecnócrata, como el Consejo de Desarrollo Económico (EDB), diseñar la estrategia industrial y otorgar incentivos a medida sin el obstáculo de grupos de interés </w:t>
      </w:r>
      <w:r w:rsidR="002C093A">
        <w:rPr>
          <w:rFonts w:cs="Times New Roman"/>
          <w:lang w:val="es-ES"/>
        </w:rPr>
        <w:t>(Salazar, 2023, pp. 281-282</w:t>
      </w:r>
      <w:r w:rsidR="00DB4777">
        <w:rPr>
          <w:rFonts w:cs="Times New Roman"/>
          <w:lang w:val="es-ES"/>
        </w:rPr>
        <w:t xml:space="preserve">; </w:t>
      </w:r>
      <w:r w:rsidR="00DB4777" w:rsidRPr="00DB4777">
        <w:rPr>
          <w:rFonts w:cs="Times New Roman"/>
          <w:lang w:val="es-ES"/>
        </w:rPr>
        <w:t>Wai-Chung Yeung, 2005, pp. 89-90</w:t>
      </w:r>
      <w:r w:rsidR="002C093A">
        <w:rPr>
          <w:rFonts w:cs="Times New Roman"/>
          <w:lang w:val="es-ES"/>
        </w:rPr>
        <w:t>)</w:t>
      </w:r>
      <w:r w:rsidR="00AD2A31" w:rsidRPr="00AD2A31">
        <w:rPr>
          <w:rFonts w:cs="Times New Roman"/>
          <w:lang w:val="es-ES"/>
        </w:rPr>
        <w:t>.</w:t>
      </w:r>
      <w:r w:rsidR="00DB4777">
        <w:rPr>
          <w:rFonts w:cs="Times New Roman"/>
          <w:lang w:val="es-ES"/>
        </w:rPr>
        <w:t xml:space="preserve"> </w:t>
      </w:r>
      <w:r w:rsidR="00015C18" w:rsidRPr="00015C18">
        <w:rPr>
          <w:rFonts w:cs="Times New Roman"/>
          <w:lang w:val="es-ES"/>
        </w:rPr>
        <w:t>Además, esta corriente incorpora la dimensión ideológica promovida por Lee Kuan Yew en torno a los denominados "Valores Asiáticos"</w:t>
      </w:r>
      <w:r w:rsidR="001E2882">
        <w:rPr>
          <w:rFonts w:cs="Times New Roman"/>
          <w:lang w:val="es-ES"/>
        </w:rPr>
        <w:t xml:space="preserve">. </w:t>
      </w:r>
      <w:r w:rsidR="001E2882" w:rsidRPr="001E2882">
        <w:rPr>
          <w:rFonts w:cs="Times New Roman"/>
          <w:lang w:val="es-ES"/>
        </w:rPr>
        <w:t>La élite dirigente argumentó que la democracia liberal de corte occidental resultaba inadecuada para garantizar un desarrollo rápido y cohesionado en Asia. En su lugar, abogaron por</w:t>
      </w:r>
      <w:r w:rsidR="00317126">
        <w:rPr>
          <w:rFonts w:cs="Times New Roman"/>
          <w:lang w:val="es-ES"/>
        </w:rPr>
        <w:t xml:space="preserve"> </w:t>
      </w:r>
      <w:r w:rsidR="00317126" w:rsidRPr="00317126">
        <w:rPr>
          <w:rFonts w:cs="Times New Roman"/>
          <w:lang w:val="es-ES"/>
        </w:rPr>
        <w:t>un contrato social basado en la disciplina, la jerarquía y la subordinación de los intereses individuales al bien común, creando así el "entorno predecible" que el capital foráneo requería</w:t>
      </w:r>
      <w:r w:rsidR="00772A71">
        <w:rPr>
          <w:rFonts w:cs="Times New Roman"/>
          <w:lang w:val="es-ES"/>
        </w:rPr>
        <w:t xml:space="preserve"> </w:t>
      </w:r>
      <w:r w:rsidR="00772A71" w:rsidRPr="00772A71">
        <w:rPr>
          <w:rFonts w:cs="Times New Roman"/>
          <w:lang w:val="es-ES"/>
        </w:rPr>
        <w:t>(Barr, 2000, 311-318)</w:t>
      </w:r>
      <w:r w:rsidR="00317126">
        <w:rPr>
          <w:rFonts w:cs="Times New Roman"/>
          <w:lang w:val="es-ES"/>
        </w:rPr>
        <w:t>.</w:t>
      </w:r>
      <w:r w:rsidR="00015C18" w:rsidRPr="00015C18">
        <w:rPr>
          <w:rFonts w:cs="Times New Roman"/>
          <w:lang w:val="es-ES"/>
        </w:rPr>
        <w:t xml:space="preserve"> </w:t>
      </w:r>
    </w:p>
    <w:p w14:paraId="0801ABC0" w14:textId="5923A620" w:rsidR="004B4120" w:rsidRDefault="004B4120" w:rsidP="00FA173C">
      <w:pPr>
        <w:spacing w:line="360" w:lineRule="auto"/>
        <w:rPr>
          <w:rFonts w:cs="Times New Roman"/>
          <w:lang w:val="es-ES"/>
        </w:rPr>
      </w:pPr>
      <w:r w:rsidRPr="004B4120">
        <w:rPr>
          <w:rFonts w:cs="Times New Roman"/>
          <w:lang w:val="es-ES"/>
        </w:rPr>
        <w:t xml:space="preserve">Si bien </w:t>
      </w:r>
      <w:r w:rsidR="0072577C">
        <w:rPr>
          <w:rFonts w:cs="Times New Roman"/>
          <w:lang w:val="es-ES"/>
        </w:rPr>
        <w:t>ambas</w:t>
      </w:r>
      <w:r w:rsidRPr="004B4120">
        <w:rPr>
          <w:rFonts w:cs="Times New Roman"/>
          <w:lang w:val="es-ES"/>
        </w:rPr>
        <w:t xml:space="preserve"> corrientes ofrecen diagnósticos imprescindibles sobre el éxito singapurense</w:t>
      </w:r>
      <w:r w:rsidR="008D120C">
        <w:rPr>
          <w:rFonts w:cs="Times New Roman"/>
          <w:lang w:val="es-ES"/>
        </w:rPr>
        <w:t xml:space="preserve"> </w:t>
      </w:r>
      <w:r w:rsidR="008D120C" w:rsidRPr="008D120C">
        <w:rPr>
          <w:rFonts w:cs="Times New Roman"/>
          <w:lang w:val="es-ES"/>
        </w:rPr>
        <w:t>y, en rigor, ambas tienen razón</w:t>
      </w:r>
      <w:r w:rsidR="008D120C">
        <w:rPr>
          <w:rFonts w:cs="Times New Roman"/>
          <w:lang w:val="es-ES"/>
        </w:rPr>
        <w:t xml:space="preserve"> </w:t>
      </w:r>
      <w:r w:rsidR="008D120C" w:rsidRPr="008D120C">
        <w:rPr>
          <w:rFonts w:cs="Times New Roman"/>
          <w:lang w:val="es-ES"/>
        </w:rPr>
        <w:t>puesto que el éxito del modelo parte innegablemente de la realidad de ambas concepciones</w:t>
      </w:r>
      <w:r w:rsidRPr="004B4120">
        <w:rPr>
          <w:rFonts w:cs="Times New Roman"/>
          <w:lang w:val="es-ES"/>
        </w:rPr>
        <w:t xml:space="preserve">, una revisión crítica de la </w:t>
      </w:r>
      <w:r w:rsidR="001E2882">
        <w:rPr>
          <w:rFonts w:cs="Times New Roman"/>
          <w:lang w:val="es-ES"/>
        </w:rPr>
        <w:t>bibliografía existente</w:t>
      </w:r>
      <w:r w:rsidRPr="004B4120">
        <w:rPr>
          <w:rFonts w:cs="Times New Roman"/>
          <w:lang w:val="es-ES"/>
        </w:rPr>
        <w:t xml:space="preserve"> revela una omisión sistemática. </w:t>
      </w:r>
      <w:r w:rsidR="005070F0" w:rsidRPr="005070F0">
        <w:rPr>
          <w:rFonts w:cs="Times New Roman"/>
          <w:lang w:val="es-ES"/>
        </w:rPr>
        <w:t>Las escuelas neoliberal y estatalista reconocen la importancia de la "apertura" y de las "instituciones" para asegurar la supervivencia nacional, pero rara vez analizan a fondo la arquitectura jurídica internacional que proporcionó la integridad estructural para materializar dichas metas</w:t>
      </w:r>
      <w:r w:rsidRPr="004B4120">
        <w:rPr>
          <w:rFonts w:cs="Times New Roman"/>
          <w:lang w:val="es-ES"/>
        </w:rPr>
        <w:t>.</w:t>
      </w:r>
      <w:r w:rsidR="005B24E7">
        <w:rPr>
          <w:rFonts w:cs="Times New Roman"/>
          <w:lang w:val="es-ES"/>
        </w:rPr>
        <w:t xml:space="preserve"> </w:t>
      </w:r>
      <w:r w:rsidR="00A84F7F" w:rsidRPr="00A84F7F">
        <w:rPr>
          <w:rFonts w:cs="Times New Roman"/>
          <w:lang w:val="es-ES"/>
        </w:rPr>
        <w:t xml:space="preserve">La literatura académica ha subestimado que el éxito de Singapur no se sostuvo exclusivamente sobre decisiones macroeconómicas internas o voluntad política autoritaria, sino sobre una precisa ingeniería legal anclada en el Derecho Mercantil </w:t>
      </w:r>
      <w:r w:rsidR="006556D4" w:rsidRPr="00A84F7F">
        <w:rPr>
          <w:rFonts w:cs="Times New Roman"/>
          <w:lang w:val="es-ES"/>
        </w:rPr>
        <w:t>Internacional</w:t>
      </w:r>
      <w:r w:rsidR="008A2B88">
        <w:rPr>
          <w:rFonts w:cs="Times New Roman"/>
          <w:lang w:val="es-ES"/>
        </w:rPr>
        <w:t xml:space="preserve"> </w:t>
      </w:r>
      <w:r w:rsidR="008A2B88" w:rsidRPr="008A2B88">
        <w:rPr>
          <w:rFonts w:cs="Times New Roman"/>
          <w:lang w:val="es-ES"/>
        </w:rPr>
        <w:t>que logró articular y dar credibilidad a ambas dimensiones</w:t>
      </w:r>
      <w:r w:rsidR="006556D4" w:rsidRPr="00A84F7F">
        <w:rPr>
          <w:rFonts w:cs="Times New Roman"/>
          <w:lang w:val="es-ES"/>
        </w:rPr>
        <w:t>.</w:t>
      </w:r>
    </w:p>
    <w:p w14:paraId="0078D4BB" w14:textId="6AFE7841" w:rsidR="008E2610" w:rsidRPr="008E2610" w:rsidRDefault="008E2610" w:rsidP="008E2610">
      <w:pPr>
        <w:spacing w:line="360" w:lineRule="auto"/>
        <w:rPr>
          <w:rFonts w:cs="Times New Roman"/>
          <w:lang w:val="es-ES"/>
        </w:rPr>
      </w:pPr>
      <w:r w:rsidRPr="008E2610">
        <w:rPr>
          <w:rFonts w:cs="Times New Roman"/>
          <w:lang w:val="es-ES"/>
        </w:rPr>
        <w:lastRenderedPageBreak/>
        <w:t xml:space="preserve">El presente Trabajo Fin de Grado se justifica al rellenar este vacío analítico, demostrando que Singapur instrumentalizó la seguridad jurídica </w:t>
      </w:r>
      <w:r w:rsidR="00A84F7F">
        <w:rPr>
          <w:rFonts w:cs="Times New Roman"/>
          <w:lang w:val="es-ES"/>
        </w:rPr>
        <w:t>otorgada por</w:t>
      </w:r>
      <w:r w:rsidRPr="008E2610">
        <w:rPr>
          <w:rFonts w:cs="Times New Roman"/>
          <w:lang w:val="es-ES"/>
        </w:rPr>
        <w:t xml:space="preserve"> regímenes multilaterales como el Acuerdo General sobre Aranceles Aduaneros y Comercio (GATT) y</w:t>
      </w:r>
      <w:r w:rsidR="00A84F7F">
        <w:rPr>
          <w:rFonts w:cs="Times New Roman"/>
          <w:lang w:val="es-ES"/>
        </w:rPr>
        <w:t>, posteriormente,</w:t>
      </w:r>
      <w:r w:rsidRPr="008E2610">
        <w:rPr>
          <w:rFonts w:cs="Times New Roman"/>
          <w:lang w:val="es-ES"/>
        </w:rPr>
        <w:t xml:space="preserve"> el Acuerdo General sobre el Comercio de Servicios (GATS) como su principal escudo de supervivencia. </w:t>
      </w:r>
      <w:r w:rsidR="006556D4" w:rsidRPr="006556D4">
        <w:rPr>
          <w:rFonts w:cs="Times New Roman"/>
          <w:lang w:val="es-ES"/>
        </w:rPr>
        <w:t xml:space="preserve">Esta investigación trasciende los debates económicos convencionales para evidenciar que las reglas claras y el multilateralismo estratégico sirvieron como la infraestructura operativa del </w:t>
      </w:r>
      <w:r w:rsidR="006556D4">
        <w:rPr>
          <w:rFonts w:cs="Times New Roman"/>
          <w:lang w:val="es-ES"/>
        </w:rPr>
        <w:t>“</w:t>
      </w:r>
      <w:r w:rsidR="006556D4" w:rsidRPr="006556D4">
        <w:rPr>
          <w:rFonts w:cs="Times New Roman"/>
          <w:lang w:val="es-ES"/>
        </w:rPr>
        <w:t>milagro</w:t>
      </w:r>
      <w:r w:rsidR="006556D4">
        <w:rPr>
          <w:rFonts w:cs="Times New Roman"/>
          <w:lang w:val="es-ES"/>
        </w:rPr>
        <w:t>”</w:t>
      </w:r>
      <w:r w:rsidR="006556D4" w:rsidRPr="006556D4">
        <w:rPr>
          <w:rFonts w:cs="Times New Roman"/>
          <w:lang w:val="es-ES"/>
        </w:rPr>
        <w:t>. Fueron estos instrumentos legales internacionales los que otorgaron credibilidad y carácter vinculante a la apertura económica y a la planificación estatal, transformando la extrema vulnerabilidad de un pequeño Estado en su mayor ventaja competitiva en el tablero global.</w:t>
      </w:r>
    </w:p>
    <w:p w14:paraId="6793A336" w14:textId="46094E3A" w:rsidR="00A81949" w:rsidRPr="00A81949" w:rsidRDefault="00001694" w:rsidP="00A81949">
      <w:pPr>
        <w:pStyle w:val="Ttulo2"/>
        <w:spacing w:line="360" w:lineRule="auto"/>
        <w:rPr>
          <w:rFonts w:ascii="Times New Roman" w:hAnsi="Times New Roman" w:cs="Times New Roman"/>
          <w:b/>
          <w:bCs/>
          <w:color w:val="000000" w:themeColor="text1"/>
          <w:sz w:val="24"/>
          <w:szCs w:val="24"/>
          <w:lang w:val="es-ES"/>
        </w:rPr>
      </w:pPr>
      <w:bookmarkStart w:id="16" w:name="_Toc226749104"/>
      <w:r w:rsidRPr="007B2E96">
        <w:rPr>
          <w:rFonts w:ascii="Times New Roman" w:hAnsi="Times New Roman" w:cs="Times New Roman"/>
          <w:b/>
          <w:bCs/>
          <w:color w:val="000000" w:themeColor="text1"/>
          <w:sz w:val="24"/>
          <w:szCs w:val="24"/>
          <w:lang w:val="es-ES"/>
        </w:rPr>
        <w:t xml:space="preserve">2.2. </w:t>
      </w:r>
      <w:r w:rsidR="00951B9A" w:rsidRPr="007B2E96">
        <w:rPr>
          <w:rFonts w:ascii="Times New Roman" w:hAnsi="Times New Roman" w:cs="Times New Roman"/>
          <w:b/>
          <w:bCs/>
          <w:color w:val="000000" w:themeColor="text1"/>
          <w:sz w:val="24"/>
          <w:szCs w:val="24"/>
          <w:lang w:val="es-ES"/>
        </w:rPr>
        <w:t>Marco teórico</w:t>
      </w:r>
      <w:bookmarkEnd w:id="16"/>
    </w:p>
    <w:p w14:paraId="01EED118" w14:textId="77777777" w:rsidR="006F26E7" w:rsidRPr="006F26E7" w:rsidRDefault="006F26E7" w:rsidP="006F26E7">
      <w:pPr>
        <w:spacing w:line="360" w:lineRule="auto"/>
        <w:rPr>
          <w:lang w:val="es-ES"/>
        </w:rPr>
      </w:pPr>
      <w:r w:rsidRPr="006F26E7">
        <w:rPr>
          <w:lang w:val="es-ES"/>
        </w:rPr>
        <w:t>Para comprender por qué un Estado soberano decide someterse voluntariamente a los marcos del derecho mercantil global, esta investigación adopta como lente principal la teoría del Institucionalismo Neoliberal de Robert O. Keohane (1984). Esta adhesión no responde a un mero idealismo moral, sino a una necesidad pragmática de supervivencia en un sistema internacional estructuralmente anárquico. En un entorno plagado de incertidumbre y de constantes desacuerdos sobre cómo deben repartirse los beneficios económicos, la simple coincidencia de intereses entre naciones no basta para mantener la cooperación; resulta imprescindible contar con mecanismos formales que mitiguen la inseguridad endémica y hagan predecible el comportamiento de las contrapartes. En este sentido, los regímenes internacionales permiten a los Estados superar estas barreras y reducir las asimetrías de información, evitando que unos actores oculten datos en su propio beneficio para negociar de forma desleal (pp. 12-18).</w:t>
      </w:r>
    </w:p>
    <w:p w14:paraId="41D83C31" w14:textId="77777777" w:rsidR="006F26E7" w:rsidRPr="006F26E7" w:rsidRDefault="006F26E7" w:rsidP="006F26E7">
      <w:pPr>
        <w:spacing w:line="360" w:lineRule="auto"/>
        <w:rPr>
          <w:lang w:val="es-ES"/>
        </w:rPr>
      </w:pPr>
      <w:r w:rsidRPr="006F26E7">
        <w:rPr>
          <w:lang w:val="es-ES"/>
        </w:rPr>
        <w:t>La verdadera utilidad de estos regímenes internacionales radica en su capacidad para corregir los fallos del mercado a escala global, dando respuesta a los problemas derivados de los derechos de propiedad y los elevados costes de transacción (Keohane, 1984, pp. 87-88). Ante la falta de información fiable, los actores económicos y políticos desconfían del compromiso de sus contrapartes, generando una "incertidumbre de calidad" que paraliza acuerdos potencialmente beneficiosos. En el ámbito del comercio internacional, si los inversores extranjeros temen la irresponsabilidad o el riesgo moral del Estado receptor, exigirán primas de riesgo desproporcionadas que frenarán en seco el desarrollo económico y la inversión extranjera (Keohane, 1984, pp. 93-95).</w:t>
      </w:r>
    </w:p>
    <w:p w14:paraId="1F89FFAB" w14:textId="77777777" w:rsidR="006F26E7" w:rsidRPr="006F26E7" w:rsidRDefault="006F26E7" w:rsidP="006F26E7">
      <w:pPr>
        <w:spacing w:line="360" w:lineRule="auto"/>
        <w:rPr>
          <w:lang w:val="es-ES"/>
        </w:rPr>
      </w:pPr>
      <w:r w:rsidRPr="006F26E7">
        <w:rPr>
          <w:lang w:val="es-ES"/>
        </w:rPr>
        <w:lastRenderedPageBreak/>
        <w:t>Por tanto, cuando un país se suscribe a marcos como el sistema multilateral de comercio no está cediendo soberanía de forma gratuita, sino realizando un cálculo estratégico. Al aceptar reglas que restringen su propia libertad de acción futura, el Estado fomenta la reciprocidad y hace que su comportamiento sea altamente predecible para el capital internacional. Las instituciones proporcionan información simétrica, establecen patrones claros de responsabilidad legal y reducen los costes de operar y negociar (Keohane, 1984, pp. 87-88).</w:t>
      </w:r>
    </w:p>
    <w:p w14:paraId="0C2201C4" w14:textId="77777777" w:rsidR="006F26E7" w:rsidRPr="006F26E7" w:rsidRDefault="006F26E7" w:rsidP="006F26E7">
      <w:pPr>
        <w:spacing w:line="360" w:lineRule="auto"/>
        <w:rPr>
          <w:lang w:val="es-ES"/>
        </w:rPr>
      </w:pPr>
      <w:r w:rsidRPr="006F26E7">
        <w:rPr>
          <w:lang w:val="es-ES"/>
        </w:rPr>
        <w:t>En este engranaje, la reputación se erige como el activo más valioso. Un Estado que demuestra ser un socio fiable a largo plazo abarata sus costes de negociación y se vuelve un polo de atracción para los esquemas cooperativos globales. Por el contrario, empañar esa reputación condena al país a la irrelevancia y eleva de tal manera los costes de transacción que dificulta enormemente la celebración de futuros acuerdos (Keohane, 1984, pp. 105-116). En definitiva, el respeto a la legalidad internacional demuestra que maximizar el interés nacional no equivale a buscar la libertad absoluta de acción, sino a comprometerse pragmáticamente con las instituciones que hacen posible el crecimiento económico a través de la cooperación.</w:t>
      </w:r>
    </w:p>
    <w:p w14:paraId="0FAA69FD" w14:textId="77777777" w:rsidR="006F26E7" w:rsidRPr="006F26E7" w:rsidRDefault="006F26E7" w:rsidP="006F26E7">
      <w:pPr>
        <w:spacing w:line="360" w:lineRule="auto"/>
        <w:rPr>
          <w:lang w:val="es-ES"/>
        </w:rPr>
      </w:pPr>
      <w:r w:rsidRPr="006F26E7">
        <w:rPr>
          <w:lang w:val="es-ES"/>
        </w:rPr>
        <w:t>Esta misma lógica se traslada al plano del intercambio económico mediante el análisis de la Nueva Economía Institucional. Para que el crecimiento económico sea viable, es fundamental establecer "reglas del juego" claras que estructuren los incentivos e interacciones humanas (North, 1990, p. 3). En todo intercambio comercial transfronterizo, existe un riesgo intrínseco derivado de la incertidumbre y la desconfianza mutua; si las empresas perciben que la otra parte puede incumplir el contrato sin consecuencias, impondrán primas de riesgo prohibitivas, limitando drásticamente las posibilidades de crecimiento económico (North, 1990, p. 33). La función de los tratados internacionales y de la adherencia a sus normas es actuar como un mitigador de riesgos, proporcionando una certidumbre jurídica compartida que permite a las compañías anticipar escenarios con seguridad.</w:t>
      </w:r>
    </w:p>
    <w:p w14:paraId="17B0C1B7" w14:textId="77777777" w:rsidR="006F26E7" w:rsidRPr="006F26E7" w:rsidRDefault="006F26E7" w:rsidP="006F26E7">
      <w:pPr>
        <w:spacing w:line="360" w:lineRule="auto"/>
        <w:rPr>
          <w:lang w:val="es-ES"/>
        </w:rPr>
      </w:pPr>
      <w:r w:rsidRPr="006F26E7">
        <w:rPr>
          <w:lang w:val="es-ES"/>
        </w:rPr>
        <w:t xml:space="preserve">Como señala Douglass North (1990, pp. 34-35), a medida que el comercio contemporáneo se vuelve más complejo, deslocalizado y prolongado en el tiempo, las relaciones interpersonales dejan de ser suficientes para garantizar la seguridad de los negocios. Para sostener un comercio verdaderamente global e impersonal, la fiabilidad institucional se vuelve una exigencia innegociable. Ante el riesgo constante de engaño y oportunismo en los contratos complejos, surge la necesidad imperativa de contar con un </w:t>
      </w:r>
      <w:r w:rsidRPr="006F26E7">
        <w:rPr>
          <w:lang w:val="es-ES"/>
        </w:rPr>
        <w:lastRenderedPageBreak/>
        <w:t>"tercero coercitivo" neutral que garantice el cumplimiento normativo; a nivel internacional, regímenes como la Organización Mundial del Comercio (OMC) asumen este papel regulador. La adopción de estas estructuras formales reduce drásticamente los costes de información y supervisión, configurando un entorno competitivo predecible donde las multinacionales pueden maximizar sus oportunidades de beneficio. Esta es, precisamente, la dinámica institucional que países como Singapur supieron capitalizar para proyectar eficiencia y garantía a ojos del capital extranjero.</w:t>
      </w:r>
    </w:p>
    <w:p w14:paraId="730442CC" w14:textId="77777777" w:rsidR="006F26E7" w:rsidRPr="006F26E7" w:rsidRDefault="006F26E7" w:rsidP="006F26E7">
      <w:pPr>
        <w:spacing w:line="360" w:lineRule="auto"/>
        <w:rPr>
          <w:lang w:val="es-ES"/>
        </w:rPr>
      </w:pPr>
      <w:r w:rsidRPr="006F26E7">
        <w:rPr>
          <w:lang w:val="es-ES"/>
        </w:rPr>
        <w:t>En definitiva, la especialización e interdependencia de la economía global donde rigen los intercambios impersonales exigen mecanismos que controlen la asimetría de información y eviten el fracaso de las soluciones cooperativas. Las instituciones políticas actúan como acuerdos previos (ex ante) que reducen la incertidumbre intrínseca de los mercados (North, 1990, pp. 50-57), consolidando la reputación estatal como garante de los intercambios a larga distancia y dotando al sistema de una estabilidad general que hace posible el comercio complejo.</w:t>
      </w:r>
    </w:p>
    <w:p w14:paraId="05838A98" w14:textId="69644096" w:rsidR="006F26E7" w:rsidRPr="006F26E7" w:rsidRDefault="006F26E7" w:rsidP="006F26E7">
      <w:pPr>
        <w:spacing w:line="360" w:lineRule="auto"/>
        <w:rPr>
          <w:lang w:val="es-ES"/>
        </w:rPr>
      </w:pPr>
      <w:r w:rsidRPr="006F26E7">
        <w:rPr>
          <w:lang w:val="es-ES"/>
        </w:rPr>
        <w:t xml:space="preserve">No obstante, la efectividad de todo este engranaje normativo recae irremediablemente en la capacidad soberana del Estado para actuar como una fuerza coercitiva que protege los derechos de propiedad y asegura el cumplimiento íntegro de los contratos. Esta carencia de </w:t>
      </w:r>
      <w:r w:rsidRPr="00244E79">
        <w:rPr>
          <w:i/>
          <w:iCs/>
          <w:lang w:val="es-ES"/>
        </w:rPr>
        <w:t>enforcement</w:t>
      </w:r>
      <w:r w:rsidR="00EF3859" w:rsidRPr="00EF3859">
        <w:rPr>
          <w:rStyle w:val="Refdenotaalpie"/>
          <w:lang w:val="es-ES"/>
        </w:rPr>
        <w:footnoteReference w:id="1"/>
      </w:r>
      <w:r w:rsidRPr="006F26E7">
        <w:rPr>
          <w:lang w:val="es-ES"/>
        </w:rPr>
        <w:t xml:space="preserve"> institucional es, de hecho, lo que explica el rezago económico histórico de gran parte de los países en vías de desarrollo (North, 1990, pp. 59-67). Como se evidenciará a lo largo de este trabajo, la élite dirigente de Singapur comprendió desde sus inicios esta premisa: una condición indispensable para escapar de la vulnerabilidad y el subdesarrollo radicaba en construir un aparato estatal y legislativo que garantizara inquebrantablemente el cumplimiento del derecho mercantil internacional, proyectando un mensaje de absoluta predictibilidad y estabilidad hacia los mercados internacionales.</w:t>
      </w:r>
    </w:p>
    <w:p w14:paraId="22688DB6" w14:textId="77777777" w:rsidR="006F26E7" w:rsidRPr="006F26E7" w:rsidRDefault="006F26E7" w:rsidP="006F26E7">
      <w:pPr>
        <w:spacing w:line="360" w:lineRule="auto"/>
        <w:rPr>
          <w:lang w:val="es-ES"/>
        </w:rPr>
      </w:pPr>
      <w:r w:rsidRPr="006F26E7">
        <w:rPr>
          <w:lang w:val="es-ES"/>
        </w:rPr>
        <w:t xml:space="preserve">Para analizar cómo Singapur aterrizó todo este impulso desarrollista en el marco institucional, resulta fundamental partir del concepto de "legalización" desarrollado por Abbott et al. (2000). La legalización debe entenderse como una forma específica de institucionalización que opera sobre tres ejes fundamentales: obligación, precisión y delegación. Estas tres dimensiones no actúan como dicotomías rígidas, sino como </w:t>
      </w:r>
      <w:r w:rsidRPr="006F26E7">
        <w:rPr>
          <w:lang w:val="es-ES"/>
        </w:rPr>
        <w:lastRenderedPageBreak/>
        <w:t xml:space="preserve">variables independientes que, al combinarse, conforman un espectro multidimensional que permite clasificar la inmensa variedad de regímenes internacionales (p. 401). </w:t>
      </w:r>
    </w:p>
    <w:p w14:paraId="20114434" w14:textId="77777777" w:rsidR="006F26E7" w:rsidRPr="006F26E7" w:rsidRDefault="006F26E7" w:rsidP="006F26E7">
      <w:pPr>
        <w:spacing w:line="360" w:lineRule="auto"/>
        <w:rPr>
          <w:lang w:val="es-ES"/>
        </w:rPr>
      </w:pPr>
      <w:r w:rsidRPr="006F26E7">
        <w:rPr>
          <w:lang w:val="es-ES"/>
        </w:rPr>
        <w:t xml:space="preserve">En primer lugar, la dimensión de “obligación” determina el grado en que los Estados están vinculados por un conjunto normativo. Al someterse a estas reglas, el comportamiento del Estado queda bajo el escrutinio del derecho internacional. Este nivel de compromiso activa el principio de </w:t>
      </w:r>
      <w:r w:rsidRPr="00DD5D7C">
        <w:rPr>
          <w:i/>
          <w:iCs/>
          <w:lang w:val="es-ES"/>
        </w:rPr>
        <w:t>pacta sunt servanda</w:t>
      </w:r>
      <w:r w:rsidRPr="006F26E7">
        <w:rPr>
          <w:lang w:val="es-ES"/>
        </w:rPr>
        <w:t xml:space="preserve">, impidiendo que los gobiernos ignoren sus obligaciones ante un cambio en sus preferencias políticas nacionales, comprometiéndose de tal manera al cumplimiento del reglamento. Así, el sistema global abarca desde normativas estrictamente vinculantes, cuyo máximo exponente es el </w:t>
      </w:r>
      <w:r w:rsidRPr="00DD5D7C">
        <w:rPr>
          <w:i/>
          <w:iCs/>
          <w:lang w:val="es-ES"/>
        </w:rPr>
        <w:t>jus cogens</w:t>
      </w:r>
      <w:r w:rsidRPr="006F26E7">
        <w:rPr>
          <w:lang w:val="es-ES"/>
        </w:rPr>
        <w:t>, hasta meros acuerdos de carácter político.</w:t>
      </w:r>
    </w:p>
    <w:p w14:paraId="51724480" w14:textId="77777777" w:rsidR="006F26E7" w:rsidRPr="006F26E7" w:rsidRDefault="006F26E7" w:rsidP="006F26E7">
      <w:pPr>
        <w:spacing w:line="360" w:lineRule="auto"/>
        <w:rPr>
          <w:lang w:val="es-ES"/>
        </w:rPr>
      </w:pPr>
      <w:r w:rsidRPr="006F26E7">
        <w:rPr>
          <w:lang w:val="es-ES"/>
        </w:rPr>
        <w:t xml:space="preserve">En segundo lugar, la “precisión” normativa resulta vital para reducir la ambigüedad en las relaciones comerciales. Un conjunto normativo preciso delimita sin equívocos qué conductas están exigidas, autorizadas o prohibidas, eliminando el margen para la interpretación subjetiva. Esta claridad no solo aporta coherencia a la resolución de casos concretos, sino que dota al derecho de una certeza y previsibilidad indispensables para coordinar el comportamiento del mercado y fomentar la inversión extranjera, reforzando la legitimidad global y cumplimiento de las normas (Abott et al., 2000, p. 413). </w:t>
      </w:r>
    </w:p>
    <w:p w14:paraId="27BAB286" w14:textId="77777777" w:rsidR="006F26E7" w:rsidRPr="006F26E7" w:rsidRDefault="006F26E7" w:rsidP="006F26E7">
      <w:pPr>
        <w:spacing w:line="360" w:lineRule="auto"/>
        <w:rPr>
          <w:lang w:val="es-ES"/>
        </w:rPr>
      </w:pPr>
      <w:r w:rsidRPr="006F26E7">
        <w:rPr>
          <w:lang w:val="es-ES"/>
        </w:rPr>
        <w:t>La tercera variable, la “delegación”, implica que los Estados ceden a terceros imparciales la autoridad para interpretar las reglas y resolver las disputas comerciales, además de la elaboración de nuevas normativas. Esta cesión abarca desde la diplomacia tradicional, los mecanismos institucionales de mediación o arbitraje no vinculante y hasta la creación de tribunales internacionales de adjudicación formal altamente estructurados (Abott et al., 2000, p. 404). A medida que aumenta el grado de delegación institucional, las actuaciones estatales quedan progresivamente gobernadas y legitimadas por el propio aparato institucional de reglas.</w:t>
      </w:r>
    </w:p>
    <w:p w14:paraId="405F9838" w14:textId="77777777" w:rsidR="006F26E7" w:rsidRPr="006F26E7" w:rsidRDefault="006F26E7" w:rsidP="006F26E7">
      <w:pPr>
        <w:spacing w:line="360" w:lineRule="auto"/>
        <w:rPr>
          <w:lang w:val="es-ES"/>
        </w:rPr>
      </w:pPr>
      <w:r w:rsidRPr="006F26E7">
        <w:rPr>
          <w:lang w:val="es-ES"/>
        </w:rPr>
        <w:t>La intersección de estas tres variables conforma el ecosistema legal en el que opera Singapur. En la cúspide de este espectro se halla la "legalización dura" (</w:t>
      </w:r>
      <w:r w:rsidRPr="00DD5D7C">
        <w:rPr>
          <w:i/>
          <w:iCs/>
          <w:lang w:val="es-ES"/>
        </w:rPr>
        <w:t>hard law</w:t>
      </w:r>
      <w:r w:rsidRPr="006F26E7">
        <w:rPr>
          <w:lang w:val="es-ES"/>
        </w:rPr>
        <w:t xml:space="preserve">) donde los niveles de obligación, precisión y delegación son máximos. La OMC constituye el paradigma de este modelo, pues administra un entramado de acuerdos altamente detallados y vinculantes, y cuenta con un sistema de resolución de disputas dotado de una autoridad significativa para interpretar dichas normas. Por el contrario, cuando los Estados perciben amenazas a su soberanía o tiene lugar un conflicto de intereses, suelen </w:t>
      </w:r>
      <w:r w:rsidRPr="006F26E7">
        <w:rPr>
          <w:lang w:val="es-ES"/>
        </w:rPr>
        <w:lastRenderedPageBreak/>
        <w:t>recurrir a fórmulas de "derecho blando" (</w:t>
      </w:r>
      <w:r w:rsidRPr="00DD5D7C">
        <w:rPr>
          <w:i/>
          <w:iCs/>
          <w:lang w:val="es-ES"/>
        </w:rPr>
        <w:t>soft law</w:t>
      </w:r>
      <w:r w:rsidRPr="006F26E7">
        <w:rPr>
          <w:lang w:val="es-ES"/>
        </w:rPr>
        <w:t>), donde los actores combinan distintos grados de los tres atributos, reduciendo los niveles de obligación o delegación (Abbott et al., 2000, pp. 405-407).</w:t>
      </w:r>
    </w:p>
    <w:p w14:paraId="2E5F7882" w14:textId="32D6434E" w:rsidR="006F26E7" w:rsidRPr="006F26E7" w:rsidRDefault="006F26E7" w:rsidP="006F26E7">
      <w:pPr>
        <w:spacing w:line="360" w:lineRule="auto"/>
        <w:rPr>
          <w:lang w:val="es-ES"/>
        </w:rPr>
      </w:pPr>
      <w:r w:rsidRPr="006F26E7">
        <w:rPr>
          <w:lang w:val="es-ES"/>
        </w:rPr>
        <w:t>En conclusión, el marco institucional global demuestra que no existe una frontera infranqueable entre la legalización y la política mundial. Las relaciones internacionales operan en un espectro continuo que transita desde escenarios de alta legalización (</w:t>
      </w:r>
      <w:r w:rsidR="00DD5D7C">
        <w:rPr>
          <w:i/>
          <w:iCs/>
          <w:lang w:val="es-ES"/>
        </w:rPr>
        <w:t>h</w:t>
      </w:r>
      <w:r w:rsidRPr="00DD5D7C">
        <w:rPr>
          <w:i/>
          <w:iCs/>
          <w:lang w:val="es-ES"/>
        </w:rPr>
        <w:t xml:space="preserve">ard </w:t>
      </w:r>
      <w:r w:rsidR="00DD5D7C">
        <w:rPr>
          <w:i/>
          <w:iCs/>
          <w:lang w:val="es-ES"/>
        </w:rPr>
        <w:t>l</w:t>
      </w:r>
      <w:r w:rsidRPr="00DD5D7C">
        <w:rPr>
          <w:i/>
          <w:iCs/>
          <w:lang w:val="es-ES"/>
        </w:rPr>
        <w:t>aw</w:t>
      </w:r>
      <w:r w:rsidRPr="006F26E7">
        <w:rPr>
          <w:lang w:val="es-ES"/>
        </w:rPr>
        <w:t xml:space="preserve">) hasta diversas manifestaciones de </w:t>
      </w:r>
      <w:r w:rsidR="00DD5D7C">
        <w:rPr>
          <w:i/>
          <w:iCs/>
          <w:lang w:val="es-ES"/>
        </w:rPr>
        <w:t>s</w:t>
      </w:r>
      <w:r w:rsidRPr="00DD5D7C">
        <w:rPr>
          <w:i/>
          <w:iCs/>
          <w:lang w:val="es-ES"/>
        </w:rPr>
        <w:t xml:space="preserve">oft </w:t>
      </w:r>
      <w:r w:rsidR="00DD5D7C">
        <w:rPr>
          <w:i/>
          <w:iCs/>
          <w:lang w:val="es-ES"/>
        </w:rPr>
        <w:t>l</w:t>
      </w:r>
      <w:r w:rsidRPr="00DD5D7C">
        <w:rPr>
          <w:i/>
          <w:iCs/>
          <w:lang w:val="es-ES"/>
        </w:rPr>
        <w:t>aw</w:t>
      </w:r>
      <w:r w:rsidRPr="006F26E7">
        <w:rPr>
          <w:lang w:val="es-ES"/>
        </w:rPr>
        <w:t xml:space="preserve">, donde incluso las negociaciones políticas están moldeadas por el </w:t>
      </w:r>
      <w:r w:rsidR="00406584">
        <w:rPr>
          <w:lang w:val="es-ES"/>
        </w:rPr>
        <w:t>D</w:t>
      </w:r>
      <w:r w:rsidRPr="006F26E7">
        <w:rPr>
          <w:lang w:val="es-ES"/>
        </w:rPr>
        <w:t xml:space="preserve">erecho, y donde los tribunales internacionales resuelven bajo la ineludible sombra de la política (Abbott et al., 2000, pp. 418-419). Al suscribirse a este sistema, los Estados generalmente combinan de manera estratégica las tres variables para diseñar un marco político y legal favorable a sus intereses. En consecuencia, la adopción del derecho mercantil global no implica una renuncia al interés nacional ni a la </w:t>
      </w:r>
      <w:r w:rsidRPr="004752E0">
        <w:rPr>
          <w:i/>
          <w:iCs/>
          <w:lang w:val="es-ES"/>
        </w:rPr>
        <w:t>Realpolitik</w:t>
      </w:r>
      <w:r w:rsidRPr="006F26E7">
        <w:rPr>
          <w:lang w:val="es-ES"/>
        </w:rPr>
        <w:t>; más bien, evidencia que el entramado jurídico opera como un instrumento estratégico para asegurar ventajas competitivas y blindar la posición del Estado en el tablero internacional.</w:t>
      </w:r>
    </w:p>
    <w:p w14:paraId="1F9ED6BD" w14:textId="77777777" w:rsidR="006F26E7" w:rsidRPr="006F26E7" w:rsidRDefault="006F26E7" w:rsidP="006F26E7">
      <w:pPr>
        <w:spacing w:line="360" w:lineRule="auto"/>
        <w:rPr>
          <w:lang w:val="es-ES"/>
        </w:rPr>
      </w:pPr>
      <w:r w:rsidRPr="006F26E7">
        <w:rPr>
          <w:lang w:val="es-ES"/>
        </w:rPr>
        <w:t>Para entender el milagro económico de Singapur, resulta imprescindible recurrir a la teoría del "Estado Desarrollista" (</w:t>
      </w:r>
      <w:r w:rsidRPr="00DD5D7C">
        <w:rPr>
          <w:i/>
          <w:iCs/>
          <w:lang w:val="es-ES"/>
        </w:rPr>
        <w:t>Developmental State</w:t>
      </w:r>
      <w:r w:rsidRPr="006F26E7">
        <w:rPr>
          <w:lang w:val="es-ES"/>
        </w:rPr>
        <w:t>) acuñada por Chalmers Johnson. Aunque originalmente concebida para explicar el ascenso de Japón, su arquitectura analítica, profundamente enraizada en el nacionalismo económico y el neomercantilismo, ofrece un marco interpretativo de gran precisión para abordar el modelo singapurense. Bajo este paradigma, Singapur opera como un sistema de racionalidad planificada (</w:t>
      </w:r>
      <w:r w:rsidRPr="00DD5D7C">
        <w:rPr>
          <w:i/>
          <w:iCs/>
          <w:lang w:val="es-ES"/>
        </w:rPr>
        <w:t>plan-rational</w:t>
      </w:r>
      <w:r w:rsidRPr="006F26E7">
        <w:rPr>
          <w:lang w:val="es-ES"/>
        </w:rPr>
        <w:t>), donde el Estado no se limita a regular, sino que asume un rol directivo en la economía.</w:t>
      </w:r>
    </w:p>
    <w:p w14:paraId="2BA0DD63" w14:textId="0F457FE1" w:rsidR="006F26E7" w:rsidRPr="006F26E7" w:rsidRDefault="006F26E7" w:rsidP="006F26E7">
      <w:pPr>
        <w:spacing w:line="360" w:lineRule="auto"/>
        <w:rPr>
          <w:lang w:val="es-ES"/>
        </w:rPr>
      </w:pPr>
      <w:r w:rsidRPr="006F26E7">
        <w:rPr>
          <w:lang w:val="es-ES"/>
        </w:rPr>
        <w:t>A diferencia de las economías guiadas por un sistema de racionalidad de mercado (</w:t>
      </w:r>
      <w:r w:rsidRPr="00DD5D7C">
        <w:rPr>
          <w:i/>
          <w:iCs/>
          <w:lang w:val="es-ES"/>
        </w:rPr>
        <w:t>market-rational</w:t>
      </w:r>
      <w:r w:rsidRPr="006F26E7">
        <w:rPr>
          <w:lang w:val="es-ES"/>
        </w:rPr>
        <w:t>), en el modelo asiático, el propio Estado lideró el impulso de la industrialización al asumir funciones de desarrollo directas (Johnson, 1982, p. 19). La prioridad absoluta de este enfoque es diseñar políticas que maximicen la competitividad internacional de la nación, lo que exige una planificación estratégica orientada a la consecución de metas socioeconómicas sustantivas. En este entramado, instituciones estatales como el Consejo de Desarrollo Económico (EDB</w:t>
      </w:r>
      <w:r w:rsidR="004B4E4A">
        <w:rPr>
          <w:lang w:val="es-ES"/>
        </w:rPr>
        <w:t>, por sus siglas en inglés</w:t>
      </w:r>
      <w:r w:rsidRPr="006F26E7">
        <w:rPr>
          <w:lang w:val="es-ES"/>
        </w:rPr>
        <w:t>) de Singapur asumen el papel de "agencias piloto", encargadas de vertebrar y ejecutar esta visión a largo plazo.</w:t>
      </w:r>
    </w:p>
    <w:p w14:paraId="5559F8CE" w14:textId="77777777" w:rsidR="006F26E7" w:rsidRPr="006F26E7" w:rsidRDefault="006F26E7" w:rsidP="006F26E7">
      <w:pPr>
        <w:spacing w:line="360" w:lineRule="auto"/>
        <w:rPr>
          <w:lang w:val="es-ES"/>
        </w:rPr>
      </w:pPr>
      <w:r w:rsidRPr="006F26E7">
        <w:rPr>
          <w:lang w:val="es-ES"/>
        </w:rPr>
        <w:lastRenderedPageBreak/>
        <w:t>El motor fundamental del Estado desarrollista es su élite burocrática y tecnócrata, ya que redacta prácticamente toda la legislación, controla el presupuesto y monopoliza la innovación política (Johnson, 1982, p. 21), dotando al país de una gran eficacia y capacidad de maniobra. Lejos de ser meros ejecutores, estos burócratas formulan las políticas, articulan el marco legal necesario y realizan ajustes tácticos inmediatos ante cualquier contingencia económica. Sin embargo, para que esta maquinaria funcione con eficacia, resulta indispensable que la burocracia económica opere blindada frente a las presiones de los grupos de interés. Esta autonomía estatal es la única garantía de que las prioridades industriales se establezcan y alcancen a largo plazo en beneficio del conjunto de la sociedad, y no de intereses particulares</w:t>
      </w:r>
    </w:p>
    <w:p w14:paraId="77AAC881" w14:textId="77777777" w:rsidR="006F26E7" w:rsidRPr="006F26E7" w:rsidRDefault="006F26E7" w:rsidP="006F26E7">
      <w:pPr>
        <w:spacing w:line="360" w:lineRule="auto"/>
        <w:rPr>
          <w:lang w:val="es-ES"/>
        </w:rPr>
      </w:pPr>
      <w:r w:rsidRPr="006F26E7">
        <w:rPr>
          <w:lang w:val="es-ES"/>
        </w:rPr>
        <w:t>El éxito de este sistema de racionalidad planificada reside en su capacidad para alinear a toda la sociedad en torno a conjunto de objetivos generales ampliamente consensuados para la sociedad, como es el crecimiento económico acelerado. No obstante, este modelo también presenta sus propias complejidades, ya que, al concentrar el poder de decisión en una élite burocrática, el debate político no se desarrolla en el ámbito parlamentario, sino a través de disputas interministeriales y pugnas de influencia dentro de la propia administración.</w:t>
      </w:r>
    </w:p>
    <w:p w14:paraId="6DDAFC9D" w14:textId="77777777" w:rsidR="006F26E7" w:rsidRPr="006F26E7" w:rsidRDefault="006F26E7" w:rsidP="006F26E7">
      <w:pPr>
        <w:spacing w:line="360" w:lineRule="auto"/>
        <w:rPr>
          <w:lang w:val="es-ES"/>
        </w:rPr>
      </w:pPr>
      <w:r w:rsidRPr="006F26E7">
        <w:rPr>
          <w:lang w:val="es-ES"/>
        </w:rPr>
        <w:t>En última instancia, la adopción del Estado desarrollista en Singapur no nació de una mera ambición financiera, sino de un profundo instinto de supervivencia geopolítica. El objetivo de los países de industrialización tardía trasciende lo puramente económico: se trata de una necesidad existencial para evitar la irrelevancia, basando sus metas en comparaciones con economías externas (Johnson, 1982, pp. 24-25). Participar de lleno en las cadenas globales de valor y consolidarse como un centro comercial y logístico de primer nivel se erigió como la estrategia ineludible para garantizar su soberanía administrativa, blindarse frente a sus vecinos y consolidarse como un actor en igualdad de condiciones dentro del tablero internacional.</w:t>
      </w:r>
    </w:p>
    <w:p w14:paraId="051A07B4" w14:textId="77777777" w:rsidR="006F26E7" w:rsidRPr="006F26E7" w:rsidRDefault="006F26E7" w:rsidP="006F26E7">
      <w:pPr>
        <w:spacing w:line="360" w:lineRule="auto"/>
        <w:rPr>
          <w:lang w:val="es-ES"/>
        </w:rPr>
      </w:pPr>
      <w:r w:rsidRPr="006F26E7">
        <w:rPr>
          <w:lang w:val="es-ES"/>
        </w:rPr>
        <w:t>Para consolidar el marco teórico de esta investigación, es fundamental comprender cómo los pequeños Estados (</w:t>
      </w:r>
      <w:r w:rsidRPr="00DD5D7C">
        <w:rPr>
          <w:i/>
          <w:iCs/>
          <w:lang w:val="es-ES"/>
        </w:rPr>
        <w:t>Small States</w:t>
      </w:r>
      <w:r w:rsidRPr="006F26E7">
        <w:rPr>
          <w:lang w:val="es-ES"/>
        </w:rPr>
        <w:t xml:space="preserve">) instrumentalizan el Derecho Mercantil Internacional como una herramienta de pura supervivencia y </w:t>
      </w:r>
      <w:r w:rsidRPr="00DD5D7C">
        <w:rPr>
          <w:i/>
          <w:iCs/>
          <w:lang w:val="es-ES"/>
        </w:rPr>
        <w:t>Realpolitik</w:t>
      </w:r>
      <w:r w:rsidRPr="006F26E7">
        <w:rPr>
          <w:lang w:val="es-ES"/>
        </w:rPr>
        <w:t xml:space="preserve">. En el caso de Singapur, la debilidad geopolítica y material es el punto de partida ineludible. Como evidencian Ewing-Chow et al. (2014), tras su independencia, la nación se enfrentó a un territorio minúsculo y a una carencia absoluta de recursos naturales; un escenario tan adverso que pocos auguraban su viabilidad como Estado, y mucho menos su posterior progreso </w:t>
      </w:r>
      <w:r w:rsidRPr="006F26E7">
        <w:rPr>
          <w:lang w:val="es-ES"/>
        </w:rPr>
        <w:lastRenderedPageBreak/>
        <w:t>económico (p. 129). Ante esta extrema vulnerabilidad geográfica, la prioridad absoluta de estos pequeños actores ha sido evitar la irrelevancia en el orden internacional, apostando por la integración como la única vía para garantizar tanto su prosperidad económica como su supervivencia política en el plano interno y externo.</w:t>
      </w:r>
    </w:p>
    <w:p w14:paraId="52A630D3" w14:textId="77777777" w:rsidR="006F26E7" w:rsidRPr="006F26E7" w:rsidRDefault="006F26E7" w:rsidP="006F26E7">
      <w:pPr>
        <w:spacing w:line="360" w:lineRule="auto"/>
        <w:rPr>
          <w:lang w:val="es-ES"/>
        </w:rPr>
      </w:pPr>
      <w:r w:rsidRPr="006F26E7">
        <w:rPr>
          <w:lang w:val="es-ES"/>
        </w:rPr>
        <w:t>Ante la falta de recursos tradicionales, Singapur optó por convertir la predictibilidad y la seguridad jurídica en su principal ventaja competitiva, de tal manera que el Estado mercantilizó su sistema legal para proyectarse ante el panorama internacional como un refugio de certidumbre comercial en el Sudeste asiático. Para compensar las severas limitaciones de su mercado nacional, Singapur instrumentalizó el Estado de Derecho para atraer a las corporaciones multinacionales, garantizando de forma inquebrantable los derechos legales de los inversores extranjeros. Esta estrategia fue el catalizador que permitió al país erigirse como un gran nodo logístico, financiero y tecnológico, facilitando el comercio en toda la región. Singapur se vende hoy bajo la premisa indiscutible de que la santidad del contrato (</w:t>
      </w:r>
      <w:r w:rsidRPr="00DD5D7C">
        <w:rPr>
          <w:i/>
          <w:iCs/>
          <w:lang w:val="es-ES"/>
        </w:rPr>
        <w:t>sanctity of contract</w:t>
      </w:r>
      <w:r w:rsidRPr="006F26E7">
        <w:rPr>
          <w:lang w:val="es-ES"/>
        </w:rPr>
        <w:t>) es inviolable, fundamentando su política en una máxima económica clara: la reducción de los costes empresariales a través de un marco legal estricto incrementa exponencialmente el atractivo del país para el capital foráneo (Ewing-Chow et al. 2014, pp. 131-134).</w:t>
      </w:r>
    </w:p>
    <w:p w14:paraId="4CABDD7A" w14:textId="62A7515D" w:rsidR="006F26E7" w:rsidRPr="006F26E7" w:rsidRDefault="006F26E7" w:rsidP="006F26E7">
      <w:pPr>
        <w:spacing w:line="360" w:lineRule="auto"/>
        <w:rPr>
          <w:lang w:val="es-ES"/>
        </w:rPr>
      </w:pPr>
      <w:r w:rsidRPr="006F26E7">
        <w:rPr>
          <w:lang w:val="es-ES"/>
        </w:rPr>
        <w:t>En el plano sistémico, el reducido tamaño del país condiciona severamente su capacidad de influencia, obligándole a asumir un rol de tomador de reglas (</w:t>
      </w:r>
      <w:r w:rsidRPr="00DD5D7C">
        <w:rPr>
          <w:i/>
          <w:iCs/>
          <w:lang w:val="es-ES"/>
        </w:rPr>
        <w:t>price-taker</w:t>
      </w:r>
      <w:r w:rsidRPr="006F26E7">
        <w:rPr>
          <w:lang w:val="es-ES"/>
        </w:rPr>
        <w:t xml:space="preserve"> o </w:t>
      </w:r>
      <w:r w:rsidRPr="00DD5D7C">
        <w:rPr>
          <w:i/>
          <w:iCs/>
          <w:lang w:val="es-ES"/>
        </w:rPr>
        <w:t>rule-taker</w:t>
      </w:r>
      <w:r w:rsidRPr="006F26E7">
        <w:rPr>
          <w:lang w:val="es-ES"/>
        </w:rPr>
        <w:t>). A diferencia de las grandes potencias occidentales que dictan la arquitectura global, los pequeños Estados como Singapur carecen del peso demográfico y político necesario para liderar bloques económicos o imponer normativas comerciales por sí solos (Ewing-Chow &amp; Tan, 2013, pp. 3-4). Al no poder ser un hacedor de reglas (</w:t>
      </w:r>
      <w:r w:rsidRPr="00DD5D7C">
        <w:rPr>
          <w:i/>
          <w:iCs/>
          <w:lang w:val="es-ES"/>
        </w:rPr>
        <w:t>rule-maker</w:t>
      </w:r>
      <w:r w:rsidRPr="006F26E7">
        <w:rPr>
          <w:lang w:val="es-ES"/>
        </w:rPr>
        <w:t>), Singapur compensó esta asimetría adoptando las normativas internacionales existentes y aplicándolas con una eficiencia institucional inigualable, volviéndose indispensable en la red comercial global. La adopción de estos densos entramados formales mediante tratados obedece, según Lim (20</w:t>
      </w:r>
      <w:r w:rsidR="0066451F">
        <w:rPr>
          <w:lang w:val="es-ES"/>
        </w:rPr>
        <w:t>11</w:t>
      </w:r>
      <w:r w:rsidRPr="006F26E7">
        <w:rPr>
          <w:lang w:val="es-ES"/>
        </w:rPr>
        <w:t>), a una intención deliberada de articular estrategias económicas orientadas a la exportación y favorables a la inversión extranjera (p. 858). Por este motivo, la adhesión de Singapur al GATT en 1973 y, posteriormente, su ingreso a la OMC, tuvo un objetivo eminentemente estratégico; no se trataba simplemente de abrir un mercado que ya era liberal desde su época como puerto franco británico, sino de anclar sus políticas nacionales a obligaciones legales internacionales, otorgando una garantía vinculante y definitiva a los inversores (Ewing-Chow et al., 2014, p. 141).</w:t>
      </w:r>
    </w:p>
    <w:p w14:paraId="3FBA72DF" w14:textId="63FF4113" w:rsidR="00EE3ECE" w:rsidRDefault="006F26E7" w:rsidP="007B2E96">
      <w:pPr>
        <w:spacing w:line="360" w:lineRule="auto"/>
        <w:rPr>
          <w:lang w:val="es-ES"/>
        </w:rPr>
      </w:pPr>
      <w:r w:rsidRPr="006F26E7">
        <w:rPr>
          <w:lang w:val="es-ES"/>
        </w:rPr>
        <w:lastRenderedPageBreak/>
        <w:t>Finalmente, el Derecho Internacional y los mecanismos de resolución de disputas operan como la primera línea de defensa de los Estados pequeños, actuando como un escudo institucional frente a la superioridad comercial y diplomática de potencias o vecinos de mayor tamaño. La sumisión a tribunales internacionales no obedece a una herencia cultural o cuestión filosófica, sino a una deliberación estrictamente pragmática para gestionar de forma pacífica y predecible sus relaciones comerciales interestatales (Lim, 20</w:t>
      </w:r>
      <w:r w:rsidR="0066451F">
        <w:rPr>
          <w:lang w:val="es-ES"/>
        </w:rPr>
        <w:t>11</w:t>
      </w:r>
      <w:r w:rsidRPr="006F26E7">
        <w:rPr>
          <w:lang w:val="es-ES"/>
        </w:rPr>
        <w:t>, p. 858). Al someterse a terceros imparciales mediante el arbitraje internacional o los tratados que regulan la inversión, el Estado garantiza a las multinacionales una vía de resolución neutral, disipando la desconfianza que habitualmente generan los sistemas judiciales domésticos en los inversores foráneos (Ewing-Chow et al., 2014, p. 139). En este contexto multilateral, el sistema de solución de diferencias de la OMC iguala el “terreno de juego” (</w:t>
      </w:r>
      <w:r w:rsidRPr="00DD5D7C">
        <w:rPr>
          <w:i/>
          <w:iCs/>
          <w:lang w:val="es-ES"/>
        </w:rPr>
        <w:t>level playing field</w:t>
      </w:r>
      <w:r w:rsidRPr="006F26E7">
        <w:rPr>
          <w:lang w:val="es-ES"/>
        </w:rPr>
        <w:t>), dado que los remedios de este organismo se centran en eliminar las normativas incompatibles o abusivas, proporcionando una solución extraordinariamente atractiva para el capital extranjero, dado que garantizan un entorno competitivo adecuado en el Estado receptor (Ewing-Chow, 2007, p. 555). Mediante esta red protectora, el pequeño Estado neutraliza su vulnerabilidad estructural, mercantiliza la justicia y blinda su progreso económico frente al cambiante orden global.</w:t>
      </w:r>
    </w:p>
    <w:p w14:paraId="3B454B76" w14:textId="77777777" w:rsidR="007B2E96" w:rsidRDefault="007B2E96" w:rsidP="007B2E96">
      <w:pPr>
        <w:spacing w:line="360" w:lineRule="auto"/>
        <w:rPr>
          <w:lang w:val="es-ES"/>
        </w:rPr>
      </w:pPr>
    </w:p>
    <w:p w14:paraId="1EB4606E" w14:textId="77777777" w:rsidR="007B2E96" w:rsidRDefault="007B2E96" w:rsidP="007B2E96">
      <w:pPr>
        <w:spacing w:line="360" w:lineRule="auto"/>
        <w:rPr>
          <w:lang w:val="es-ES"/>
        </w:rPr>
      </w:pPr>
    </w:p>
    <w:p w14:paraId="7CD00351" w14:textId="77777777" w:rsidR="007B2E96" w:rsidRDefault="007B2E96" w:rsidP="007B2E96">
      <w:pPr>
        <w:spacing w:line="360" w:lineRule="auto"/>
        <w:rPr>
          <w:lang w:val="es-ES"/>
        </w:rPr>
      </w:pPr>
    </w:p>
    <w:p w14:paraId="6CFB2E33" w14:textId="77777777" w:rsidR="007B2E96" w:rsidRDefault="007B2E96" w:rsidP="007B2E96">
      <w:pPr>
        <w:spacing w:line="360" w:lineRule="auto"/>
        <w:rPr>
          <w:lang w:val="es-ES"/>
        </w:rPr>
      </w:pPr>
    </w:p>
    <w:p w14:paraId="6C1DD633" w14:textId="77777777" w:rsidR="007B2E96" w:rsidRDefault="007B2E96" w:rsidP="007B2E96">
      <w:pPr>
        <w:spacing w:line="360" w:lineRule="auto"/>
        <w:rPr>
          <w:lang w:val="es-ES"/>
        </w:rPr>
      </w:pPr>
    </w:p>
    <w:p w14:paraId="5CBD320C" w14:textId="77777777" w:rsidR="007B2E96" w:rsidRDefault="007B2E96" w:rsidP="007B2E96">
      <w:pPr>
        <w:spacing w:line="360" w:lineRule="auto"/>
        <w:rPr>
          <w:lang w:val="es-ES"/>
        </w:rPr>
      </w:pPr>
    </w:p>
    <w:p w14:paraId="0DFFBCBF" w14:textId="77777777" w:rsidR="007B2E96" w:rsidRDefault="007B2E96" w:rsidP="007B2E96">
      <w:pPr>
        <w:spacing w:line="360" w:lineRule="auto"/>
        <w:rPr>
          <w:lang w:val="es-ES"/>
        </w:rPr>
      </w:pPr>
    </w:p>
    <w:p w14:paraId="239F0759" w14:textId="77777777" w:rsidR="007B2E96" w:rsidRDefault="007B2E96" w:rsidP="007B2E96">
      <w:pPr>
        <w:spacing w:line="360" w:lineRule="auto"/>
        <w:rPr>
          <w:lang w:val="es-ES"/>
        </w:rPr>
      </w:pPr>
    </w:p>
    <w:p w14:paraId="3251A2C8" w14:textId="77777777" w:rsidR="007B2E96" w:rsidRDefault="007B2E96" w:rsidP="007B2E96">
      <w:pPr>
        <w:spacing w:line="360" w:lineRule="auto"/>
        <w:rPr>
          <w:lang w:val="es-ES"/>
        </w:rPr>
      </w:pPr>
    </w:p>
    <w:p w14:paraId="4DC0292E" w14:textId="77777777" w:rsidR="007B2E96" w:rsidRDefault="007B2E96" w:rsidP="007B2E96">
      <w:pPr>
        <w:spacing w:line="360" w:lineRule="auto"/>
        <w:rPr>
          <w:lang w:val="es-ES"/>
        </w:rPr>
      </w:pPr>
    </w:p>
    <w:p w14:paraId="7EEF58A3" w14:textId="77777777" w:rsidR="007B2E96" w:rsidRDefault="007B2E96" w:rsidP="007B2E96">
      <w:pPr>
        <w:spacing w:line="360" w:lineRule="auto"/>
        <w:rPr>
          <w:lang w:val="es-ES"/>
        </w:rPr>
      </w:pPr>
    </w:p>
    <w:p w14:paraId="3F9DE161" w14:textId="77777777" w:rsidR="007B2E96" w:rsidRPr="007B2E96" w:rsidRDefault="007B2E96" w:rsidP="007B2E96">
      <w:pPr>
        <w:spacing w:line="360" w:lineRule="auto"/>
        <w:rPr>
          <w:lang w:val="es-ES"/>
        </w:rPr>
      </w:pPr>
    </w:p>
    <w:p w14:paraId="58E6D518" w14:textId="35B4CD99" w:rsidR="007466A3" w:rsidRPr="002268FF" w:rsidRDefault="000A54E6" w:rsidP="00F8631E">
      <w:pPr>
        <w:pStyle w:val="Ttulo1"/>
      </w:pPr>
      <w:bookmarkStart w:id="17" w:name="_Toc226749105"/>
      <w:r w:rsidRPr="002268FF">
        <w:lastRenderedPageBreak/>
        <w:t xml:space="preserve">3. </w:t>
      </w:r>
      <w:r w:rsidR="00A42BFE">
        <w:t>Antecedentes</w:t>
      </w:r>
      <w:r w:rsidR="00003E69">
        <w:t>: La vulnerabilidad previa a la inserción global</w:t>
      </w:r>
      <w:bookmarkEnd w:id="17"/>
    </w:p>
    <w:p w14:paraId="2C7D5578" w14:textId="3F7E0EF7" w:rsidR="00606F6D" w:rsidRPr="009A3901" w:rsidRDefault="000A54E6" w:rsidP="009A3901">
      <w:pPr>
        <w:pStyle w:val="Ttulo2"/>
        <w:spacing w:line="360" w:lineRule="auto"/>
        <w:rPr>
          <w:rFonts w:ascii="Times New Roman" w:hAnsi="Times New Roman" w:cs="Times New Roman"/>
          <w:b/>
          <w:bCs/>
          <w:color w:val="000000" w:themeColor="text1"/>
          <w:sz w:val="24"/>
          <w:szCs w:val="24"/>
          <w:lang w:val="es-ES"/>
        </w:rPr>
      </w:pPr>
      <w:bookmarkStart w:id="18" w:name="_Toc226749106"/>
      <w:r w:rsidRPr="001F12A0">
        <w:rPr>
          <w:rFonts w:ascii="Times New Roman" w:hAnsi="Times New Roman" w:cs="Times New Roman"/>
          <w:b/>
          <w:bCs/>
          <w:color w:val="000000" w:themeColor="text1"/>
          <w:sz w:val="24"/>
          <w:szCs w:val="24"/>
          <w:lang w:val="es-ES"/>
        </w:rPr>
        <w:t xml:space="preserve">3.1. </w:t>
      </w:r>
      <w:r w:rsidR="00A92D5F">
        <w:rPr>
          <w:rFonts w:ascii="Times New Roman" w:hAnsi="Times New Roman" w:cs="Times New Roman"/>
          <w:b/>
          <w:bCs/>
          <w:color w:val="000000" w:themeColor="text1"/>
          <w:sz w:val="24"/>
          <w:szCs w:val="24"/>
          <w:lang w:val="es-ES"/>
        </w:rPr>
        <w:t xml:space="preserve">El legado colonial y el comercio de </w:t>
      </w:r>
      <w:r w:rsidR="00A92D5F" w:rsidRPr="00A92D5F">
        <w:rPr>
          <w:rFonts w:ascii="Times New Roman" w:hAnsi="Times New Roman" w:cs="Times New Roman"/>
          <w:b/>
          <w:bCs/>
          <w:i/>
          <w:iCs/>
          <w:color w:val="000000" w:themeColor="text1"/>
          <w:sz w:val="24"/>
          <w:szCs w:val="24"/>
          <w:lang w:val="es-ES"/>
        </w:rPr>
        <w:t>entrepôt</w:t>
      </w:r>
      <w:bookmarkEnd w:id="18"/>
    </w:p>
    <w:p w14:paraId="306B708B" w14:textId="2103BE11" w:rsidR="00824774" w:rsidRDefault="00824774" w:rsidP="002A77F3">
      <w:pPr>
        <w:spacing w:line="360" w:lineRule="auto"/>
        <w:rPr>
          <w:lang w:val="es-ES"/>
        </w:rPr>
      </w:pPr>
      <w:r w:rsidRPr="00824774">
        <w:rPr>
          <w:lang w:val="es-ES"/>
        </w:rPr>
        <w:t xml:space="preserve">Para comprender la magnitud del desafío al que se enfrentó Singapur tras su independencia, es preciso retroceder a la configuración original de su economía. Desde su establecimiento como puerto comercial británico por Sir Stamford Raffles a principios del siglo XIX, la isla fue concebida con un único propósito: </w:t>
      </w:r>
      <w:r w:rsidRPr="008E3E4B">
        <w:rPr>
          <w:lang w:val="es-ES"/>
        </w:rPr>
        <w:t xml:space="preserve">servir como un enclave geoestratégico libre de aranceles para el Imperio </w:t>
      </w:r>
      <w:r w:rsidR="00053E3B">
        <w:rPr>
          <w:lang w:val="es-ES"/>
        </w:rPr>
        <w:t>b</w:t>
      </w:r>
      <w:r w:rsidR="00045F43" w:rsidRPr="008E3E4B">
        <w:rPr>
          <w:lang w:val="es-ES"/>
        </w:rPr>
        <w:t>ritánico</w:t>
      </w:r>
      <w:r w:rsidRPr="00824774">
        <w:rPr>
          <w:lang w:val="es-ES"/>
        </w:rPr>
        <w:t xml:space="preserve"> en el Sudeste Asiático. Esta herencia colonial cimentó una economía basada casi exclusivamente en el comercio de </w:t>
      </w:r>
      <w:r w:rsidRPr="00824774">
        <w:rPr>
          <w:i/>
          <w:iCs/>
          <w:lang w:val="es-ES"/>
        </w:rPr>
        <w:t>entrepôt</w:t>
      </w:r>
      <w:r w:rsidR="00FC2704">
        <w:rPr>
          <w:lang w:val="es-ES"/>
        </w:rPr>
        <w:t>:</w:t>
      </w:r>
      <w:r w:rsidRPr="001402DF">
        <w:rPr>
          <w:lang w:val="es-ES"/>
        </w:rPr>
        <w:t xml:space="preserve"> </w:t>
      </w:r>
      <w:r w:rsidRPr="00824774">
        <w:rPr>
          <w:lang w:val="es-ES"/>
        </w:rPr>
        <w:t>un modelo mercantil fundamentado en la importación, el almacenamiento en depósito aduanero y la reexportación de mercancías, donde el país actuaba como un mero intermediario logístico sin someter los bienes a una transformación industrial sustancial</w:t>
      </w:r>
      <w:r w:rsidR="003A7DD7">
        <w:rPr>
          <w:lang w:val="es-ES"/>
        </w:rPr>
        <w:t>.</w:t>
      </w:r>
    </w:p>
    <w:p w14:paraId="50E4FE56" w14:textId="7E1E44F3" w:rsidR="00C74EAC" w:rsidRDefault="008D546E" w:rsidP="008D546E">
      <w:pPr>
        <w:spacing w:line="360" w:lineRule="auto"/>
        <w:rPr>
          <w:lang w:val="es-ES"/>
        </w:rPr>
      </w:pPr>
      <w:r w:rsidRPr="008D546E">
        <w:rPr>
          <w:lang w:val="es-ES"/>
        </w:rPr>
        <w:t>A principios de la década de 1960, la demografía de la isla rondaba los 1,6 millones de habitantes y crecía a una tasa alarmante del 4% anual. A mediados del siglo XX, las severas limitaciones de este modelo resultaban evidentes</w:t>
      </w:r>
      <w:r w:rsidR="00017516">
        <w:rPr>
          <w:lang w:val="es-ES"/>
        </w:rPr>
        <w:t>; e</w:t>
      </w:r>
      <w:r w:rsidRPr="008D546E">
        <w:rPr>
          <w:lang w:val="es-ES"/>
        </w:rPr>
        <w:t xml:space="preserve">l desempleo se situaba cerca del 10% </w:t>
      </w:r>
      <w:r w:rsidR="0068351E">
        <w:rPr>
          <w:lang w:val="es-ES"/>
        </w:rPr>
        <w:t>(</w:t>
      </w:r>
      <w:r w:rsidR="00E81AF7">
        <w:rPr>
          <w:lang w:val="es-ES"/>
        </w:rPr>
        <w:t>Auyong</w:t>
      </w:r>
      <w:r w:rsidR="004171E3">
        <w:rPr>
          <w:lang w:val="es-ES"/>
        </w:rPr>
        <w:t xml:space="preserve"> </w:t>
      </w:r>
      <w:r w:rsidR="00E6643C">
        <w:rPr>
          <w:lang w:val="es-ES"/>
        </w:rPr>
        <w:t>&amp; Low</w:t>
      </w:r>
      <w:r w:rsidR="004171E3">
        <w:rPr>
          <w:lang w:val="es-ES"/>
        </w:rPr>
        <w:t xml:space="preserve">, 2016, </w:t>
      </w:r>
      <w:r w:rsidR="0068351E">
        <w:rPr>
          <w:lang w:val="es-ES"/>
        </w:rPr>
        <w:t xml:space="preserve">p. 6) </w:t>
      </w:r>
      <w:r w:rsidRPr="008D546E">
        <w:rPr>
          <w:lang w:val="es-ES"/>
        </w:rPr>
        <w:t>y</w:t>
      </w:r>
      <w:r w:rsidR="00017516">
        <w:rPr>
          <w:lang w:val="es-ES"/>
        </w:rPr>
        <w:t xml:space="preserve"> </w:t>
      </w:r>
      <w:r w:rsidRPr="008D546E">
        <w:rPr>
          <w:lang w:val="es-ES"/>
        </w:rPr>
        <w:t xml:space="preserve">se consideraba que el comercio de </w:t>
      </w:r>
      <w:r w:rsidRPr="00017516">
        <w:rPr>
          <w:i/>
          <w:iCs/>
          <w:lang w:val="es-ES"/>
        </w:rPr>
        <w:t>entrepôt</w:t>
      </w:r>
      <w:r w:rsidRPr="008D546E">
        <w:rPr>
          <w:lang w:val="es-ES"/>
        </w:rPr>
        <w:t xml:space="preserve"> tenía "posibilidades muy limitadas de expansión"</w:t>
      </w:r>
      <w:r w:rsidR="00C40F9B">
        <w:rPr>
          <w:lang w:val="es-ES"/>
        </w:rPr>
        <w:t xml:space="preserve"> (</w:t>
      </w:r>
      <w:r w:rsidR="00C343C1">
        <w:rPr>
          <w:lang w:val="es-ES"/>
        </w:rPr>
        <w:t>Soon</w:t>
      </w:r>
      <w:r w:rsidR="00A71450">
        <w:rPr>
          <w:lang w:val="es-ES"/>
        </w:rPr>
        <w:t xml:space="preserve"> </w:t>
      </w:r>
      <w:r w:rsidR="00E6643C">
        <w:rPr>
          <w:lang w:val="es-ES"/>
        </w:rPr>
        <w:t>&amp; Suan Tan, 1993</w:t>
      </w:r>
      <w:r w:rsidR="00C343C1">
        <w:rPr>
          <w:lang w:val="es-ES"/>
        </w:rPr>
        <w:t>, p. 8</w:t>
      </w:r>
      <w:r w:rsidR="00C40F9B">
        <w:rPr>
          <w:lang w:val="es-ES"/>
        </w:rPr>
        <w:t>)</w:t>
      </w:r>
      <w:r w:rsidRPr="008D546E">
        <w:rPr>
          <w:lang w:val="es-ES"/>
        </w:rPr>
        <w:t>. Este modelo logístico básico no generaba suficientes puestos de trabajo para una población en rápido crecimiento y dejaba a la isla a merced de las fluctuaciones de los precios de las materias primas de sus vecinos. Según las estimaciones de una misión de la ONU en la época, se necesitaba crear más de 200.000 empleos en la década siguiente para evitar el colapso social</w:t>
      </w:r>
      <w:r w:rsidR="00FF0CA2">
        <w:rPr>
          <w:lang w:val="es-ES"/>
        </w:rPr>
        <w:t xml:space="preserve"> </w:t>
      </w:r>
      <w:r w:rsidR="00FF0CA2" w:rsidRPr="00FF0CA2">
        <w:rPr>
          <w:lang w:val="es-ES"/>
        </w:rPr>
        <w:t>(Auyong</w:t>
      </w:r>
      <w:r w:rsidR="00A71450">
        <w:rPr>
          <w:lang w:val="es-ES"/>
        </w:rPr>
        <w:t xml:space="preserve"> </w:t>
      </w:r>
      <w:r w:rsidR="00FF0CA2" w:rsidRPr="00FF0CA2">
        <w:rPr>
          <w:lang w:val="es-ES"/>
        </w:rPr>
        <w:t xml:space="preserve">&amp; Low, 2016, p. </w:t>
      </w:r>
      <w:r w:rsidR="00FF0CA2">
        <w:rPr>
          <w:lang w:val="es-ES"/>
        </w:rPr>
        <w:t>9</w:t>
      </w:r>
      <w:r w:rsidR="00FF0CA2" w:rsidRPr="00FF0CA2">
        <w:rPr>
          <w:lang w:val="es-ES"/>
        </w:rPr>
        <w:t>)</w:t>
      </w:r>
      <w:r w:rsidRPr="008D546E">
        <w:rPr>
          <w:lang w:val="es-ES"/>
        </w:rPr>
        <w:t>. Transformar estructuralmente la economía y dar el salto hacia la manufactura se convirtió en una urgencia nacional, pero la carencia absoluta de recursos naturales propios y la debilidad del mercado interno hacían imposible iniciar un proceso de industrialización de forma aislada.</w:t>
      </w:r>
    </w:p>
    <w:p w14:paraId="3C2A4B40" w14:textId="52F22DB4" w:rsidR="00334FC3" w:rsidRPr="00141639" w:rsidRDefault="004B310E" w:rsidP="00AF2183">
      <w:pPr>
        <w:pStyle w:val="Ttulo2"/>
        <w:spacing w:line="360" w:lineRule="auto"/>
        <w:rPr>
          <w:rFonts w:ascii="Times New Roman" w:hAnsi="Times New Roman" w:cs="Times New Roman"/>
          <w:b/>
          <w:bCs/>
          <w:color w:val="000000" w:themeColor="text1"/>
          <w:sz w:val="24"/>
          <w:szCs w:val="24"/>
          <w:lang w:val="es-ES"/>
        </w:rPr>
      </w:pPr>
      <w:bookmarkStart w:id="19" w:name="_Toc226749107"/>
      <w:r w:rsidRPr="00141639">
        <w:rPr>
          <w:rFonts w:ascii="Times New Roman" w:hAnsi="Times New Roman" w:cs="Times New Roman"/>
          <w:b/>
          <w:bCs/>
          <w:color w:val="000000" w:themeColor="text1"/>
          <w:sz w:val="24"/>
          <w:szCs w:val="24"/>
          <w:lang w:val="es-ES"/>
        </w:rPr>
        <w:t xml:space="preserve">3.2. </w:t>
      </w:r>
      <w:r w:rsidR="00E03561">
        <w:rPr>
          <w:rFonts w:ascii="Times New Roman" w:hAnsi="Times New Roman" w:cs="Times New Roman"/>
          <w:b/>
          <w:bCs/>
          <w:color w:val="000000" w:themeColor="text1"/>
          <w:sz w:val="24"/>
          <w:szCs w:val="24"/>
          <w:lang w:val="es-ES"/>
        </w:rPr>
        <w:t xml:space="preserve">La crisis de supervivencia: </w:t>
      </w:r>
      <w:r w:rsidR="002533A1" w:rsidRPr="002533A1">
        <w:rPr>
          <w:rFonts w:ascii="Times New Roman" w:hAnsi="Times New Roman" w:cs="Times New Roman"/>
          <w:b/>
          <w:bCs/>
          <w:color w:val="000000" w:themeColor="text1"/>
          <w:sz w:val="24"/>
          <w:szCs w:val="24"/>
          <w:lang w:val="es-ES"/>
        </w:rPr>
        <w:t xml:space="preserve">la Federación Malaya, la </w:t>
      </w:r>
      <w:r w:rsidR="002533A1" w:rsidRPr="007F456A">
        <w:rPr>
          <w:rFonts w:ascii="Times New Roman" w:hAnsi="Times New Roman" w:cs="Times New Roman"/>
          <w:b/>
          <w:bCs/>
          <w:i/>
          <w:iCs/>
          <w:color w:val="000000" w:themeColor="text1"/>
          <w:sz w:val="24"/>
          <w:szCs w:val="24"/>
          <w:lang w:val="es-ES"/>
        </w:rPr>
        <w:t>Konfrontasi</w:t>
      </w:r>
      <w:r w:rsidR="002533A1" w:rsidRPr="002533A1">
        <w:rPr>
          <w:rFonts w:ascii="Times New Roman" w:hAnsi="Times New Roman" w:cs="Times New Roman"/>
          <w:b/>
          <w:bCs/>
          <w:color w:val="000000" w:themeColor="text1"/>
          <w:sz w:val="24"/>
          <w:szCs w:val="24"/>
          <w:lang w:val="es-ES"/>
        </w:rPr>
        <w:t xml:space="preserve"> y la fractura política</w:t>
      </w:r>
      <w:bookmarkEnd w:id="19"/>
    </w:p>
    <w:p w14:paraId="61433956" w14:textId="75B20AC9" w:rsidR="002533A1" w:rsidRDefault="002533A1" w:rsidP="002533A1">
      <w:pPr>
        <w:spacing w:line="360" w:lineRule="auto"/>
        <w:rPr>
          <w:rFonts w:cs="Times New Roman"/>
          <w:lang w:val="es-ES"/>
        </w:rPr>
      </w:pPr>
      <w:r w:rsidRPr="002533A1">
        <w:rPr>
          <w:rFonts w:cs="Times New Roman"/>
          <w:lang w:val="es-ES"/>
        </w:rPr>
        <w:t>La solución inicial a esta asfixia económica fue política</w:t>
      </w:r>
      <w:r w:rsidR="00113F15">
        <w:rPr>
          <w:rFonts w:cs="Times New Roman"/>
          <w:lang w:val="es-ES"/>
        </w:rPr>
        <w:t>:</w:t>
      </w:r>
      <w:r w:rsidR="0036641B">
        <w:rPr>
          <w:rFonts w:cs="Times New Roman"/>
          <w:lang w:val="es-ES"/>
        </w:rPr>
        <w:t xml:space="preserve"> e</w:t>
      </w:r>
      <w:r w:rsidRPr="002533A1">
        <w:rPr>
          <w:rFonts w:cs="Times New Roman"/>
          <w:lang w:val="es-ES"/>
        </w:rPr>
        <w:t xml:space="preserve">n 1963, Singapur decidió integrarse en la Federación de Malasia con el objetivo fundamental de asegurar un mercado común (un </w:t>
      </w:r>
      <w:r w:rsidRPr="0036641B">
        <w:rPr>
          <w:rFonts w:cs="Times New Roman"/>
          <w:i/>
          <w:iCs/>
          <w:lang w:val="es-ES"/>
        </w:rPr>
        <w:t>hinterland</w:t>
      </w:r>
      <w:r w:rsidRPr="002533A1">
        <w:rPr>
          <w:rFonts w:cs="Times New Roman"/>
          <w:lang w:val="es-ES"/>
        </w:rPr>
        <w:t>) que absorbiera sus productos manufacturados y garantizara su viabilidad económica (</w:t>
      </w:r>
      <w:r w:rsidRPr="007F456A">
        <w:rPr>
          <w:rFonts w:cs="Times New Roman"/>
          <w:lang w:val="es-ES"/>
        </w:rPr>
        <w:t>Lee, 2000, p. 47</w:t>
      </w:r>
      <w:r w:rsidRPr="002533A1">
        <w:rPr>
          <w:rFonts w:cs="Times New Roman"/>
          <w:lang w:val="es-ES"/>
        </w:rPr>
        <w:t>). Sin embargo, este proyecto fracasó estrepitosamente debido a insalvables diferencias</w:t>
      </w:r>
      <w:r w:rsidR="0036641B">
        <w:rPr>
          <w:rFonts w:cs="Times New Roman"/>
          <w:lang w:val="es-ES"/>
        </w:rPr>
        <w:t>:</w:t>
      </w:r>
      <w:r w:rsidRPr="002533A1">
        <w:rPr>
          <w:rFonts w:cs="Times New Roman"/>
          <w:lang w:val="es-ES"/>
        </w:rPr>
        <w:t xml:space="preserve"> </w:t>
      </w:r>
      <w:r w:rsidR="0036641B">
        <w:rPr>
          <w:rFonts w:cs="Times New Roman"/>
          <w:lang w:val="es-ES"/>
        </w:rPr>
        <w:t>l</w:t>
      </w:r>
      <w:r w:rsidRPr="002533A1">
        <w:rPr>
          <w:rFonts w:cs="Times New Roman"/>
          <w:lang w:val="es-ES"/>
        </w:rPr>
        <w:t>a visión de una "</w:t>
      </w:r>
      <w:r w:rsidRPr="00F479A0">
        <w:rPr>
          <w:rFonts w:cs="Times New Roman"/>
          <w:i/>
          <w:iCs/>
          <w:lang w:val="es-ES"/>
        </w:rPr>
        <w:t>Malaysian Malaysia</w:t>
      </w:r>
      <w:r w:rsidRPr="00F479A0">
        <w:rPr>
          <w:rFonts w:cs="Times New Roman"/>
          <w:lang w:val="es-ES"/>
        </w:rPr>
        <w:t>"</w:t>
      </w:r>
      <w:r w:rsidR="0036641B" w:rsidRPr="00F479A0">
        <w:rPr>
          <w:rFonts w:cs="Times New Roman"/>
          <w:lang w:val="es-ES"/>
        </w:rPr>
        <w:t>,</w:t>
      </w:r>
      <w:r w:rsidR="0036641B">
        <w:rPr>
          <w:rFonts w:cs="Times New Roman"/>
          <w:lang w:val="es-ES"/>
        </w:rPr>
        <w:t xml:space="preserve"> </w:t>
      </w:r>
      <w:r w:rsidRPr="002533A1">
        <w:rPr>
          <w:rFonts w:cs="Times New Roman"/>
          <w:lang w:val="es-ES"/>
        </w:rPr>
        <w:t>una Malasia igualitaria y no comunal promovida por el P</w:t>
      </w:r>
      <w:r w:rsidR="00B0043D">
        <w:rPr>
          <w:rFonts w:cs="Times New Roman"/>
          <w:lang w:val="es-ES"/>
        </w:rPr>
        <w:t xml:space="preserve">artido de </w:t>
      </w:r>
      <w:r w:rsidRPr="002533A1">
        <w:rPr>
          <w:rFonts w:cs="Times New Roman"/>
          <w:lang w:val="es-ES"/>
        </w:rPr>
        <w:t>A</w:t>
      </w:r>
      <w:r w:rsidR="00B0043D">
        <w:rPr>
          <w:rFonts w:cs="Times New Roman"/>
          <w:lang w:val="es-ES"/>
        </w:rPr>
        <w:t xml:space="preserve">cción </w:t>
      </w:r>
      <w:r w:rsidRPr="002533A1">
        <w:rPr>
          <w:rFonts w:cs="Times New Roman"/>
          <w:lang w:val="es-ES"/>
        </w:rPr>
        <w:lastRenderedPageBreak/>
        <w:t>P</w:t>
      </w:r>
      <w:r w:rsidR="00B0043D">
        <w:rPr>
          <w:rFonts w:cs="Times New Roman"/>
          <w:lang w:val="es-ES"/>
        </w:rPr>
        <w:t>opular (PAP)</w:t>
      </w:r>
      <w:r w:rsidRPr="002533A1">
        <w:rPr>
          <w:rFonts w:cs="Times New Roman"/>
          <w:lang w:val="es-ES"/>
        </w:rPr>
        <w:t xml:space="preserve"> de Lee Kuan Yew</w:t>
      </w:r>
      <w:r w:rsidR="0036641B">
        <w:rPr>
          <w:rFonts w:cs="Times New Roman"/>
          <w:lang w:val="es-ES"/>
        </w:rPr>
        <w:t xml:space="preserve">, </w:t>
      </w:r>
      <w:r w:rsidRPr="002533A1">
        <w:rPr>
          <w:rFonts w:cs="Times New Roman"/>
          <w:lang w:val="es-ES"/>
        </w:rPr>
        <w:t>chocaba frontalmente con las políticas de primacía política y económica hacia los malayos nativos (</w:t>
      </w:r>
      <w:r w:rsidRPr="0036641B">
        <w:rPr>
          <w:rFonts w:cs="Times New Roman"/>
          <w:i/>
          <w:iCs/>
          <w:lang w:val="es-ES"/>
        </w:rPr>
        <w:t>bumiputera</w:t>
      </w:r>
      <w:r w:rsidRPr="002533A1">
        <w:rPr>
          <w:rFonts w:cs="Times New Roman"/>
          <w:lang w:val="es-ES"/>
        </w:rPr>
        <w:t xml:space="preserve">) defendidas por la </w:t>
      </w:r>
      <w:r w:rsidR="003C0BD2" w:rsidRPr="003C0BD2">
        <w:rPr>
          <w:rFonts w:cs="Times New Roman"/>
          <w:lang w:val="es-ES"/>
        </w:rPr>
        <w:t>postura “</w:t>
      </w:r>
      <w:r w:rsidR="003C0BD2" w:rsidRPr="003C0BD2">
        <w:rPr>
          <w:rFonts w:cs="Times New Roman"/>
          <w:i/>
          <w:iCs/>
          <w:lang w:val="es-ES"/>
        </w:rPr>
        <w:t>Malay Malaysia</w:t>
      </w:r>
      <w:r w:rsidR="003C0BD2" w:rsidRPr="003C0BD2">
        <w:rPr>
          <w:rFonts w:cs="Times New Roman"/>
          <w:lang w:val="es-ES"/>
        </w:rPr>
        <w:t>”</w:t>
      </w:r>
      <w:r w:rsidR="003C0BD2">
        <w:rPr>
          <w:rFonts w:cs="Times New Roman"/>
          <w:lang w:val="es-ES"/>
        </w:rPr>
        <w:t xml:space="preserve"> de la </w:t>
      </w:r>
      <w:r w:rsidRPr="002533A1">
        <w:rPr>
          <w:rFonts w:cs="Times New Roman"/>
          <w:lang w:val="es-ES"/>
        </w:rPr>
        <w:t>Organización Nacional de los Malayos Unidos (UMNO) en el gobierno federal</w:t>
      </w:r>
      <w:r w:rsidR="00A91422">
        <w:rPr>
          <w:rFonts w:cs="Times New Roman"/>
          <w:lang w:val="es-ES"/>
        </w:rPr>
        <w:t xml:space="preserve"> (</w:t>
      </w:r>
      <w:r w:rsidR="001D796A">
        <w:rPr>
          <w:rFonts w:cs="Times New Roman"/>
          <w:lang w:val="es-ES"/>
        </w:rPr>
        <w:t xml:space="preserve">Rodan, 1986, </w:t>
      </w:r>
      <w:r w:rsidR="00A91422">
        <w:rPr>
          <w:rFonts w:cs="Times New Roman"/>
          <w:lang w:val="es-ES"/>
        </w:rPr>
        <w:t>p. 194-199)</w:t>
      </w:r>
      <w:r w:rsidRPr="002533A1">
        <w:rPr>
          <w:rFonts w:cs="Times New Roman"/>
          <w:lang w:val="es-ES"/>
        </w:rPr>
        <w:t xml:space="preserve">. Las profundas tensiones políticas y los disturbios raciales entre la mayoría malaya y la población de etnia china de Singapur culminaron en los graves altercados de 1964, </w:t>
      </w:r>
      <w:r w:rsidR="00AD1E1A" w:rsidRPr="00AD1E1A">
        <w:rPr>
          <w:rFonts w:cs="Times New Roman"/>
          <w:lang w:val="es-ES"/>
        </w:rPr>
        <w:t>forzando finalmente al parlamento federal a votar la expulsión de la isla</w:t>
      </w:r>
      <w:r w:rsidRPr="002533A1">
        <w:rPr>
          <w:rFonts w:cs="Times New Roman"/>
          <w:lang w:val="es-ES"/>
        </w:rPr>
        <w:t>.</w:t>
      </w:r>
    </w:p>
    <w:p w14:paraId="1B1A600E" w14:textId="270558C3" w:rsidR="004F08D8" w:rsidRDefault="004F08D8" w:rsidP="004F08D8">
      <w:pPr>
        <w:spacing w:line="360" w:lineRule="auto"/>
        <w:rPr>
          <w:rFonts w:cs="Times New Roman"/>
          <w:lang w:val="es-ES"/>
        </w:rPr>
      </w:pPr>
      <w:r w:rsidRPr="004F08D8">
        <w:rPr>
          <w:rFonts w:cs="Times New Roman"/>
          <w:lang w:val="es-ES"/>
        </w:rPr>
        <w:t xml:space="preserve">En 1965, poniendo fin al paraguas británico y al sueño del mercado común, Singapur anunció su separación de Malasia y se erigió como Estado independiente. Tal y como relata en sus memorias Lee Kuan Yew (2000), primer ministro fundador y principal arquitecto del Singapur moderno, esta soberanía </w:t>
      </w:r>
      <w:r w:rsidRPr="00452F98">
        <w:rPr>
          <w:rFonts w:cs="Times New Roman"/>
          <w:lang w:val="es-ES"/>
        </w:rPr>
        <w:t xml:space="preserve">no fue celebrada como un triunfo nacional, </w:t>
      </w:r>
      <w:r w:rsidR="00452F98" w:rsidRPr="00452F98">
        <w:rPr>
          <w:rFonts w:cs="Times New Roman"/>
          <w:lang w:val="es-ES"/>
        </w:rPr>
        <w:t>sino que fue asumida con enorme pesimismo al ser consecuencia directa de una expulsión</w:t>
      </w:r>
      <w:r w:rsidRPr="004F08D8">
        <w:rPr>
          <w:rFonts w:cs="Times New Roman"/>
          <w:lang w:val="es-ES"/>
        </w:rPr>
        <w:t>. La nación recién constituida encaraba la cuestión del desarrollo con una probabilidad de supervivencia extremadamente baja (</w:t>
      </w:r>
      <w:r w:rsidRPr="000118F2">
        <w:rPr>
          <w:rFonts w:cs="Times New Roman"/>
          <w:lang w:val="es-ES"/>
        </w:rPr>
        <w:t>Lee, 2000, p. 3</w:t>
      </w:r>
      <w:r w:rsidRPr="004F08D8">
        <w:rPr>
          <w:rFonts w:cs="Times New Roman"/>
          <w:lang w:val="es-ES"/>
        </w:rPr>
        <w:t>)</w:t>
      </w:r>
      <w:r w:rsidR="000118F2">
        <w:rPr>
          <w:rFonts w:cs="Times New Roman"/>
          <w:lang w:val="es-ES"/>
        </w:rPr>
        <w:t>; a</w:t>
      </w:r>
      <w:r w:rsidRPr="004F08D8">
        <w:rPr>
          <w:rFonts w:cs="Times New Roman"/>
          <w:lang w:val="es-ES"/>
        </w:rPr>
        <w:t>l verse obligad</w:t>
      </w:r>
      <w:r w:rsidR="00BD6B3D">
        <w:rPr>
          <w:rFonts w:cs="Times New Roman"/>
          <w:lang w:val="es-ES"/>
        </w:rPr>
        <w:t>a</w:t>
      </w:r>
      <w:r w:rsidRPr="004F08D8">
        <w:rPr>
          <w:rFonts w:cs="Times New Roman"/>
          <w:lang w:val="es-ES"/>
        </w:rPr>
        <w:t xml:space="preserve"> a subsistir sin mercado </w:t>
      </w:r>
      <w:r w:rsidR="00B025FC" w:rsidRPr="004F08D8">
        <w:rPr>
          <w:rFonts w:cs="Times New Roman"/>
          <w:lang w:val="es-ES"/>
        </w:rPr>
        <w:t>interior</w:t>
      </w:r>
      <w:r w:rsidR="00B025FC">
        <w:rPr>
          <w:rFonts w:cs="Times New Roman"/>
          <w:lang w:val="es-ES"/>
        </w:rPr>
        <w:t xml:space="preserve">, </w:t>
      </w:r>
      <w:r w:rsidR="00B025FC" w:rsidRPr="004F08D8">
        <w:rPr>
          <w:rFonts w:cs="Times New Roman"/>
          <w:lang w:val="es-ES"/>
        </w:rPr>
        <w:t>cuya</w:t>
      </w:r>
      <w:r w:rsidR="00B025FC" w:rsidRPr="00B025FC">
        <w:rPr>
          <w:rFonts w:cs="Times New Roman"/>
          <w:lang w:val="es-ES"/>
        </w:rPr>
        <w:t xml:space="preserve"> </w:t>
      </w:r>
      <w:r w:rsidR="00B025FC" w:rsidRPr="00BD6B3D">
        <w:rPr>
          <w:rFonts w:cs="Times New Roman"/>
          <w:lang w:val="es-ES"/>
        </w:rPr>
        <w:t>relación de dependencia había sido motor de su evolución económica</w:t>
      </w:r>
      <w:r w:rsidR="00B025FC">
        <w:rPr>
          <w:rFonts w:cs="Times New Roman"/>
          <w:lang w:val="es-ES"/>
        </w:rPr>
        <w:t>,</w:t>
      </w:r>
      <w:r w:rsidR="00B025FC" w:rsidRPr="00B025FC">
        <w:rPr>
          <w:rFonts w:cs="Times New Roman"/>
          <w:lang w:val="es-ES"/>
        </w:rPr>
        <w:t xml:space="preserve"> </w:t>
      </w:r>
      <w:r w:rsidRPr="004F08D8">
        <w:rPr>
          <w:rFonts w:cs="Times New Roman"/>
          <w:lang w:val="es-ES"/>
        </w:rPr>
        <w:t xml:space="preserve">y sin el amparo militar de </w:t>
      </w:r>
      <w:r w:rsidR="00C230DB">
        <w:rPr>
          <w:rFonts w:cs="Times New Roman"/>
          <w:lang w:val="es-ES"/>
        </w:rPr>
        <w:t>Reino Unido</w:t>
      </w:r>
      <w:r w:rsidRPr="004F08D8">
        <w:rPr>
          <w:rFonts w:cs="Times New Roman"/>
          <w:lang w:val="es-ES"/>
        </w:rPr>
        <w:t>, el devenir de la nación se perfilaba sombrío (</w:t>
      </w:r>
      <w:r w:rsidRPr="003F3AF4">
        <w:rPr>
          <w:rFonts w:cs="Times New Roman"/>
          <w:lang w:val="es-ES"/>
        </w:rPr>
        <w:t>Lee</w:t>
      </w:r>
      <w:r w:rsidRPr="004F08D8">
        <w:rPr>
          <w:rFonts w:cs="Times New Roman"/>
          <w:lang w:val="es-ES"/>
        </w:rPr>
        <w:t>, 2000, p</w:t>
      </w:r>
      <w:r w:rsidR="00B025FC">
        <w:rPr>
          <w:rFonts w:cs="Times New Roman"/>
          <w:lang w:val="es-ES"/>
        </w:rPr>
        <w:t>p</w:t>
      </w:r>
      <w:r w:rsidRPr="004F08D8">
        <w:rPr>
          <w:rFonts w:cs="Times New Roman"/>
          <w:lang w:val="es-ES"/>
        </w:rPr>
        <w:t xml:space="preserve">. </w:t>
      </w:r>
      <w:r w:rsidR="00B025FC">
        <w:rPr>
          <w:rFonts w:cs="Times New Roman"/>
          <w:lang w:val="es-ES"/>
        </w:rPr>
        <w:t>47-</w:t>
      </w:r>
      <w:r w:rsidRPr="004F08D8">
        <w:rPr>
          <w:rFonts w:cs="Times New Roman"/>
          <w:lang w:val="es-ES"/>
        </w:rPr>
        <w:t>49).</w:t>
      </w:r>
    </w:p>
    <w:p w14:paraId="4CF7ED58" w14:textId="682EA59C" w:rsidR="004F08D8" w:rsidRDefault="004F08D8" w:rsidP="004F08D8">
      <w:pPr>
        <w:spacing w:line="360" w:lineRule="auto"/>
        <w:rPr>
          <w:rFonts w:cs="Times New Roman"/>
          <w:lang w:val="es-ES"/>
        </w:rPr>
      </w:pPr>
      <w:r w:rsidRPr="004F08D8">
        <w:rPr>
          <w:rFonts w:cs="Times New Roman"/>
          <w:lang w:val="es-ES"/>
        </w:rPr>
        <w:t xml:space="preserve">A esta fractura interna se sumó una presión geopolítica asfixiante. La política de hostilidad y sabotaje impulsada por Sukarno desde Indonesia, conocida como la </w:t>
      </w:r>
      <w:r w:rsidRPr="00454D63">
        <w:rPr>
          <w:rFonts w:cs="Times New Roman"/>
          <w:i/>
          <w:iCs/>
          <w:lang w:val="es-ES"/>
        </w:rPr>
        <w:t>Konfrontasi</w:t>
      </w:r>
      <w:r w:rsidRPr="004F08D8">
        <w:rPr>
          <w:rFonts w:cs="Times New Roman"/>
          <w:lang w:val="es-ES"/>
        </w:rPr>
        <w:t>, incluyó campañas de terrorismo urbano y atentados con bombas en la propia Singapur. Esto, sumado a las barreras arancelarias impuestas por la propia Malasia tras la separación, evidenció un cerco económico casi total, provocando que el vital comercio de Singapur con Indonesia se desplomara casi un 24% en 1964</w:t>
      </w:r>
      <w:r w:rsidR="003B3D40">
        <w:rPr>
          <w:rFonts w:cs="Times New Roman"/>
          <w:lang w:val="es-ES"/>
        </w:rPr>
        <w:t xml:space="preserve"> (Tan, </w:t>
      </w:r>
      <w:r w:rsidR="00141846">
        <w:rPr>
          <w:rFonts w:cs="Times New Roman"/>
          <w:lang w:val="es-ES"/>
        </w:rPr>
        <w:t>2024</w:t>
      </w:r>
      <w:r w:rsidR="004A41EC">
        <w:rPr>
          <w:rFonts w:cs="Times New Roman"/>
          <w:lang w:val="es-ES"/>
        </w:rPr>
        <w:t>)</w:t>
      </w:r>
      <w:r w:rsidRPr="004F08D8">
        <w:rPr>
          <w:rFonts w:cs="Times New Roman"/>
          <w:lang w:val="es-ES"/>
        </w:rPr>
        <w:t xml:space="preserve">. Esta precariedad estructural se veía agravada por lo que </w:t>
      </w:r>
      <w:r w:rsidRPr="003F3AF4">
        <w:rPr>
          <w:rFonts w:cs="Times New Roman"/>
          <w:lang w:val="es-ES"/>
        </w:rPr>
        <w:t xml:space="preserve">Leifer </w:t>
      </w:r>
      <w:r w:rsidRPr="004F08D8">
        <w:rPr>
          <w:rFonts w:cs="Times New Roman"/>
          <w:lang w:val="es-ES"/>
        </w:rPr>
        <w:t xml:space="preserve">(2000) conceptualiza como la "vulnerabilidad intrínseca" de Singapur. Su minúscula extensión territorial y una demografía predominantemente china comprimida entre </w:t>
      </w:r>
      <w:r w:rsidRPr="00E114E6">
        <w:rPr>
          <w:rFonts w:cs="Times New Roman"/>
          <w:lang w:val="es-ES"/>
        </w:rPr>
        <w:t>dos gigantes regionales</w:t>
      </w:r>
      <w:r w:rsidR="00E114E6">
        <w:rPr>
          <w:rFonts w:cs="Times New Roman"/>
          <w:lang w:val="es-ES"/>
        </w:rPr>
        <w:t>,</w:t>
      </w:r>
      <w:r w:rsidRPr="00E114E6">
        <w:rPr>
          <w:rFonts w:cs="Times New Roman"/>
          <w:lang w:val="es-ES"/>
        </w:rPr>
        <w:t xml:space="preserve"> </w:t>
      </w:r>
      <w:r w:rsidR="00E114E6">
        <w:rPr>
          <w:rFonts w:cs="Times New Roman"/>
          <w:lang w:val="es-ES"/>
        </w:rPr>
        <w:t xml:space="preserve">como Malasia e Indonesia, </w:t>
      </w:r>
      <w:r w:rsidRPr="004F08D8">
        <w:rPr>
          <w:rFonts w:cs="Times New Roman"/>
          <w:lang w:val="es-ES"/>
        </w:rPr>
        <w:t>convertían su mera existencia en un riesgo natural. En gran medida, la doctrina de Estado singapurense responde desde entonces al temor crónico de que la volatilidad política de sus vecinos inmediatos derive en acciones hostiles contra su soberanía (</w:t>
      </w:r>
      <w:r w:rsidRPr="00C230DB">
        <w:rPr>
          <w:rFonts w:cs="Times New Roman"/>
          <w:lang w:val="es-ES"/>
        </w:rPr>
        <w:t>p. 4</w:t>
      </w:r>
      <w:r w:rsidRPr="004F08D8">
        <w:rPr>
          <w:rFonts w:cs="Times New Roman"/>
          <w:lang w:val="es-ES"/>
        </w:rPr>
        <w:t>).</w:t>
      </w:r>
    </w:p>
    <w:p w14:paraId="734768D2" w14:textId="3F9ECD16" w:rsidR="00BB0460" w:rsidRDefault="00BB0460" w:rsidP="007B7924">
      <w:pPr>
        <w:pStyle w:val="Ttulo2"/>
        <w:spacing w:line="360" w:lineRule="auto"/>
        <w:rPr>
          <w:rFonts w:ascii="Times New Roman" w:hAnsi="Times New Roman" w:cs="Times New Roman"/>
          <w:b/>
          <w:bCs/>
          <w:color w:val="auto"/>
          <w:sz w:val="24"/>
          <w:szCs w:val="24"/>
          <w:lang w:val="es-ES"/>
        </w:rPr>
      </w:pPr>
      <w:bookmarkStart w:id="20" w:name="_Toc226749108"/>
      <w:r w:rsidRPr="00BB0460">
        <w:rPr>
          <w:rFonts w:ascii="Times New Roman" w:hAnsi="Times New Roman" w:cs="Times New Roman"/>
          <w:b/>
          <w:bCs/>
          <w:color w:val="auto"/>
          <w:sz w:val="24"/>
          <w:szCs w:val="24"/>
          <w:lang w:val="es-ES"/>
        </w:rPr>
        <w:lastRenderedPageBreak/>
        <w:t xml:space="preserve">3.3. </w:t>
      </w:r>
      <w:r w:rsidR="00053E3B">
        <w:rPr>
          <w:rFonts w:ascii="Times New Roman" w:hAnsi="Times New Roman" w:cs="Times New Roman"/>
          <w:b/>
          <w:bCs/>
          <w:color w:val="auto"/>
          <w:sz w:val="24"/>
          <w:szCs w:val="24"/>
          <w:lang w:val="es-ES"/>
        </w:rPr>
        <w:t>La reorientación es</w:t>
      </w:r>
      <w:r w:rsidR="00213EE0">
        <w:rPr>
          <w:rFonts w:ascii="Times New Roman" w:hAnsi="Times New Roman" w:cs="Times New Roman"/>
          <w:b/>
          <w:bCs/>
          <w:color w:val="auto"/>
          <w:sz w:val="24"/>
          <w:szCs w:val="24"/>
          <w:lang w:val="es-ES"/>
        </w:rPr>
        <w:t>tructural de 1965: de la crisis al modelo de inversión extranjera</w:t>
      </w:r>
      <w:bookmarkEnd w:id="20"/>
    </w:p>
    <w:p w14:paraId="6DB61EC7" w14:textId="6AA2E2EF" w:rsidR="007B7924" w:rsidRPr="007B7924" w:rsidRDefault="00C676D4" w:rsidP="007B7924">
      <w:pPr>
        <w:spacing w:line="360" w:lineRule="auto"/>
        <w:rPr>
          <w:lang w:val="es-ES"/>
        </w:rPr>
      </w:pPr>
      <w:r>
        <w:rPr>
          <w:lang w:val="es-ES"/>
        </w:rPr>
        <w:t xml:space="preserve">En </w:t>
      </w:r>
      <w:r w:rsidR="007B7924" w:rsidRPr="007B7924">
        <w:rPr>
          <w:lang w:val="es-ES"/>
        </w:rPr>
        <w:t xml:space="preserve">el momento de su </w:t>
      </w:r>
      <w:r w:rsidR="007B7924" w:rsidRPr="00C230DB">
        <w:rPr>
          <w:lang w:val="es-ES"/>
        </w:rPr>
        <w:t>independencia forzada</w:t>
      </w:r>
      <w:r w:rsidR="007B7924" w:rsidRPr="007B7924">
        <w:rPr>
          <w:lang w:val="es-ES"/>
        </w:rPr>
        <w:t>, la fotografía socioeconómica de Singapur era crítica</w:t>
      </w:r>
      <w:r w:rsidR="00053E3B">
        <w:rPr>
          <w:lang w:val="es-ES"/>
        </w:rPr>
        <w:t>: l</w:t>
      </w:r>
      <w:r w:rsidR="007B7924" w:rsidRPr="007B7924">
        <w:rPr>
          <w:lang w:val="es-ES"/>
        </w:rPr>
        <w:t>as tasas de desempleo rondaban el 14%, la agitación sindical era constante y la escasez de vivienda e infraestructura básica amenazaba la paz social. Ante la pérdida de su mercado natural, la viabilidad de Singapur pasaba ineludiblemente por encontrar un nuevo mercado de carácter global y atraer capital externo de forma masiva. Para organizar esta titánica tarea, el gobierno potenció el rol del Consejo de Desarrollo Económico (</w:t>
      </w:r>
      <w:r w:rsidR="007B7924" w:rsidRPr="00101959">
        <w:rPr>
          <w:i/>
          <w:iCs/>
          <w:lang w:val="es-ES"/>
        </w:rPr>
        <w:t>Economic Development Board</w:t>
      </w:r>
      <w:r w:rsidR="00E0169E">
        <w:rPr>
          <w:lang w:val="es-ES"/>
        </w:rPr>
        <w:t xml:space="preserve"> o</w:t>
      </w:r>
      <w:r w:rsidR="00101959">
        <w:rPr>
          <w:lang w:val="es-ES"/>
        </w:rPr>
        <w:t xml:space="preserve"> </w:t>
      </w:r>
      <w:r w:rsidR="007B7924" w:rsidRPr="007B7924">
        <w:rPr>
          <w:lang w:val="es-ES"/>
        </w:rPr>
        <w:t>EDB</w:t>
      </w:r>
      <w:r w:rsidR="00E0169E">
        <w:rPr>
          <w:lang w:val="es-ES"/>
        </w:rPr>
        <w:t>, por sus siglas en inglés</w:t>
      </w:r>
      <w:r w:rsidR="007B7924" w:rsidRPr="007B7924">
        <w:rPr>
          <w:lang w:val="es-ES"/>
        </w:rPr>
        <w:t xml:space="preserve">), instituido previamente en 1961 bajo las recomendaciones de una </w:t>
      </w:r>
      <w:r w:rsidR="007B7924" w:rsidRPr="00C230DB">
        <w:rPr>
          <w:lang w:val="es-ES"/>
        </w:rPr>
        <w:t>misión de la ONU liderada por el economista holandés Albert Winsemius</w:t>
      </w:r>
      <w:r w:rsidR="00563FF7">
        <w:rPr>
          <w:lang w:val="es-ES"/>
        </w:rPr>
        <w:t xml:space="preserve"> (</w:t>
      </w:r>
      <w:r w:rsidR="00563FF7" w:rsidRPr="00563FF7">
        <w:rPr>
          <w:lang w:val="es-ES"/>
        </w:rPr>
        <w:t>Auyong &amp; Low, 2016, p</w:t>
      </w:r>
      <w:r w:rsidR="00563FF7">
        <w:rPr>
          <w:lang w:val="es-ES"/>
        </w:rPr>
        <w:t>p. 8-9</w:t>
      </w:r>
      <w:r w:rsidR="00563FF7" w:rsidRPr="00563FF7">
        <w:rPr>
          <w:lang w:val="es-ES"/>
        </w:rPr>
        <w:t>)</w:t>
      </w:r>
      <w:r w:rsidR="007B7924" w:rsidRPr="007B7924">
        <w:rPr>
          <w:lang w:val="es-ES"/>
        </w:rPr>
        <w:t>. El objetivo del EDB y de Winsemius</w:t>
      </w:r>
      <w:r w:rsidR="00101959">
        <w:rPr>
          <w:lang w:val="es-ES"/>
        </w:rPr>
        <w:t xml:space="preserve">, </w:t>
      </w:r>
      <w:r w:rsidR="007B7924" w:rsidRPr="007B7924">
        <w:rPr>
          <w:lang w:val="es-ES"/>
        </w:rPr>
        <w:t>quien actuaría como asesor económico clave durante década</w:t>
      </w:r>
      <w:r w:rsidR="00101959">
        <w:rPr>
          <w:lang w:val="es-ES"/>
        </w:rPr>
        <w:t>s,</w:t>
      </w:r>
      <w:r w:rsidR="007B7924" w:rsidRPr="007B7924">
        <w:rPr>
          <w:lang w:val="es-ES"/>
        </w:rPr>
        <w:t xml:space="preserve"> fue abandonar definitivamente la sustitución de importaciones y transicionar hacia una estrategia industrial</w:t>
      </w:r>
      <w:r w:rsidR="00741CCC">
        <w:rPr>
          <w:lang w:val="es-ES"/>
        </w:rPr>
        <w:t xml:space="preserve"> manufacturera</w:t>
      </w:r>
      <w:r w:rsidR="007B7924" w:rsidRPr="007B7924">
        <w:rPr>
          <w:lang w:val="es-ES"/>
        </w:rPr>
        <w:t xml:space="preserve"> orientada a la exportación</w:t>
      </w:r>
      <w:r w:rsidR="000D776D" w:rsidRPr="000D776D">
        <w:rPr>
          <w:lang w:val="es-ES"/>
        </w:rPr>
        <w:t xml:space="preserve"> y con gran intensidad de mano de obra</w:t>
      </w:r>
      <w:r w:rsidR="00741CCC">
        <w:rPr>
          <w:lang w:val="es-ES"/>
        </w:rPr>
        <w:t xml:space="preserve"> (</w:t>
      </w:r>
      <w:r w:rsidR="00373DEF" w:rsidRPr="00373DEF">
        <w:rPr>
          <w:lang w:val="es-ES"/>
        </w:rPr>
        <w:t xml:space="preserve">Soon &amp; Suan Tan, 1993, p. </w:t>
      </w:r>
      <w:r w:rsidR="00476F44">
        <w:rPr>
          <w:lang w:val="es-ES"/>
        </w:rPr>
        <w:t>10</w:t>
      </w:r>
      <w:r w:rsidR="00373DEF" w:rsidRPr="00373DEF">
        <w:rPr>
          <w:lang w:val="es-ES"/>
        </w:rPr>
        <w:t>)</w:t>
      </w:r>
      <w:r w:rsidR="00741CCC">
        <w:rPr>
          <w:lang w:val="es-ES"/>
        </w:rPr>
        <w:t>.</w:t>
      </w:r>
    </w:p>
    <w:p w14:paraId="4A746621" w14:textId="7CA96E6A" w:rsidR="007B7924" w:rsidRPr="007B7924" w:rsidRDefault="007B7924" w:rsidP="007B7924">
      <w:pPr>
        <w:spacing w:line="360" w:lineRule="auto"/>
        <w:rPr>
          <w:lang w:val="es-ES"/>
        </w:rPr>
      </w:pPr>
      <w:r w:rsidRPr="007B7924">
        <w:rPr>
          <w:lang w:val="es-ES"/>
        </w:rPr>
        <w:t>Para materializar esta internacionalización, el Estado desplegó un extenso poder burocrático con el fin de ejecutar un programa de Industrialización Orientada a la Exportación (EOI, por sus siglas en inglés)</w:t>
      </w:r>
      <w:r w:rsidR="00545E8B">
        <w:rPr>
          <w:lang w:val="es-ES"/>
        </w:rPr>
        <w:t xml:space="preserve">, </w:t>
      </w:r>
      <w:r w:rsidR="00545E8B" w:rsidRPr="00545E8B">
        <w:rPr>
          <w:lang w:val="es-ES"/>
        </w:rPr>
        <w:t>inspirado en los modelos de Hong Kong y Taiwán (Rodan, 1986, p. 222</w:t>
      </w:r>
      <w:r w:rsidR="00545E8B">
        <w:rPr>
          <w:lang w:val="es-ES"/>
        </w:rPr>
        <w:t>)</w:t>
      </w:r>
      <w:r w:rsidRPr="007B7924">
        <w:rPr>
          <w:lang w:val="es-ES"/>
        </w:rPr>
        <w:t>. Esta estrategia resultaba audaz para un país catalogado entonces como "en vías de desarrollo" y marcó el inicio de su inserción en la nueva división internacional del trabajo</w:t>
      </w:r>
      <w:r w:rsidR="00F60B89">
        <w:rPr>
          <w:lang w:val="es-ES"/>
        </w:rPr>
        <w:t xml:space="preserve"> (</w:t>
      </w:r>
      <w:r w:rsidR="00F60B89" w:rsidRPr="00F60B89">
        <w:rPr>
          <w:lang w:val="es-ES"/>
        </w:rPr>
        <w:t>Rodan, 1986, pp. 4-5</w:t>
      </w:r>
      <w:r w:rsidR="00F60B89">
        <w:rPr>
          <w:lang w:val="es-ES"/>
        </w:rPr>
        <w:t>)</w:t>
      </w:r>
      <w:r w:rsidRPr="007B7924">
        <w:rPr>
          <w:lang w:val="es-ES"/>
        </w:rPr>
        <w:t>. El gobierno liderado por el Partido de Acción Popular (PAP) creó desde cero el ecosistema y la infraestructura</w:t>
      </w:r>
      <w:r w:rsidR="00497A8C">
        <w:rPr>
          <w:lang w:val="es-ES"/>
        </w:rPr>
        <w:t xml:space="preserve"> necesario</w:t>
      </w:r>
      <w:r w:rsidR="003A5EDC">
        <w:rPr>
          <w:lang w:val="es-ES"/>
        </w:rPr>
        <w:t xml:space="preserve">s </w:t>
      </w:r>
      <w:r w:rsidRPr="007B7924">
        <w:rPr>
          <w:lang w:val="es-ES"/>
        </w:rPr>
        <w:t>para competir por un capital extranjero que requiriera mano de obra intensiva</w:t>
      </w:r>
      <w:r>
        <w:rPr>
          <w:lang w:val="es-ES"/>
        </w:rPr>
        <w:t xml:space="preserve"> </w:t>
      </w:r>
      <w:r w:rsidRPr="007B7924">
        <w:rPr>
          <w:lang w:val="es-ES"/>
        </w:rPr>
        <w:t>(</w:t>
      </w:r>
      <w:r w:rsidRPr="00561BA8">
        <w:rPr>
          <w:lang w:val="es-ES"/>
        </w:rPr>
        <w:t>Rodan, 198</w:t>
      </w:r>
      <w:r w:rsidR="00F31FAE" w:rsidRPr="00561BA8">
        <w:rPr>
          <w:lang w:val="es-ES"/>
        </w:rPr>
        <w:t>6</w:t>
      </w:r>
      <w:r w:rsidRPr="00561BA8">
        <w:rPr>
          <w:lang w:val="es-ES"/>
        </w:rPr>
        <w:t>, pp. 220-222</w:t>
      </w:r>
      <w:r w:rsidRPr="007B7924">
        <w:rPr>
          <w:lang w:val="es-ES"/>
        </w:rPr>
        <w:t>).</w:t>
      </w:r>
      <w:r w:rsidR="000D4D5E">
        <w:rPr>
          <w:lang w:val="es-ES"/>
        </w:rPr>
        <w:t xml:space="preserve"> </w:t>
      </w:r>
      <w:r w:rsidR="000D4D5E" w:rsidRPr="000D4D5E">
        <w:rPr>
          <w:lang w:val="es-ES"/>
        </w:rPr>
        <w:t>Un claro ejemplo de esta ejecución fue la construcción del emblemático polígono industrial de Jurong, levantado sobre terrenos pantanosos ganados al mar</w:t>
      </w:r>
      <w:r w:rsidR="000D4D5E">
        <w:rPr>
          <w:lang w:val="es-ES"/>
        </w:rPr>
        <w:t>.</w:t>
      </w:r>
    </w:p>
    <w:p w14:paraId="6E7EEFB4" w14:textId="58219FD8" w:rsidR="007B7924" w:rsidRDefault="007B7924" w:rsidP="007B7924">
      <w:pPr>
        <w:spacing w:line="360" w:lineRule="auto"/>
        <w:rPr>
          <w:lang w:val="es-ES"/>
        </w:rPr>
      </w:pPr>
      <w:r w:rsidRPr="007B7924">
        <w:rPr>
          <w:lang w:val="es-ES"/>
        </w:rPr>
        <w:t xml:space="preserve">Es crucial destacar que el PAP, </w:t>
      </w:r>
      <w:r w:rsidR="009005F3">
        <w:rPr>
          <w:lang w:val="es-ES"/>
        </w:rPr>
        <w:t xml:space="preserve">guiado por </w:t>
      </w:r>
      <w:r w:rsidRPr="007B7924">
        <w:rPr>
          <w:lang w:val="es-ES"/>
        </w:rPr>
        <w:t>su filosofía aperturista</w:t>
      </w:r>
      <w:r w:rsidR="009005F3">
        <w:rPr>
          <w:lang w:val="es-ES"/>
        </w:rPr>
        <w:t xml:space="preserve"> y un estricto pragmatismo económico</w:t>
      </w:r>
      <w:r w:rsidRPr="007B7924">
        <w:rPr>
          <w:lang w:val="es-ES"/>
        </w:rPr>
        <w:t>, desconfiaba de la capacidad y los intereses de la pequeña burguesía local para liderar este milagro económico. En consecuencia, el gobierno optó deliberadamente por un modelo liderado por corporaciones multinacionales, donde el capital doméstico quedaba relegado a un rol subsidiario al servicio de las necesidades del capital foráneo (</w:t>
      </w:r>
      <w:r w:rsidRPr="00EE4C75">
        <w:rPr>
          <w:lang w:val="es-ES"/>
        </w:rPr>
        <w:t>Rodan, 1986, pp. 339-340</w:t>
      </w:r>
      <w:r w:rsidRPr="007B7924">
        <w:rPr>
          <w:lang w:val="es-ES"/>
        </w:rPr>
        <w:t xml:space="preserve">). Con el fin de mitigar los riesgos asociados a su vulnerabilidad geográfica, el Estado optó por una estrategia de interdependencia </w:t>
      </w:r>
      <w:r w:rsidRPr="007B7924">
        <w:rPr>
          <w:lang w:val="es-ES"/>
        </w:rPr>
        <w:lastRenderedPageBreak/>
        <w:t>económica, vinculándose directamente con las economías avanzadas para lograr que la seguridad de la isla se convirtiera en un interés directo de las potencias occidentales (Leifer, 2000, p. 12).</w:t>
      </w:r>
    </w:p>
    <w:p w14:paraId="1BD7DE15" w14:textId="5F246735" w:rsidR="00C676D4" w:rsidRDefault="007B7924" w:rsidP="007B7924">
      <w:pPr>
        <w:spacing w:line="360" w:lineRule="auto"/>
        <w:rPr>
          <w:lang w:val="es-ES"/>
        </w:rPr>
      </w:pPr>
      <w:r w:rsidRPr="007B7924">
        <w:rPr>
          <w:lang w:val="es-ES"/>
        </w:rPr>
        <w:t>Sin embargo, la simple provisión de un ecosistema logístico favorable, exenciones fiscales y mano de obra barata no constituía</w:t>
      </w:r>
      <w:r w:rsidR="00B4173E">
        <w:rPr>
          <w:lang w:val="es-ES"/>
        </w:rPr>
        <w:t>n</w:t>
      </w:r>
      <w:r w:rsidRPr="007B7924">
        <w:rPr>
          <w:lang w:val="es-ES"/>
        </w:rPr>
        <w:t xml:space="preserve"> una condición suficiente para retener a largo plazo a las corporaciones multinacionales occidentales. Es en este abismo histórico donde surge </w:t>
      </w:r>
      <w:r w:rsidR="00CA2B92">
        <w:rPr>
          <w:lang w:val="es-ES"/>
        </w:rPr>
        <w:t>el dilema</w:t>
      </w:r>
      <w:r w:rsidRPr="007B7924">
        <w:rPr>
          <w:lang w:val="es-ES"/>
        </w:rPr>
        <w:t xml:space="preserve"> central de esta investigación: ¿</w:t>
      </w:r>
      <w:r w:rsidRPr="00764101">
        <w:rPr>
          <w:lang w:val="es-ES"/>
        </w:rPr>
        <w:t>c</w:t>
      </w:r>
      <w:r w:rsidRPr="007B7924">
        <w:rPr>
          <w:lang w:val="es-ES"/>
        </w:rPr>
        <w:t xml:space="preserve">ómo convencer a los mercados globales de movilizar activos multimillonarios y establecer infraestructuras permanentes en un pequeño enclave recién independizado y rodeado de un panorama geopolítico altamente hostil? Las grandes corporaciones exigían un blindaje institucional frente a la expropiación y la arbitrariedad política. Para asegurar dicha solidez, Singapur necesitaba proyectar una </w:t>
      </w:r>
      <w:r w:rsidR="0034440A">
        <w:rPr>
          <w:lang w:val="es-ES"/>
        </w:rPr>
        <w:t>seguridad jurídica</w:t>
      </w:r>
      <w:r w:rsidRPr="007B7924">
        <w:rPr>
          <w:lang w:val="es-ES"/>
        </w:rPr>
        <w:t xml:space="preserve"> </w:t>
      </w:r>
      <w:r w:rsidR="00363BAB">
        <w:rPr>
          <w:lang w:val="es-ES"/>
        </w:rPr>
        <w:t>absoluta</w:t>
      </w:r>
      <w:r w:rsidRPr="007B7924">
        <w:rPr>
          <w:lang w:val="es-ES"/>
        </w:rPr>
        <w:t xml:space="preserve">, momento en el cual la adhesión al </w:t>
      </w:r>
      <w:r w:rsidR="00CA2B92">
        <w:rPr>
          <w:lang w:val="es-ES"/>
        </w:rPr>
        <w:t>sistema multilateral</w:t>
      </w:r>
      <w:r w:rsidRPr="007B7924">
        <w:rPr>
          <w:lang w:val="es-ES"/>
        </w:rPr>
        <w:t xml:space="preserve"> de</w:t>
      </w:r>
      <w:r w:rsidR="00CA2B92">
        <w:rPr>
          <w:lang w:val="es-ES"/>
        </w:rPr>
        <w:t xml:space="preserve"> comercio</w:t>
      </w:r>
      <w:r w:rsidRPr="007B7924">
        <w:rPr>
          <w:lang w:val="es-ES"/>
        </w:rPr>
        <w:t xml:space="preserve"> dejó de ser una simple opción de política exterior para convertirse en el imperativo de su supervivencia nacional.</w:t>
      </w:r>
    </w:p>
    <w:p w14:paraId="13F4293B" w14:textId="77777777" w:rsidR="007B2E96" w:rsidRDefault="007B2E96" w:rsidP="007B7924">
      <w:pPr>
        <w:spacing w:line="360" w:lineRule="auto"/>
        <w:rPr>
          <w:lang w:val="es-ES"/>
        </w:rPr>
      </w:pPr>
    </w:p>
    <w:p w14:paraId="27AED85F" w14:textId="77777777" w:rsidR="007B2E96" w:rsidRDefault="007B2E96" w:rsidP="007B7924">
      <w:pPr>
        <w:spacing w:line="360" w:lineRule="auto"/>
        <w:rPr>
          <w:lang w:val="es-ES"/>
        </w:rPr>
      </w:pPr>
    </w:p>
    <w:p w14:paraId="46A2EDFB" w14:textId="77777777" w:rsidR="007B2E96" w:rsidRDefault="007B2E96" w:rsidP="007B7924">
      <w:pPr>
        <w:spacing w:line="360" w:lineRule="auto"/>
        <w:rPr>
          <w:lang w:val="es-ES"/>
        </w:rPr>
      </w:pPr>
    </w:p>
    <w:p w14:paraId="4C4807E5" w14:textId="77777777" w:rsidR="007B2E96" w:rsidRDefault="007B2E96" w:rsidP="007B7924">
      <w:pPr>
        <w:spacing w:line="360" w:lineRule="auto"/>
        <w:rPr>
          <w:lang w:val="es-ES"/>
        </w:rPr>
      </w:pPr>
    </w:p>
    <w:p w14:paraId="528AE808" w14:textId="77777777" w:rsidR="007B2E96" w:rsidRDefault="007B2E96" w:rsidP="007B7924">
      <w:pPr>
        <w:spacing w:line="360" w:lineRule="auto"/>
        <w:rPr>
          <w:lang w:val="es-ES"/>
        </w:rPr>
      </w:pPr>
    </w:p>
    <w:p w14:paraId="6068DB4E" w14:textId="77777777" w:rsidR="007B2E96" w:rsidRDefault="007B2E96" w:rsidP="007B7924">
      <w:pPr>
        <w:spacing w:line="360" w:lineRule="auto"/>
        <w:rPr>
          <w:lang w:val="es-ES"/>
        </w:rPr>
      </w:pPr>
    </w:p>
    <w:p w14:paraId="35B7DB92" w14:textId="77777777" w:rsidR="007B2E96" w:rsidRDefault="007B2E96" w:rsidP="007B7924">
      <w:pPr>
        <w:spacing w:line="360" w:lineRule="auto"/>
        <w:rPr>
          <w:lang w:val="es-ES"/>
        </w:rPr>
      </w:pPr>
    </w:p>
    <w:p w14:paraId="73607280" w14:textId="77777777" w:rsidR="007B2E96" w:rsidRDefault="007B2E96" w:rsidP="007B7924">
      <w:pPr>
        <w:spacing w:line="360" w:lineRule="auto"/>
        <w:rPr>
          <w:lang w:val="es-ES"/>
        </w:rPr>
      </w:pPr>
    </w:p>
    <w:p w14:paraId="0B6BD867" w14:textId="77777777" w:rsidR="007B2E96" w:rsidRDefault="007B2E96" w:rsidP="007B7924">
      <w:pPr>
        <w:spacing w:line="360" w:lineRule="auto"/>
        <w:rPr>
          <w:lang w:val="es-ES"/>
        </w:rPr>
      </w:pPr>
    </w:p>
    <w:p w14:paraId="06F02A7A" w14:textId="77777777" w:rsidR="007B2E96" w:rsidRDefault="007B2E96" w:rsidP="007B7924">
      <w:pPr>
        <w:spacing w:line="360" w:lineRule="auto"/>
        <w:rPr>
          <w:lang w:val="es-ES"/>
        </w:rPr>
      </w:pPr>
    </w:p>
    <w:p w14:paraId="137FDBC4" w14:textId="77777777" w:rsidR="007B2E96" w:rsidRDefault="007B2E96" w:rsidP="007B7924">
      <w:pPr>
        <w:spacing w:line="360" w:lineRule="auto"/>
        <w:rPr>
          <w:lang w:val="es-ES"/>
        </w:rPr>
      </w:pPr>
    </w:p>
    <w:p w14:paraId="18FF4660" w14:textId="77777777" w:rsidR="007B2E96" w:rsidRPr="00C676D4" w:rsidRDefault="007B2E96" w:rsidP="007B7924">
      <w:pPr>
        <w:spacing w:line="360" w:lineRule="auto"/>
        <w:rPr>
          <w:lang w:val="es-ES"/>
        </w:rPr>
      </w:pPr>
    </w:p>
    <w:p w14:paraId="3A6250C2" w14:textId="0311A2EE" w:rsidR="006C06DB" w:rsidRPr="00126EB8" w:rsidRDefault="00A202B7" w:rsidP="00F8631E">
      <w:pPr>
        <w:pStyle w:val="Ttulo1"/>
      </w:pPr>
      <w:bookmarkStart w:id="21" w:name="_Toc226749109"/>
      <w:r w:rsidRPr="00126EB8">
        <w:lastRenderedPageBreak/>
        <w:t xml:space="preserve">4. </w:t>
      </w:r>
      <w:r w:rsidR="000447A8">
        <w:t>Análisis GATT</w:t>
      </w:r>
      <w:r w:rsidR="006F3C65">
        <w:t xml:space="preserve">: La Construcción del Ecosistema Industrial y </w:t>
      </w:r>
      <w:commentRangeStart w:id="22"/>
      <w:r w:rsidR="006F3C65">
        <w:t>Logístico</w:t>
      </w:r>
      <w:bookmarkEnd w:id="21"/>
      <w:commentRangeEnd w:id="22"/>
      <w:r w:rsidR="00B361FE" w:rsidRPr="00126EB8">
        <w:rPr>
          <w:rStyle w:val="Refdecomentario"/>
          <w:sz w:val="28"/>
          <w:szCs w:val="40"/>
        </w:rPr>
        <w:commentReference w:id="22"/>
      </w:r>
    </w:p>
    <w:p w14:paraId="6A172ADB" w14:textId="75C3D1C8" w:rsidR="00D71591" w:rsidRDefault="00D71591" w:rsidP="0004523F">
      <w:pPr>
        <w:spacing w:line="360" w:lineRule="auto"/>
        <w:rPr>
          <w:rFonts w:cs="Times New Roman"/>
          <w:lang w:val="es-ES"/>
        </w:rPr>
      </w:pPr>
      <w:r w:rsidRPr="00816E02">
        <w:rPr>
          <w:rFonts w:cs="Times New Roman"/>
          <w:noProof/>
          <w:lang w:val="es-ES"/>
        </w:rPr>
        <w:drawing>
          <wp:inline distT="0" distB="0" distL="0" distR="0" wp14:anchorId="7453CCD4" wp14:editId="4EBA63F8">
            <wp:extent cx="5400040" cy="3173095"/>
            <wp:effectExtent l="0" t="0" r="0" b="8255"/>
            <wp:docPr id="13493878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387874" name=""/>
                    <pic:cNvPicPr/>
                  </pic:nvPicPr>
                  <pic:blipFill>
                    <a:blip r:embed="rId16"/>
                    <a:stretch>
                      <a:fillRect/>
                    </a:stretch>
                  </pic:blipFill>
                  <pic:spPr>
                    <a:xfrm>
                      <a:off x="0" y="0"/>
                      <a:ext cx="5400040" cy="3173095"/>
                    </a:xfrm>
                    <a:prstGeom prst="rect">
                      <a:avLst/>
                    </a:prstGeom>
                  </pic:spPr>
                </pic:pic>
              </a:graphicData>
            </a:graphic>
          </wp:inline>
        </w:drawing>
      </w:r>
      <w:r w:rsidRPr="007C19A3">
        <w:rPr>
          <w:rFonts w:cs="Times New Roman"/>
          <w:noProof/>
          <w:lang w:val="es-ES"/>
        </w:rPr>
        <w:drawing>
          <wp:inline distT="0" distB="0" distL="0" distR="0" wp14:anchorId="7F5E072E" wp14:editId="636275D0">
            <wp:extent cx="5400040" cy="3178810"/>
            <wp:effectExtent l="0" t="0" r="0" b="2540"/>
            <wp:docPr id="6610471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047196" name=""/>
                    <pic:cNvPicPr/>
                  </pic:nvPicPr>
                  <pic:blipFill>
                    <a:blip r:embed="rId17"/>
                    <a:stretch>
                      <a:fillRect/>
                    </a:stretch>
                  </pic:blipFill>
                  <pic:spPr>
                    <a:xfrm>
                      <a:off x="0" y="0"/>
                      <a:ext cx="5400040" cy="3178810"/>
                    </a:xfrm>
                    <a:prstGeom prst="rect">
                      <a:avLst/>
                    </a:prstGeom>
                  </pic:spPr>
                </pic:pic>
              </a:graphicData>
            </a:graphic>
          </wp:inline>
        </w:drawing>
      </w:r>
    </w:p>
    <w:p w14:paraId="3EFC7290" w14:textId="422B30AA" w:rsidR="00D71591" w:rsidRDefault="00D71591" w:rsidP="0004523F">
      <w:pPr>
        <w:spacing w:line="360" w:lineRule="auto"/>
        <w:rPr>
          <w:rFonts w:cs="Times New Roman"/>
          <w:lang w:val="es-ES"/>
        </w:rPr>
      </w:pPr>
      <w:r w:rsidRPr="00BE6A54">
        <w:rPr>
          <w:rFonts w:cs="Times New Roman"/>
          <w:noProof/>
          <w:lang w:val="es-ES"/>
        </w:rPr>
        <w:lastRenderedPageBreak/>
        <w:drawing>
          <wp:inline distT="0" distB="0" distL="0" distR="0" wp14:anchorId="0DF6CCBE" wp14:editId="2E71C4F9">
            <wp:extent cx="5400040" cy="3195320"/>
            <wp:effectExtent l="0" t="0" r="0" b="5080"/>
            <wp:docPr id="210344970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449700" name=""/>
                    <pic:cNvPicPr/>
                  </pic:nvPicPr>
                  <pic:blipFill>
                    <a:blip r:embed="rId18"/>
                    <a:stretch>
                      <a:fillRect/>
                    </a:stretch>
                  </pic:blipFill>
                  <pic:spPr>
                    <a:xfrm>
                      <a:off x="0" y="0"/>
                      <a:ext cx="5400040" cy="3195320"/>
                    </a:xfrm>
                    <a:prstGeom prst="rect">
                      <a:avLst/>
                    </a:prstGeom>
                  </pic:spPr>
                </pic:pic>
              </a:graphicData>
            </a:graphic>
          </wp:inline>
        </w:drawing>
      </w:r>
    </w:p>
    <w:p w14:paraId="33749EFA" w14:textId="5335CCD2" w:rsidR="00A202B7" w:rsidRDefault="00A202B7" w:rsidP="00AF2183">
      <w:pPr>
        <w:pStyle w:val="Ttulo2"/>
        <w:spacing w:line="360" w:lineRule="auto"/>
        <w:rPr>
          <w:rFonts w:ascii="Times New Roman" w:hAnsi="Times New Roman" w:cs="Times New Roman"/>
          <w:b/>
          <w:bCs/>
          <w:color w:val="000000" w:themeColor="text1"/>
          <w:sz w:val="24"/>
          <w:szCs w:val="24"/>
          <w:lang w:val="es-ES"/>
        </w:rPr>
      </w:pPr>
      <w:bookmarkStart w:id="23" w:name="_Toc226749110"/>
      <w:r w:rsidRPr="006C3AE4">
        <w:rPr>
          <w:rFonts w:ascii="Times New Roman" w:hAnsi="Times New Roman" w:cs="Times New Roman"/>
          <w:b/>
          <w:bCs/>
          <w:color w:val="000000" w:themeColor="text1"/>
          <w:sz w:val="24"/>
          <w:szCs w:val="24"/>
          <w:lang w:val="es-ES"/>
        </w:rPr>
        <w:t xml:space="preserve">4.1. </w:t>
      </w:r>
      <w:r w:rsidR="00BB694C" w:rsidRPr="00BB694C">
        <w:rPr>
          <w:rFonts w:ascii="Times New Roman" w:hAnsi="Times New Roman" w:cs="Times New Roman"/>
          <w:b/>
          <w:bCs/>
          <w:color w:val="000000" w:themeColor="text1"/>
          <w:sz w:val="24"/>
          <w:szCs w:val="24"/>
          <w:lang w:val="es-ES"/>
        </w:rPr>
        <w:t>Facilitación del comercio y aduanas</w:t>
      </w:r>
      <w:bookmarkEnd w:id="23"/>
    </w:p>
    <w:p w14:paraId="1FC9B807" w14:textId="2ADEFA9D" w:rsidR="009F2AF7" w:rsidRDefault="009F2AF7" w:rsidP="009F2AF7">
      <w:pPr>
        <w:spacing w:line="360" w:lineRule="auto"/>
        <w:rPr>
          <w:lang w:val="es-ES"/>
        </w:rPr>
      </w:pPr>
      <w:r w:rsidRPr="008A6CA3">
        <w:rPr>
          <w:lang w:val="es-ES"/>
        </w:rPr>
        <w:t>El GATT</w:t>
      </w:r>
      <w:r>
        <w:rPr>
          <w:lang w:val="es-ES"/>
        </w:rPr>
        <w:t xml:space="preserve"> (1947)</w:t>
      </w:r>
      <w:r w:rsidRPr="008A6CA3">
        <w:rPr>
          <w:lang w:val="es-ES"/>
        </w:rPr>
        <w:t xml:space="preserve"> </w:t>
      </w:r>
      <w:r w:rsidRPr="00A931E9">
        <w:rPr>
          <w:lang w:val="es-ES"/>
        </w:rPr>
        <w:t>configuró un marco para eliminar los cuellos de botella en el comercio físico</w:t>
      </w:r>
      <w:r>
        <w:rPr>
          <w:lang w:val="es-ES"/>
        </w:rPr>
        <w:t xml:space="preserve">, estableciendo </w:t>
      </w:r>
      <w:r w:rsidRPr="008A6CA3">
        <w:rPr>
          <w:lang w:val="es-ES"/>
        </w:rPr>
        <w:t>como</w:t>
      </w:r>
      <w:r>
        <w:rPr>
          <w:lang w:val="es-ES"/>
        </w:rPr>
        <w:t xml:space="preserve"> uno de sus</w:t>
      </w:r>
      <w:r w:rsidRPr="008A6CA3">
        <w:rPr>
          <w:lang w:val="es-ES"/>
        </w:rPr>
        <w:t xml:space="preserve"> pilares </w:t>
      </w:r>
      <w:r>
        <w:rPr>
          <w:lang w:val="es-ES"/>
        </w:rPr>
        <w:t xml:space="preserve">fundamentales </w:t>
      </w:r>
      <w:r w:rsidRPr="008A6CA3">
        <w:rPr>
          <w:lang w:val="es-ES"/>
        </w:rPr>
        <w:t>la libertad de tránsito (Art. V)</w:t>
      </w:r>
      <w:r>
        <w:rPr>
          <w:lang w:val="es-ES"/>
        </w:rPr>
        <w:t xml:space="preserve">. Este artículo indica que el tráfico en tránsito </w:t>
      </w:r>
      <w:r w:rsidRPr="00681FDF">
        <w:rPr>
          <w:lang w:val="es-ES"/>
        </w:rPr>
        <w:t xml:space="preserve">no será </w:t>
      </w:r>
      <w:r>
        <w:rPr>
          <w:lang w:val="es-ES"/>
        </w:rPr>
        <w:t>“</w:t>
      </w:r>
      <w:r w:rsidRPr="00681FDF">
        <w:rPr>
          <w:lang w:val="es-ES"/>
        </w:rPr>
        <w:t>objeto de ninguna demora ni de restricciones innecesarias</w:t>
      </w:r>
      <w:r>
        <w:rPr>
          <w:lang w:val="es-ES"/>
        </w:rPr>
        <w:t>”,</w:t>
      </w:r>
      <w:r w:rsidRPr="00681FDF">
        <w:rPr>
          <w:lang w:val="es-ES"/>
        </w:rPr>
        <w:t xml:space="preserve"> </w:t>
      </w:r>
      <w:r w:rsidRPr="0057205C">
        <w:rPr>
          <w:lang w:val="es-ES"/>
        </w:rPr>
        <w:t>quedando exento de derechos de aduana y de cualquier otra carga, "con excepción de los gastos de transporte y de las cargas imputadas como gastos administrativos"</w:t>
      </w:r>
      <w:r>
        <w:rPr>
          <w:lang w:val="es-ES"/>
        </w:rPr>
        <w:t xml:space="preserve"> (</w:t>
      </w:r>
      <w:r w:rsidR="00443B4B">
        <w:rPr>
          <w:lang w:val="es-ES"/>
        </w:rPr>
        <w:t>A</w:t>
      </w:r>
      <w:r>
        <w:rPr>
          <w:lang w:val="es-ES"/>
        </w:rPr>
        <w:t xml:space="preserve">rt. V.3). </w:t>
      </w:r>
      <w:r w:rsidRPr="00B73E1B">
        <w:rPr>
          <w:lang w:val="es-ES"/>
        </w:rPr>
        <w:t>Esta libertad de movimiento se complementa con el mandato de limitar los derechos</w:t>
      </w:r>
      <w:r>
        <w:rPr>
          <w:lang w:val="es-ES"/>
        </w:rPr>
        <w:t xml:space="preserve"> </w:t>
      </w:r>
      <w:r w:rsidRPr="008A6CA3">
        <w:rPr>
          <w:lang w:val="es-ES"/>
        </w:rPr>
        <w:t>y formalidades de importación</w:t>
      </w:r>
      <w:r>
        <w:rPr>
          <w:lang w:val="es-ES"/>
        </w:rPr>
        <w:t xml:space="preserve"> y </w:t>
      </w:r>
      <w:r w:rsidRPr="008A6CA3">
        <w:rPr>
          <w:lang w:val="es-ES"/>
        </w:rPr>
        <w:t xml:space="preserve">exportación al coste aproximado de los servicios prestados (Art. VIII), </w:t>
      </w:r>
      <w:r w:rsidRPr="00B73E1B">
        <w:rPr>
          <w:lang w:val="es-ES"/>
        </w:rPr>
        <w:t>así como con la obligación de</w:t>
      </w:r>
      <w:r>
        <w:rPr>
          <w:lang w:val="es-ES"/>
        </w:rPr>
        <w:t xml:space="preserve"> </w:t>
      </w:r>
      <w:r w:rsidRPr="008A6CA3">
        <w:rPr>
          <w:lang w:val="es-ES"/>
        </w:rPr>
        <w:t>publicar y aplicar los reglamentos comerciales de forma transparente y uniforme</w:t>
      </w:r>
      <w:r>
        <w:rPr>
          <w:lang w:val="es-ES"/>
        </w:rPr>
        <w:t>, de manera que los gobiernos y agentes comerciales sean conocedores de ellos</w:t>
      </w:r>
      <w:r w:rsidRPr="008A6CA3">
        <w:rPr>
          <w:lang w:val="es-ES"/>
        </w:rPr>
        <w:t xml:space="preserve"> (Art. X)</w:t>
      </w:r>
      <w:r>
        <w:rPr>
          <w:lang w:val="es-ES"/>
        </w:rPr>
        <w:t>.</w:t>
      </w:r>
    </w:p>
    <w:p w14:paraId="18A59553" w14:textId="67E2429A" w:rsidR="009F2AF7" w:rsidRDefault="009F2AF7" w:rsidP="009F2AF7">
      <w:pPr>
        <w:spacing w:line="360" w:lineRule="auto"/>
        <w:rPr>
          <w:lang w:val="es-ES"/>
        </w:rPr>
      </w:pPr>
      <w:r w:rsidRPr="00007339">
        <w:rPr>
          <w:lang w:val="es-ES"/>
        </w:rPr>
        <w:t>Para materializar estos principios</w:t>
      </w:r>
      <w:r>
        <w:rPr>
          <w:lang w:val="es-ES"/>
        </w:rPr>
        <w:t xml:space="preserve"> </w:t>
      </w:r>
      <w:r w:rsidRPr="00AB7B7E">
        <w:rPr>
          <w:lang w:val="es-ES"/>
        </w:rPr>
        <w:t xml:space="preserve">tras su </w:t>
      </w:r>
      <w:r>
        <w:rPr>
          <w:lang w:val="es-ES"/>
        </w:rPr>
        <w:t xml:space="preserve">repentina </w:t>
      </w:r>
      <w:r w:rsidRPr="00AB7B7E">
        <w:rPr>
          <w:lang w:val="es-ES"/>
        </w:rPr>
        <w:t>independencia</w:t>
      </w:r>
      <w:r>
        <w:rPr>
          <w:lang w:val="es-ES"/>
        </w:rPr>
        <w:t xml:space="preserve">, </w:t>
      </w:r>
      <w:r w:rsidRPr="00AB7B7E">
        <w:rPr>
          <w:lang w:val="es-ES"/>
        </w:rPr>
        <w:t xml:space="preserve">Singapur transformó su arquitectura legal interna </w:t>
      </w:r>
      <w:r w:rsidRPr="009F195A">
        <w:rPr>
          <w:lang w:val="es-ES"/>
        </w:rPr>
        <w:t>con el objetivo de garantizar un tránsito logístico sin fricciones</w:t>
      </w:r>
      <w:r>
        <w:rPr>
          <w:lang w:val="es-ES"/>
        </w:rPr>
        <w:t xml:space="preserve">. En este sentido, </w:t>
      </w:r>
      <w:r w:rsidRPr="00007339">
        <w:rPr>
          <w:lang w:val="es-ES"/>
        </w:rPr>
        <w:t xml:space="preserve">Singapur promulgó la </w:t>
      </w:r>
      <w:r w:rsidRPr="00314E02">
        <w:rPr>
          <w:i/>
          <w:iCs/>
          <w:lang w:val="es-ES"/>
        </w:rPr>
        <w:t>Free Trade Zones Act</w:t>
      </w:r>
      <w:r w:rsidRPr="00007339">
        <w:rPr>
          <w:lang w:val="es-ES"/>
        </w:rPr>
        <w:t xml:space="preserve"> </w:t>
      </w:r>
      <w:r>
        <w:rPr>
          <w:lang w:val="es-ES"/>
        </w:rPr>
        <w:t xml:space="preserve">de </w:t>
      </w:r>
      <w:r w:rsidRPr="00007339">
        <w:rPr>
          <w:lang w:val="es-ES"/>
        </w:rPr>
        <w:t>1966 (en vigor desde el 1 de septiembre de 1969)</w:t>
      </w:r>
      <w:r>
        <w:rPr>
          <w:lang w:val="es-ES"/>
        </w:rPr>
        <w:t xml:space="preserve"> para </w:t>
      </w:r>
      <w:r w:rsidRPr="009F195A">
        <w:rPr>
          <w:lang w:val="es-ES"/>
        </w:rPr>
        <w:t>crear enclaves donde el comercio internacional quedara legal y físicamente aislado de la burocracia aduanera interna</w:t>
      </w:r>
      <w:r w:rsidRPr="00007339">
        <w:rPr>
          <w:lang w:val="es-ES"/>
        </w:rPr>
        <w:t xml:space="preserve">. Mediante esta ley, las zonas </w:t>
      </w:r>
      <w:r>
        <w:rPr>
          <w:lang w:val="es-ES"/>
        </w:rPr>
        <w:t>francas</w:t>
      </w:r>
      <w:r w:rsidRPr="00007339">
        <w:rPr>
          <w:lang w:val="es-ES"/>
        </w:rPr>
        <w:t xml:space="preserve"> garantizaron que los bienes de cualquier descripción, excepto los específica y absolutamente prohibidos por cualquier ley escrita, pueden ser introducidos en una zona de libre comercio</w:t>
      </w:r>
      <w:r>
        <w:rPr>
          <w:rStyle w:val="Refdenotaalpie"/>
          <w:lang w:val="es-ES"/>
        </w:rPr>
        <w:footnoteReference w:id="2"/>
      </w:r>
      <w:r w:rsidRPr="00007339">
        <w:rPr>
          <w:lang w:val="es-ES"/>
        </w:rPr>
        <w:t xml:space="preserve"> y</w:t>
      </w:r>
      <w:r>
        <w:rPr>
          <w:lang w:val="es-ES"/>
        </w:rPr>
        <w:t xml:space="preserve"> que</w:t>
      </w:r>
      <w:r w:rsidRPr="00007339">
        <w:rPr>
          <w:lang w:val="es-ES"/>
        </w:rPr>
        <w:t xml:space="preserve"> "pueden ser almacenados, vendidos, exhibidos, </w:t>
      </w:r>
      <w:r w:rsidRPr="00007339">
        <w:rPr>
          <w:lang w:val="es-ES"/>
        </w:rPr>
        <w:lastRenderedPageBreak/>
        <w:t>fraccionados, reempacados, ensamblados, distribuidos, clasificados, limpiados, mezclados o manipulados de otra manera, o ser manufacturados"</w:t>
      </w:r>
      <w:r>
        <w:rPr>
          <w:rStyle w:val="Refdenotaalpie"/>
          <w:lang w:val="es-ES"/>
        </w:rPr>
        <w:footnoteReference w:id="3"/>
      </w:r>
      <w:r>
        <w:rPr>
          <w:lang w:val="es-ES"/>
        </w:rPr>
        <w:t>. Asimismo</w:t>
      </w:r>
      <w:r w:rsidRPr="00837D89">
        <w:rPr>
          <w:lang w:val="es-ES"/>
        </w:rPr>
        <w:t xml:space="preserve">, se consagró la exención fiscal </w:t>
      </w:r>
      <w:r>
        <w:rPr>
          <w:lang w:val="es-ES"/>
        </w:rPr>
        <w:t>exigida por</w:t>
      </w:r>
      <w:r w:rsidRPr="00837D89">
        <w:rPr>
          <w:lang w:val="es-ES"/>
        </w:rPr>
        <w:t xml:space="preserve"> el Art. </w:t>
      </w:r>
      <w:r w:rsidRPr="00955E05">
        <w:rPr>
          <w:lang w:val="es-ES"/>
        </w:rPr>
        <w:t>V</w:t>
      </w:r>
      <w:r>
        <w:rPr>
          <w:lang w:val="es-ES"/>
        </w:rPr>
        <w:t>, estipulando que “n</w:t>
      </w:r>
      <w:r w:rsidRPr="00955E05">
        <w:rPr>
          <w:lang w:val="es-ES"/>
        </w:rPr>
        <w:t xml:space="preserve">o se deben pagar derechos de aduana </w:t>
      </w:r>
      <w:r w:rsidRPr="00560799">
        <w:rPr>
          <w:lang w:val="es-ES"/>
        </w:rPr>
        <w:t xml:space="preserve">ni impuestos sobre bienes o servicios </w:t>
      </w:r>
      <w:r w:rsidRPr="00955E05">
        <w:rPr>
          <w:lang w:val="es-ES"/>
        </w:rPr>
        <w:t>por las mercancías que se trasladen de una zona franca a otra, a un almacén autorizado o a una fábrica sujeta a impuestos especiales</w:t>
      </w:r>
      <w:r>
        <w:rPr>
          <w:lang w:val="es-ES"/>
        </w:rPr>
        <w:t>”</w:t>
      </w:r>
      <w:r w:rsidR="0060257F">
        <w:rPr>
          <w:lang w:val="es-ES"/>
        </w:rPr>
        <w:t xml:space="preserve"> </w:t>
      </w:r>
      <w:r>
        <w:rPr>
          <w:lang w:val="es-ES"/>
        </w:rPr>
        <w:t>(WTO, 2021, pp. 56-57)</w:t>
      </w:r>
      <w:r w:rsidRPr="00007339">
        <w:rPr>
          <w:lang w:val="es-ES"/>
        </w:rPr>
        <w:t>.</w:t>
      </w:r>
    </w:p>
    <w:p w14:paraId="235E4E25" w14:textId="77777777" w:rsidR="009F2AF7" w:rsidRDefault="009F2AF7" w:rsidP="009F2AF7">
      <w:pPr>
        <w:spacing w:line="360" w:lineRule="auto"/>
        <w:rPr>
          <w:lang w:val="es-ES"/>
        </w:rPr>
      </w:pPr>
      <w:r w:rsidRPr="00B812CE">
        <w:rPr>
          <w:lang w:val="es-ES"/>
        </w:rPr>
        <w:t>Más allá de la infraestructura física, Singapur revolucionó sus procedimientos aduaneros para cumplir con el espíritu de máxima celeridad (Art. VIII) y transparencia (Art. X) exigido por el sistema multilateral</w:t>
      </w:r>
      <w:r>
        <w:rPr>
          <w:lang w:val="es-ES"/>
        </w:rPr>
        <w:t>.</w:t>
      </w:r>
      <w:r w:rsidRPr="004B21A9">
        <w:rPr>
          <w:lang w:val="es-ES"/>
        </w:rPr>
        <w:t xml:space="preserve"> </w:t>
      </w:r>
      <w:r w:rsidRPr="00B812CE">
        <w:rPr>
          <w:lang w:val="es-ES"/>
        </w:rPr>
        <w:t>Para ello, implementó en 1989 el sistema "</w:t>
      </w:r>
      <w:r w:rsidRPr="00B812CE">
        <w:rPr>
          <w:i/>
          <w:iCs/>
          <w:lang w:val="es-ES"/>
        </w:rPr>
        <w:t>TradeNet</w:t>
      </w:r>
      <w:r w:rsidRPr="00B812CE">
        <w:rPr>
          <w:lang w:val="es-ES"/>
        </w:rPr>
        <w:t xml:space="preserve">", convirtiéndose en la nación pionera a nivel mundial en la </w:t>
      </w:r>
      <w:r>
        <w:rPr>
          <w:lang w:val="es-ES"/>
        </w:rPr>
        <w:t>digitalización</w:t>
      </w:r>
      <w:r w:rsidRPr="00B812CE">
        <w:rPr>
          <w:lang w:val="es-ES"/>
        </w:rPr>
        <w:t xml:space="preserve"> de documentos comerciales</w:t>
      </w:r>
      <w:r>
        <w:rPr>
          <w:lang w:val="es-ES"/>
        </w:rPr>
        <w:t xml:space="preserve"> y procedimientos aduaneros</w:t>
      </w:r>
      <w:r w:rsidRPr="00B812CE">
        <w:rPr>
          <w:lang w:val="es-ES"/>
        </w:rPr>
        <w:t xml:space="preserve"> mediante una ventanilla única electrónica</w:t>
      </w:r>
      <w:r>
        <w:rPr>
          <w:lang w:val="es-ES"/>
        </w:rPr>
        <w:t xml:space="preserve">. </w:t>
      </w:r>
      <w:r w:rsidRPr="00D51FB9">
        <w:rPr>
          <w:lang w:val="es-ES"/>
        </w:rPr>
        <w:t>Esta innovación tecnológica permitió que los procedimientos aduaneros, que históricamente requerían días de trámites opacos, se centralizaran en una plataforma informática que conectaba a la comunidad comercial con las agencias gubernamentales</w:t>
      </w:r>
      <w:r>
        <w:rPr>
          <w:lang w:val="es-ES"/>
        </w:rPr>
        <w:t xml:space="preserve"> </w:t>
      </w:r>
      <w:r w:rsidRPr="00C91E9C">
        <w:rPr>
          <w:lang w:val="es-ES"/>
        </w:rPr>
        <w:t>(WTO, 2021, p. 41)</w:t>
      </w:r>
      <w:r w:rsidRPr="00D51FB9">
        <w:rPr>
          <w:lang w:val="es-ES"/>
        </w:rPr>
        <w:t>. Como resultado, la solicitud de un permiso aduanero pasó a aprobarse de forma rutinaria en apenas 15 minutos</w:t>
      </w:r>
      <w:r>
        <w:rPr>
          <w:lang w:val="es-ES"/>
        </w:rPr>
        <w:t xml:space="preserve">, dotando al proceso de una </w:t>
      </w:r>
      <w:r w:rsidRPr="00AF315A">
        <w:rPr>
          <w:lang w:val="es-ES"/>
        </w:rPr>
        <w:t>agilidad operativa sin precedentes</w:t>
      </w:r>
      <w:r>
        <w:rPr>
          <w:lang w:val="es-ES"/>
        </w:rPr>
        <w:t xml:space="preserve"> </w:t>
      </w:r>
      <w:r w:rsidRPr="00325386">
        <w:rPr>
          <w:lang w:val="es-ES"/>
        </w:rPr>
        <w:t>(Singapore Customs, 2020, p. 2).</w:t>
      </w:r>
    </w:p>
    <w:p w14:paraId="73E8B5BC" w14:textId="77777777" w:rsidR="009F2AF7" w:rsidRPr="00095A37" w:rsidRDefault="009F2AF7" w:rsidP="009F2AF7">
      <w:pPr>
        <w:spacing w:line="360" w:lineRule="auto"/>
        <w:rPr>
          <w:lang w:val="es-ES"/>
        </w:rPr>
      </w:pPr>
      <w:r w:rsidRPr="005C1E55">
        <w:rPr>
          <w:lang w:val="es-ES"/>
        </w:rPr>
        <w:t xml:space="preserve">El objetivo legal y </w:t>
      </w:r>
      <w:r>
        <w:rPr>
          <w:lang w:val="es-ES"/>
        </w:rPr>
        <w:t>estratégico</w:t>
      </w:r>
      <w:r w:rsidRPr="005C1E55">
        <w:rPr>
          <w:lang w:val="es-ES"/>
        </w:rPr>
        <w:t xml:space="preserve"> de estas transposiciones era enviar un mensaje </w:t>
      </w:r>
      <w:r>
        <w:rPr>
          <w:lang w:val="es-ES"/>
        </w:rPr>
        <w:t>contundente</w:t>
      </w:r>
      <w:r w:rsidRPr="005C1E55">
        <w:rPr>
          <w:lang w:val="es-ES"/>
        </w:rPr>
        <w:t xml:space="preserve"> a </w:t>
      </w:r>
      <w:r w:rsidRPr="00B95483">
        <w:rPr>
          <w:lang w:val="es-ES"/>
        </w:rPr>
        <w:t xml:space="preserve">los inversores </w:t>
      </w:r>
      <w:r>
        <w:rPr>
          <w:lang w:val="es-ES"/>
        </w:rPr>
        <w:t>y</w:t>
      </w:r>
      <w:r w:rsidRPr="00B95483">
        <w:rPr>
          <w:lang w:val="es-ES"/>
        </w:rPr>
        <w:t xml:space="preserve"> mercados globales</w:t>
      </w:r>
      <w:r w:rsidRPr="005C1E55">
        <w:rPr>
          <w:lang w:val="es-ES"/>
        </w:rPr>
        <w:t>: Singapur ofrecía la máxima celeridad, previsibilidad</w:t>
      </w:r>
      <w:r>
        <w:rPr>
          <w:lang w:val="es-ES"/>
        </w:rPr>
        <w:t xml:space="preserve"> absoluta y la eliminación</w:t>
      </w:r>
      <w:r w:rsidRPr="005C1E55">
        <w:rPr>
          <w:lang w:val="es-ES"/>
        </w:rPr>
        <w:t xml:space="preserve"> de costes ocultos</w:t>
      </w:r>
      <w:r>
        <w:rPr>
          <w:lang w:val="es-ES"/>
        </w:rPr>
        <w:t>. A través de</w:t>
      </w:r>
      <w:r w:rsidRPr="00095A37">
        <w:rPr>
          <w:lang w:val="es-ES"/>
        </w:rPr>
        <w:t xml:space="preserve"> la </w:t>
      </w:r>
      <w:r w:rsidRPr="00095A37">
        <w:rPr>
          <w:i/>
          <w:iCs/>
          <w:lang w:val="es-ES"/>
        </w:rPr>
        <w:t>Free Trade Zones Act</w:t>
      </w:r>
      <w:r w:rsidRPr="00095A37">
        <w:rPr>
          <w:lang w:val="es-ES"/>
        </w:rPr>
        <w:t xml:space="preserve"> y la </w:t>
      </w:r>
      <w:r>
        <w:rPr>
          <w:lang w:val="es-ES"/>
        </w:rPr>
        <w:t>automatización</w:t>
      </w:r>
      <w:r w:rsidRPr="00095A37">
        <w:rPr>
          <w:lang w:val="es-ES"/>
        </w:rPr>
        <w:t xml:space="preserve"> de </w:t>
      </w:r>
      <w:r w:rsidRPr="00095A37">
        <w:rPr>
          <w:i/>
          <w:iCs/>
          <w:lang w:val="es-ES"/>
        </w:rPr>
        <w:t>TradeNet</w:t>
      </w:r>
      <w:r>
        <w:rPr>
          <w:lang w:val="es-ES"/>
        </w:rPr>
        <w:t xml:space="preserve">, el Estado </w:t>
      </w:r>
      <w:r w:rsidRPr="005C1E55">
        <w:rPr>
          <w:lang w:val="es-ES"/>
        </w:rPr>
        <w:t xml:space="preserve">aseguró </w:t>
      </w:r>
      <w:r>
        <w:rPr>
          <w:lang w:val="es-ES"/>
        </w:rPr>
        <w:t>a los operadores económicos la supresión</w:t>
      </w:r>
      <w:r w:rsidRPr="005C1E55">
        <w:rPr>
          <w:lang w:val="es-ES"/>
        </w:rPr>
        <w:t xml:space="preserve"> de las demoras innecesarias, </w:t>
      </w:r>
      <w:r>
        <w:rPr>
          <w:lang w:val="es-ES"/>
        </w:rPr>
        <w:t xml:space="preserve">la </w:t>
      </w:r>
      <w:r w:rsidRPr="001766F7">
        <w:rPr>
          <w:lang w:val="es-ES"/>
        </w:rPr>
        <w:t>simplificación de procesos libres de impuestos operativos</w:t>
      </w:r>
      <w:r>
        <w:rPr>
          <w:lang w:val="es-ES"/>
        </w:rPr>
        <w:t xml:space="preserve"> </w:t>
      </w:r>
      <w:r w:rsidRPr="00FC4347">
        <w:rPr>
          <w:lang w:val="es-ES"/>
        </w:rPr>
        <w:t>y la reducción de la carga burocrática</w:t>
      </w:r>
      <w:r>
        <w:rPr>
          <w:lang w:val="es-ES"/>
        </w:rPr>
        <w:t xml:space="preserve">. </w:t>
      </w:r>
      <w:r w:rsidRPr="00F64ACA">
        <w:rPr>
          <w:lang w:val="es-ES"/>
        </w:rPr>
        <w:t xml:space="preserve">Esta infraestructura fue diseñada no solo para potenciar el comercio de </w:t>
      </w:r>
      <w:r w:rsidRPr="00F64ACA">
        <w:rPr>
          <w:i/>
          <w:iCs/>
          <w:lang w:val="es-ES"/>
        </w:rPr>
        <w:t>entrepôt</w:t>
      </w:r>
      <w:r w:rsidRPr="00F64ACA">
        <w:rPr>
          <w:lang w:val="es-ES"/>
        </w:rPr>
        <w:t>, sino para servir como plataforma logística fundamental para la manufactura de alto valor añadido y las actividades de transbordo a gran escala</w:t>
      </w:r>
      <w:r w:rsidRPr="00CF7577">
        <w:rPr>
          <w:lang w:val="es-ES"/>
        </w:rPr>
        <w:t>.</w:t>
      </w:r>
    </w:p>
    <w:p w14:paraId="151C74D9" w14:textId="77777777" w:rsidR="009F2AF7" w:rsidRDefault="009F2AF7" w:rsidP="004C1D00">
      <w:pPr>
        <w:rPr>
          <w:lang w:val="es-ES"/>
        </w:rPr>
      </w:pPr>
    </w:p>
    <w:p w14:paraId="69514735" w14:textId="77777777" w:rsidR="009F2AF7" w:rsidRPr="004C1D00" w:rsidRDefault="009F2AF7" w:rsidP="004C1D00">
      <w:pPr>
        <w:rPr>
          <w:lang w:val="es-ES"/>
        </w:rPr>
      </w:pPr>
    </w:p>
    <w:p w14:paraId="06030494" w14:textId="42AE4DA4" w:rsidR="00A202B7" w:rsidRDefault="00A202B7" w:rsidP="00C62A46">
      <w:pPr>
        <w:pStyle w:val="Ttulo2"/>
        <w:spacing w:line="360" w:lineRule="auto"/>
        <w:rPr>
          <w:rFonts w:ascii="Times New Roman" w:hAnsi="Times New Roman" w:cs="Times New Roman"/>
          <w:b/>
          <w:bCs/>
          <w:color w:val="000000" w:themeColor="text1"/>
          <w:sz w:val="24"/>
          <w:szCs w:val="24"/>
          <w:lang w:val="es-ES"/>
        </w:rPr>
      </w:pPr>
      <w:bookmarkStart w:id="24" w:name="_Toc226749111"/>
      <w:r w:rsidRPr="00A96FBC">
        <w:rPr>
          <w:rFonts w:ascii="Times New Roman" w:hAnsi="Times New Roman" w:cs="Times New Roman"/>
          <w:b/>
          <w:bCs/>
          <w:color w:val="000000" w:themeColor="text1"/>
          <w:sz w:val="24"/>
          <w:szCs w:val="24"/>
          <w:lang w:val="es-ES"/>
        </w:rPr>
        <w:lastRenderedPageBreak/>
        <w:t xml:space="preserve">4.2. </w:t>
      </w:r>
      <w:r w:rsidR="00BB694C" w:rsidRPr="00BB694C">
        <w:rPr>
          <w:rFonts w:ascii="Times New Roman" w:hAnsi="Times New Roman" w:cs="Times New Roman"/>
          <w:b/>
          <w:bCs/>
          <w:color w:val="000000" w:themeColor="text1"/>
          <w:sz w:val="24"/>
          <w:szCs w:val="24"/>
          <w:lang w:val="es-ES"/>
        </w:rPr>
        <w:t>La inserción en las cadenas de valor: Normas de origen y libre comercio.</w:t>
      </w:r>
      <w:bookmarkEnd w:id="24"/>
    </w:p>
    <w:p w14:paraId="0FEBCD06" w14:textId="77777777" w:rsidR="00A27F27" w:rsidRDefault="00A27F27" w:rsidP="00A27F27">
      <w:pPr>
        <w:spacing w:line="360" w:lineRule="auto"/>
        <w:rPr>
          <w:lang w:val="es-ES"/>
        </w:rPr>
      </w:pPr>
      <w:r w:rsidRPr="00DA421A">
        <w:rPr>
          <w:lang w:val="es-ES"/>
        </w:rPr>
        <w:t xml:space="preserve">Para integrarse </w:t>
      </w:r>
      <w:r w:rsidRPr="00632134">
        <w:rPr>
          <w:lang w:val="es-ES"/>
        </w:rPr>
        <w:t>exitosamente</w:t>
      </w:r>
      <w:r>
        <w:rPr>
          <w:lang w:val="es-ES"/>
        </w:rPr>
        <w:t xml:space="preserve"> </w:t>
      </w:r>
      <w:r w:rsidRPr="00DA421A">
        <w:rPr>
          <w:lang w:val="es-ES"/>
        </w:rPr>
        <w:t xml:space="preserve">en las cadenas de valor globales, </w:t>
      </w:r>
      <w:r w:rsidRPr="007D10EA">
        <w:rPr>
          <w:lang w:val="es-ES"/>
        </w:rPr>
        <w:t>la estrategia de Singapur requería un anclaje firme en los cimientos del sistema multilateral. A nivel internacional, esto se articuló a través de los Artículos I (Trato de la Nación Más Favorecida) y II (Listas de concesiones y consolidación de aranceles) del GATT</w:t>
      </w:r>
      <w:r>
        <w:rPr>
          <w:lang w:val="es-ES"/>
        </w:rPr>
        <w:t xml:space="preserve">, </w:t>
      </w:r>
      <w:r w:rsidRPr="006939CE">
        <w:rPr>
          <w:lang w:val="es-ES"/>
        </w:rPr>
        <w:t>que garantizan la no discriminación y la previsibilidad arancelaria</w:t>
      </w:r>
      <w:r>
        <w:rPr>
          <w:lang w:val="es-ES"/>
        </w:rPr>
        <w:t xml:space="preserve">. En consonancia con lo anterior, </w:t>
      </w:r>
      <w:r w:rsidRPr="000D5E82">
        <w:rPr>
          <w:lang w:val="es-ES"/>
        </w:rPr>
        <w:t>la fluidez del comercio exigía el estricto cumplimiento del Artículo XI</w:t>
      </w:r>
      <w:r w:rsidRPr="00DA421A">
        <w:rPr>
          <w:lang w:val="es-ES"/>
        </w:rPr>
        <w:t xml:space="preserve">, </w:t>
      </w:r>
      <w:r w:rsidRPr="00B3661A">
        <w:rPr>
          <w:lang w:val="es-ES"/>
        </w:rPr>
        <w:t xml:space="preserve">que impone la eliminación general de las restricciones cuantitativas y </w:t>
      </w:r>
      <w:r>
        <w:rPr>
          <w:lang w:val="es-ES"/>
        </w:rPr>
        <w:t xml:space="preserve">de las </w:t>
      </w:r>
      <w:r w:rsidRPr="00B3661A">
        <w:rPr>
          <w:lang w:val="es-ES"/>
        </w:rPr>
        <w:t>cuotas a la importación y exportación</w:t>
      </w:r>
      <w:r>
        <w:rPr>
          <w:lang w:val="es-ES"/>
        </w:rPr>
        <w:t xml:space="preserve">. </w:t>
      </w:r>
      <w:r w:rsidRPr="00D84A8E">
        <w:rPr>
          <w:lang w:val="es-ES"/>
        </w:rPr>
        <w:t xml:space="preserve">Finalmente, la expansión regional se amparó en el Artículo XXIV, que proporciona la base legal para la creación de </w:t>
      </w:r>
      <w:r w:rsidRPr="00623F07">
        <w:rPr>
          <w:lang w:val="es-ES"/>
        </w:rPr>
        <w:t>Zonas de Libre Comercio y uniones aduaneras</w:t>
      </w:r>
      <w:r>
        <w:rPr>
          <w:lang w:val="es-ES"/>
        </w:rPr>
        <w:t>,</w:t>
      </w:r>
      <w:r w:rsidRPr="00D84A8E">
        <w:rPr>
          <w:lang w:val="es-ES"/>
        </w:rPr>
        <w:t xml:space="preserve"> permitiendo integrar economías y eliminar barreras a los intercambios</w:t>
      </w:r>
      <w:r>
        <w:rPr>
          <w:lang w:val="es-ES"/>
        </w:rPr>
        <w:t xml:space="preserve"> (GATT, 1947, art. XXIV.3).</w:t>
      </w:r>
    </w:p>
    <w:p w14:paraId="64251786" w14:textId="2B79FDF0" w:rsidR="00A27F27" w:rsidRDefault="00A27F27" w:rsidP="00A27F27">
      <w:pPr>
        <w:spacing w:line="360" w:lineRule="auto"/>
        <w:rPr>
          <w:lang w:val="es-ES"/>
        </w:rPr>
      </w:pPr>
      <w:r w:rsidRPr="00A766D2">
        <w:rPr>
          <w:lang w:val="es-ES"/>
        </w:rPr>
        <w:t xml:space="preserve">En el plano de las políticas arancelarias (Arts. I y II), Singapur adoptó una estrategia de </w:t>
      </w:r>
      <w:r w:rsidRPr="00476D74">
        <w:rPr>
          <w:lang w:val="es-ES"/>
        </w:rPr>
        <w:t xml:space="preserve">liberalización unilateral; </w:t>
      </w:r>
      <w:r w:rsidRPr="0067624B">
        <w:rPr>
          <w:lang w:val="es-ES"/>
        </w:rPr>
        <w:t>es decir, la eliminación de barreras comerciales por iniciativa propia y sin exigir reciprocidad inmediata</w:t>
      </w:r>
      <w:r w:rsidRPr="00A766D2">
        <w:rPr>
          <w:lang w:val="es-ES"/>
        </w:rPr>
        <w:t xml:space="preserve">. Lejos de utilizar los aranceles como </w:t>
      </w:r>
      <w:r w:rsidRPr="00103329">
        <w:rPr>
          <w:lang w:val="es-ES"/>
        </w:rPr>
        <w:t>medida de protección</w:t>
      </w:r>
      <w:r>
        <w:rPr>
          <w:lang w:val="es-ES"/>
        </w:rPr>
        <w:t xml:space="preserve"> </w:t>
      </w:r>
      <w:r w:rsidRPr="00B36A69">
        <w:rPr>
          <w:lang w:val="es-ES"/>
        </w:rPr>
        <w:t>para blindar a la industria local</w:t>
      </w:r>
      <w:r>
        <w:rPr>
          <w:lang w:val="es-ES"/>
        </w:rPr>
        <w:t xml:space="preserve"> </w:t>
      </w:r>
      <w:r w:rsidRPr="00103329">
        <w:rPr>
          <w:lang w:val="es-ES"/>
        </w:rPr>
        <w:t>ante la competencia extranjera</w:t>
      </w:r>
      <w:r>
        <w:rPr>
          <w:lang w:val="es-ES"/>
        </w:rPr>
        <w:t xml:space="preserve">, </w:t>
      </w:r>
      <w:r w:rsidRPr="00A766D2">
        <w:rPr>
          <w:lang w:val="es-ES"/>
        </w:rPr>
        <w:t>el Estado institucionalizó su legado histórico de "puerto franco" convirtiéndolo en un compromiso jurídico internacional inquebrantable</w:t>
      </w:r>
      <w:r>
        <w:rPr>
          <w:lang w:val="es-ES"/>
        </w:rPr>
        <w:t>.</w:t>
      </w:r>
      <w:r w:rsidRPr="00D1513F">
        <w:rPr>
          <w:lang w:val="es-ES"/>
        </w:rPr>
        <w:t xml:space="preserve"> </w:t>
      </w:r>
      <w:r w:rsidRPr="00E77E01">
        <w:rPr>
          <w:lang w:val="es-ES"/>
        </w:rPr>
        <w:t xml:space="preserve">Durante negociaciones multilaterales como la Ronda de Tokio, la postura de la ciudad-Estado fue </w:t>
      </w:r>
      <w:r w:rsidRPr="00B36A69">
        <w:rPr>
          <w:lang w:val="es-ES"/>
        </w:rPr>
        <w:t>excepcional</w:t>
      </w:r>
      <w:r w:rsidRPr="00E77E01">
        <w:rPr>
          <w:lang w:val="es-ES"/>
        </w:rPr>
        <w:t xml:space="preserve"> </w:t>
      </w:r>
      <w:r w:rsidRPr="00B36A69">
        <w:rPr>
          <w:lang w:val="es-ES"/>
        </w:rPr>
        <w:t>e inédita entre las economías emergentes de la época</w:t>
      </w:r>
      <w:r w:rsidRPr="00D1513F">
        <w:rPr>
          <w:lang w:val="es-ES"/>
        </w:rPr>
        <w:t>: "</w:t>
      </w:r>
      <w:r w:rsidRPr="002F3156">
        <w:rPr>
          <w:lang w:val="es-ES"/>
        </w:rPr>
        <w:t>Dado que Singapur es, principalmente, un país libre de aranceles, su contribución ha consistido en consolidar el tratamiento arancelario cero de las mercancías</w:t>
      </w:r>
      <w:r w:rsidRPr="00D1513F">
        <w:rPr>
          <w:lang w:val="es-ES"/>
        </w:rPr>
        <w:t>"</w:t>
      </w:r>
      <w:r>
        <w:rPr>
          <w:rStyle w:val="Refdenotaalpie"/>
          <w:lang w:val="es-ES"/>
        </w:rPr>
        <w:footnoteReference w:id="4"/>
      </w:r>
      <w:r>
        <w:rPr>
          <w:lang w:val="es-ES"/>
        </w:rPr>
        <w:t xml:space="preserve"> (</w:t>
      </w:r>
      <w:r w:rsidR="006A4DA1" w:rsidRPr="006A4DA1">
        <w:rPr>
          <w:lang w:val="es-ES"/>
        </w:rPr>
        <w:t>ASEAN Economic Ministers, 1982, como se citó en Mal, 1995, pp. 208</w:t>
      </w:r>
      <w:r w:rsidR="006A4DA1">
        <w:rPr>
          <w:lang w:val="es-ES"/>
        </w:rPr>
        <w:t>-</w:t>
      </w:r>
      <w:r w:rsidR="006A4DA1" w:rsidRPr="006A4DA1">
        <w:rPr>
          <w:lang w:val="es-ES"/>
        </w:rPr>
        <w:t>209</w:t>
      </w:r>
      <w:r>
        <w:rPr>
          <w:lang w:val="es-ES"/>
        </w:rPr>
        <w:t>)</w:t>
      </w:r>
      <w:r w:rsidRPr="00D1513F">
        <w:rPr>
          <w:lang w:val="es-ES"/>
        </w:rPr>
        <w:t xml:space="preserve">. Es decir, Singapur utilizó </w:t>
      </w:r>
      <w:r w:rsidRPr="003E75EA">
        <w:rPr>
          <w:lang w:val="es-ES"/>
        </w:rPr>
        <w:t>mecanismo de listas de concesiones</w:t>
      </w:r>
      <w:r>
        <w:rPr>
          <w:lang w:val="es-ES"/>
        </w:rPr>
        <w:t xml:space="preserve"> </w:t>
      </w:r>
      <w:r w:rsidRPr="004B1EAC">
        <w:rPr>
          <w:lang w:val="es-ES"/>
        </w:rPr>
        <w:t xml:space="preserve">del Artículo II y la cláusula NMF del Artículo I para </w:t>
      </w:r>
      <w:r>
        <w:rPr>
          <w:lang w:val="es-ES"/>
        </w:rPr>
        <w:t xml:space="preserve">demostrar compromiso y certeza </w:t>
      </w:r>
      <w:r w:rsidRPr="003E75EA">
        <w:rPr>
          <w:lang w:val="es-ES"/>
        </w:rPr>
        <w:t>jurídica</w:t>
      </w:r>
      <w:r>
        <w:rPr>
          <w:lang w:val="es-ES"/>
        </w:rPr>
        <w:t xml:space="preserve"> </w:t>
      </w:r>
      <w:r w:rsidRPr="004B1EAC">
        <w:rPr>
          <w:lang w:val="es-ES"/>
        </w:rPr>
        <w:t xml:space="preserve">a las multinacionales, asegurándoles que el Estado no impondría cargas </w:t>
      </w:r>
      <w:r>
        <w:rPr>
          <w:lang w:val="es-ES"/>
        </w:rPr>
        <w:t xml:space="preserve">arancelarias </w:t>
      </w:r>
      <w:r w:rsidRPr="004B1EAC">
        <w:rPr>
          <w:lang w:val="es-ES"/>
        </w:rPr>
        <w:t>sorpresivas a sus importaciones</w:t>
      </w:r>
    </w:p>
    <w:p w14:paraId="7E04604B" w14:textId="300A6210" w:rsidR="00A27F27" w:rsidRDefault="00A27F27" w:rsidP="00A27F27">
      <w:pPr>
        <w:spacing w:line="360" w:lineRule="auto"/>
        <w:rPr>
          <w:lang w:val="es-ES"/>
        </w:rPr>
      </w:pPr>
      <w:r w:rsidRPr="00897208">
        <w:rPr>
          <w:lang w:val="es-ES"/>
        </w:rPr>
        <w:t xml:space="preserve">En lo que respecta a la eliminación de trabas físicas al comercio (Art. XI), el Estado utilizó normativas nacionales como la </w:t>
      </w:r>
      <w:r w:rsidRPr="00897208">
        <w:rPr>
          <w:i/>
          <w:iCs/>
          <w:lang w:val="es-ES"/>
        </w:rPr>
        <w:t>Control of Imports and Exports Act</w:t>
      </w:r>
      <w:r w:rsidRPr="00897208">
        <w:rPr>
          <w:lang w:val="es-ES"/>
        </w:rPr>
        <w:t xml:space="preserve"> </w:t>
      </w:r>
      <w:r w:rsidRPr="00FC63FA">
        <w:rPr>
          <w:lang w:val="es-ES"/>
        </w:rPr>
        <w:t xml:space="preserve">(y su posterior actualización en 1995 con la </w:t>
      </w:r>
      <w:r w:rsidRPr="00FC63FA">
        <w:rPr>
          <w:i/>
          <w:iCs/>
          <w:lang w:val="es-ES"/>
        </w:rPr>
        <w:t>Regulation of Imports and Exports Act</w:t>
      </w:r>
      <w:r w:rsidRPr="00FC63FA">
        <w:rPr>
          <w:lang w:val="es-ES"/>
        </w:rPr>
        <w:t>)</w:t>
      </w:r>
      <w:r w:rsidRPr="00897208">
        <w:rPr>
          <w:lang w:val="es-ES"/>
        </w:rPr>
        <w:t xml:space="preserve"> para centralizar la gobernanza comercial</w:t>
      </w:r>
      <w:r>
        <w:rPr>
          <w:lang w:val="es-ES"/>
        </w:rPr>
        <w:t xml:space="preserve">. </w:t>
      </w:r>
      <w:r w:rsidRPr="00AD5B15">
        <w:rPr>
          <w:lang w:val="es-ES"/>
        </w:rPr>
        <w:t xml:space="preserve">Esta ley otorgó al Ministerio la potestad exclusiva para el </w:t>
      </w:r>
      <w:r>
        <w:rPr>
          <w:lang w:val="es-ES"/>
        </w:rPr>
        <w:t>“</w:t>
      </w:r>
      <w:r w:rsidRPr="003455D6">
        <w:rPr>
          <w:lang w:val="es-ES"/>
        </w:rPr>
        <w:t>registro, regulación y control de todos o cualquier clase de bienes importados, exportados, transbordados o en tránsito por Singapur</w:t>
      </w:r>
      <w:r>
        <w:rPr>
          <w:lang w:val="es-ES"/>
        </w:rPr>
        <w:t>”</w:t>
      </w:r>
      <w:r w:rsidRPr="003455D6">
        <w:rPr>
          <w:lang w:val="es-ES"/>
        </w:rPr>
        <w:t xml:space="preserve"> (</w:t>
      </w:r>
      <w:r w:rsidRPr="003455D6">
        <w:rPr>
          <w:i/>
          <w:iCs/>
          <w:lang w:val="es-ES"/>
        </w:rPr>
        <w:t xml:space="preserve">Regulation of Imports and Exports </w:t>
      </w:r>
      <w:r w:rsidRPr="003455D6">
        <w:rPr>
          <w:i/>
          <w:iCs/>
          <w:lang w:val="es-ES"/>
        </w:rPr>
        <w:lastRenderedPageBreak/>
        <w:t>Act</w:t>
      </w:r>
      <w:r w:rsidRPr="003455D6">
        <w:rPr>
          <w:lang w:val="es-ES"/>
        </w:rPr>
        <w:t xml:space="preserve">, 1995, Parte 2, </w:t>
      </w:r>
      <w:r w:rsidR="004C07C3">
        <w:rPr>
          <w:lang w:val="es-ES"/>
        </w:rPr>
        <w:t xml:space="preserve">sección </w:t>
      </w:r>
      <w:r w:rsidRPr="003455D6">
        <w:rPr>
          <w:lang w:val="es-ES"/>
        </w:rPr>
        <w:t>3.1.)</w:t>
      </w:r>
      <w:r>
        <w:rPr>
          <w:lang w:val="es-ES"/>
        </w:rPr>
        <w:t xml:space="preserve">. </w:t>
      </w:r>
      <w:r w:rsidRPr="00891490">
        <w:rPr>
          <w:lang w:val="es-ES"/>
        </w:rPr>
        <w:t xml:space="preserve">La centralización de este poder sirvió precisamente para garantizar que el flujo de mercancías solo pudiera ser restringido por estrictos motivos de salud pública, seguridad nacional o cumplimiento de resoluciones del Consejo de Seguridad de la ONU, erradicando por completo el uso de cuotas proteccionistas y </w:t>
      </w:r>
      <w:r w:rsidRPr="002A1E9C">
        <w:rPr>
          <w:lang w:val="es-ES"/>
        </w:rPr>
        <w:t xml:space="preserve">dando un cumplimiento </w:t>
      </w:r>
      <w:r>
        <w:rPr>
          <w:lang w:val="es-ES"/>
        </w:rPr>
        <w:t xml:space="preserve">riguroso </w:t>
      </w:r>
      <w:r w:rsidRPr="00891490">
        <w:rPr>
          <w:lang w:val="es-ES"/>
        </w:rPr>
        <w:t>al Artículo XI del GATT</w:t>
      </w:r>
      <w:r>
        <w:rPr>
          <w:lang w:val="es-ES"/>
        </w:rPr>
        <w:t>.</w:t>
      </w:r>
    </w:p>
    <w:p w14:paraId="08EF1DAD" w14:textId="77777777" w:rsidR="00A27F27" w:rsidRDefault="00A27F27" w:rsidP="00A27F27">
      <w:pPr>
        <w:spacing w:line="360" w:lineRule="auto"/>
        <w:rPr>
          <w:lang w:val="es-ES"/>
        </w:rPr>
      </w:pPr>
      <w:r w:rsidRPr="00A7199D">
        <w:rPr>
          <w:lang w:val="es-ES"/>
        </w:rPr>
        <w:t>A nivel regional, Singapur proyectó esta arquitectura jurídica para liderar, junto con sus países vecinos</w:t>
      </w:r>
      <w:r>
        <w:rPr>
          <w:lang w:val="es-ES"/>
        </w:rPr>
        <w:t xml:space="preserve"> y </w:t>
      </w:r>
      <w:r w:rsidRPr="00780FFA">
        <w:rPr>
          <w:lang w:val="es-ES"/>
        </w:rPr>
        <w:t>a través de la ASEAN</w:t>
      </w:r>
      <w:r w:rsidRPr="00A7199D">
        <w:rPr>
          <w:lang w:val="es-ES"/>
        </w:rPr>
        <w:t>, la integración económica del Sudeste Asiático</w:t>
      </w:r>
      <w:r>
        <w:rPr>
          <w:lang w:val="es-ES"/>
        </w:rPr>
        <w:t xml:space="preserve"> </w:t>
      </w:r>
      <w:r w:rsidRPr="00A7199D">
        <w:rPr>
          <w:lang w:val="es-ES"/>
        </w:rPr>
        <w:t>bajo el paraguas del Artículo XXIV</w:t>
      </w:r>
      <w:r>
        <w:rPr>
          <w:lang w:val="es-ES"/>
        </w:rPr>
        <w:t xml:space="preserve">, capitalizando dicha unión en </w:t>
      </w:r>
      <w:r w:rsidRPr="001B6BA6">
        <w:rPr>
          <w:lang w:val="es-ES"/>
        </w:rPr>
        <w:t xml:space="preserve">1977 </w:t>
      </w:r>
      <w:r>
        <w:rPr>
          <w:lang w:val="es-ES"/>
        </w:rPr>
        <w:t xml:space="preserve">cuando </w:t>
      </w:r>
      <w:r w:rsidRPr="001B6BA6">
        <w:rPr>
          <w:lang w:val="es-ES"/>
        </w:rPr>
        <w:t xml:space="preserve">se adoptó el </w:t>
      </w:r>
      <w:r w:rsidRPr="001B6BA6">
        <w:rPr>
          <w:i/>
          <w:iCs/>
          <w:lang w:val="es-ES"/>
        </w:rPr>
        <w:t>ASEAN Preferential Trading Arrangements</w:t>
      </w:r>
      <w:r>
        <w:rPr>
          <w:lang w:val="es-ES"/>
        </w:rPr>
        <w:t xml:space="preserve">. </w:t>
      </w:r>
      <w:r w:rsidRPr="00F37917">
        <w:rPr>
          <w:lang w:val="es-ES"/>
        </w:rPr>
        <w:t>Si bien Singapur siempre mantuvo una estrategia orientada a la exportación (</w:t>
      </w:r>
      <w:r w:rsidRPr="00F37917">
        <w:rPr>
          <w:i/>
          <w:iCs/>
          <w:lang w:val="es-ES"/>
        </w:rPr>
        <w:t>export-led growth</w:t>
      </w:r>
      <w:r w:rsidRPr="00F37917">
        <w:rPr>
          <w:lang w:val="es-ES"/>
        </w:rPr>
        <w:t>), las severas recesiones de la década de 1980 obligaron al resto de las naciones de la ASEAN a abandonar sus</w:t>
      </w:r>
      <w:r>
        <w:rPr>
          <w:lang w:val="es-ES"/>
        </w:rPr>
        <w:t xml:space="preserve"> </w:t>
      </w:r>
      <w:r w:rsidRPr="00480729">
        <w:rPr>
          <w:lang w:val="es-ES"/>
        </w:rPr>
        <w:t>ineficientes modelos proteccionistas de sustitución de importaciones</w:t>
      </w:r>
      <w:r>
        <w:rPr>
          <w:lang w:val="es-ES"/>
        </w:rPr>
        <w:t xml:space="preserve">, </w:t>
      </w:r>
      <w:commentRangeStart w:id="25"/>
      <w:r w:rsidRPr="00480729">
        <w:rPr>
          <w:lang w:val="es-ES"/>
        </w:rPr>
        <w:t>los cuales habían evidenciado un claro agotamiento estructural</w:t>
      </w:r>
      <w:commentRangeEnd w:id="25"/>
      <w:r>
        <w:rPr>
          <w:rStyle w:val="Refdecomentario"/>
          <w:sz w:val="24"/>
          <w:szCs w:val="24"/>
          <w:lang w:val="es-ES"/>
        </w:rPr>
        <w:commentReference w:id="25"/>
      </w:r>
      <w:r>
        <w:rPr>
          <w:lang w:val="es-ES"/>
        </w:rPr>
        <w:t xml:space="preserve">. </w:t>
      </w:r>
      <w:r w:rsidRPr="00F37917">
        <w:rPr>
          <w:lang w:val="es-ES"/>
        </w:rPr>
        <w:t xml:space="preserve">Esta convergencia ideológica culminó en 1992, cuando Singapur, junto a Malasia, Indonesia, Tailandia, Filipinas y Brunéi, </w:t>
      </w:r>
      <w:r>
        <w:rPr>
          <w:lang w:val="es-ES"/>
        </w:rPr>
        <w:t xml:space="preserve">con el fin de crear </w:t>
      </w:r>
      <w:r w:rsidRPr="00B26319">
        <w:rPr>
          <w:lang w:val="es-ES"/>
        </w:rPr>
        <w:t>un régimen arancelario preferencial común y efectivo</w:t>
      </w:r>
      <w:r>
        <w:rPr>
          <w:lang w:val="es-ES"/>
        </w:rPr>
        <w:t>,</w:t>
      </w:r>
      <w:r w:rsidRPr="00B26319">
        <w:rPr>
          <w:lang w:val="es-ES"/>
        </w:rPr>
        <w:t xml:space="preserve"> </w:t>
      </w:r>
      <w:r w:rsidRPr="00F37917">
        <w:rPr>
          <w:lang w:val="es-ES"/>
        </w:rPr>
        <w:t>firmaron el acuerdo para crear la Zona de Libre Comercio de la ASEAN (CEPT-AFTA)</w:t>
      </w:r>
      <w:r>
        <w:rPr>
          <w:lang w:val="es-ES"/>
        </w:rPr>
        <w:t>.</w:t>
      </w:r>
      <w:r w:rsidRPr="00F37917">
        <w:rPr>
          <w:lang w:val="es-ES"/>
        </w:rPr>
        <w:t xml:space="preserve"> </w:t>
      </w:r>
      <w:r w:rsidRPr="00B07430">
        <w:rPr>
          <w:lang w:val="es-ES"/>
        </w:rPr>
        <w:t xml:space="preserve">Los Estados se comprometieron a reducir aranceles, eliminar barreras no arancelarias y suprimir restricciones cuantitativas en un plazo de 15 años </w:t>
      </w:r>
      <w:r w:rsidRPr="00F37917">
        <w:rPr>
          <w:lang w:val="es-ES"/>
        </w:rPr>
        <w:t>(Nugroho, X, pp. 124-126)</w:t>
      </w:r>
      <w:r>
        <w:rPr>
          <w:lang w:val="es-ES"/>
        </w:rPr>
        <w:t xml:space="preserve">, </w:t>
      </w:r>
      <w:r w:rsidRPr="00CB716B">
        <w:rPr>
          <w:lang w:val="es-ES"/>
        </w:rPr>
        <w:t>con el fin de acelerar la liberalización</w:t>
      </w:r>
      <w:r>
        <w:rPr>
          <w:lang w:val="es-ES"/>
        </w:rPr>
        <w:t xml:space="preserve"> comercial</w:t>
      </w:r>
      <w:r w:rsidRPr="00CB716B">
        <w:rPr>
          <w:lang w:val="es-ES"/>
        </w:rPr>
        <w:t xml:space="preserve"> interregional, ampliar las oportunidades de inversión</w:t>
      </w:r>
      <w:r>
        <w:rPr>
          <w:lang w:val="es-ES"/>
        </w:rPr>
        <w:t xml:space="preserve"> y producción</w:t>
      </w:r>
      <w:r w:rsidRPr="00CB716B">
        <w:rPr>
          <w:lang w:val="es-ES"/>
        </w:rPr>
        <w:t xml:space="preserve"> e impulsar el desarrollo económico.</w:t>
      </w:r>
    </w:p>
    <w:p w14:paraId="58523636" w14:textId="77777777" w:rsidR="00A27F27" w:rsidRDefault="00A27F27" w:rsidP="00A27F27">
      <w:pPr>
        <w:spacing w:line="360" w:lineRule="auto"/>
        <w:rPr>
          <w:lang w:val="es-ES"/>
        </w:rPr>
      </w:pPr>
      <w:r w:rsidRPr="00103376">
        <w:rPr>
          <w:lang w:val="es-ES"/>
        </w:rPr>
        <w:t xml:space="preserve">Para que este ecosistema regional funcionara, </w:t>
      </w:r>
      <w:r>
        <w:rPr>
          <w:lang w:val="es-ES"/>
        </w:rPr>
        <w:t xml:space="preserve">el marco legal </w:t>
      </w:r>
      <w:r w:rsidRPr="00103376">
        <w:rPr>
          <w:lang w:val="es-ES"/>
        </w:rPr>
        <w:t xml:space="preserve">de las </w:t>
      </w:r>
      <w:r w:rsidRPr="00CB716B">
        <w:rPr>
          <w:lang w:val="es-ES"/>
        </w:rPr>
        <w:t>Normas de Origen</w:t>
      </w:r>
      <w:r w:rsidRPr="00103376">
        <w:rPr>
          <w:lang w:val="es-ES"/>
        </w:rPr>
        <w:t xml:space="preserve"> se volvió el mecanismo jurídico central. Al carecer de recursos naturales, el modelo singapurense dependía de importar componentes libres de aranceles (</w:t>
      </w:r>
      <w:r>
        <w:rPr>
          <w:lang w:val="es-ES"/>
        </w:rPr>
        <w:t>como, por ejemplo,</w:t>
      </w:r>
      <w:r w:rsidRPr="00103376">
        <w:rPr>
          <w:lang w:val="es-ES"/>
        </w:rPr>
        <w:t xml:space="preserve"> microprocesadores de Japón o Taiwán), ensamblarlos en la isla y exportar el producto final con un inmenso valor añadido. Para capitalizar las ventajas del bloque AFTA y </w:t>
      </w:r>
      <w:r>
        <w:rPr>
          <w:lang w:val="es-ES"/>
        </w:rPr>
        <w:t xml:space="preserve">posibilitar la </w:t>
      </w:r>
      <w:r w:rsidRPr="00887ED3">
        <w:rPr>
          <w:lang w:val="es-ES"/>
        </w:rPr>
        <w:t>exportación</w:t>
      </w:r>
      <w:r>
        <w:rPr>
          <w:lang w:val="es-ES"/>
        </w:rPr>
        <w:t xml:space="preserve"> preferencial hacia</w:t>
      </w:r>
      <w:r w:rsidRPr="00103376">
        <w:rPr>
          <w:lang w:val="es-ES"/>
        </w:rPr>
        <w:t xml:space="preserve"> los mercados occidentales, Singapur reguló estrictamente </w:t>
      </w:r>
      <w:r w:rsidRPr="000B5BF2">
        <w:rPr>
          <w:lang w:val="es-ES"/>
        </w:rPr>
        <w:t>la acreditación documental mediante los Certificados de Origen, permitiendo legalmente qu</w:t>
      </w:r>
      <w:r>
        <w:rPr>
          <w:lang w:val="es-ES"/>
        </w:rPr>
        <w:t>e</w:t>
      </w:r>
      <w:r w:rsidRPr="00103376">
        <w:rPr>
          <w:lang w:val="es-ES"/>
        </w:rPr>
        <w:t>:</w:t>
      </w:r>
    </w:p>
    <w:p w14:paraId="64F69094" w14:textId="5E1ABEB5" w:rsidR="00A27F27" w:rsidRPr="00A27F27" w:rsidRDefault="00A27F27" w:rsidP="00A27F27">
      <w:pPr>
        <w:spacing w:line="360" w:lineRule="auto"/>
        <w:ind w:left="708"/>
        <w:rPr>
          <w:lang w:val="en-US"/>
        </w:rPr>
      </w:pPr>
      <w:r>
        <w:rPr>
          <w:lang w:val="es-ES"/>
        </w:rPr>
        <w:t>“</w:t>
      </w:r>
      <w:r w:rsidRPr="00862852">
        <w:rPr>
          <w:lang w:val="es-ES"/>
        </w:rPr>
        <w:t xml:space="preserve">Cuando exista un acuerdo o arreglo arancelario preferencial entre Singapur y un país de importación, ninguna disposición de la presente parte impedirá que cualquier fabricante o exportador emita, por cuenta propia, con respecto a cualquier mercancía destinada a la exportación o reexportación desde Singapur, </w:t>
      </w:r>
      <w:r w:rsidRPr="00862852">
        <w:rPr>
          <w:lang w:val="es-ES"/>
        </w:rPr>
        <w:lastRenderedPageBreak/>
        <w:t xml:space="preserve">un </w:t>
      </w:r>
      <w:r w:rsidRPr="00766424">
        <w:rPr>
          <w:lang w:val="es-ES"/>
        </w:rPr>
        <w:t>certificado de origen preferencial”</w:t>
      </w:r>
      <w:r w:rsidRPr="00766424">
        <w:rPr>
          <w:rStyle w:val="Refdenotaalpie"/>
          <w:lang w:val="es-ES"/>
        </w:rPr>
        <w:footnoteReference w:id="5"/>
      </w:r>
      <w:r w:rsidRPr="00766424">
        <w:rPr>
          <w:lang w:val="es-ES"/>
        </w:rPr>
        <w:t xml:space="preserve"> (</w:t>
      </w:r>
      <w:r w:rsidR="00D47963">
        <w:rPr>
          <w:lang w:val="es-ES"/>
        </w:rPr>
        <w:t>Sección</w:t>
      </w:r>
      <w:r w:rsidRPr="00766424">
        <w:rPr>
          <w:lang w:val="es-ES"/>
        </w:rPr>
        <w:t xml:space="preserve"> 24B. </w:t>
      </w:r>
      <w:r w:rsidRPr="00766424">
        <w:rPr>
          <w:lang w:val="en-US"/>
        </w:rPr>
        <w:t>(1) de la Regulation of Imports and Exports Regulations, 1999)</w:t>
      </w:r>
    </w:p>
    <w:p w14:paraId="62156B3C" w14:textId="77777777" w:rsidR="00A27F27" w:rsidRDefault="00A27F27" w:rsidP="00BC74B5">
      <w:pPr>
        <w:spacing w:line="360" w:lineRule="auto"/>
        <w:rPr>
          <w:lang w:val="es-ES"/>
        </w:rPr>
      </w:pPr>
      <w:r w:rsidRPr="00CC7E0E">
        <w:rPr>
          <w:lang w:val="es-ES"/>
        </w:rPr>
        <w:t>En la práctica, esta regulación eliminaba cuellos de botella burocráticos al permitir cierta autonomía a los exportadores para preparar y declarar sus propios documentos logísticos de origen. Sin embargo, para evitar el fraude y dotar a estos certificados de validez internacional garantizada, el Estado debía actuar como "tercero coercitivo" imparcial. Por ello, la legislación blindó la autoridad final</w:t>
      </w:r>
      <w:r w:rsidRPr="004A1485">
        <w:rPr>
          <w:lang w:val="es-ES"/>
        </w:rPr>
        <w:t>: "sólo las Aduanas de Singapur tienen la autoridad para emitir certificados de origen preferenciales" (WTO, 2021, p. 44).</w:t>
      </w:r>
      <w:r>
        <w:rPr>
          <w:lang w:val="es-ES"/>
        </w:rPr>
        <w:t xml:space="preserve"> </w:t>
      </w:r>
      <w:r w:rsidRPr="00B93BAB">
        <w:rPr>
          <w:lang w:val="es-ES"/>
        </w:rPr>
        <w:t xml:space="preserve">De esta manera, el exportador agiliza el trámite, pero es </w:t>
      </w:r>
      <w:r>
        <w:rPr>
          <w:lang w:val="es-ES"/>
        </w:rPr>
        <w:t>el aval del Estado el</w:t>
      </w:r>
      <w:r w:rsidRPr="00B93BAB">
        <w:rPr>
          <w:lang w:val="es-ES"/>
        </w:rPr>
        <w:t xml:space="preserve"> que aporta la seguridad jurídica final.</w:t>
      </w:r>
    </w:p>
    <w:p w14:paraId="5D3D3374" w14:textId="6ABFC518" w:rsidR="00A27F27" w:rsidRDefault="00A27F27" w:rsidP="00BC74B5">
      <w:pPr>
        <w:spacing w:line="360" w:lineRule="auto"/>
        <w:rPr>
          <w:lang w:val="es-ES"/>
        </w:rPr>
      </w:pPr>
      <w:r w:rsidRPr="00844973">
        <w:rPr>
          <w:lang w:val="es-ES"/>
        </w:rPr>
        <w:t>Al anclar sus leyes al GATT, Singapur garantizó a las empresas manufactureras extranjeras que podían importar componentes sin aranceles ni cuotas (Art. XI</w:t>
      </w:r>
      <w:r>
        <w:rPr>
          <w:lang w:val="es-ES"/>
        </w:rPr>
        <w:t xml:space="preserve"> del GATT</w:t>
      </w:r>
      <w:r w:rsidRPr="00844973">
        <w:rPr>
          <w:lang w:val="es-ES"/>
        </w:rPr>
        <w:t>), ensamblarlos en la isla y exportarlos con certificados de origen preferenciales hacia los mercados occidentales y regionales. Esta infraestructura normativa permitió consolidar a Singapur como uno de los nodos de en</w:t>
      </w:r>
      <w:commentRangeStart w:id="26"/>
      <w:r w:rsidRPr="00844973">
        <w:rPr>
          <w:lang w:val="es-ES"/>
        </w:rPr>
        <w:t>samblaje y reexportación más seguros y predecibles para las cadenas de valor globales</w:t>
      </w:r>
      <w:commentRangeEnd w:id="26"/>
      <w:r w:rsidRPr="00844973">
        <w:rPr>
          <w:rStyle w:val="Refdecomentario"/>
          <w:sz w:val="24"/>
          <w:szCs w:val="24"/>
          <w:lang w:val="es-ES"/>
        </w:rPr>
        <w:commentReference w:id="26"/>
      </w:r>
      <w:r w:rsidRPr="00844973">
        <w:rPr>
          <w:lang w:val="es-ES"/>
        </w:rPr>
        <w:t xml:space="preserve">. La justificación fundamental de estas transposiciones legales se basó en "expandir las oportunidades económicas internacionales para las empresas basadas en Singapur", buscar un entorno comercial predecible, apoyar un sistema multilateral basado en normas y minimizar los impedimentos al flujo de </w:t>
      </w:r>
      <w:r>
        <w:rPr>
          <w:lang w:val="es-ES"/>
        </w:rPr>
        <w:t>mercancías,</w:t>
      </w:r>
      <w:r w:rsidRPr="00844973">
        <w:rPr>
          <w:lang w:val="es-ES"/>
        </w:rPr>
        <w:t xml:space="preserve"> mejorando así el ecosistema nacional de negocio (WTO, 2021, p. 29)</w:t>
      </w:r>
    </w:p>
    <w:p w14:paraId="62A1398D" w14:textId="77777777" w:rsidR="003650B8" w:rsidRDefault="003650B8" w:rsidP="00A27F27">
      <w:pPr>
        <w:rPr>
          <w:lang w:val="es-ES"/>
        </w:rPr>
      </w:pPr>
    </w:p>
    <w:p w14:paraId="0256B057" w14:textId="77777777" w:rsidR="003650B8" w:rsidRDefault="003650B8" w:rsidP="00A27F27">
      <w:pPr>
        <w:rPr>
          <w:lang w:val="es-ES"/>
        </w:rPr>
      </w:pPr>
    </w:p>
    <w:p w14:paraId="7B0501F0" w14:textId="77777777" w:rsidR="003650B8" w:rsidRDefault="003650B8" w:rsidP="00A27F27">
      <w:pPr>
        <w:rPr>
          <w:lang w:val="es-ES"/>
        </w:rPr>
      </w:pPr>
    </w:p>
    <w:p w14:paraId="41249BE9" w14:textId="77777777" w:rsidR="003650B8" w:rsidRDefault="003650B8" w:rsidP="00A27F27">
      <w:pPr>
        <w:rPr>
          <w:lang w:val="es-ES"/>
        </w:rPr>
      </w:pPr>
    </w:p>
    <w:p w14:paraId="25000D99" w14:textId="77777777" w:rsidR="003650B8" w:rsidRDefault="003650B8" w:rsidP="00A27F27">
      <w:pPr>
        <w:rPr>
          <w:lang w:val="es-ES"/>
        </w:rPr>
      </w:pPr>
    </w:p>
    <w:p w14:paraId="0512E912" w14:textId="77777777" w:rsidR="003650B8" w:rsidRDefault="003650B8" w:rsidP="00A27F27">
      <w:pPr>
        <w:rPr>
          <w:lang w:val="es-ES"/>
        </w:rPr>
      </w:pPr>
    </w:p>
    <w:p w14:paraId="378CBC61" w14:textId="77777777" w:rsidR="003650B8" w:rsidRDefault="003650B8" w:rsidP="00A27F27">
      <w:pPr>
        <w:rPr>
          <w:lang w:val="es-ES"/>
        </w:rPr>
      </w:pPr>
    </w:p>
    <w:p w14:paraId="79963C32" w14:textId="77777777" w:rsidR="003650B8" w:rsidRDefault="003650B8" w:rsidP="00A27F27">
      <w:pPr>
        <w:rPr>
          <w:lang w:val="es-ES"/>
        </w:rPr>
      </w:pPr>
    </w:p>
    <w:p w14:paraId="176B02FA" w14:textId="77777777" w:rsidR="003650B8" w:rsidRDefault="003650B8" w:rsidP="00A27F27">
      <w:pPr>
        <w:rPr>
          <w:lang w:val="es-ES"/>
        </w:rPr>
      </w:pPr>
    </w:p>
    <w:p w14:paraId="1FC0F769" w14:textId="77777777" w:rsidR="003650B8" w:rsidRPr="00A27F27" w:rsidRDefault="003650B8" w:rsidP="00A27F27">
      <w:pPr>
        <w:rPr>
          <w:lang w:val="es-ES"/>
        </w:rPr>
      </w:pPr>
    </w:p>
    <w:p w14:paraId="7E3626BC" w14:textId="4400433E" w:rsidR="00A96FBC" w:rsidRDefault="00A96FBC" w:rsidP="00A96FBC">
      <w:pPr>
        <w:pStyle w:val="Ttulo2"/>
        <w:rPr>
          <w:rFonts w:ascii="Times New Roman" w:hAnsi="Times New Roman" w:cs="Times New Roman"/>
          <w:b/>
          <w:bCs/>
          <w:color w:val="auto"/>
          <w:sz w:val="24"/>
          <w:szCs w:val="24"/>
          <w:lang w:val="es-ES"/>
        </w:rPr>
      </w:pPr>
      <w:bookmarkStart w:id="27" w:name="_Toc226749112"/>
      <w:r w:rsidRPr="00A96FBC">
        <w:rPr>
          <w:rFonts w:ascii="Times New Roman" w:hAnsi="Times New Roman" w:cs="Times New Roman"/>
          <w:b/>
          <w:bCs/>
          <w:color w:val="auto"/>
          <w:sz w:val="24"/>
          <w:szCs w:val="24"/>
          <w:lang w:val="es-ES"/>
        </w:rPr>
        <w:t xml:space="preserve">4.3. </w:t>
      </w:r>
      <w:r w:rsidR="00FF18C3" w:rsidRPr="00FF18C3">
        <w:rPr>
          <w:rFonts w:ascii="Times New Roman" w:hAnsi="Times New Roman" w:cs="Times New Roman"/>
          <w:b/>
          <w:bCs/>
          <w:color w:val="auto"/>
          <w:sz w:val="24"/>
          <w:szCs w:val="24"/>
          <w:lang w:val="es-ES"/>
        </w:rPr>
        <w:t>Garantías de libre mercado: Empresas Comerciales del Estado y competencia</w:t>
      </w:r>
      <w:bookmarkEnd w:id="27"/>
    </w:p>
    <w:p w14:paraId="68CCB0A7" w14:textId="77777777" w:rsidR="003650B8" w:rsidRDefault="003650B8" w:rsidP="00ED2514">
      <w:pPr>
        <w:spacing w:line="360" w:lineRule="auto"/>
        <w:rPr>
          <w:lang w:val="es-ES"/>
        </w:rPr>
      </w:pPr>
      <w:r w:rsidRPr="00A32E79">
        <w:rPr>
          <w:lang w:val="es-ES"/>
        </w:rPr>
        <w:t>Para gestionar su desarrollo industrial en la fase inicial, Singapur intervino directamente en la economía nacional y se valió de empresas vinculadas al Gobierno (conocidas por sus siglas en inglés, GLCs) para impulsar su naciente industrialización. Sin embargo, este modelo fuertemente estatista presentaba un desafío mayúsculo frente al sistema multilateral de comercio. Por un lado, el Artículo XVII del GATT (</w:t>
      </w:r>
      <w:r>
        <w:rPr>
          <w:lang w:val="es-ES"/>
        </w:rPr>
        <w:t xml:space="preserve">sobre </w:t>
      </w:r>
      <w:r w:rsidRPr="00A32E79">
        <w:rPr>
          <w:lang w:val="es-ES"/>
        </w:rPr>
        <w:t>Empresas Comerciales del Estado) exige que toda empresa estatal actúe guiándose estrictamente por consideraciones de carácter comercial (precio, calidad y rentabilidad)</w:t>
      </w:r>
      <w:r>
        <w:rPr>
          <w:lang w:val="es-ES"/>
        </w:rPr>
        <w:t>, no discrimine en sus operaciones de compras</w:t>
      </w:r>
      <w:r w:rsidRPr="00A32E79">
        <w:rPr>
          <w:lang w:val="es-ES"/>
        </w:rPr>
        <w:t xml:space="preserve"> y ofrezca a las empresas extranjeras facilidades para competir libremente</w:t>
      </w:r>
      <w:r>
        <w:rPr>
          <w:lang w:val="es-ES"/>
        </w:rPr>
        <w:t>.</w:t>
      </w:r>
      <w:r w:rsidRPr="009A309B">
        <w:rPr>
          <w:lang w:val="es-ES"/>
        </w:rPr>
        <w:t xml:space="preserve"> </w:t>
      </w:r>
      <w:r w:rsidRPr="00A2070C">
        <w:rPr>
          <w:lang w:val="es-ES"/>
        </w:rPr>
        <w:t>Este precepto se cruza directamente con el Artículo III del GATT (</w:t>
      </w:r>
      <w:r>
        <w:rPr>
          <w:lang w:val="es-ES"/>
        </w:rPr>
        <w:t xml:space="preserve">sobre </w:t>
      </w:r>
      <w:r w:rsidRPr="00A2070C">
        <w:rPr>
          <w:lang w:val="es-ES"/>
        </w:rPr>
        <w:t>Trato Nacional), el cual prohíbe someter a los productos o empresas extranjeras a impuestos internos o reglamentaciones más gravosas que las aplicadas a sus equivalentes nacionales, garantizando así un terreno de juego equilibrado (</w:t>
      </w:r>
      <w:r w:rsidRPr="00A2070C">
        <w:rPr>
          <w:i/>
          <w:iCs/>
          <w:lang w:val="es-ES"/>
        </w:rPr>
        <w:t>level playing field</w:t>
      </w:r>
      <w:r w:rsidRPr="00A2070C">
        <w:rPr>
          <w:lang w:val="es-ES"/>
        </w:rPr>
        <w:t>).</w:t>
      </w:r>
    </w:p>
    <w:p w14:paraId="0FA1DEF9" w14:textId="77777777" w:rsidR="003650B8" w:rsidRDefault="003650B8" w:rsidP="00ED2514">
      <w:pPr>
        <w:spacing w:line="360" w:lineRule="auto"/>
        <w:rPr>
          <w:lang w:val="es-ES"/>
        </w:rPr>
      </w:pPr>
      <w:r w:rsidRPr="00701455">
        <w:rPr>
          <w:lang w:val="es-ES"/>
        </w:rPr>
        <w:t>Para evitar que sus GLCs fueran percibidas por el capital extranjero como monopolios estatales que distorsionaban el mercado o violaban los Artículos III y XVII, Singapur ejecutó en 1974 una de las reformas jurídico-estructurales más importantes de su historia económica: la creación del fondo soberano Temasek Holdings</w:t>
      </w:r>
      <w:r w:rsidRPr="0018591A">
        <w:rPr>
          <w:lang w:val="es-ES"/>
        </w:rPr>
        <w:t>.</w:t>
      </w:r>
      <w:r>
        <w:rPr>
          <w:lang w:val="es-ES"/>
        </w:rPr>
        <w:t xml:space="preserve"> </w:t>
      </w:r>
      <w:r w:rsidRPr="0036780E">
        <w:rPr>
          <w:lang w:val="es-ES"/>
        </w:rPr>
        <w:t xml:space="preserve">Mediante esta maniobra, el Estado instituyó una barrera legal infranqueable entre el gobierno (regulador) y sus empresas (operadores). Temasek se constituyó conforme a la Ley de Sociedades </w:t>
      </w:r>
      <w:r>
        <w:rPr>
          <w:lang w:val="es-ES"/>
        </w:rPr>
        <w:t xml:space="preserve">de 1974 </w:t>
      </w:r>
      <w:r w:rsidRPr="0036780E">
        <w:rPr>
          <w:lang w:val="es-ES"/>
        </w:rPr>
        <w:t>(</w:t>
      </w:r>
      <w:r w:rsidRPr="00A87902">
        <w:rPr>
          <w:i/>
          <w:iCs/>
          <w:lang w:val="es-ES"/>
        </w:rPr>
        <w:t>Companies Act</w:t>
      </w:r>
      <w:r w:rsidRPr="0036780E">
        <w:rPr>
          <w:lang w:val="es-ES"/>
        </w:rPr>
        <w:t>)</w:t>
      </w:r>
      <w:r>
        <w:rPr>
          <w:lang w:val="es-ES"/>
        </w:rPr>
        <w:t>, que es el</w:t>
      </w:r>
      <w:r w:rsidRPr="0036780E">
        <w:rPr>
          <w:lang w:val="es-ES"/>
        </w:rPr>
        <w:t xml:space="preserve"> marco normativo del derecho mercantil privado, con el fin de adquirir la propiedad y gestionar comercialmente la cartera de empresas corporativizadas</w:t>
      </w:r>
      <w:r>
        <w:rPr>
          <w:lang w:val="es-ES"/>
        </w:rPr>
        <w:t xml:space="preserve">. </w:t>
      </w:r>
      <w:r w:rsidRPr="00C44AEB">
        <w:rPr>
          <w:lang w:val="es-ES"/>
        </w:rPr>
        <w:t>Esta estructura permitió separar tajantemente las funciones reguladoras del Estado de su rol como propietario, siendo el Ministerio de Finanzas el único accionista del fondo.</w:t>
      </w:r>
    </w:p>
    <w:p w14:paraId="4FF3A3F0" w14:textId="77777777" w:rsidR="003650B8" w:rsidRDefault="003650B8" w:rsidP="00ED2514">
      <w:pPr>
        <w:spacing w:line="360" w:lineRule="auto"/>
        <w:rPr>
          <w:lang w:val="es-ES"/>
        </w:rPr>
      </w:pPr>
      <w:r w:rsidRPr="00B81A40">
        <w:rPr>
          <w:lang w:val="es-ES"/>
        </w:rPr>
        <w:t>Las directrices estatutarias dictaron que estas empresas debían operar bajo una estricta lógica de mercado y sin ventajas artificiales, dando cumplimiento íntegro al Artículo XVII</w:t>
      </w:r>
      <w:r>
        <w:rPr>
          <w:lang w:val="es-ES"/>
        </w:rPr>
        <w:t>.</w:t>
      </w:r>
      <w:r w:rsidRPr="00A84CE4">
        <w:rPr>
          <w:lang w:val="es-ES"/>
        </w:rPr>
        <w:t xml:space="preserve"> </w:t>
      </w:r>
      <w:r w:rsidRPr="00682F63">
        <w:rPr>
          <w:lang w:val="es-ES"/>
        </w:rPr>
        <w:t>Los informes oficiales recalcan que Temasek gestiona sus inversiones exclusivamente sobre una base comercial para obtener rendimientos a largo plazo</w:t>
      </w:r>
      <w:r>
        <w:rPr>
          <w:lang w:val="es-ES"/>
        </w:rPr>
        <w:t xml:space="preserve">. </w:t>
      </w:r>
      <w:r w:rsidRPr="00CF33B7">
        <w:rPr>
          <w:lang w:val="es-ES"/>
        </w:rPr>
        <w:t>El fin de este diseño jurídico residía en dar garantías de neutralidad competitiva absoluta a las multinacionales que decidieran operar en Singapur</w:t>
      </w:r>
      <w:r>
        <w:rPr>
          <w:lang w:val="es-ES"/>
        </w:rPr>
        <w:t>, pues</w:t>
      </w:r>
      <w:r w:rsidRPr="00CF33B7">
        <w:rPr>
          <w:lang w:val="es-ES"/>
        </w:rPr>
        <w:t xml:space="preserve"> </w:t>
      </w:r>
      <w:r>
        <w:rPr>
          <w:lang w:val="es-ES"/>
        </w:rPr>
        <w:t>s</w:t>
      </w:r>
      <w:r w:rsidRPr="00CF33B7">
        <w:rPr>
          <w:lang w:val="es-ES"/>
        </w:rPr>
        <w:t>e buscaba eliminar el temor a competir asimétricamente contra el Estado</w:t>
      </w:r>
      <w:r>
        <w:rPr>
          <w:lang w:val="es-ES"/>
        </w:rPr>
        <w:t xml:space="preserve">; </w:t>
      </w:r>
      <w:r w:rsidRPr="00E76D07">
        <w:rPr>
          <w:lang w:val="es-ES"/>
        </w:rPr>
        <w:t>por ello, legal y estructuralmente, Temasek paga impuestos a las autoridades, distribuye dividendos a su accionista y no recibe un trato especial ni subsidios encubiertos del Gobierno en virtud de su titularidad pública</w:t>
      </w:r>
      <w:r w:rsidRPr="00A84CE4">
        <w:rPr>
          <w:lang w:val="es-ES"/>
        </w:rPr>
        <w:t xml:space="preserve">. </w:t>
      </w:r>
      <w:r>
        <w:rPr>
          <w:lang w:val="es-ES"/>
        </w:rPr>
        <w:lastRenderedPageBreak/>
        <w:t>De tal manera</w:t>
      </w:r>
      <w:r w:rsidRPr="00A55E14">
        <w:rPr>
          <w:lang w:val="es-ES"/>
        </w:rPr>
        <w:t xml:space="preserve">, el Gobierno no participa en las decisiones de inversión ni desinversión, manteniendo la independencia de su Consejo de Administración y de su equipo directivo </w:t>
      </w:r>
      <w:r w:rsidRPr="00C8592E">
        <w:rPr>
          <w:lang w:val="es-ES"/>
        </w:rPr>
        <w:t>(WTO, 2021, p. 69)</w:t>
      </w:r>
      <w:r w:rsidRPr="00A84CE4">
        <w:rPr>
          <w:lang w:val="es-ES"/>
        </w:rPr>
        <w:t xml:space="preserve">. </w:t>
      </w:r>
    </w:p>
    <w:p w14:paraId="50E511D7" w14:textId="77777777" w:rsidR="003650B8" w:rsidRDefault="003650B8" w:rsidP="00ED2514">
      <w:pPr>
        <w:spacing w:line="360" w:lineRule="auto"/>
        <w:rPr>
          <w:lang w:val="es-ES"/>
        </w:rPr>
      </w:pPr>
      <w:r w:rsidRPr="00CA5888">
        <w:rPr>
          <w:lang w:val="es-ES"/>
        </w:rPr>
        <w:t>El objetivo supremo de transponer la lógica de los Artículos XVII y III a su ecosistema de GLCs era neutralizar el riesgo de "efecto expulsión" (</w:t>
      </w:r>
      <w:r w:rsidRPr="00CA5888">
        <w:rPr>
          <w:i/>
          <w:iCs/>
          <w:lang w:val="es-ES"/>
        </w:rPr>
        <w:t>crowding-out</w:t>
      </w:r>
      <w:r w:rsidRPr="00CA5888">
        <w:rPr>
          <w:lang w:val="es-ES"/>
        </w:rPr>
        <w:t>) de la Inversión Extranjera Directa</w:t>
      </w:r>
      <w:r>
        <w:rPr>
          <w:lang w:val="es-ES"/>
        </w:rPr>
        <w:t>, puesto que u</w:t>
      </w:r>
      <w:r w:rsidRPr="00CA5888">
        <w:rPr>
          <w:lang w:val="es-ES"/>
        </w:rPr>
        <w:t xml:space="preserve">na corporación multinacional jamás habría trasladado sus cadenas de </w:t>
      </w:r>
      <w:r>
        <w:rPr>
          <w:lang w:val="es-ES"/>
        </w:rPr>
        <w:t>valor</w:t>
      </w:r>
      <w:r w:rsidRPr="00CA5888">
        <w:rPr>
          <w:lang w:val="es-ES"/>
        </w:rPr>
        <w:t xml:space="preserve"> a Singapur si temiera que el aparato estatal iba a subsidiar a sus competidores locales o a aplicar normativas fiscales discriminatorias.</w:t>
      </w:r>
    </w:p>
    <w:p w14:paraId="2069C0C4" w14:textId="7EEA5545" w:rsidR="007B2E96" w:rsidRDefault="003650B8" w:rsidP="00ED2514">
      <w:pPr>
        <w:spacing w:line="360" w:lineRule="auto"/>
        <w:rPr>
          <w:lang w:val="es-ES"/>
        </w:rPr>
      </w:pPr>
      <w:r w:rsidRPr="000F0B3E">
        <w:rPr>
          <w:lang w:val="es-ES"/>
        </w:rPr>
        <w:t xml:space="preserve">Al asegurar legalmente que sus empresas </w:t>
      </w:r>
      <w:r>
        <w:rPr>
          <w:lang w:val="es-ES"/>
        </w:rPr>
        <w:t>públicas</w:t>
      </w:r>
      <w:r w:rsidRPr="000F0B3E">
        <w:rPr>
          <w:lang w:val="es-ES"/>
        </w:rPr>
        <w:t xml:space="preserve"> operaban </w:t>
      </w:r>
      <w:r w:rsidRPr="00E43E47">
        <w:rPr>
          <w:lang w:val="es-ES"/>
        </w:rPr>
        <w:t>bajo las estrictas reglas del libre mercado exigidas por el GATT,</w:t>
      </w:r>
      <w:r>
        <w:rPr>
          <w:lang w:val="es-ES"/>
        </w:rPr>
        <w:t xml:space="preserve"> y en </w:t>
      </w:r>
      <w:r w:rsidRPr="00863D7E">
        <w:rPr>
          <w:lang w:val="es-ES"/>
        </w:rPr>
        <w:t xml:space="preserve">virtud de </w:t>
      </w:r>
      <w:r>
        <w:rPr>
          <w:lang w:val="es-ES"/>
        </w:rPr>
        <w:t>la</w:t>
      </w:r>
      <w:r w:rsidRPr="00863D7E">
        <w:rPr>
          <w:lang w:val="es-ES"/>
        </w:rPr>
        <w:t xml:space="preserve"> estricta separación comercial y </w:t>
      </w:r>
      <w:r>
        <w:rPr>
          <w:lang w:val="es-ES"/>
        </w:rPr>
        <w:t>ausencia</w:t>
      </w:r>
      <w:r w:rsidRPr="00863D7E">
        <w:rPr>
          <w:lang w:val="es-ES"/>
        </w:rPr>
        <w:t xml:space="preserve"> de subsidios distorsionadores</w:t>
      </w:r>
      <w:r>
        <w:rPr>
          <w:lang w:val="es-ES"/>
        </w:rPr>
        <w:t xml:space="preserve"> (</w:t>
      </w:r>
      <w:r w:rsidRPr="00573083">
        <w:rPr>
          <w:lang w:val="es-ES"/>
        </w:rPr>
        <w:t>WTO, 2021, p. 9</w:t>
      </w:r>
      <w:r>
        <w:rPr>
          <w:lang w:val="es-ES"/>
        </w:rPr>
        <w:t>),</w:t>
      </w:r>
      <w:r w:rsidRPr="00E43E47">
        <w:rPr>
          <w:lang w:val="es-ES"/>
        </w:rPr>
        <w:t xml:space="preserve"> Singapur logró sostener ante la Organización Mundial del Comercio un argumento jurídico excepcional</w:t>
      </w:r>
      <w:r w:rsidRPr="000F0B3E">
        <w:rPr>
          <w:lang w:val="es-ES"/>
        </w:rPr>
        <w:t xml:space="preserve">: a pesar del </w:t>
      </w:r>
      <w:r>
        <w:rPr>
          <w:lang w:val="es-ES"/>
        </w:rPr>
        <w:t>inmenso</w:t>
      </w:r>
      <w:r w:rsidRPr="000F0B3E">
        <w:rPr>
          <w:lang w:val="es-ES"/>
        </w:rPr>
        <w:t xml:space="preserve"> peso del Estado en la economía, Singapur pudo notificar oficialmente a la organización que </w:t>
      </w:r>
      <w:r w:rsidRPr="00665373">
        <w:rPr>
          <w:lang w:val="es-ES"/>
        </w:rPr>
        <w:t xml:space="preserve">no mantenía ninguna </w:t>
      </w:r>
      <w:r w:rsidRPr="00120C03">
        <w:rPr>
          <w:lang w:val="es-ES"/>
        </w:rPr>
        <w:t>"Empresa Comercial del Estado" (</w:t>
      </w:r>
      <w:r w:rsidRPr="00120C03">
        <w:rPr>
          <w:i/>
          <w:iCs/>
          <w:lang w:val="es-ES"/>
        </w:rPr>
        <w:t>State Trading Enterprise</w:t>
      </w:r>
      <w:r w:rsidRPr="00120C03">
        <w:rPr>
          <w:lang w:val="es-ES"/>
        </w:rPr>
        <w:t>) bajo la estricta definición jurídica del Artículo XVII</w:t>
      </w:r>
      <w:r>
        <w:rPr>
          <w:lang w:val="es-ES"/>
        </w:rPr>
        <w:t xml:space="preserve"> </w:t>
      </w:r>
      <w:r w:rsidRPr="00856693">
        <w:rPr>
          <w:lang w:val="es-ES"/>
        </w:rPr>
        <w:t xml:space="preserve">(WTO, 2021, p. </w:t>
      </w:r>
      <w:r>
        <w:rPr>
          <w:lang w:val="es-ES"/>
        </w:rPr>
        <w:t>6</w:t>
      </w:r>
      <w:r w:rsidRPr="00856693">
        <w:rPr>
          <w:lang w:val="es-ES"/>
        </w:rPr>
        <w:t>9)</w:t>
      </w:r>
      <w:r w:rsidRPr="000F0B3E">
        <w:rPr>
          <w:lang w:val="es-ES"/>
        </w:rPr>
        <w:t>.</w:t>
      </w:r>
      <w:r>
        <w:rPr>
          <w:lang w:val="es-ES"/>
        </w:rPr>
        <w:t xml:space="preserve"> </w:t>
      </w:r>
      <w:r w:rsidRPr="000542AF">
        <w:rPr>
          <w:lang w:val="es-ES"/>
        </w:rPr>
        <w:t>Mediante esta impecable ingeniería legal, la ciudad-Estado concilió su intervencionismo desarrollista interno con las máximas exigencias de neutralidad y libre competencia del sistema global.</w:t>
      </w:r>
    </w:p>
    <w:p w14:paraId="4FDB4031" w14:textId="77777777" w:rsidR="007B2E96" w:rsidRDefault="007B2E96" w:rsidP="007B2E96">
      <w:pPr>
        <w:rPr>
          <w:lang w:val="es-ES"/>
        </w:rPr>
      </w:pPr>
    </w:p>
    <w:p w14:paraId="3CA9453B" w14:textId="77777777" w:rsidR="007B2E96" w:rsidRDefault="007B2E96" w:rsidP="007B2E96">
      <w:pPr>
        <w:rPr>
          <w:lang w:val="es-ES"/>
        </w:rPr>
      </w:pPr>
    </w:p>
    <w:p w14:paraId="6BD076E1" w14:textId="77777777" w:rsidR="007B2E96" w:rsidRDefault="007B2E96" w:rsidP="007B2E96">
      <w:pPr>
        <w:rPr>
          <w:lang w:val="es-ES"/>
        </w:rPr>
      </w:pPr>
    </w:p>
    <w:p w14:paraId="445C77A3" w14:textId="77777777" w:rsidR="007B2E96" w:rsidRDefault="007B2E96" w:rsidP="007B2E96">
      <w:pPr>
        <w:rPr>
          <w:lang w:val="es-ES"/>
        </w:rPr>
      </w:pPr>
    </w:p>
    <w:p w14:paraId="259AB930" w14:textId="77777777" w:rsidR="007B2E96" w:rsidRDefault="007B2E96" w:rsidP="007B2E96">
      <w:pPr>
        <w:rPr>
          <w:lang w:val="es-ES"/>
        </w:rPr>
      </w:pPr>
    </w:p>
    <w:p w14:paraId="794CDBB3" w14:textId="77777777" w:rsidR="007B2E96" w:rsidRDefault="007B2E96" w:rsidP="007B2E96">
      <w:pPr>
        <w:rPr>
          <w:lang w:val="es-ES"/>
        </w:rPr>
      </w:pPr>
    </w:p>
    <w:p w14:paraId="0ADDA80A" w14:textId="77777777" w:rsidR="007B2E96" w:rsidRDefault="007B2E96" w:rsidP="007B2E96">
      <w:pPr>
        <w:rPr>
          <w:lang w:val="es-ES"/>
        </w:rPr>
      </w:pPr>
    </w:p>
    <w:p w14:paraId="50FEAFC3" w14:textId="77777777" w:rsidR="007B2E96" w:rsidRDefault="007B2E96" w:rsidP="007B2E96">
      <w:pPr>
        <w:rPr>
          <w:lang w:val="es-ES"/>
        </w:rPr>
      </w:pPr>
    </w:p>
    <w:p w14:paraId="017C2E8B" w14:textId="77777777" w:rsidR="007B2E96" w:rsidRDefault="007B2E96" w:rsidP="007B2E96">
      <w:pPr>
        <w:rPr>
          <w:lang w:val="es-ES"/>
        </w:rPr>
      </w:pPr>
    </w:p>
    <w:p w14:paraId="3421E119" w14:textId="77777777" w:rsidR="007B2E96" w:rsidRDefault="007B2E96" w:rsidP="007B2E96">
      <w:pPr>
        <w:rPr>
          <w:lang w:val="es-ES"/>
        </w:rPr>
      </w:pPr>
    </w:p>
    <w:p w14:paraId="557D3562" w14:textId="77777777" w:rsidR="007B2E96" w:rsidRDefault="007B2E96" w:rsidP="007B2E96">
      <w:pPr>
        <w:rPr>
          <w:lang w:val="es-ES"/>
        </w:rPr>
      </w:pPr>
    </w:p>
    <w:p w14:paraId="315CE52A" w14:textId="77777777" w:rsidR="007B2E96" w:rsidRDefault="007B2E96" w:rsidP="007B2E96">
      <w:pPr>
        <w:rPr>
          <w:lang w:val="es-ES"/>
        </w:rPr>
      </w:pPr>
    </w:p>
    <w:p w14:paraId="72F37E6F" w14:textId="77777777" w:rsidR="007B2E96" w:rsidRPr="007B2E96" w:rsidRDefault="007B2E96" w:rsidP="007B2E96">
      <w:pPr>
        <w:rPr>
          <w:lang w:val="es-ES"/>
        </w:rPr>
      </w:pPr>
    </w:p>
    <w:p w14:paraId="5778F6F9" w14:textId="033E5589" w:rsidR="00520EE3" w:rsidRPr="00520EE3" w:rsidRDefault="00264228" w:rsidP="0048356C">
      <w:pPr>
        <w:pStyle w:val="Ttulo1"/>
      </w:pPr>
      <w:bookmarkStart w:id="28" w:name="_Toc226749113"/>
      <w:r w:rsidRPr="00B20D8F">
        <w:lastRenderedPageBreak/>
        <w:t xml:space="preserve">5. </w:t>
      </w:r>
      <w:r w:rsidR="00EB335D">
        <w:t xml:space="preserve">Análisis GATS: La Consolidación del </w:t>
      </w:r>
      <w:r w:rsidR="00EB335D" w:rsidRPr="0048356C">
        <w:rPr>
          <w:i/>
          <w:iCs/>
        </w:rPr>
        <w:t>Hub</w:t>
      </w:r>
      <w:r w:rsidR="00EB335D">
        <w:t xml:space="preserve"> Financiero y Legal</w:t>
      </w:r>
      <w:bookmarkEnd w:id="28"/>
    </w:p>
    <w:p w14:paraId="0A7032B1" w14:textId="41BABD46" w:rsidR="00FE189F" w:rsidRPr="00191179" w:rsidRDefault="00100A31" w:rsidP="00191179">
      <w:pPr>
        <w:pStyle w:val="Ttulo2"/>
        <w:spacing w:line="360" w:lineRule="auto"/>
        <w:rPr>
          <w:rFonts w:ascii="Times New Roman" w:hAnsi="Times New Roman" w:cs="Times New Roman"/>
          <w:b/>
          <w:bCs/>
          <w:color w:val="000000" w:themeColor="text1"/>
          <w:sz w:val="24"/>
          <w:szCs w:val="24"/>
          <w:lang w:val="es-ES"/>
        </w:rPr>
      </w:pPr>
      <w:bookmarkStart w:id="29" w:name="_Toc226749114"/>
      <w:r w:rsidRPr="00455D3F">
        <w:rPr>
          <w:rFonts w:ascii="Times New Roman" w:hAnsi="Times New Roman" w:cs="Times New Roman"/>
          <w:b/>
          <w:bCs/>
          <w:color w:val="000000" w:themeColor="text1"/>
          <w:sz w:val="24"/>
          <w:szCs w:val="24"/>
          <w:lang w:val="es-ES"/>
        </w:rPr>
        <w:t xml:space="preserve">5.1. </w:t>
      </w:r>
      <w:r w:rsidR="0004523F">
        <w:rPr>
          <w:rFonts w:ascii="Times New Roman" w:hAnsi="Times New Roman" w:cs="Times New Roman"/>
          <w:b/>
          <w:bCs/>
          <w:color w:val="000000" w:themeColor="text1"/>
          <w:sz w:val="24"/>
          <w:szCs w:val="24"/>
          <w:lang w:val="es-ES"/>
        </w:rPr>
        <w:t>La mercantilización de la justicia: Servicios legales y Arbitraje Internacional</w:t>
      </w:r>
      <w:bookmarkEnd w:id="29"/>
    </w:p>
    <w:p w14:paraId="3F982823" w14:textId="07905D66" w:rsidR="00C436B7" w:rsidRPr="00C436B7" w:rsidRDefault="00100A31" w:rsidP="00C436B7">
      <w:pPr>
        <w:pStyle w:val="Ttulo2"/>
        <w:spacing w:line="360" w:lineRule="auto"/>
        <w:rPr>
          <w:rFonts w:ascii="Times New Roman" w:hAnsi="Times New Roman" w:cs="Times New Roman"/>
          <w:b/>
          <w:bCs/>
          <w:color w:val="000000" w:themeColor="text1"/>
          <w:sz w:val="24"/>
          <w:szCs w:val="24"/>
          <w:lang w:val="es-ES"/>
        </w:rPr>
      </w:pPr>
      <w:bookmarkStart w:id="30" w:name="_Toc226749115"/>
      <w:r w:rsidRPr="00F60AC6">
        <w:rPr>
          <w:rFonts w:ascii="Times New Roman" w:hAnsi="Times New Roman" w:cs="Times New Roman"/>
          <w:b/>
          <w:bCs/>
          <w:color w:val="000000" w:themeColor="text1"/>
          <w:sz w:val="24"/>
          <w:szCs w:val="24"/>
          <w:lang w:val="es-ES"/>
        </w:rPr>
        <w:t xml:space="preserve">5.2. </w:t>
      </w:r>
      <w:r w:rsidR="00880EF9">
        <w:rPr>
          <w:rFonts w:ascii="Times New Roman" w:hAnsi="Times New Roman" w:cs="Times New Roman"/>
          <w:b/>
          <w:bCs/>
          <w:color w:val="000000" w:themeColor="text1"/>
          <w:sz w:val="24"/>
          <w:szCs w:val="24"/>
          <w:lang w:val="es-ES"/>
        </w:rPr>
        <w:t>Servicios financieros y bancarios: la</w:t>
      </w:r>
      <w:r w:rsidR="000B3D67">
        <w:rPr>
          <w:rFonts w:ascii="Times New Roman" w:hAnsi="Times New Roman" w:cs="Times New Roman"/>
          <w:b/>
          <w:bCs/>
          <w:color w:val="000000" w:themeColor="text1"/>
          <w:sz w:val="24"/>
          <w:szCs w:val="24"/>
          <w:lang w:val="es-ES"/>
        </w:rPr>
        <w:t xml:space="preserve"> </w:t>
      </w:r>
      <w:r w:rsidR="00880EF9">
        <w:rPr>
          <w:rFonts w:ascii="Times New Roman" w:hAnsi="Times New Roman" w:cs="Times New Roman"/>
          <w:b/>
          <w:bCs/>
          <w:color w:val="000000" w:themeColor="text1"/>
          <w:sz w:val="24"/>
          <w:szCs w:val="24"/>
          <w:lang w:val="es-ES"/>
        </w:rPr>
        <w:t>p</w:t>
      </w:r>
      <w:r w:rsidR="000B3D67">
        <w:rPr>
          <w:rFonts w:ascii="Times New Roman" w:hAnsi="Times New Roman" w:cs="Times New Roman"/>
          <w:b/>
          <w:bCs/>
          <w:color w:val="000000" w:themeColor="text1"/>
          <w:sz w:val="24"/>
          <w:szCs w:val="24"/>
          <w:lang w:val="es-ES"/>
        </w:rPr>
        <w:t>resencia comercial</w:t>
      </w:r>
      <w:bookmarkEnd w:id="30"/>
    </w:p>
    <w:p w14:paraId="4F458DB5" w14:textId="63DD9B74" w:rsidR="006B73CD" w:rsidRDefault="006B73CD">
      <w:pPr>
        <w:pStyle w:val="Ttulo2"/>
        <w:rPr>
          <w:rFonts w:ascii="Times New Roman" w:hAnsi="Times New Roman" w:cs="Times New Roman"/>
          <w:b/>
          <w:bCs/>
          <w:color w:val="auto"/>
          <w:sz w:val="24"/>
          <w:szCs w:val="24"/>
          <w:lang w:val="es-ES"/>
        </w:rPr>
      </w:pPr>
      <w:bookmarkStart w:id="31" w:name="_Toc226749116"/>
      <w:r w:rsidRPr="00686FE5">
        <w:rPr>
          <w:rFonts w:ascii="Times New Roman" w:hAnsi="Times New Roman" w:cs="Times New Roman"/>
          <w:b/>
          <w:bCs/>
          <w:color w:val="auto"/>
          <w:sz w:val="24"/>
          <w:szCs w:val="24"/>
          <w:lang w:val="es-ES"/>
        </w:rPr>
        <w:t xml:space="preserve">5.3. </w:t>
      </w:r>
      <w:r w:rsidR="000B3D67">
        <w:rPr>
          <w:rFonts w:ascii="Times New Roman" w:hAnsi="Times New Roman" w:cs="Times New Roman"/>
          <w:b/>
          <w:bCs/>
          <w:color w:val="auto"/>
          <w:sz w:val="24"/>
          <w:szCs w:val="24"/>
          <w:lang w:val="es-ES"/>
        </w:rPr>
        <w:t xml:space="preserve">Imperativo demográfico: Movimiento de personas físicas y </w:t>
      </w:r>
      <w:r w:rsidR="00077F49">
        <w:rPr>
          <w:rFonts w:ascii="Times New Roman" w:hAnsi="Times New Roman" w:cs="Times New Roman"/>
          <w:b/>
          <w:bCs/>
          <w:color w:val="auto"/>
          <w:sz w:val="24"/>
          <w:szCs w:val="24"/>
          <w:lang w:val="es-ES"/>
        </w:rPr>
        <w:t>talento</w:t>
      </w:r>
      <w:bookmarkEnd w:id="31"/>
    </w:p>
    <w:p w14:paraId="7AB2A4E6" w14:textId="77777777" w:rsidR="00191179" w:rsidRDefault="00191179" w:rsidP="00191179">
      <w:pPr>
        <w:rPr>
          <w:lang w:val="es-ES"/>
        </w:rPr>
      </w:pPr>
    </w:p>
    <w:p w14:paraId="1B2F9166" w14:textId="77777777" w:rsidR="00191179" w:rsidRDefault="00191179" w:rsidP="00191179">
      <w:pPr>
        <w:rPr>
          <w:lang w:val="es-ES"/>
        </w:rPr>
      </w:pPr>
    </w:p>
    <w:p w14:paraId="7D51FE2D" w14:textId="77777777" w:rsidR="00191179" w:rsidRDefault="00191179" w:rsidP="00191179">
      <w:pPr>
        <w:rPr>
          <w:lang w:val="es-ES"/>
        </w:rPr>
      </w:pPr>
    </w:p>
    <w:p w14:paraId="5A8D8646" w14:textId="77777777" w:rsidR="00191179" w:rsidRDefault="00191179" w:rsidP="00191179">
      <w:pPr>
        <w:rPr>
          <w:lang w:val="es-ES"/>
        </w:rPr>
      </w:pPr>
    </w:p>
    <w:p w14:paraId="4ACDEF30" w14:textId="77777777" w:rsidR="00191179" w:rsidRDefault="00191179" w:rsidP="00191179">
      <w:pPr>
        <w:rPr>
          <w:lang w:val="es-ES"/>
        </w:rPr>
      </w:pPr>
    </w:p>
    <w:p w14:paraId="04502DE4" w14:textId="77777777" w:rsidR="00191179" w:rsidRDefault="00191179" w:rsidP="00191179">
      <w:pPr>
        <w:rPr>
          <w:lang w:val="es-ES"/>
        </w:rPr>
      </w:pPr>
    </w:p>
    <w:p w14:paraId="36B15E94" w14:textId="77777777" w:rsidR="00191179" w:rsidRDefault="00191179" w:rsidP="00191179">
      <w:pPr>
        <w:rPr>
          <w:lang w:val="es-ES"/>
        </w:rPr>
      </w:pPr>
    </w:p>
    <w:p w14:paraId="117F75A9" w14:textId="77777777" w:rsidR="00191179" w:rsidRDefault="00191179" w:rsidP="00191179">
      <w:pPr>
        <w:rPr>
          <w:lang w:val="es-ES"/>
        </w:rPr>
      </w:pPr>
    </w:p>
    <w:p w14:paraId="4CABAA58" w14:textId="77777777" w:rsidR="00191179" w:rsidRDefault="00191179" w:rsidP="00191179">
      <w:pPr>
        <w:rPr>
          <w:lang w:val="es-ES"/>
        </w:rPr>
      </w:pPr>
    </w:p>
    <w:p w14:paraId="1BFBD122" w14:textId="77777777" w:rsidR="00191179" w:rsidRDefault="00191179" w:rsidP="00191179">
      <w:pPr>
        <w:rPr>
          <w:lang w:val="es-ES"/>
        </w:rPr>
      </w:pPr>
    </w:p>
    <w:p w14:paraId="14BFEE48" w14:textId="77777777" w:rsidR="00191179" w:rsidRDefault="00191179" w:rsidP="00191179">
      <w:pPr>
        <w:rPr>
          <w:lang w:val="es-ES"/>
        </w:rPr>
      </w:pPr>
    </w:p>
    <w:p w14:paraId="02AF3535" w14:textId="77777777" w:rsidR="00191179" w:rsidRDefault="00191179" w:rsidP="00191179">
      <w:pPr>
        <w:rPr>
          <w:lang w:val="es-ES"/>
        </w:rPr>
      </w:pPr>
    </w:p>
    <w:p w14:paraId="2B8B1449" w14:textId="77777777" w:rsidR="00191179" w:rsidRDefault="00191179" w:rsidP="00191179">
      <w:pPr>
        <w:rPr>
          <w:lang w:val="es-ES"/>
        </w:rPr>
      </w:pPr>
    </w:p>
    <w:p w14:paraId="4EC04BBF" w14:textId="77777777" w:rsidR="00191179" w:rsidRDefault="00191179" w:rsidP="00191179">
      <w:pPr>
        <w:rPr>
          <w:lang w:val="es-ES"/>
        </w:rPr>
      </w:pPr>
    </w:p>
    <w:p w14:paraId="509F96B9" w14:textId="77777777" w:rsidR="00191179" w:rsidRDefault="00191179" w:rsidP="00191179">
      <w:pPr>
        <w:rPr>
          <w:lang w:val="es-ES"/>
        </w:rPr>
      </w:pPr>
    </w:p>
    <w:p w14:paraId="7C514C83" w14:textId="77777777" w:rsidR="00191179" w:rsidRDefault="00191179" w:rsidP="00191179">
      <w:pPr>
        <w:rPr>
          <w:lang w:val="es-ES"/>
        </w:rPr>
      </w:pPr>
    </w:p>
    <w:p w14:paraId="2701E149" w14:textId="77777777" w:rsidR="00191179" w:rsidRDefault="00191179" w:rsidP="00191179">
      <w:pPr>
        <w:rPr>
          <w:lang w:val="es-ES"/>
        </w:rPr>
      </w:pPr>
    </w:p>
    <w:p w14:paraId="1ADCBB8A" w14:textId="77777777" w:rsidR="00191179" w:rsidRDefault="00191179" w:rsidP="00191179">
      <w:pPr>
        <w:rPr>
          <w:lang w:val="es-ES"/>
        </w:rPr>
      </w:pPr>
    </w:p>
    <w:p w14:paraId="01A00475" w14:textId="77777777" w:rsidR="00191179" w:rsidRDefault="00191179" w:rsidP="00191179">
      <w:pPr>
        <w:rPr>
          <w:lang w:val="es-ES"/>
        </w:rPr>
      </w:pPr>
    </w:p>
    <w:p w14:paraId="21398B7E" w14:textId="77777777" w:rsidR="00191179" w:rsidRDefault="00191179" w:rsidP="00191179">
      <w:pPr>
        <w:rPr>
          <w:lang w:val="es-ES"/>
        </w:rPr>
      </w:pPr>
    </w:p>
    <w:p w14:paraId="77E17EA0" w14:textId="77777777" w:rsidR="00191179" w:rsidRPr="00191179" w:rsidRDefault="00191179" w:rsidP="00191179">
      <w:pPr>
        <w:rPr>
          <w:lang w:val="es-ES"/>
        </w:rPr>
      </w:pPr>
    </w:p>
    <w:p w14:paraId="5BCB1BF2" w14:textId="34219A99" w:rsidR="00EB0FB2" w:rsidRDefault="0067224F">
      <w:pPr>
        <w:pStyle w:val="Ttulo1"/>
      </w:pPr>
      <w:bookmarkStart w:id="32" w:name="_Toc226749117"/>
      <w:r>
        <w:lastRenderedPageBreak/>
        <w:t>6. Discusión y Evaluación crítica</w:t>
      </w:r>
      <w:bookmarkEnd w:id="32"/>
    </w:p>
    <w:p w14:paraId="1D18ACFB" w14:textId="3736C79F" w:rsidR="0067224F" w:rsidRPr="00B3583E" w:rsidRDefault="0067224F" w:rsidP="0067224F">
      <w:pPr>
        <w:pStyle w:val="Ttulo2"/>
        <w:rPr>
          <w:rFonts w:ascii="Times New Roman" w:hAnsi="Times New Roman" w:cs="Times New Roman"/>
          <w:b/>
          <w:bCs/>
          <w:color w:val="auto"/>
          <w:sz w:val="24"/>
          <w:szCs w:val="24"/>
          <w:lang w:val="es-ES"/>
        </w:rPr>
      </w:pPr>
      <w:bookmarkStart w:id="33" w:name="_Toc226749118"/>
      <w:r w:rsidRPr="00B3583E">
        <w:rPr>
          <w:rFonts w:ascii="Times New Roman" w:hAnsi="Times New Roman" w:cs="Times New Roman"/>
          <w:b/>
          <w:bCs/>
          <w:color w:val="auto"/>
          <w:sz w:val="24"/>
          <w:szCs w:val="24"/>
          <w:lang w:val="es-ES"/>
        </w:rPr>
        <w:t xml:space="preserve">6.1. </w:t>
      </w:r>
      <w:r w:rsidR="00B3583E" w:rsidRPr="00B3583E">
        <w:rPr>
          <w:rFonts w:ascii="Times New Roman" w:hAnsi="Times New Roman" w:cs="Times New Roman"/>
          <w:b/>
          <w:bCs/>
          <w:color w:val="auto"/>
          <w:sz w:val="24"/>
          <w:szCs w:val="24"/>
          <w:lang w:val="es-ES"/>
        </w:rPr>
        <w:t>Evidencias y resultados tras la adhesión al sistema multilateral</w:t>
      </w:r>
      <w:bookmarkEnd w:id="33"/>
    </w:p>
    <w:p w14:paraId="4B94E605" w14:textId="1F5569E1" w:rsidR="00B3583E" w:rsidRDefault="00B3583E">
      <w:pPr>
        <w:pStyle w:val="Ttulo2"/>
        <w:rPr>
          <w:rFonts w:ascii="Times New Roman" w:hAnsi="Times New Roman" w:cs="Times New Roman"/>
          <w:b/>
          <w:bCs/>
          <w:color w:val="auto"/>
          <w:sz w:val="24"/>
          <w:szCs w:val="24"/>
          <w:lang w:val="es-ES"/>
        </w:rPr>
      </w:pPr>
      <w:bookmarkStart w:id="34" w:name="_Toc226749119"/>
      <w:r w:rsidRPr="00B3583E">
        <w:rPr>
          <w:rFonts w:ascii="Times New Roman" w:hAnsi="Times New Roman" w:cs="Times New Roman"/>
          <w:b/>
          <w:bCs/>
          <w:color w:val="auto"/>
          <w:sz w:val="24"/>
          <w:szCs w:val="24"/>
          <w:lang w:val="es-ES"/>
        </w:rPr>
        <w:t>6.2. Limitaciones y vulnerabilidades persistentes del modelo singapurense</w:t>
      </w:r>
      <w:bookmarkEnd w:id="34"/>
    </w:p>
    <w:p w14:paraId="16DB790A" w14:textId="77777777" w:rsidR="00191179" w:rsidRDefault="00191179" w:rsidP="00191179">
      <w:pPr>
        <w:rPr>
          <w:lang w:val="es-ES"/>
        </w:rPr>
      </w:pPr>
    </w:p>
    <w:p w14:paraId="74E461CF" w14:textId="77777777" w:rsidR="00191179" w:rsidRDefault="00191179" w:rsidP="00191179">
      <w:pPr>
        <w:rPr>
          <w:lang w:val="es-ES"/>
        </w:rPr>
      </w:pPr>
    </w:p>
    <w:p w14:paraId="5678CE03" w14:textId="77777777" w:rsidR="00191179" w:rsidRDefault="00191179" w:rsidP="00191179">
      <w:pPr>
        <w:rPr>
          <w:lang w:val="es-ES"/>
        </w:rPr>
      </w:pPr>
    </w:p>
    <w:p w14:paraId="3175FC87" w14:textId="77777777" w:rsidR="00191179" w:rsidRDefault="00191179" w:rsidP="00191179">
      <w:pPr>
        <w:rPr>
          <w:lang w:val="es-ES"/>
        </w:rPr>
      </w:pPr>
    </w:p>
    <w:p w14:paraId="7A8D5150" w14:textId="77777777" w:rsidR="00191179" w:rsidRDefault="00191179" w:rsidP="00191179">
      <w:pPr>
        <w:rPr>
          <w:lang w:val="es-ES"/>
        </w:rPr>
      </w:pPr>
    </w:p>
    <w:p w14:paraId="56400707" w14:textId="77777777" w:rsidR="00191179" w:rsidRDefault="00191179" w:rsidP="00191179">
      <w:pPr>
        <w:rPr>
          <w:lang w:val="es-ES"/>
        </w:rPr>
      </w:pPr>
    </w:p>
    <w:p w14:paraId="626E14C2" w14:textId="77777777" w:rsidR="00191179" w:rsidRDefault="00191179" w:rsidP="00191179">
      <w:pPr>
        <w:rPr>
          <w:lang w:val="es-ES"/>
        </w:rPr>
      </w:pPr>
    </w:p>
    <w:p w14:paraId="22A47098" w14:textId="77777777" w:rsidR="00191179" w:rsidRDefault="00191179" w:rsidP="00191179">
      <w:pPr>
        <w:rPr>
          <w:lang w:val="es-ES"/>
        </w:rPr>
      </w:pPr>
    </w:p>
    <w:p w14:paraId="7AB0C716" w14:textId="77777777" w:rsidR="00191179" w:rsidRDefault="00191179" w:rsidP="00191179">
      <w:pPr>
        <w:rPr>
          <w:lang w:val="es-ES"/>
        </w:rPr>
      </w:pPr>
    </w:p>
    <w:p w14:paraId="585A6BA4" w14:textId="77777777" w:rsidR="00191179" w:rsidRDefault="00191179" w:rsidP="00191179">
      <w:pPr>
        <w:rPr>
          <w:lang w:val="es-ES"/>
        </w:rPr>
      </w:pPr>
    </w:p>
    <w:p w14:paraId="3A4B023F" w14:textId="77777777" w:rsidR="00191179" w:rsidRDefault="00191179" w:rsidP="00191179">
      <w:pPr>
        <w:rPr>
          <w:lang w:val="es-ES"/>
        </w:rPr>
      </w:pPr>
    </w:p>
    <w:p w14:paraId="319037E5" w14:textId="77777777" w:rsidR="00191179" w:rsidRDefault="00191179" w:rsidP="00191179">
      <w:pPr>
        <w:rPr>
          <w:lang w:val="es-ES"/>
        </w:rPr>
      </w:pPr>
    </w:p>
    <w:p w14:paraId="1700F370" w14:textId="77777777" w:rsidR="00191179" w:rsidRDefault="00191179" w:rsidP="00191179">
      <w:pPr>
        <w:rPr>
          <w:lang w:val="es-ES"/>
        </w:rPr>
      </w:pPr>
    </w:p>
    <w:p w14:paraId="0FABE404" w14:textId="77777777" w:rsidR="00191179" w:rsidRDefault="00191179" w:rsidP="00191179">
      <w:pPr>
        <w:rPr>
          <w:lang w:val="es-ES"/>
        </w:rPr>
      </w:pPr>
    </w:p>
    <w:p w14:paraId="25B89509" w14:textId="77777777" w:rsidR="00191179" w:rsidRDefault="00191179" w:rsidP="00191179">
      <w:pPr>
        <w:rPr>
          <w:lang w:val="es-ES"/>
        </w:rPr>
      </w:pPr>
    </w:p>
    <w:p w14:paraId="0382E5D9" w14:textId="77777777" w:rsidR="00191179" w:rsidRDefault="00191179" w:rsidP="00191179">
      <w:pPr>
        <w:rPr>
          <w:lang w:val="es-ES"/>
        </w:rPr>
      </w:pPr>
    </w:p>
    <w:p w14:paraId="2EDEA74B" w14:textId="77777777" w:rsidR="00191179" w:rsidRDefault="00191179" w:rsidP="00191179">
      <w:pPr>
        <w:rPr>
          <w:lang w:val="es-ES"/>
        </w:rPr>
      </w:pPr>
    </w:p>
    <w:p w14:paraId="2EAFCD0F" w14:textId="77777777" w:rsidR="00191179" w:rsidRDefault="00191179" w:rsidP="00191179">
      <w:pPr>
        <w:rPr>
          <w:lang w:val="es-ES"/>
        </w:rPr>
      </w:pPr>
    </w:p>
    <w:p w14:paraId="71F7A873" w14:textId="77777777" w:rsidR="00191179" w:rsidRDefault="00191179" w:rsidP="00191179">
      <w:pPr>
        <w:rPr>
          <w:lang w:val="es-ES"/>
        </w:rPr>
      </w:pPr>
    </w:p>
    <w:p w14:paraId="2BB6FA69" w14:textId="77777777" w:rsidR="00191179" w:rsidRDefault="00191179" w:rsidP="00191179">
      <w:pPr>
        <w:rPr>
          <w:lang w:val="es-ES"/>
        </w:rPr>
      </w:pPr>
    </w:p>
    <w:p w14:paraId="25D1C930" w14:textId="77777777" w:rsidR="00191179" w:rsidRDefault="00191179" w:rsidP="00191179">
      <w:pPr>
        <w:rPr>
          <w:lang w:val="es-ES"/>
        </w:rPr>
      </w:pPr>
    </w:p>
    <w:p w14:paraId="2BC6947C" w14:textId="77777777" w:rsidR="00191179" w:rsidRPr="00191179" w:rsidRDefault="00191179" w:rsidP="00191179">
      <w:pPr>
        <w:rPr>
          <w:lang w:val="es-ES"/>
        </w:rPr>
      </w:pPr>
    </w:p>
    <w:p w14:paraId="1BF741DD" w14:textId="05D7033F" w:rsidR="005C79EA" w:rsidRPr="00B0788A" w:rsidRDefault="0067224F" w:rsidP="00191179">
      <w:pPr>
        <w:pStyle w:val="Ttulo1"/>
      </w:pPr>
      <w:bookmarkStart w:id="35" w:name="_Toc226749120"/>
      <w:r>
        <w:lastRenderedPageBreak/>
        <w:t>7</w:t>
      </w:r>
      <w:r w:rsidR="00996E9F" w:rsidRPr="00126EB8">
        <w:t xml:space="preserve">. </w:t>
      </w:r>
      <w:r w:rsidR="00FE383E">
        <w:t>Conclusiones y propuestas</w:t>
      </w:r>
      <w:bookmarkEnd w:id="35"/>
    </w:p>
    <w:p w14:paraId="3DC005CC" w14:textId="314C678F" w:rsidR="00CA7A86" w:rsidRPr="00191179" w:rsidRDefault="00CA7A86" w:rsidP="00CA7A86">
      <w:pPr>
        <w:pStyle w:val="Ttulo2"/>
        <w:rPr>
          <w:rFonts w:ascii="Times New Roman" w:hAnsi="Times New Roman" w:cs="Times New Roman"/>
          <w:b/>
          <w:bCs/>
          <w:color w:val="auto"/>
          <w:sz w:val="24"/>
          <w:szCs w:val="24"/>
          <w:lang w:val="es-ES"/>
        </w:rPr>
      </w:pPr>
      <w:bookmarkStart w:id="36" w:name="_Toc226749121"/>
      <w:r w:rsidRPr="00191179">
        <w:rPr>
          <w:rFonts w:ascii="Times New Roman" w:hAnsi="Times New Roman" w:cs="Times New Roman"/>
          <w:b/>
          <w:bCs/>
          <w:color w:val="auto"/>
          <w:sz w:val="24"/>
          <w:szCs w:val="24"/>
          <w:lang w:val="es-ES"/>
        </w:rPr>
        <w:t>7.1. Conclusiones generales</w:t>
      </w:r>
      <w:bookmarkEnd w:id="36"/>
    </w:p>
    <w:p w14:paraId="5B2D98A3" w14:textId="2F8C32A2" w:rsidR="00CA7A86" w:rsidRDefault="00CA7A86">
      <w:pPr>
        <w:pStyle w:val="Ttulo2"/>
        <w:rPr>
          <w:rFonts w:ascii="Times New Roman" w:hAnsi="Times New Roman" w:cs="Times New Roman"/>
          <w:b/>
          <w:bCs/>
          <w:color w:val="auto"/>
          <w:sz w:val="24"/>
          <w:szCs w:val="24"/>
          <w:lang w:val="es-ES"/>
        </w:rPr>
      </w:pPr>
      <w:bookmarkStart w:id="37" w:name="_Toc226749122"/>
      <w:r w:rsidRPr="00191179">
        <w:rPr>
          <w:rFonts w:ascii="Times New Roman" w:hAnsi="Times New Roman" w:cs="Times New Roman"/>
          <w:b/>
          <w:bCs/>
          <w:color w:val="auto"/>
          <w:sz w:val="24"/>
          <w:szCs w:val="24"/>
          <w:lang w:val="es-ES"/>
        </w:rPr>
        <w:t>7.2. Futuras líneas de investigación</w:t>
      </w:r>
      <w:bookmarkEnd w:id="37"/>
    </w:p>
    <w:p w14:paraId="490DCCE9" w14:textId="77777777" w:rsidR="00191179" w:rsidRDefault="00191179" w:rsidP="00191179">
      <w:pPr>
        <w:rPr>
          <w:lang w:val="es-ES"/>
        </w:rPr>
      </w:pPr>
    </w:p>
    <w:p w14:paraId="6213C574" w14:textId="77777777" w:rsidR="00191179" w:rsidRDefault="00191179" w:rsidP="00191179">
      <w:pPr>
        <w:rPr>
          <w:lang w:val="es-ES"/>
        </w:rPr>
      </w:pPr>
    </w:p>
    <w:p w14:paraId="714631B1" w14:textId="77777777" w:rsidR="00191179" w:rsidRDefault="00191179" w:rsidP="00191179">
      <w:pPr>
        <w:rPr>
          <w:lang w:val="es-ES"/>
        </w:rPr>
      </w:pPr>
    </w:p>
    <w:p w14:paraId="2616DFB8" w14:textId="77777777" w:rsidR="00191179" w:rsidRDefault="00191179" w:rsidP="00191179">
      <w:pPr>
        <w:rPr>
          <w:lang w:val="es-ES"/>
        </w:rPr>
      </w:pPr>
    </w:p>
    <w:p w14:paraId="7755161B" w14:textId="77777777" w:rsidR="00191179" w:rsidRDefault="00191179" w:rsidP="00191179">
      <w:pPr>
        <w:rPr>
          <w:lang w:val="es-ES"/>
        </w:rPr>
      </w:pPr>
    </w:p>
    <w:p w14:paraId="0451B685" w14:textId="77777777" w:rsidR="00191179" w:rsidRDefault="00191179" w:rsidP="00191179">
      <w:pPr>
        <w:rPr>
          <w:lang w:val="es-ES"/>
        </w:rPr>
      </w:pPr>
    </w:p>
    <w:p w14:paraId="6F0D6B9C" w14:textId="77777777" w:rsidR="00191179" w:rsidRDefault="00191179" w:rsidP="00191179">
      <w:pPr>
        <w:rPr>
          <w:lang w:val="es-ES"/>
        </w:rPr>
      </w:pPr>
    </w:p>
    <w:p w14:paraId="194A9774" w14:textId="77777777" w:rsidR="00191179" w:rsidRDefault="00191179" w:rsidP="00191179">
      <w:pPr>
        <w:rPr>
          <w:lang w:val="es-ES"/>
        </w:rPr>
      </w:pPr>
    </w:p>
    <w:p w14:paraId="04F27161" w14:textId="77777777" w:rsidR="00191179" w:rsidRDefault="00191179" w:rsidP="00191179">
      <w:pPr>
        <w:rPr>
          <w:lang w:val="es-ES"/>
        </w:rPr>
      </w:pPr>
    </w:p>
    <w:p w14:paraId="09B19CE1" w14:textId="77777777" w:rsidR="00191179" w:rsidRDefault="00191179" w:rsidP="00191179">
      <w:pPr>
        <w:rPr>
          <w:lang w:val="es-ES"/>
        </w:rPr>
      </w:pPr>
    </w:p>
    <w:p w14:paraId="3CA330AB" w14:textId="77777777" w:rsidR="00191179" w:rsidRDefault="00191179" w:rsidP="00191179">
      <w:pPr>
        <w:rPr>
          <w:lang w:val="es-ES"/>
        </w:rPr>
      </w:pPr>
    </w:p>
    <w:p w14:paraId="124F4D83" w14:textId="77777777" w:rsidR="00191179" w:rsidRDefault="00191179" w:rsidP="00191179">
      <w:pPr>
        <w:rPr>
          <w:lang w:val="es-ES"/>
        </w:rPr>
      </w:pPr>
    </w:p>
    <w:p w14:paraId="5FE0F16B" w14:textId="77777777" w:rsidR="00191179" w:rsidRDefault="00191179" w:rsidP="00191179">
      <w:pPr>
        <w:rPr>
          <w:lang w:val="es-ES"/>
        </w:rPr>
      </w:pPr>
    </w:p>
    <w:p w14:paraId="170A9D0A" w14:textId="77777777" w:rsidR="00191179" w:rsidRDefault="00191179" w:rsidP="00191179">
      <w:pPr>
        <w:rPr>
          <w:lang w:val="es-ES"/>
        </w:rPr>
      </w:pPr>
    </w:p>
    <w:p w14:paraId="23D5B8EF" w14:textId="77777777" w:rsidR="00191179" w:rsidRDefault="00191179" w:rsidP="00191179">
      <w:pPr>
        <w:rPr>
          <w:lang w:val="es-ES"/>
        </w:rPr>
      </w:pPr>
    </w:p>
    <w:p w14:paraId="4BF0353E" w14:textId="77777777" w:rsidR="00191179" w:rsidRDefault="00191179" w:rsidP="00191179">
      <w:pPr>
        <w:rPr>
          <w:lang w:val="es-ES"/>
        </w:rPr>
      </w:pPr>
    </w:p>
    <w:p w14:paraId="7133ACF8" w14:textId="77777777" w:rsidR="00191179" w:rsidRDefault="00191179" w:rsidP="00191179">
      <w:pPr>
        <w:rPr>
          <w:lang w:val="es-ES"/>
        </w:rPr>
      </w:pPr>
    </w:p>
    <w:p w14:paraId="0322377C" w14:textId="77777777" w:rsidR="00191179" w:rsidRDefault="00191179" w:rsidP="00191179">
      <w:pPr>
        <w:rPr>
          <w:lang w:val="es-ES"/>
        </w:rPr>
      </w:pPr>
    </w:p>
    <w:p w14:paraId="337DE969" w14:textId="77777777" w:rsidR="00191179" w:rsidRDefault="00191179" w:rsidP="00191179">
      <w:pPr>
        <w:rPr>
          <w:lang w:val="es-ES"/>
        </w:rPr>
      </w:pPr>
    </w:p>
    <w:p w14:paraId="4CF10523" w14:textId="77777777" w:rsidR="00191179" w:rsidRDefault="00191179" w:rsidP="00191179">
      <w:pPr>
        <w:rPr>
          <w:lang w:val="es-ES"/>
        </w:rPr>
      </w:pPr>
    </w:p>
    <w:p w14:paraId="202ACCFD" w14:textId="77777777" w:rsidR="00191179" w:rsidRDefault="00191179" w:rsidP="00191179">
      <w:pPr>
        <w:rPr>
          <w:lang w:val="es-ES"/>
        </w:rPr>
      </w:pPr>
    </w:p>
    <w:p w14:paraId="064D4A9C" w14:textId="77777777" w:rsidR="00191179" w:rsidRDefault="00191179" w:rsidP="00191179">
      <w:pPr>
        <w:rPr>
          <w:lang w:val="es-ES"/>
        </w:rPr>
      </w:pPr>
    </w:p>
    <w:p w14:paraId="65AC1611" w14:textId="77777777" w:rsidR="00191179" w:rsidRPr="00191179" w:rsidRDefault="00191179" w:rsidP="00191179">
      <w:pPr>
        <w:rPr>
          <w:lang w:val="es-ES"/>
        </w:rPr>
      </w:pPr>
    </w:p>
    <w:p w14:paraId="2EEDF4C9" w14:textId="2031445F" w:rsidR="001D4D53" w:rsidRPr="00406584" w:rsidRDefault="0067224F" w:rsidP="00C03624">
      <w:pPr>
        <w:pStyle w:val="Ttulo1"/>
      </w:pPr>
      <w:bookmarkStart w:id="38" w:name="_Toc226749123"/>
      <w:commentRangeStart w:id="39"/>
      <w:r w:rsidRPr="00406584">
        <w:lastRenderedPageBreak/>
        <w:t>8</w:t>
      </w:r>
      <w:r w:rsidR="00B43A18" w:rsidRPr="00406584">
        <w:t xml:space="preserve">. </w:t>
      </w:r>
      <w:r w:rsidR="00EC46A7" w:rsidRPr="00406584">
        <w:t>Bibliografía</w:t>
      </w:r>
      <w:bookmarkEnd w:id="38"/>
      <w:commentRangeEnd w:id="39"/>
      <w:r w:rsidR="00B361FE" w:rsidRPr="00406584">
        <w:rPr>
          <w:rStyle w:val="Refdecomentario"/>
          <w:sz w:val="28"/>
          <w:szCs w:val="40"/>
        </w:rPr>
        <w:commentReference w:id="39"/>
      </w:r>
    </w:p>
    <w:p w14:paraId="05166E05" w14:textId="6767DDC3" w:rsidR="00120613" w:rsidRDefault="00AD7413" w:rsidP="00C03624">
      <w:pPr>
        <w:spacing w:line="360" w:lineRule="auto"/>
        <w:ind w:left="720" w:hanging="720"/>
        <w:rPr>
          <w:lang w:val="en-US"/>
        </w:rPr>
      </w:pPr>
      <w:r w:rsidRPr="00406584">
        <w:rPr>
          <w:lang w:val="es-ES"/>
        </w:rPr>
        <w:t xml:space="preserve">Abbott, K. W., Keohane, R. O., Moravcsik, A., Slaughter, A.-M., &amp; Snidal, D. (2000). </w:t>
      </w:r>
      <w:r w:rsidRPr="00AD7413">
        <w:rPr>
          <w:lang w:val="en-US"/>
        </w:rPr>
        <w:t xml:space="preserve">The concept of legalization. </w:t>
      </w:r>
      <w:r w:rsidRPr="00AD7413">
        <w:rPr>
          <w:i/>
          <w:iCs/>
          <w:lang w:val="en-US"/>
        </w:rPr>
        <w:t>International Organization, 54</w:t>
      </w:r>
      <w:r w:rsidRPr="00AD7413">
        <w:rPr>
          <w:lang w:val="en-US"/>
        </w:rPr>
        <w:t xml:space="preserve">(3), </w:t>
      </w:r>
      <w:r w:rsidR="00222C75">
        <w:rPr>
          <w:lang w:val="en-US"/>
        </w:rPr>
        <w:t xml:space="preserve">pp. </w:t>
      </w:r>
      <w:r w:rsidRPr="00AD7413">
        <w:rPr>
          <w:lang w:val="en-US"/>
        </w:rPr>
        <w:t>40</w:t>
      </w:r>
      <w:r>
        <w:rPr>
          <w:lang w:val="en-US"/>
        </w:rPr>
        <w:t>1-</w:t>
      </w:r>
      <w:r w:rsidRPr="00AD7413">
        <w:rPr>
          <w:lang w:val="en-US"/>
        </w:rPr>
        <w:t>419</w:t>
      </w:r>
      <w:r w:rsidR="00EB5B08">
        <w:rPr>
          <w:lang w:val="en-US"/>
        </w:rPr>
        <w:t>.</w:t>
      </w:r>
    </w:p>
    <w:p w14:paraId="4F536789" w14:textId="6884347A" w:rsidR="00217CE4" w:rsidRDefault="00217CE4" w:rsidP="00991286">
      <w:pPr>
        <w:spacing w:line="360" w:lineRule="auto"/>
        <w:ind w:left="720" w:hanging="720"/>
        <w:rPr>
          <w:lang w:val="en-US"/>
        </w:rPr>
      </w:pPr>
      <w:r>
        <w:rPr>
          <w:lang w:val="en-US"/>
        </w:rPr>
        <w:t>Auyong</w:t>
      </w:r>
      <w:r w:rsidR="00A91DD6" w:rsidRPr="00A91DD6">
        <w:rPr>
          <w:lang w:val="en-US"/>
        </w:rPr>
        <w:t xml:space="preserve">, H., &amp; Low, D. (2016). </w:t>
      </w:r>
      <w:r w:rsidR="00A91DD6" w:rsidRPr="00A91DD6">
        <w:rPr>
          <w:i/>
          <w:iCs/>
          <w:lang w:val="en-US"/>
        </w:rPr>
        <w:t>Singapore's productivity challenge: A historical perspective</w:t>
      </w:r>
      <w:r w:rsidR="00A91DD6" w:rsidRPr="00A91DD6">
        <w:rPr>
          <w:lang w:val="en-US"/>
        </w:rPr>
        <w:t>. Lee Kuan Yew School of Public Policy, National University of Singapore.</w:t>
      </w:r>
    </w:p>
    <w:p w14:paraId="04FDDDDE" w14:textId="5DA57806" w:rsidR="00CE6A37" w:rsidRDefault="002744E6" w:rsidP="00991286">
      <w:pPr>
        <w:spacing w:line="360" w:lineRule="auto"/>
        <w:ind w:left="720" w:hanging="720"/>
        <w:rPr>
          <w:lang w:val="en-US"/>
        </w:rPr>
      </w:pPr>
      <w:r w:rsidRPr="002744E6">
        <w:rPr>
          <w:lang w:val="en-US"/>
        </w:rPr>
        <w:t xml:space="preserve">Barr, M. D. (2000). Lee Kuan Yew and the "Asian values" debate. </w:t>
      </w:r>
      <w:r w:rsidRPr="002744E6">
        <w:rPr>
          <w:i/>
          <w:iCs/>
          <w:lang w:val="en-US"/>
        </w:rPr>
        <w:t>Asian Studies Review, 24</w:t>
      </w:r>
      <w:r w:rsidRPr="002744E6">
        <w:rPr>
          <w:lang w:val="en-US"/>
        </w:rPr>
        <w:t>(3).</w:t>
      </w:r>
    </w:p>
    <w:p w14:paraId="68C5459C" w14:textId="07323C90" w:rsidR="00E95400" w:rsidRDefault="00046E2D" w:rsidP="00991286">
      <w:pPr>
        <w:spacing w:line="360" w:lineRule="auto"/>
        <w:ind w:left="720" w:hanging="720"/>
        <w:rPr>
          <w:lang w:val="en-US"/>
        </w:rPr>
      </w:pPr>
      <w:r w:rsidRPr="00046E2D">
        <w:rPr>
          <w:lang w:val="en-US"/>
        </w:rPr>
        <w:t xml:space="preserve">Ewing-Chow, M. </w:t>
      </w:r>
      <w:r w:rsidR="003779FF">
        <w:rPr>
          <w:lang w:val="en-US"/>
        </w:rPr>
        <w:t>(</w:t>
      </w:r>
      <w:r w:rsidRPr="00046E2D">
        <w:rPr>
          <w:lang w:val="en-US"/>
        </w:rPr>
        <w:t>2007</w:t>
      </w:r>
      <w:r w:rsidR="003779FF">
        <w:rPr>
          <w:lang w:val="en-US"/>
        </w:rPr>
        <w:t>)</w:t>
      </w:r>
      <w:r w:rsidRPr="00046E2D">
        <w:rPr>
          <w:lang w:val="en-US"/>
        </w:rPr>
        <w:t>. Thesis, antithesis and synthesis: Investor protection in BITs, WTO and FTAs</w:t>
      </w:r>
      <w:r w:rsidR="00AD7413">
        <w:rPr>
          <w:lang w:val="en-US"/>
        </w:rPr>
        <w:t>.</w:t>
      </w:r>
      <w:r w:rsidRPr="00046E2D">
        <w:rPr>
          <w:lang w:val="en-US"/>
        </w:rPr>
        <w:t xml:space="preserve"> </w:t>
      </w:r>
      <w:r w:rsidRPr="00046E2D">
        <w:rPr>
          <w:i/>
          <w:iCs/>
          <w:lang w:val="en-US"/>
        </w:rPr>
        <w:t>UNSW Law Journal, 30</w:t>
      </w:r>
      <w:r w:rsidRPr="00046E2D">
        <w:rPr>
          <w:lang w:val="en-US"/>
        </w:rPr>
        <w:t xml:space="preserve">(2), </w:t>
      </w:r>
      <w:r>
        <w:rPr>
          <w:lang w:val="en-US"/>
        </w:rPr>
        <w:t xml:space="preserve">pp. </w:t>
      </w:r>
      <w:r w:rsidRPr="00046E2D">
        <w:rPr>
          <w:lang w:val="en-US"/>
        </w:rPr>
        <w:t>548</w:t>
      </w:r>
      <w:r>
        <w:rPr>
          <w:lang w:val="en-US"/>
        </w:rPr>
        <w:t>-</w:t>
      </w:r>
      <w:r w:rsidRPr="00046E2D">
        <w:rPr>
          <w:lang w:val="en-US"/>
        </w:rPr>
        <w:t>571</w:t>
      </w:r>
      <w:r w:rsidR="00AD7413">
        <w:rPr>
          <w:lang w:val="en-US"/>
        </w:rPr>
        <w:t>.</w:t>
      </w:r>
    </w:p>
    <w:p w14:paraId="08217856" w14:textId="09FB41C3" w:rsidR="004B6504" w:rsidRDefault="004B6504" w:rsidP="00991286">
      <w:pPr>
        <w:spacing w:line="360" w:lineRule="auto"/>
        <w:ind w:left="720" w:hanging="720"/>
        <w:rPr>
          <w:lang w:val="en-US"/>
        </w:rPr>
      </w:pPr>
      <w:r>
        <w:rPr>
          <w:lang w:val="en-US"/>
        </w:rPr>
        <w:t>Ewing</w:t>
      </w:r>
      <w:r w:rsidR="00103D84">
        <w:rPr>
          <w:lang w:val="en-US"/>
        </w:rPr>
        <w:t>-</w:t>
      </w:r>
      <w:r>
        <w:rPr>
          <w:lang w:val="en-US"/>
        </w:rPr>
        <w:t>Chow, M</w:t>
      </w:r>
      <w:r w:rsidR="009E1945">
        <w:rPr>
          <w:lang w:val="en-US"/>
        </w:rPr>
        <w:t xml:space="preserve">., Losari, J.J. &amp; </w:t>
      </w:r>
      <w:r w:rsidR="002D3E6F">
        <w:rPr>
          <w:lang w:val="en-US"/>
        </w:rPr>
        <w:t xml:space="preserve">Vilarasau, M. </w:t>
      </w:r>
      <w:r w:rsidR="003779FF">
        <w:rPr>
          <w:lang w:val="en-US"/>
        </w:rPr>
        <w:t>(</w:t>
      </w:r>
      <w:r w:rsidR="002D3E6F">
        <w:rPr>
          <w:lang w:val="en-US"/>
        </w:rPr>
        <w:t>2014</w:t>
      </w:r>
      <w:r w:rsidR="003779FF">
        <w:rPr>
          <w:lang w:val="en-US"/>
        </w:rPr>
        <w:t>)</w:t>
      </w:r>
      <w:r w:rsidR="002D3E6F">
        <w:rPr>
          <w:lang w:val="en-US"/>
        </w:rPr>
        <w:t xml:space="preserve">. </w:t>
      </w:r>
      <w:r w:rsidR="00991286" w:rsidRPr="00991286">
        <w:rPr>
          <w:lang w:val="en-US"/>
        </w:rPr>
        <w:t>The facilitation of trade by the rule of law:</w:t>
      </w:r>
      <w:r w:rsidR="00991286">
        <w:rPr>
          <w:lang w:val="en-US"/>
        </w:rPr>
        <w:t xml:space="preserve"> </w:t>
      </w:r>
      <w:r w:rsidR="00991286" w:rsidRPr="00991286">
        <w:rPr>
          <w:lang w:val="en-US"/>
        </w:rPr>
        <w:t>the cases of Singapore and ASEAN</w:t>
      </w:r>
      <w:r w:rsidR="00D24473">
        <w:rPr>
          <w:lang w:val="en-US"/>
        </w:rPr>
        <w:t>,</w:t>
      </w:r>
      <w:r w:rsidR="00991286">
        <w:rPr>
          <w:lang w:val="en-US"/>
        </w:rPr>
        <w:t xml:space="preserve"> </w:t>
      </w:r>
      <w:r w:rsidR="00945879" w:rsidRPr="00945879">
        <w:rPr>
          <w:i/>
          <w:iCs/>
          <w:lang w:val="en-US"/>
        </w:rPr>
        <w:t>Connecting to global markets</w:t>
      </w:r>
      <w:r w:rsidR="00945879">
        <w:rPr>
          <w:lang w:val="en-US"/>
        </w:rPr>
        <w:t xml:space="preserve">, </w:t>
      </w:r>
      <w:r w:rsidR="00945879" w:rsidRPr="00945879">
        <w:rPr>
          <w:lang w:val="en-US"/>
        </w:rPr>
        <w:t>pp. 129</w:t>
      </w:r>
      <w:r w:rsidR="00945879">
        <w:rPr>
          <w:lang w:val="en-US"/>
        </w:rPr>
        <w:t>-</w:t>
      </w:r>
      <w:r w:rsidR="00945879" w:rsidRPr="00945879">
        <w:rPr>
          <w:lang w:val="en-US"/>
        </w:rPr>
        <w:t>146. World Trade Organization.</w:t>
      </w:r>
    </w:p>
    <w:p w14:paraId="55AB113E" w14:textId="34D88F4E" w:rsidR="00945879" w:rsidRDefault="00E95400" w:rsidP="00991286">
      <w:pPr>
        <w:spacing w:line="360" w:lineRule="auto"/>
        <w:ind w:left="720" w:hanging="720"/>
        <w:rPr>
          <w:lang w:val="en-US"/>
        </w:rPr>
      </w:pPr>
      <w:r w:rsidRPr="00670ECD">
        <w:rPr>
          <w:lang w:val="en-US"/>
        </w:rPr>
        <w:t xml:space="preserve">Ewing-Chow, M., &amp; Tan, H.-L. </w:t>
      </w:r>
      <w:r w:rsidR="003779FF" w:rsidRPr="00670ECD">
        <w:rPr>
          <w:lang w:val="en-US"/>
        </w:rPr>
        <w:t>(</w:t>
      </w:r>
      <w:r w:rsidRPr="00670ECD">
        <w:rPr>
          <w:lang w:val="en-US"/>
        </w:rPr>
        <w:t>2013</w:t>
      </w:r>
      <w:r w:rsidR="00670ECD" w:rsidRPr="00670ECD">
        <w:rPr>
          <w:lang w:val="en-US"/>
        </w:rPr>
        <w:t>)</w:t>
      </w:r>
      <w:r w:rsidRPr="00670ECD">
        <w:rPr>
          <w:lang w:val="en-US"/>
        </w:rPr>
        <w:t xml:space="preserve">. </w:t>
      </w:r>
      <w:r w:rsidRPr="00670ECD">
        <w:rPr>
          <w:i/>
          <w:iCs/>
          <w:lang w:val="en-US"/>
        </w:rPr>
        <w:t>The role of the rule of law in ASEAN integration</w:t>
      </w:r>
      <w:r w:rsidR="00670ECD">
        <w:rPr>
          <w:lang w:val="en-US"/>
        </w:rPr>
        <w:t xml:space="preserve"> </w:t>
      </w:r>
      <w:r w:rsidR="00670ECD" w:rsidRPr="00670ECD">
        <w:rPr>
          <w:lang w:val="en-US"/>
        </w:rPr>
        <w:t>(</w:t>
      </w:r>
      <w:r w:rsidRPr="00670ECD">
        <w:rPr>
          <w:lang w:val="en-US"/>
        </w:rPr>
        <w:t>EUI Working Paper RSCAS 2013/16</w:t>
      </w:r>
      <w:r w:rsidR="00670ECD" w:rsidRPr="00670ECD">
        <w:rPr>
          <w:lang w:val="en-US"/>
        </w:rPr>
        <w:t>)</w:t>
      </w:r>
      <w:r w:rsidRPr="00670ECD">
        <w:rPr>
          <w:lang w:val="en-US"/>
        </w:rPr>
        <w:t>. European University Institute.</w:t>
      </w:r>
    </w:p>
    <w:p w14:paraId="0ACF573A" w14:textId="09E3FEDE" w:rsidR="002146B9" w:rsidRDefault="002146B9" w:rsidP="00C03624">
      <w:pPr>
        <w:spacing w:line="360" w:lineRule="auto"/>
        <w:ind w:left="720" w:hanging="720"/>
        <w:rPr>
          <w:lang w:val="en-US"/>
        </w:rPr>
      </w:pPr>
      <w:r w:rsidRPr="002146B9">
        <w:rPr>
          <w:lang w:val="en-US"/>
        </w:rPr>
        <w:t xml:space="preserve">Johnson, C. </w:t>
      </w:r>
      <w:r w:rsidR="00674376">
        <w:rPr>
          <w:lang w:val="en-US"/>
        </w:rPr>
        <w:t>(</w:t>
      </w:r>
      <w:r w:rsidRPr="002146B9">
        <w:rPr>
          <w:lang w:val="en-US"/>
        </w:rPr>
        <w:t>1982</w:t>
      </w:r>
      <w:r w:rsidR="00674376">
        <w:rPr>
          <w:lang w:val="en-US"/>
        </w:rPr>
        <w:t>)</w:t>
      </w:r>
      <w:r w:rsidRPr="002146B9">
        <w:rPr>
          <w:lang w:val="en-US"/>
        </w:rPr>
        <w:t>. M</w:t>
      </w:r>
      <w:r w:rsidRPr="002146B9">
        <w:rPr>
          <w:i/>
          <w:iCs/>
          <w:lang w:val="en-US"/>
        </w:rPr>
        <w:t>ITI and the Japanese miracle: The growth of industrial policy, 1925</w:t>
      </w:r>
      <w:r w:rsidR="00A20186">
        <w:rPr>
          <w:i/>
          <w:iCs/>
          <w:lang w:val="en-US"/>
        </w:rPr>
        <w:t>-</w:t>
      </w:r>
      <w:r w:rsidRPr="002146B9">
        <w:rPr>
          <w:i/>
          <w:iCs/>
          <w:lang w:val="en-US"/>
        </w:rPr>
        <w:t>1975</w:t>
      </w:r>
      <w:r w:rsidRPr="002146B9">
        <w:rPr>
          <w:lang w:val="en-US"/>
        </w:rPr>
        <w:t>. Stanford University Press.</w:t>
      </w:r>
    </w:p>
    <w:p w14:paraId="4347B064" w14:textId="5BEBC405" w:rsidR="006A3959" w:rsidRPr="000B4C4B" w:rsidRDefault="00923B82" w:rsidP="00C03624">
      <w:pPr>
        <w:spacing w:line="360" w:lineRule="auto"/>
        <w:ind w:left="720" w:hanging="720"/>
        <w:rPr>
          <w:lang w:val="en-US"/>
        </w:rPr>
      </w:pPr>
      <w:r w:rsidRPr="000B4C4B">
        <w:rPr>
          <w:lang w:val="en-US"/>
        </w:rPr>
        <w:t xml:space="preserve">Keohane, R. O. </w:t>
      </w:r>
      <w:r w:rsidR="0038208A">
        <w:rPr>
          <w:lang w:val="en-US"/>
        </w:rPr>
        <w:t>(</w:t>
      </w:r>
      <w:r w:rsidRPr="000B4C4B">
        <w:rPr>
          <w:lang w:val="en-US"/>
        </w:rPr>
        <w:t>1984</w:t>
      </w:r>
      <w:r w:rsidR="0038208A">
        <w:rPr>
          <w:lang w:val="en-US"/>
        </w:rPr>
        <w:t>)</w:t>
      </w:r>
      <w:r w:rsidR="000B4C4B" w:rsidRPr="000B4C4B">
        <w:rPr>
          <w:lang w:val="en-US"/>
        </w:rPr>
        <w:t xml:space="preserve">. </w:t>
      </w:r>
      <w:r w:rsidR="000B4C4B" w:rsidRPr="00EE5D26">
        <w:rPr>
          <w:i/>
          <w:iCs/>
          <w:lang w:val="en-US"/>
        </w:rPr>
        <w:t>After Hegemony: Cooperation and Discord in the World Political Economy</w:t>
      </w:r>
      <w:r w:rsidR="000B4C4B">
        <w:rPr>
          <w:lang w:val="en-US"/>
        </w:rPr>
        <w:t>.</w:t>
      </w:r>
      <w:r w:rsidR="00EE5D26">
        <w:rPr>
          <w:lang w:val="en-US"/>
        </w:rPr>
        <w:t xml:space="preserve"> </w:t>
      </w:r>
      <w:r w:rsidR="000B4C4B" w:rsidRPr="000B4C4B">
        <w:rPr>
          <w:lang w:val="en-US"/>
        </w:rPr>
        <w:t>Princeton University Press.</w:t>
      </w:r>
    </w:p>
    <w:p w14:paraId="7EA58EAB" w14:textId="421E5E71" w:rsidR="00447FC6" w:rsidRPr="000B314F" w:rsidRDefault="00447FC6" w:rsidP="00C03624">
      <w:pPr>
        <w:spacing w:line="360" w:lineRule="auto"/>
        <w:ind w:left="720" w:hanging="720"/>
        <w:rPr>
          <w:lang w:val="en-US"/>
        </w:rPr>
      </w:pPr>
      <w:r w:rsidRPr="00BE6A54">
        <w:rPr>
          <w:lang w:val="en-US"/>
        </w:rPr>
        <w:t>Lee</w:t>
      </w:r>
      <w:r w:rsidR="001242F4">
        <w:rPr>
          <w:lang w:val="en-US"/>
        </w:rPr>
        <w:t>, K. Y</w:t>
      </w:r>
      <w:r w:rsidRPr="00BE6A54">
        <w:rPr>
          <w:lang w:val="en-US"/>
        </w:rPr>
        <w:t xml:space="preserve">. </w:t>
      </w:r>
      <w:r w:rsidR="00684A35" w:rsidRPr="00BE6A54">
        <w:rPr>
          <w:lang w:val="en-US"/>
        </w:rPr>
        <w:t>(</w:t>
      </w:r>
      <w:r w:rsidRPr="00BE6A54">
        <w:rPr>
          <w:lang w:val="en-US"/>
        </w:rPr>
        <w:t>2000</w:t>
      </w:r>
      <w:r w:rsidR="00684A35" w:rsidRPr="00BE6A54">
        <w:rPr>
          <w:lang w:val="en-US"/>
        </w:rPr>
        <w:t>)</w:t>
      </w:r>
      <w:r w:rsidRPr="00BE6A54">
        <w:rPr>
          <w:lang w:val="en-US"/>
        </w:rPr>
        <w:t xml:space="preserve">. </w:t>
      </w:r>
      <w:r w:rsidR="00FF02B6" w:rsidRPr="000B314F">
        <w:rPr>
          <w:i/>
          <w:iCs/>
          <w:lang w:val="en-US"/>
        </w:rPr>
        <w:t>From Third World to first: The Singapore story: 1965</w:t>
      </w:r>
      <w:r w:rsidR="00A20186">
        <w:rPr>
          <w:i/>
          <w:iCs/>
          <w:lang w:val="en-US"/>
        </w:rPr>
        <w:t>-</w:t>
      </w:r>
      <w:r w:rsidR="00FF02B6" w:rsidRPr="000B314F">
        <w:rPr>
          <w:i/>
          <w:iCs/>
          <w:lang w:val="en-US"/>
        </w:rPr>
        <w:t>2000</w:t>
      </w:r>
      <w:r w:rsidR="00FF02B6" w:rsidRPr="00FF02B6">
        <w:rPr>
          <w:lang w:val="en-US"/>
        </w:rPr>
        <w:t xml:space="preserve">. </w:t>
      </w:r>
      <w:r w:rsidR="00FF02B6" w:rsidRPr="000B314F">
        <w:rPr>
          <w:lang w:val="en-US"/>
        </w:rPr>
        <w:t>HarperCollins Publishers.</w:t>
      </w:r>
    </w:p>
    <w:p w14:paraId="47DC2C1C" w14:textId="117CA82C" w:rsidR="00D4377F" w:rsidRDefault="00D4377F" w:rsidP="00C03624">
      <w:pPr>
        <w:spacing w:line="360" w:lineRule="auto"/>
        <w:ind w:left="720" w:hanging="720"/>
        <w:rPr>
          <w:lang w:val="en-US"/>
        </w:rPr>
      </w:pPr>
      <w:r w:rsidRPr="000B314F">
        <w:rPr>
          <w:lang w:val="en-US"/>
        </w:rPr>
        <w:t xml:space="preserve">Leifer, M. </w:t>
      </w:r>
      <w:r w:rsidR="00684A35">
        <w:rPr>
          <w:lang w:val="en-US"/>
        </w:rPr>
        <w:t>(</w:t>
      </w:r>
      <w:r w:rsidRPr="000B314F">
        <w:rPr>
          <w:lang w:val="en-US"/>
        </w:rPr>
        <w:t>2000</w:t>
      </w:r>
      <w:r w:rsidR="00684A35">
        <w:rPr>
          <w:lang w:val="en-US"/>
        </w:rPr>
        <w:t>)</w:t>
      </w:r>
      <w:r w:rsidRPr="000B314F">
        <w:rPr>
          <w:lang w:val="en-US"/>
        </w:rPr>
        <w:t xml:space="preserve">. </w:t>
      </w:r>
      <w:r w:rsidR="000B314F" w:rsidRPr="000B314F">
        <w:rPr>
          <w:i/>
          <w:iCs/>
          <w:lang w:val="en-US"/>
        </w:rPr>
        <w:t>Singapore’s foreign policy: Coping with vulnerability</w:t>
      </w:r>
      <w:r w:rsidR="000B314F" w:rsidRPr="000B314F">
        <w:rPr>
          <w:lang w:val="en-US"/>
        </w:rPr>
        <w:t xml:space="preserve">. </w:t>
      </w:r>
      <w:r w:rsidR="000B314F" w:rsidRPr="00CD4F7B">
        <w:rPr>
          <w:lang w:val="en-US"/>
        </w:rPr>
        <w:t>Routledge.</w:t>
      </w:r>
    </w:p>
    <w:p w14:paraId="6F5A1073" w14:textId="53814F90" w:rsidR="0058346E" w:rsidRPr="00B37F02" w:rsidRDefault="00AF3B19" w:rsidP="00C03624">
      <w:pPr>
        <w:spacing w:line="360" w:lineRule="auto"/>
        <w:ind w:left="720" w:hanging="720"/>
        <w:rPr>
          <w:lang w:val="en-US"/>
        </w:rPr>
      </w:pPr>
      <w:r w:rsidRPr="00AF3B19">
        <w:rPr>
          <w:lang w:val="en-US"/>
        </w:rPr>
        <w:t xml:space="preserve">Lim, C. L. </w:t>
      </w:r>
      <w:r w:rsidR="00684A35">
        <w:rPr>
          <w:lang w:val="en-US"/>
        </w:rPr>
        <w:t>(</w:t>
      </w:r>
      <w:r w:rsidRPr="00AF3B19">
        <w:rPr>
          <w:lang w:val="en-US"/>
        </w:rPr>
        <w:t>2011</w:t>
      </w:r>
      <w:r w:rsidR="00684A35">
        <w:rPr>
          <w:lang w:val="en-US"/>
        </w:rPr>
        <w:t>)</w:t>
      </w:r>
      <w:r w:rsidRPr="00AF3B19">
        <w:rPr>
          <w:lang w:val="en-US"/>
        </w:rPr>
        <w:t xml:space="preserve">. East Asia's engagement with cosmopolitan ideals under its trade treaty dispute provisions. </w:t>
      </w:r>
      <w:r w:rsidRPr="00B37F02">
        <w:rPr>
          <w:i/>
          <w:iCs/>
          <w:lang w:val="en-US"/>
        </w:rPr>
        <w:t>McGill Law Journal, 56</w:t>
      </w:r>
      <w:r w:rsidRPr="00B37F02">
        <w:rPr>
          <w:lang w:val="en-US"/>
        </w:rPr>
        <w:t xml:space="preserve">(4), </w:t>
      </w:r>
      <w:r w:rsidR="000C4555">
        <w:rPr>
          <w:lang w:val="en-US"/>
        </w:rPr>
        <w:t xml:space="preserve">pp. </w:t>
      </w:r>
      <w:r w:rsidRPr="00B37F02">
        <w:rPr>
          <w:lang w:val="en-US"/>
        </w:rPr>
        <w:t>821-862.</w:t>
      </w:r>
    </w:p>
    <w:p w14:paraId="7275B958" w14:textId="4E36EBA3" w:rsidR="00E6444B" w:rsidRDefault="00E6444B" w:rsidP="00C03624">
      <w:pPr>
        <w:spacing w:line="360" w:lineRule="auto"/>
        <w:ind w:left="720" w:hanging="720"/>
        <w:rPr>
          <w:lang w:val="en-US"/>
        </w:rPr>
      </w:pPr>
      <w:r w:rsidRPr="00B37F02">
        <w:rPr>
          <w:lang w:val="en-US"/>
        </w:rPr>
        <w:t>North, D.</w:t>
      </w:r>
      <w:r w:rsidR="00786068">
        <w:rPr>
          <w:lang w:val="en-US"/>
        </w:rPr>
        <w:t xml:space="preserve"> C.</w:t>
      </w:r>
      <w:r w:rsidRPr="00B37F02">
        <w:rPr>
          <w:lang w:val="en-US"/>
        </w:rPr>
        <w:t xml:space="preserve"> </w:t>
      </w:r>
      <w:r w:rsidR="00674376">
        <w:rPr>
          <w:lang w:val="en-US"/>
        </w:rPr>
        <w:t>(</w:t>
      </w:r>
      <w:r w:rsidRPr="00B37F02">
        <w:rPr>
          <w:lang w:val="en-US"/>
        </w:rPr>
        <w:t>1990</w:t>
      </w:r>
      <w:r w:rsidR="00674376">
        <w:rPr>
          <w:lang w:val="en-US"/>
        </w:rPr>
        <w:t>)</w:t>
      </w:r>
      <w:r w:rsidRPr="00B37F02">
        <w:rPr>
          <w:lang w:val="en-US"/>
        </w:rPr>
        <w:t xml:space="preserve">. </w:t>
      </w:r>
      <w:r w:rsidRPr="00EE5D26">
        <w:rPr>
          <w:i/>
          <w:iCs/>
          <w:lang w:val="en-US"/>
        </w:rPr>
        <w:t>Institutions, institutional change and economic performance</w:t>
      </w:r>
      <w:r w:rsidRPr="00E6444B">
        <w:rPr>
          <w:lang w:val="en-US"/>
        </w:rPr>
        <w:t>. Cambridge University Press.</w:t>
      </w:r>
    </w:p>
    <w:p w14:paraId="13638ECE" w14:textId="0F0B3E32" w:rsidR="00975EB3" w:rsidRPr="00CD4F7B" w:rsidRDefault="00975EB3" w:rsidP="00C03624">
      <w:pPr>
        <w:spacing w:line="360" w:lineRule="auto"/>
        <w:ind w:left="720" w:hanging="720"/>
        <w:rPr>
          <w:lang w:val="en-US"/>
        </w:rPr>
      </w:pPr>
      <w:r w:rsidRPr="00975EB3">
        <w:rPr>
          <w:lang w:val="en-US"/>
        </w:rPr>
        <w:t xml:space="preserve">Omony Kerali, O. G. (2020). </w:t>
      </w:r>
      <w:r w:rsidRPr="00975EB3">
        <w:rPr>
          <w:i/>
          <w:iCs/>
          <w:lang w:val="en-US"/>
        </w:rPr>
        <w:t>Analysis of the role of state intervention in attracting foreign direct investment and multinational corporations: A single case study of Singapore: 1965-2019</w:t>
      </w:r>
      <w:r>
        <w:rPr>
          <w:lang w:val="en-US"/>
        </w:rPr>
        <w:t xml:space="preserve">. </w:t>
      </w:r>
      <w:r w:rsidRPr="00975EB3">
        <w:rPr>
          <w:lang w:val="en-US"/>
        </w:rPr>
        <w:t>Stockholm University.</w:t>
      </w:r>
    </w:p>
    <w:p w14:paraId="4080560C" w14:textId="251BDECC" w:rsidR="006C7F72" w:rsidRDefault="006C7F72" w:rsidP="00C03624">
      <w:pPr>
        <w:spacing w:line="360" w:lineRule="auto"/>
        <w:ind w:left="720" w:hanging="720"/>
        <w:rPr>
          <w:lang w:val="en-US"/>
        </w:rPr>
      </w:pPr>
      <w:r w:rsidRPr="006C7F72">
        <w:rPr>
          <w:lang w:val="en-US"/>
        </w:rPr>
        <w:lastRenderedPageBreak/>
        <w:t xml:space="preserve">Rodan, G. </w:t>
      </w:r>
      <w:r w:rsidR="00674376">
        <w:rPr>
          <w:lang w:val="en-US"/>
        </w:rPr>
        <w:t>(</w:t>
      </w:r>
      <w:r w:rsidRPr="006C7F72">
        <w:rPr>
          <w:lang w:val="en-US"/>
        </w:rPr>
        <w:t>1986</w:t>
      </w:r>
      <w:r w:rsidR="00674376">
        <w:rPr>
          <w:lang w:val="en-US"/>
        </w:rPr>
        <w:t>)</w:t>
      </w:r>
      <w:r w:rsidRPr="006C7F72">
        <w:rPr>
          <w:lang w:val="en-US"/>
        </w:rPr>
        <w:t xml:space="preserve">. </w:t>
      </w:r>
      <w:r w:rsidRPr="006C7F72">
        <w:rPr>
          <w:i/>
          <w:iCs/>
          <w:lang w:val="en-US"/>
        </w:rPr>
        <w:t>The political economy of Singapore’s industrialisation: State policy and international capital investment</w:t>
      </w:r>
      <w:r w:rsidRPr="006C7F72">
        <w:rPr>
          <w:lang w:val="en-US"/>
        </w:rPr>
        <w:t xml:space="preserve">. </w:t>
      </w:r>
      <w:r w:rsidRPr="00370AF3">
        <w:rPr>
          <w:lang w:val="en-US"/>
        </w:rPr>
        <w:t>Murdoch University Research Repository.</w:t>
      </w:r>
    </w:p>
    <w:p w14:paraId="28BEB86C" w14:textId="46036CAD" w:rsidR="00517662" w:rsidRDefault="00517662" w:rsidP="00C03624">
      <w:pPr>
        <w:spacing w:line="360" w:lineRule="auto"/>
        <w:ind w:left="720" w:hanging="720"/>
        <w:rPr>
          <w:lang w:val="en-US"/>
        </w:rPr>
      </w:pPr>
      <w:r w:rsidRPr="00517662">
        <w:rPr>
          <w:lang w:val="en-US"/>
        </w:rPr>
        <w:t xml:space="preserve">Salazar, A. D., Jr. (2023). Rethinking the developmental state framework in a globalized world: Insights from the Singapore education policy. </w:t>
      </w:r>
      <w:r w:rsidRPr="00517662">
        <w:rPr>
          <w:i/>
          <w:iCs/>
          <w:lang w:val="en-US"/>
        </w:rPr>
        <w:t>Journal of Public Administration, Public Affairs, and Management, 21</w:t>
      </w:r>
      <w:r w:rsidRPr="00517662">
        <w:rPr>
          <w:lang w:val="en-US"/>
        </w:rPr>
        <w:t xml:space="preserve">(2), </w:t>
      </w:r>
      <w:r>
        <w:rPr>
          <w:lang w:val="en-US"/>
        </w:rPr>
        <w:t xml:space="preserve">pp. </w:t>
      </w:r>
      <w:r w:rsidRPr="00517662">
        <w:rPr>
          <w:lang w:val="en-US"/>
        </w:rPr>
        <w:t>273–296.</w:t>
      </w:r>
    </w:p>
    <w:p w14:paraId="0249423D" w14:textId="354F00AD" w:rsidR="00D14969" w:rsidRDefault="00D14969" w:rsidP="00C03624">
      <w:pPr>
        <w:spacing w:line="360" w:lineRule="auto"/>
        <w:ind w:left="720" w:hanging="720"/>
        <w:rPr>
          <w:lang w:val="en-US"/>
        </w:rPr>
      </w:pPr>
      <w:r w:rsidRPr="00D14969">
        <w:rPr>
          <w:lang w:val="en-US"/>
        </w:rPr>
        <w:t xml:space="preserve">Soon, T.-W., &amp; Tan, C. S. (1993). </w:t>
      </w:r>
      <w:r w:rsidRPr="00D14969">
        <w:rPr>
          <w:i/>
          <w:iCs/>
          <w:lang w:val="en-US"/>
        </w:rPr>
        <w:t>The lessons of East Asia: Singapore public policy and economic development</w:t>
      </w:r>
      <w:r w:rsidRPr="00D14969">
        <w:rPr>
          <w:lang w:val="en-US"/>
        </w:rPr>
        <w:t>. World Bank.</w:t>
      </w:r>
    </w:p>
    <w:p w14:paraId="3DA0AA61" w14:textId="1A20DA20" w:rsidR="009C4FFF" w:rsidRDefault="009C4FFF" w:rsidP="00C03624">
      <w:pPr>
        <w:spacing w:line="360" w:lineRule="auto"/>
        <w:ind w:left="720" w:hanging="720"/>
        <w:rPr>
          <w:lang w:val="en-US"/>
        </w:rPr>
      </w:pPr>
      <w:r w:rsidRPr="009C4FFF">
        <w:rPr>
          <w:lang w:val="en-US"/>
        </w:rPr>
        <w:t xml:space="preserve">Tan, A. (2024). Konfrontasi: Singapore's experience of an undeclared war. </w:t>
      </w:r>
      <w:r w:rsidRPr="00506F78">
        <w:rPr>
          <w:i/>
          <w:iCs/>
          <w:lang w:val="en-US"/>
        </w:rPr>
        <w:t>BiblioAsia, 19</w:t>
      </w:r>
      <w:r w:rsidRPr="009C4FFF">
        <w:rPr>
          <w:lang w:val="en-US"/>
        </w:rPr>
        <w:t>(4)</w:t>
      </w:r>
      <w:r>
        <w:rPr>
          <w:lang w:val="en-US"/>
        </w:rPr>
        <w:t xml:space="preserve">. </w:t>
      </w:r>
      <w:r w:rsidR="00141846">
        <w:rPr>
          <w:lang w:val="en-US"/>
        </w:rPr>
        <w:t xml:space="preserve">National Library Singapore. </w:t>
      </w:r>
      <w:hyperlink r:id="rId19" w:history="1">
        <w:r w:rsidR="00141846" w:rsidRPr="00FF09A5">
          <w:rPr>
            <w:rStyle w:val="Hipervnculo"/>
            <w:lang w:val="en-US"/>
          </w:rPr>
          <w:t>https://biblioasia.nlb.gov.sg/vol-19/issue-4/jan-mar-2024/singapore-malaysia-indonesia-konfrontasi-confrontation/</w:t>
        </w:r>
      </w:hyperlink>
    </w:p>
    <w:p w14:paraId="14E9CA0A" w14:textId="7C9B893F" w:rsidR="00725DA2" w:rsidRDefault="00725DA2" w:rsidP="00C03624">
      <w:pPr>
        <w:spacing w:line="360" w:lineRule="auto"/>
        <w:ind w:left="720" w:hanging="720"/>
        <w:rPr>
          <w:lang w:val="en-US"/>
        </w:rPr>
      </w:pPr>
      <w:r w:rsidRPr="00725DA2">
        <w:rPr>
          <w:lang w:val="en-US"/>
        </w:rPr>
        <w:t xml:space="preserve">World Bank. (1993). </w:t>
      </w:r>
      <w:r w:rsidRPr="00725DA2">
        <w:rPr>
          <w:i/>
          <w:iCs/>
          <w:lang w:val="en-US"/>
        </w:rPr>
        <w:t>The East Asian miracle: Economic growth and public policy</w:t>
      </w:r>
      <w:r w:rsidRPr="00725DA2">
        <w:rPr>
          <w:lang w:val="en-US"/>
        </w:rPr>
        <w:t>. Oxford University Press.</w:t>
      </w:r>
    </w:p>
    <w:p w14:paraId="49C7CCE4" w14:textId="19503BB8" w:rsidR="00370AF3" w:rsidRPr="00370AF3" w:rsidRDefault="00B36535" w:rsidP="00191179">
      <w:pPr>
        <w:spacing w:line="360" w:lineRule="auto"/>
        <w:ind w:left="720" w:hanging="720"/>
        <w:rPr>
          <w:lang w:val="en-US"/>
        </w:rPr>
      </w:pPr>
      <w:r w:rsidRPr="00B36535">
        <w:rPr>
          <w:lang w:val="en-US"/>
        </w:rPr>
        <w:t xml:space="preserve">Yeung, H. W.-C. (2005). Institutional capacity and Singapore's developmental state: Managing economic (in)security in the global economy. En H. E. S. Nesadurai (Ed.), </w:t>
      </w:r>
      <w:r w:rsidRPr="00B36535">
        <w:rPr>
          <w:i/>
          <w:iCs/>
          <w:lang w:val="en-US"/>
        </w:rPr>
        <w:t>Globalisation and economic security in East Asia: Governance and institutions</w:t>
      </w:r>
      <w:r>
        <w:rPr>
          <w:lang w:val="en-US"/>
        </w:rPr>
        <w:t xml:space="preserve">, </w:t>
      </w:r>
      <w:r w:rsidRPr="00B36535">
        <w:rPr>
          <w:lang w:val="en-US"/>
        </w:rPr>
        <w:t>pp. 85</w:t>
      </w:r>
      <w:r>
        <w:rPr>
          <w:lang w:val="en-US"/>
        </w:rPr>
        <w:t>-</w:t>
      </w:r>
      <w:r w:rsidRPr="00B36535">
        <w:rPr>
          <w:lang w:val="en-US"/>
        </w:rPr>
        <w:t>106. Routledge.</w:t>
      </w:r>
    </w:p>
    <w:sectPr w:rsidR="00370AF3" w:rsidRPr="00370AF3">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Santiago Jiménez Sánchez" w:date="2026-01-23T17:00:00Z" w:initials="SJ">
    <w:p w14:paraId="7800D651" w14:textId="77777777" w:rsidR="000C48E0" w:rsidRPr="006010A9" w:rsidRDefault="000C48E0" w:rsidP="000C48E0">
      <w:pPr>
        <w:pStyle w:val="Textocomentario"/>
        <w:jc w:val="left"/>
        <w:rPr>
          <w:lang w:val="es-ES"/>
        </w:rPr>
      </w:pPr>
      <w:r>
        <w:rPr>
          <w:rStyle w:val="Refdecomentario"/>
        </w:rPr>
        <w:annotationRef/>
      </w:r>
      <w:r w:rsidRPr="006010A9">
        <w:rPr>
          <w:lang w:val="es-ES"/>
        </w:rPr>
        <w:t>Multiculturalidad (idiomas)</w:t>
      </w:r>
    </w:p>
  </w:comment>
  <w:comment w:id="1" w:author="Irene Lorenzo" w:date="2026-02-03T13:34:00Z" w:initials="IL">
    <w:p w14:paraId="4AEA7B0B" w14:textId="77777777" w:rsidR="00433904" w:rsidRPr="00D0019F" w:rsidRDefault="00433904">
      <w:pPr>
        <w:pStyle w:val="Textocomentario"/>
        <w:rPr>
          <w:lang w:val="es-ES"/>
        </w:rPr>
      </w:pPr>
      <w:r>
        <w:rPr>
          <w:rStyle w:val="Refdecomentario"/>
        </w:rPr>
        <w:annotationRef/>
      </w:r>
      <w:r w:rsidRPr="00D0019F">
        <w:rPr>
          <w:lang w:val="es-ES"/>
        </w:rPr>
        <w:t xml:space="preserve">Puesto que se trata de un </w:t>
      </w:r>
      <w:r>
        <w:rPr>
          <w:lang w:val="es-ES"/>
        </w:rPr>
        <w:t>trabajo sobre estos Acuerdos, recomendaría ponerlos en inglés y en español.</w:t>
      </w:r>
    </w:p>
  </w:comment>
  <w:comment w:id="2" w:author="Santiago Jiménez Sánchez" w:date="2026-02-26T19:05:00Z" w:initials="SJ">
    <w:p w14:paraId="71B210DB" w14:textId="77777777" w:rsidR="00C6128A" w:rsidRPr="006010A9" w:rsidRDefault="00C6128A" w:rsidP="00C6128A">
      <w:pPr>
        <w:pStyle w:val="Textocomentario"/>
        <w:jc w:val="left"/>
        <w:rPr>
          <w:lang w:val="es-ES"/>
        </w:rPr>
      </w:pPr>
      <w:r>
        <w:rPr>
          <w:rStyle w:val="Refdecomentario"/>
        </w:rPr>
        <w:annotationRef/>
      </w:r>
      <w:r w:rsidRPr="006010A9">
        <w:rPr>
          <w:lang w:val="es-ES"/>
        </w:rPr>
        <w:t>Hecho</w:t>
      </w:r>
    </w:p>
  </w:comment>
  <w:comment w:id="3" w:author="Irene Lorenzo" w:date="2026-02-03T13:37:00Z" w:initials="IL">
    <w:p w14:paraId="207F35E1" w14:textId="77777777" w:rsidR="00433904" w:rsidRPr="00D0019F" w:rsidRDefault="00433904">
      <w:pPr>
        <w:pStyle w:val="Textocomentario"/>
        <w:rPr>
          <w:lang w:val="es-ES"/>
        </w:rPr>
      </w:pPr>
      <w:r>
        <w:rPr>
          <w:rStyle w:val="Refdecomentario"/>
        </w:rPr>
        <w:annotationRef/>
      </w:r>
      <w:r w:rsidRPr="00D0019F">
        <w:rPr>
          <w:lang w:val="es-ES"/>
        </w:rPr>
        <w:t>Esto debe ayudarte a terminar el e</w:t>
      </w:r>
      <w:r>
        <w:rPr>
          <w:lang w:val="es-ES"/>
        </w:rPr>
        <w:t>squema, pues el trabajo está en fase inicial. Lo hablaremos en tutoría.</w:t>
      </w:r>
    </w:p>
  </w:comment>
  <w:comment w:id="4" w:author="Santiago Jiménez Sánchez" w:date="2026-02-16T20:12:00Z" w:initials="SJ">
    <w:p w14:paraId="67D6A4D0" w14:textId="77777777" w:rsidR="00840A1C" w:rsidRPr="006010A9" w:rsidRDefault="00840A1C" w:rsidP="00840A1C">
      <w:pPr>
        <w:pStyle w:val="Textocomentario"/>
        <w:jc w:val="left"/>
        <w:rPr>
          <w:lang w:val="es-ES"/>
        </w:rPr>
      </w:pPr>
      <w:r>
        <w:rPr>
          <w:rStyle w:val="Refdecomentario"/>
        </w:rPr>
        <w:annotationRef/>
      </w:r>
      <w:r w:rsidRPr="006010A9">
        <w:rPr>
          <w:lang w:val="es-ES"/>
        </w:rPr>
        <w:t>Juicio crítico, valoración personal. Tras terminar el trabajo, pulir la introducción.</w:t>
      </w:r>
    </w:p>
    <w:p w14:paraId="307DB893" w14:textId="77777777" w:rsidR="00840A1C" w:rsidRPr="006010A9" w:rsidRDefault="00840A1C" w:rsidP="00840A1C">
      <w:pPr>
        <w:pStyle w:val="Textocomentario"/>
        <w:jc w:val="left"/>
        <w:rPr>
          <w:lang w:val="es-ES"/>
        </w:rPr>
      </w:pPr>
    </w:p>
    <w:p w14:paraId="70FA0A07" w14:textId="77777777" w:rsidR="00840A1C" w:rsidRPr="006010A9" w:rsidRDefault="00840A1C" w:rsidP="00840A1C">
      <w:pPr>
        <w:pStyle w:val="Textocomentario"/>
        <w:jc w:val="left"/>
        <w:rPr>
          <w:lang w:val="es-ES"/>
        </w:rPr>
      </w:pPr>
      <w:r w:rsidRPr="006010A9">
        <w:rPr>
          <w:lang w:val="es-ES"/>
        </w:rPr>
        <w:t>Definir objetivos posteriormente, objetivos especificos que pueden coincidir con la estructura.</w:t>
      </w:r>
    </w:p>
  </w:comment>
  <w:comment w:id="5" w:author="Irene Lorenzo" w:date="2026-03-27T12:56:00Z" w:initials="IL">
    <w:p w14:paraId="3334A87C" w14:textId="0ED1DF29" w:rsidR="006010A9" w:rsidRPr="006010A9" w:rsidRDefault="006010A9">
      <w:pPr>
        <w:pStyle w:val="Textocomentario"/>
        <w:rPr>
          <w:lang w:val="es-ES"/>
        </w:rPr>
      </w:pPr>
      <w:r>
        <w:rPr>
          <w:rStyle w:val="Refdecomentario"/>
        </w:rPr>
        <w:annotationRef/>
      </w:r>
      <w:r w:rsidRPr="006010A9">
        <w:rPr>
          <w:lang w:val="es-ES"/>
        </w:rPr>
        <w:t>Comprobar el aspect formal, tipo de le</w:t>
      </w:r>
      <w:r>
        <w:rPr>
          <w:lang w:val="es-ES"/>
        </w:rPr>
        <w:t>tra y demás con lo indicado en la Guía docente.</w:t>
      </w:r>
    </w:p>
  </w:comment>
  <w:comment w:id="7" w:author="Santiago Jiménez Sánchez" w:date="2026-03-25T22:39:00Z" w:initials="SJ">
    <w:p w14:paraId="7CEBD3BB" w14:textId="77777777" w:rsidR="007B2E96" w:rsidRPr="006010A9" w:rsidRDefault="0051512A" w:rsidP="007B2E96">
      <w:pPr>
        <w:pStyle w:val="Textocomentario"/>
        <w:jc w:val="left"/>
        <w:rPr>
          <w:lang w:val="es-ES"/>
        </w:rPr>
      </w:pPr>
      <w:r>
        <w:rPr>
          <w:rStyle w:val="Refdecomentario"/>
        </w:rPr>
        <w:annotationRef/>
      </w:r>
      <w:r w:rsidR="007B2E96" w:rsidRPr="006010A9">
        <w:rPr>
          <w:lang w:val="es-ES"/>
        </w:rPr>
        <w:t>Es este texto introductorio suprimible al tener un resumen previamente? O deberia unificarse todo?</w:t>
      </w:r>
    </w:p>
  </w:comment>
  <w:comment w:id="8" w:author="Irene Lorenzo" w:date="2026-02-03T13:38:00Z" w:initials="IL">
    <w:p w14:paraId="3DBB2D80" w14:textId="3B58B4E4" w:rsidR="00452B84" w:rsidRPr="00D0019F" w:rsidRDefault="00452B84">
      <w:pPr>
        <w:pStyle w:val="Textocomentario"/>
        <w:rPr>
          <w:lang w:val="es-ES"/>
        </w:rPr>
      </w:pPr>
      <w:r>
        <w:rPr>
          <w:rStyle w:val="Refdecomentario"/>
        </w:rPr>
        <w:annotationRef/>
      </w:r>
      <w:r w:rsidRPr="00D0019F">
        <w:rPr>
          <w:lang w:val="es-ES"/>
        </w:rPr>
        <w:t>Introducción. Esta debe contener lo indicado en el Regla</w:t>
      </w:r>
      <w:r>
        <w:rPr>
          <w:lang w:val="es-ES"/>
        </w:rPr>
        <w:t>mento; nomalmente se incluye una justificación del tema elegido, una necesidad o un problema que se plantea que haga necesario este trabajo de investigación. A continuación, el objetivo general, los objetivos específicos y la metodología.</w:t>
      </w:r>
    </w:p>
  </w:comment>
  <w:comment w:id="14" w:author="Irene Lorenzo" w:date="2026-03-27T18:27:00Z" w:initials="IL">
    <w:p w14:paraId="12547091" w14:textId="41F9B19A" w:rsidR="009B5016" w:rsidRPr="009B5016" w:rsidRDefault="009B5016">
      <w:pPr>
        <w:pStyle w:val="Textocomentario"/>
        <w:rPr>
          <w:lang w:val="es-ES"/>
        </w:rPr>
      </w:pPr>
      <w:r>
        <w:rPr>
          <w:rStyle w:val="Refdecomentario"/>
        </w:rPr>
        <w:annotationRef/>
      </w:r>
      <w:r w:rsidRPr="009B5016">
        <w:rPr>
          <w:lang w:val="es-ES"/>
        </w:rPr>
        <w:t>Es suficiente con indicar apellido y año</w:t>
      </w:r>
      <w:r>
        <w:rPr>
          <w:lang w:val="es-ES"/>
        </w:rPr>
        <w:t>. Las páginas se indican cuando se trata de cita textual. La cita completa se incluye en Referencias bibliográficas.</w:t>
      </w:r>
    </w:p>
  </w:comment>
  <w:comment w:id="15" w:author="Santiago Jiménez Sánchez" w:date="2026-04-10T21:32:00Z" w:initials="SJ">
    <w:p w14:paraId="44590635" w14:textId="77777777" w:rsidR="00B51AC2" w:rsidRDefault="00B51AC2" w:rsidP="00B51AC2">
      <w:pPr>
        <w:pStyle w:val="Textocomentario"/>
        <w:jc w:val="left"/>
      </w:pPr>
      <w:r>
        <w:rPr>
          <w:rStyle w:val="Refdecomentario"/>
        </w:rPr>
        <w:annotationRef/>
      </w:r>
      <w:r>
        <w:t>A modificar</w:t>
      </w:r>
    </w:p>
  </w:comment>
  <w:comment w:id="22" w:author="Irene Lorenzo" w:date="2026-03-27T18:58:00Z" w:initials="IL">
    <w:p w14:paraId="167C0BB9" w14:textId="7B637759" w:rsidR="00B361FE" w:rsidRDefault="00B361FE">
      <w:pPr>
        <w:pStyle w:val="Textocomentario"/>
      </w:pPr>
      <w:r>
        <w:rPr>
          <w:rStyle w:val="Refdecomentario"/>
        </w:rPr>
        <w:annotationRef/>
      </w:r>
      <w:r>
        <w:t>En Fuente: añadir año.</w:t>
      </w:r>
    </w:p>
  </w:comment>
  <w:comment w:id="25" w:author="Santiago Jiménez Sánchez" w:date="2026-04-10T19:13:00Z" w:initials="SJ">
    <w:p w14:paraId="59F923ED" w14:textId="77777777" w:rsidR="00A27F27" w:rsidRDefault="00A27F27" w:rsidP="00480729">
      <w:pPr>
        <w:pStyle w:val="Textocomentario"/>
        <w:jc w:val="left"/>
      </w:pPr>
      <w:r>
        <w:rPr>
          <w:rStyle w:val="Refdecomentario"/>
        </w:rPr>
        <w:annotationRef/>
      </w:r>
      <w:r>
        <w:t>Apoyarlo con evidencia cuantitativa</w:t>
      </w:r>
    </w:p>
  </w:comment>
  <w:comment w:id="26" w:author="Santiago Jiménez Sánchez" w:date="2026-04-10T18:50:00Z" w:initials="SJ">
    <w:p w14:paraId="45E41EC1" w14:textId="77777777" w:rsidR="00A27F27" w:rsidRDefault="00A27F27" w:rsidP="00367303">
      <w:pPr>
        <w:pStyle w:val="Textocomentario"/>
        <w:jc w:val="left"/>
      </w:pPr>
      <w:r>
        <w:rPr>
          <w:rStyle w:val="Refdecomentario"/>
        </w:rPr>
        <w:annotationRef/>
      </w:r>
      <w:r>
        <w:t>Apoyar con cifras</w:t>
      </w:r>
    </w:p>
  </w:comment>
  <w:comment w:id="39" w:author="Irene Lorenzo" w:date="2026-03-27T18:59:00Z" w:initials="IL">
    <w:p w14:paraId="31E69701" w14:textId="311AA374" w:rsidR="00B361FE" w:rsidRPr="00B361FE" w:rsidRDefault="00B361FE">
      <w:pPr>
        <w:pStyle w:val="Textocomentario"/>
        <w:rPr>
          <w:lang w:val="es-ES"/>
        </w:rPr>
      </w:pPr>
      <w:r>
        <w:rPr>
          <w:rStyle w:val="Refdecomentario"/>
        </w:rPr>
        <w:annotationRef/>
      </w:r>
      <w:r w:rsidRPr="00B361FE">
        <w:rPr>
          <w:lang w:val="es-ES"/>
        </w:rPr>
        <w:t>Recuerdo que las fuentes aqu</w:t>
      </w:r>
      <w:r>
        <w:rPr>
          <w:lang w:val="es-ES"/>
        </w:rPr>
        <w:t xml:space="preserve">í señaladas deben estar en el texto. Las fuentes de internet deben incluir la página de internet con la fecha de última consulta.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800D651" w15:done="0"/>
  <w15:commentEx w15:paraId="4AEA7B0B" w15:done="0"/>
  <w15:commentEx w15:paraId="71B210DB" w15:paraIdParent="4AEA7B0B" w15:done="0"/>
  <w15:commentEx w15:paraId="207F35E1" w15:done="0"/>
  <w15:commentEx w15:paraId="70FA0A07" w15:paraIdParent="207F35E1" w15:done="0"/>
  <w15:commentEx w15:paraId="3334A87C" w15:done="0"/>
  <w15:commentEx w15:paraId="7CEBD3BB" w15:done="0"/>
  <w15:commentEx w15:paraId="3DBB2D80" w15:done="0"/>
  <w15:commentEx w15:paraId="12547091" w15:done="0"/>
  <w15:commentEx w15:paraId="44590635" w15:paraIdParent="12547091" w15:done="0"/>
  <w15:commentEx w15:paraId="167C0BB9" w15:done="0"/>
  <w15:commentEx w15:paraId="59F923ED" w15:done="0"/>
  <w15:commentEx w15:paraId="45E41EC1" w15:done="0"/>
  <w15:commentEx w15:paraId="31E6970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4770362" w16cex:dateUtc="2026-01-23T16:00:00Z"/>
  <w16cex:commentExtensible w16cex:durableId="2D2C77EC" w16cex:dateUtc="2026-02-03T12:34:00Z"/>
  <w16cex:commentExtensible w16cex:durableId="0CDF8E6C" w16cex:dateUtc="2026-02-26T18:05:00Z"/>
  <w16cex:commentExtensible w16cex:durableId="2D2C787F" w16cex:dateUtc="2026-02-03T12:37:00Z"/>
  <w16cex:commentExtensible w16cex:durableId="26B6F74F" w16cex:dateUtc="2026-02-16T19:12:00Z"/>
  <w16cex:commentExtensible w16cex:durableId="2D70FCFA" w16cex:dateUtc="2026-03-27T11:56:00Z"/>
  <w16cex:commentExtensible w16cex:durableId="06FB8810" w16cex:dateUtc="2026-03-25T21:39:00Z"/>
  <w16cex:commentExtensible w16cex:durableId="2D2C78DC" w16cex:dateUtc="2026-02-03T12:38:00Z"/>
  <w16cex:commentExtensible w16cex:durableId="2D714AA0" w16cex:dateUtc="2026-03-27T17:27:00Z"/>
  <w16cex:commentExtensible w16cex:durableId="26E1A5D1" w16cex:dateUtc="2026-04-10T19:32:00Z"/>
  <w16cex:commentExtensible w16cex:durableId="2D7151F3" w16cex:dateUtc="2026-03-27T17:58:00Z"/>
  <w16cex:commentExtensible w16cex:durableId="2132824D" w16cex:dateUtc="2026-04-10T17:13:00Z"/>
  <w16cex:commentExtensible w16cex:durableId="58C25786" w16cex:dateUtc="2026-04-10T16:50:00Z"/>
  <w16cex:commentExtensible w16cex:durableId="2D71521A" w16cex:dateUtc="2026-03-27T17: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800D651" w16cid:durableId="04770362"/>
  <w16cid:commentId w16cid:paraId="4AEA7B0B" w16cid:durableId="2D2C77EC"/>
  <w16cid:commentId w16cid:paraId="71B210DB" w16cid:durableId="0CDF8E6C"/>
  <w16cid:commentId w16cid:paraId="207F35E1" w16cid:durableId="2D2C787F"/>
  <w16cid:commentId w16cid:paraId="70FA0A07" w16cid:durableId="26B6F74F"/>
  <w16cid:commentId w16cid:paraId="3334A87C" w16cid:durableId="2D70FCFA"/>
  <w16cid:commentId w16cid:paraId="7CEBD3BB" w16cid:durableId="06FB8810"/>
  <w16cid:commentId w16cid:paraId="3DBB2D80" w16cid:durableId="2D2C78DC"/>
  <w16cid:commentId w16cid:paraId="12547091" w16cid:durableId="2D714AA0"/>
  <w16cid:commentId w16cid:paraId="44590635" w16cid:durableId="26E1A5D1"/>
  <w16cid:commentId w16cid:paraId="167C0BB9" w16cid:durableId="2D7151F3"/>
  <w16cid:commentId w16cid:paraId="59F923ED" w16cid:durableId="2132824D"/>
  <w16cid:commentId w16cid:paraId="45E41EC1" w16cid:durableId="58C25786"/>
  <w16cid:commentId w16cid:paraId="31E69701" w16cid:durableId="2D71521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553422" w14:textId="77777777" w:rsidR="00BA12A8" w:rsidRPr="002268FF" w:rsidRDefault="00BA12A8" w:rsidP="00EC6BD1">
      <w:pPr>
        <w:spacing w:after="0" w:line="240" w:lineRule="auto"/>
      </w:pPr>
      <w:r w:rsidRPr="002268FF">
        <w:separator/>
      </w:r>
    </w:p>
  </w:endnote>
  <w:endnote w:type="continuationSeparator" w:id="0">
    <w:p w14:paraId="5284AD5D" w14:textId="77777777" w:rsidR="00BA12A8" w:rsidRPr="002268FF" w:rsidRDefault="00BA12A8" w:rsidP="00EC6BD1">
      <w:pPr>
        <w:spacing w:after="0" w:line="240" w:lineRule="auto"/>
      </w:pPr>
      <w:r w:rsidRPr="002268FF">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B0652F" w14:textId="77777777" w:rsidR="00BA12A8" w:rsidRPr="002268FF" w:rsidRDefault="00BA12A8" w:rsidP="00EC6BD1">
      <w:pPr>
        <w:spacing w:after="0" w:line="240" w:lineRule="auto"/>
      </w:pPr>
      <w:r w:rsidRPr="002268FF">
        <w:separator/>
      </w:r>
    </w:p>
  </w:footnote>
  <w:footnote w:type="continuationSeparator" w:id="0">
    <w:p w14:paraId="0B09A476" w14:textId="77777777" w:rsidR="00BA12A8" w:rsidRPr="002268FF" w:rsidRDefault="00BA12A8" w:rsidP="00EC6BD1">
      <w:pPr>
        <w:spacing w:after="0" w:line="240" w:lineRule="auto"/>
      </w:pPr>
      <w:r w:rsidRPr="002268FF">
        <w:continuationSeparator/>
      </w:r>
    </w:p>
  </w:footnote>
  <w:footnote w:id="1">
    <w:p w14:paraId="460E9DEC" w14:textId="6B7BDE33" w:rsidR="00EF3859" w:rsidRPr="00AA161D" w:rsidRDefault="00EF3859">
      <w:pPr>
        <w:pStyle w:val="Textonotapie"/>
        <w:rPr>
          <w:lang w:val="es-ES"/>
        </w:rPr>
      </w:pPr>
      <w:r>
        <w:rPr>
          <w:rStyle w:val="Refdenotaalpie"/>
        </w:rPr>
        <w:footnoteRef/>
      </w:r>
      <w:r w:rsidRPr="00AA161D">
        <w:rPr>
          <w:lang w:val="es-ES"/>
        </w:rPr>
        <w:t xml:space="preserve"> Anglicismo </w:t>
      </w:r>
      <w:r w:rsidR="003D72F8">
        <w:rPr>
          <w:lang w:val="es-ES"/>
        </w:rPr>
        <w:t>ampliamente utilizado en la literatura jurídica</w:t>
      </w:r>
      <w:r w:rsidRPr="00AA161D">
        <w:rPr>
          <w:lang w:val="es-ES"/>
        </w:rPr>
        <w:t xml:space="preserve"> para</w:t>
      </w:r>
      <w:r w:rsidR="00AA161D" w:rsidRPr="00AA161D">
        <w:rPr>
          <w:lang w:val="es-ES"/>
        </w:rPr>
        <w:t xml:space="preserve"> </w:t>
      </w:r>
      <w:r w:rsidR="003D72F8">
        <w:rPr>
          <w:lang w:val="es-ES"/>
        </w:rPr>
        <w:t>referirse a</w:t>
      </w:r>
      <w:r w:rsidR="00AA161D" w:rsidRPr="00AA161D">
        <w:rPr>
          <w:lang w:val="es-ES"/>
        </w:rPr>
        <w:t xml:space="preserve"> la c</w:t>
      </w:r>
      <w:r w:rsidR="00AA161D">
        <w:rPr>
          <w:lang w:val="es-ES"/>
        </w:rPr>
        <w:t>apacidad de cumplimiento coactivo</w:t>
      </w:r>
      <w:r w:rsidR="00D24E94">
        <w:rPr>
          <w:lang w:val="es-ES"/>
        </w:rPr>
        <w:t xml:space="preserve">, la ejecución forzosa de </w:t>
      </w:r>
      <w:r w:rsidR="004B4E4A">
        <w:rPr>
          <w:lang w:val="es-ES"/>
        </w:rPr>
        <w:t>los contratos</w:t>
      </w:r>
      <w:r w:rsidR="00AA161D">
        <w:rPr>
          <w:lang w:val="es-ES"/>
        </w:rPr>
        <w:t xml:space="preserve"> o </w:t>
      </w:r>
      <w:r w:rsidR="00D24E94">
        <w:rPr>
          <w:lang w:val="es-ES"/>
        </w:rPr>
        <w:t xml:space="preserve">los </w:t>
      </w:r>
      <w:r w:rsidR="00AA161D">
        <w:rPr>
          <w:lang w:val="es-ES"/>
        </w:rPr>
        <w:t xml:space="preserve">mecanismos de </w:t>
      </w:r>
      <w:r w:rsidR="00A37F0D">
        <w:rPr>
          <w:lang w:val="es-ES"/>
        </w:rPr>
        <w:t xml:space="preserve">aplicación y </w:t>
      </w:r>
      <w:r w:rsidR="00AA161D">
        <w:rPr>
          <w:lang w:val="es-ES"/>
        </w:rPr>
        <w:t xml:space="preserve">coerción que </w:t>
      </w:r>
      <w:r w:rsidR="00D24E94">
        <w:rPr>
          <w:lang w:val="es-ES"/>
        </w:rPr>
        <w:t>posee</w:t>
      </w:r>
      <w:r w:rsidR="00AA161D">
        <w:rPr>
          <w:lang w:val="es-ES"/>
        </w:rPr>
        <w:t xml:space="preserve"> un sistema legal o actor estatal.</w:t>
      </w:r>
    </w:p>
  </w:footnote>
  <w:footnote w:id="2">
    <w:p w14:paraId="4190D466" w14:textId="0DE75A2C" w:rsidR="009F2AF7" w:rsidRPr="006E1AF7" w:rsidRDefault="009F2AF7" w:rsidP="009F2AF7">
      <w:pPr>
        <w:pStyle w:val="Textonotapie"/>
        <w:rPr>
          <w:lang w:val="es-ES"/>
        </w:rPr>
      </w:pPr>
      <w:r>
        <w:rPr>
          <w:rStyle w:val="Refdenotaalpie"/>
        </w:rPr>
        <w:footnoteRef/>
      </w:r>
      <w:r w:rsidRPr="00AC357F">
        <w:rPr>
          <w:lang w:val="es-ES"/>
        </w:rPr>
        <w:t xml:space="preserve"> </w:t>
      </w:r>
      <w:r>
        <w:rPr>
          <w:lang w:val="es-ES"/>
        </w:rPr>
        <w:t>Traducción propia de</w:t>
      </w:r>
      <w:r w:rsidR="00443B4B">
        <w:rPr>
          <w:lang w:val="es-ES"/>
        </w:rPr>
        <w:t xml:space="preserve"> la sección</w:t>
      </w:r>
      <w:r>
        <w:rPr>
          <w:lang w:val="es-ES"/>
        </w:rPr>
        <w:t xml:space="preserve"> 5. (1) de la Parte 2 del </w:t>
      </w:r>
      <w:r w:rsidRPr="00443B4B">
        <w:rPr>
          <w:i/>
          <w:iCs/>
          <w:lang w:val="es-ES"/>
        </w:rPr>
        <w:t xml:space="preserve">Free Trade Zones Act </w:t>
      </w:r>
      <w:r>
        <w:rPr>
          <w:lang w:val="es-ES"/>
        </w:rPr>
        <w:t>de 1966.</w:t>
      </w:r>
    </w:p>
  </w:footnote>
  <w:footnote w:id="3">
    <w:p w14:paraId="6C31247E" w14:textId="401BD588" w:rsidR="009F2AF7" w:rsidRPr="00F93ED4" w:rsidRDefault="009F2AF7" w:rsidP="009F2AF7">
      <w:pPr>
        <w:pStyle w:val="Textonotapie"/>
        <w:rPr>
          <w:lang w:val="es-ES"/>
        </w:rPr>
      </w:pPr>
      <w:r>
        <w:rPr>
          <w:rStyle w:val="Refdenotaalpie"/>
        </w:rPr>
        <w:footnoteRef/>
      </w:r>
      <w:r w:rsidRPr="00F93ED4">
        <w:rPr>
          <w:lang w:val="es-ES"/>
        </w:rPr>
        <w:t xml:space="preserve"> Traducción propia de </w:t>
      </w:r>
      <w:r w:rsidR="0060257F">
        <w:rPr>
          <w:lang w:val="es-ES"/>
        </w:rPr>
        <w:t>la sección</w:t>
      </w:r>
      <w:r w:rsidRPr="00F93ED4">
        <w:rPr>
          <w:lang w:val="es-ES"/>
        </w:rPr>
        <w:t xml:space="preserve"> 5. (</w:t>
      </w:r>
      <w:r>
        <w:rPr>
          <w:lang w:val="es-ES"/>
        </w:rPr>
        <w:t>2</w:t>
      </w:r>
      <w:r w:rsidRPr="00F93ED4">
        <w:rPr>
          <w:lang w:val="es-ES"/>
        </w:rPr>
        <w:t>)</w:t>
      </w:r>
      <w:r>
        <w:rPr>
          <w:lang w:val="es-ES"/>
        </w:rPr>
        <w:t>(b)</w:t>
      </w:r>
      <w:r w:rsidRPr="00F93ED4">
        <w:rPr>
          <w:lang w:val="es-ES"/>
        </w:rPr>
        <w:t xml:space="preserve"> de la Parte 2 del </w:t>
      </w:r>
      <w:r w:rsidRPr="00132F76">
        <w:rPr>
          <w:i/>
          <w:iCs/>
          <w:lang w:val="es-ES"/>
        </w:rPr>
        <w:t>Free Trade Zones Act</w:t>
      </w:r>
      <w:r w:rsidRPr="00F93ED4">
        <w:rPr>
          <w:lang w:val="es-ES"/>
        </w:rPr>
        <w:t xml:space="preserve"> de 1966.</w:t>
      </w:r>
    </w:p>
  </w:footnote>
  <w:footnote w:id="4">
    <w:p w14:paraId="5B7C9BEB" w14:textId="77777777" w:rsidR="00A27F27" w:rsidRPr="0072378D" w:rsidRDefault="00A27F27" w:rsidP="00A27F27">
      <w:pPr>
        <w:pStyle w:val="Textonotapie"/>
        <w:rPr>
          <w:lang w:val="es-ES"/>
        </w:rPr>
      </w:pPr>
      <w:r>
        <w:rPr>
          <w:rStyle w:val="Refdenotaalpie"/>
        </w:rPr>
        <w:footnoteRef/>
      </w:r>
      <w:r>
        <w:t xml:space="preserve"> </w:t>
      </w:r>
      <w:r>
        <w:rPr>
          <w:lang w:val="es-ES"/>
        </w:rPr>
        <w:t>Traducción propia.</w:t>
      </w:r>
    </w:p>
  </w:footnote>
  <w:footnote w:id="5">
    <w:p w14:paraId="56765CFD" w14:textId="77777777" w:rsidR="00A27F27" w:rsidRPr="00287386" w:rsidRDefault="00A27F27" w:rsidP="00A27F27">
      <w:pPr>
        <w:pStyle w:val="Textonotapie"/>
        <w:rPr>
          <w:lang w:val="es-ES"/>
        </w:rPr>
      </w:pPr>
      <w:r>
        <w:rPr>
          <w:rStyle w:val="Refdenotaalpie"/>
        </w:rPr>
        <w:footnoteRef/>
      </w:r>
      <w:r>
        <w:t xml:space="preserve"> </w:t>
      </w:r>
      <w:r>
        <w:rPr>
          <w:lang w:val="es-ES"/>
        </w:rPr>
        <w:t>Traducción propia.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340ED"/>
    <w:multiLevelType w:val="hybridMultilevel"/>
    <w:tmpl w:val="0D9C9014"/>
    <w:lvl w:ilvl="0" w:tplc="A61615B4">
      <w:start w:val="7"/>
      <w:numFmt w:val="bullet"/>
      <w:lvlText w:val="-"/>
      <w:lvlJc w:val="left"/>
      <w:pPr>
        <w:ind w:left="720" w:hanging="360"/>
      </w:pPr>
      <w:rPr>
        <w:rFonts w:ascii="Aptos" w:eastAsiaTheme="minorHAnsi" w:hAnsi="Aptos"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9867DE9"/>
    <w:multiLevelType w:val="hybridMultilevel"/>
    <w:tmpl w:val="4CE6AAB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E440711"/>
    <w:multiLevelType w:val="hybridMultilevel"/>
    <w:tmpl w:val="B87AA22E"/>
    <w:lvl w:ilvl="0" w:tplc="A61615B4">
      <w:start w:val="7"/>
      <w:numFmt w:val="bullet"/>
      <w:lvlText w:val="-"/>
      <w:lvlJc w:val="left"/>
      <w:pPr>
        <w:ind w:left="720" w:hanging="360"/>
      </w:pPr>
      <w:rPr>
        <w:rFonts w:ascii="Aptos" w:eastAsiaTheme="minorHAnsi" w:hAnsi="Aptos"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E8947B7"/>
    <w:multiLevelType w:val="hybridMultilevel"/>
    <w:tmpl w:val="0C880BAE"/>
    <w:lvl w:ilvl="0" w:tplc="55FC0472">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1CC0531"/>
    <w:multiLevelType w:val="hybridMultilevel"/>
    <w:tmpl w:val="C4FC8A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5244033"/>
    <w:multiLevelType w:val="hybridMultilevel"/>
    <w:tmpl w:val="53EAA8C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54E10AB"/>
    <w:multiLevelType w:val="hybridMultilevel"/>
    <w:tmpl w:val="648CC3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78173FD"/>
    <w:multiLevelType w:val="hybridMultilevel"/>
    <w:tmpl w:val="83802E20"/>
    <w:lvl w:ilvl="0" w:tplc="18B42206">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1CEA6293"/>
    <w:multiLevelType w:val="hybridMultilevel"/>
    <w:tmpl w:val="44665B4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34C4BFF"/>
    <w:multiLevelType w:val="hybridMultilevel"/>
    <w:tmpl w:val="CDF029BC"/>
    <w:lvl w:ilvl="0" w:tplc="55FC0472">
      <w:numFmt w:val="bullet"/>
      <w:lvlText w:val="-"/>
      <w:lvlJc w:val="left"/>
      <w:pPr>
        <w:ind w:left="720" w:hanging="360"/>
      </w:pPr>
      <w:rPr>
        <w:rFonts w:ascii="Arial" w:eastAsiaTheme="minorHAnsi" w:hAnsi="Arial" w:cs="Aria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91D70DC"/>
    <w:multiLevelType w:val="hybridMultilevel"/>
    <w:tmpl w:val="EFBC83E2"/>
    <w:lvl w:ilvl="0" w:tplc="A61615B4">
      <w:start w:val="7"/>
      <w:numFmt w:val="bullet"/>
      <w:lvlText w:val="-"/>
      <w:lvlJc w:val="left"/>
      <w:pPr>
        <w:ind w:left="720" w:hanging="360"/>
      </w:pPr>
      <w:rPr>
        <w:rFonts w:ascii="Aptos" w:eastAsiaTheme="minorHAnsi" w:hAnsi="Aptos"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2756F1B"/>
    <w:multiLevelType w:val="hybridMultilevel"/>
    <w:tmpl w:val="8E5AB13E"/>
    <w:lvl w:ilvl="0" w:tplc="0C0A000F">
      <w:start w:val="1"/>
      <w:numFmt w:val="decimal"/>
      <w:lvlText w:val="%1."/>
      <w:lvlJc w:val="left"/>
      <w:pPr>
        <w:ind w:left="360" w:hanging="360"/>
      </w:pPr>
    </w:lvl>
    <w:lvl w:ilvl="1" w:tplc="901C0B30">
      <w:start w:val="1"/>
      <w:numFmt w:val="lowerLetter"/>
      <w:lvlText w:val="%2."/>
      <w:lvlJc w:val="left"/>
      <w:pPr>
        <w:ind w:left="1080" w:hanging="360"/>
      </w:pPr>
      <w:rPr>
        <w:rFonts w:ascii="Times New Roman" w:hAnsi="Times New Roman" w:cs="Times New Roman" w:hint="default"/>
        <w:color w:val="000000" w:themeColor="text1"/>
        <w:sz w:val="24"/>
        <w:szCs w:val="24"/>
      </w:rPr>
    </w:lvl>
    <w:lvl w:ilvl="2" w:tplc="0C0A001B">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2" w15:restartNumberingAfterBreak="0">
    <w:nsid w:val="38C756AF"/>
    <w:multiLevelType w:val="hybridMultilevel"/>
    <w:tmpl w:val="4BFEDB3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3B381BD1"/>
    <w:multiLevelType w:val="hybridMultilevel"/>
    <w:tmpl w:val="9F3E85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3BC71013"/>
    <w:multiLevelType w:val="hybridMultilevel"/>
    <w:tmpl w:val="AB34903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3D9F2BC8"/>
    <w:multiLevelType w:val="hybridMultilevel"/>
    <w:tmpl w:val="A802CA3E"/>
    <w:lvl w:ilvl="0" w:tplc="55FC0472">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3DFD4709"/>
    <w:multiLevelType w:val="hybridMultilevel"/>
    <w:tmpl w:val="AB7E7104"/>
    <w:lvl w:ilvl="0" w:tplc="A61615B4">
      <w:start w:val="7"/>
      <w:numFmt w:val="bullet"/>
      <w:lvlText w:val="-"/>
      <w:lvlJc w:val="left"/>
      <w:pPr>
        <w:ind w:left="720" w:hanging="360"/>
      </w:pPr>
      <w:rPr>
        <w:rFonts w:ascii="Aptos" w:eastAsiaTheme="minorHAnsi" w:hAnsi="Aptos"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E882F11"/>
    <w:multiLevelType w:val="hybridMultilevel"/>
    <w:tmpl w:val="B89255D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4A847C6E"/>
    <w:multiLevelType w:val="hybridMultilevel"/>
    <w:tmpl w:val="BFCEDF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EC75E14"/>
    <w:multiLevelType w:val="hybridMultilevel"/>
    <w:tmpl w:val="D25E1F0C"/>
    <w:lvl w:ilvl="0" w:tplc="75DAB6E0">
      <w:start w:val="1"/>
      <w:numFmt w:val="decimal"/>
      <w:lvlText w:val="4.1.%1."/>
      <w:lvlJc w:val="left"/>
      <w:pPr>
        <w:ind w:left="360" w:hanging="360"/>
      </w:pPr>
      <w:rPr>
        <w:rFonts w:hint="default"/>
      </w:rPr>
    </w:lvl>
    <w:lvl w:ilvl="1" w:tplc="FFFFFFFF">
      <w:start w:val="1"/>
      <w:numFmt w:val="lowerLetter"/>
      <w:lvlText w:val="%2."/>
      <w:lvlJc w:val="left"/>
      <w:pPr>
        <w:ind w:left="1080" w:hanging="360"/>
      </w:pPr>
      <w:rPr>
        <w:rFonts w:ascii="Times New Roman" w:hAnsi="Times New Roman" w:cs="Times New Roman" w:hint="default"/>
        <w:color w:val="000000" w:themeColor="text1"/>
        <w:sz w:val="24"/>
        <w:szCs w:val="24"/>
      </w:r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4F013181"/>
    <w:multiLevelType w:val="hybridMultilevel"/>
    <w:tmpl w:val="9CE47EB8"/>
    <w:lvl w:ilvl="0" w:tplc="D4D6A582">
      <w:start w:val="1"/>
      <w:numFmt w:val="bullet"/>
      <w:lvlText w:val=""/>
      <w:lvlJc w:val="left"/>
      <w:pPr>
        <w:ind w:left="1080" w:hanging="360"/>
      </w:pPr>
      <w:rPr>
        <w:rFonts w:ascii="Symbol" w:hAnsi="Symbol"/>
      </w:rPr>
    </w:lvl>
    <w:lvl w:ilvl="1" w:tplc="D94E11F6">
      <w:start w:val="1"/>
      <w:numFmt w:val="bullet"/>
      <w:lvlText w:val=""/>
      <w:lvlJc w:val="left"/>
      <w:pPr>
        <w:ind w:left="1080" w:hanging="360"/>
      </w:pPr>
      <w:rPr>
        <w:rFonts w:ascii="Symbol" w:hAnsi="Symbol"/>
      </w:rPr>
    </w:lvl>
    <w:lvl w:ilvl="2" w:tplc="63F07DD2">
      <w:start w:val="1"/>
      <w:numFmt w:val="bullet"/>
      <w:lvlText w:val=""/>
      <w:lvlJc w:val="left"/>
      <w:pPr>
        <w:ind w:left="1080" w:hanging="360"/>
      </w:pPr>
      <w:rPr>
        <w:rFonts w:ascii="Symbol" w:hAnsi="Symbol"/>
      </w:rPr>
    </w:lvl>
    <w:lvl w:ilvl="3" w:tplc="57108F12">
      <w:start w:val="1"/>
      <w:numFmt w:val="bullet"/>
      <w:lvlText w:val=""/>
      <w:lvlJc w:val="left"/>
      <w:pPr>
        <w:ind w:left="1080" w:hanging="360"/>
      </w:pPr>
      <w:rPr>
        <w:rFonts w:ascii="Symbol" w:hAnsi="Symbol"/>
      </w:rPr>
    </w:lvl>
    <w:lvl w:ilvl="4" w:tplc="168C6AEA">
      <w:start w:val="1"/>
      <w:numFmt w:val="bullet"/>
      <w:lvlText w:val=""/>
      <w:lvlJc w:val="left"/>
      <w:pPr>
        <w:ind w:left="1080" w:hanging="360"/>
      </w:pPr>
      <w:rPr>
        <w:rFonts w:ascii="Symbol" w:hAnsi="Symbol"/>
      </w:rPr>
    </w:lvl>
    <w:lvl w:ilvl="5" w:tplc="168C786E">
      <w:start w:val="1"/>
      <w:numFmt w:val="bullet"/>
      <w:lvlText w:val=""/>
      <w:lvlJc w:val="left"/>
      <w:pPr>
        <w:ind w:left="1080" w:hanging="360"/>
      </w:pPr>
      <w:rPr>
        <w:rFonts w:ascii="Symbol" w:hAnsi="Symbol"/>
      </w:rPr>
    </w:lvl>
    <w:lvl w:ilvl="6" w:tplc="B50AC8EC">
      <w:start w:val="1"/>
      <w:numFmt w:val="bullet"/>
      <w:lvlText w:val=""/>
      <w:lvlJc w:val="left"/>
      <w:pPr>
        <w:ind w:left="1080" w:hanging="360"/>
      </w:pPr>
      <w:rPr>
        <w:rFonts w:ascii="Symbol" w:hAnsi="Symbol"/>
      </w:rPr>
    </w:lvl>
    <w:lvl w:ilvl="7" w:tplc="857C8480">
      <w:start w:val="1"/>
      <w:numFmt w:val="bullet"/>
      <w:lvlText w:val=""/>
      <w:lvlJc w:val="left"/>
      <w:pPr>
        <w:ind w:left="1080" w:hanging="360"/>
      </w:pPr>
      <w:rPr>
        <w:rFonts w:ascii="Symbol" w:hAnsi="Symbol"/>
      </w:rPr>
    </w:lvl>
    <w:lvl w:ilvl="8" w:tplc="BCE88882">
      <w:start w:val="1"/>
      <w:numFmt w:val="bullet"/>
      <w:lvlText w:val=""/>
      <w:lvlJc w:val="left"/>
      <w:pPr>
        <w:ind w:left="1080" w:hanging="360"/>
      </w:pPr>
      <w:rPr>
        <w:rFonts w:ascii="Symbol" w:hAnsi="Symbol"/>
      </w:rPr>
    </w:lvl>
  </w:abstractNum>
  <w:abstractNum w:abstractNumId="21" w15:restartNumberingAfterBreak="0">
    <w:nsid w:val="533D0759"/>
    <w:multiLevelType w:val="hybridMultilevel"/>
    <w:tmpl w:val="313878AC"/>
    <w:lvl w:ilvl="0" w:tplc="0C0A000F">
      <w:start w:val="1"/>
      <w:numFmt w:val="decimal"/>
      <w:lvlText w:val="%1."/>
      <w:lvlJc w:val="left"/>
      <w:pPr>
        <w:ind w:left="36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562108B3"/>
    <w:multiLevelType w:val="hybridMultilevel"/>
    <w:tmpl w:val="C02877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58EA5F1E"/>
    <w:multiLevelType w:val="hybridMultilevel"/>
    <w:tmpl w:val="8DA8E19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63A03558"/>
    <w:multiLevelType w:val="hybridMultilevel"/>
    <w:tmpl w:val="4D90F4D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6C6B0124"/>
    <w:multiLevelType w:val="hybridMultilevel"/>
    <w:tmpl w:val="CBC6EC38"/>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70AD7B4F"/>
    <w:multiLevelType w:val="hybridMultilevel"/>
    <w:tmpl w:val="D4E874FA"/>
    <w:lvl w:ilvl="0" w:tplc="55FC0472">
      <w:numFmt w:val="bullet"/>
      <w:lvlText w:val="-"/>
      <w:lvlJc w:val="left"/>
      <w:pPr>
        <w:ind w:left="720" w:hanging="360"/>
      </w:pPr>
      <w:rPr>
        <w:rFonts w:ascii="Arial" w:eastAsiaTheme="minorHAnsi" w:hAnsi="Arial" w:cs="Aria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71800324"/>
    <w:multiLevelType w:val="hybridMultilevel"/>
    <w:tmpl w:val="51C67E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71A33F9F"/>
    <w:multiLevelType w:val="hybridMultilevel"/>
    <w:tmpl w:val="0EB81778"/>
    <w:lvl w:ilvl="0" w:tplc="55FC0472">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76AD0A51"/>
    <w:multiLevelType w:val="hybridMultilevel"/>
    <w:tmpl w:val="D67E432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775C6319"/>
    <w:multiLevelType w:val="hybridMultilevel"/>
    <w:tmpl w:val="AC8A94FC"/>
    <w:lvl w:ilvl="0" w:tplc="A61615B4">
      <w:start w:val="7"/>
      <w:numFmt w:val="bullet"/>
      <w:lvlText w:val="-"/>
      <w:lvlJc w:val="left"/>
      <w:pPr>
        <w:ind w:left="720" w:hanging="360"/>
      </w:pPr>
      <w:rPr>
        <w:rFonts w:ascii="Aptos" w:eastAsiaTheme="minorHAnsi" w:hAnsi="Aptos"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7B97334E"/>
    <w:multiLevelType w:val="hybridMultilevel"/>
    <w:tmpl w:val="FA8679C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7C35431B"/>
    <w:multiLevelType w:val="hybridMultilevel"/>
    <w:tmpl w:val="CDF487B0"/>
    <w:lvl w:ilvl="0" w:tplc="1708EE54">
      <w:start w:val="1"/>
      <w:numFmt w:val="decimal"/>
      <w:lvlText w:val="2.%1"/>
      <w:lvlJc w:val="left"/>
      <w:pPr>
        <w:ind w:left="360" w:hanging="360"/>
      </w:pPr>
      <w:rPr>
        <w:rFonts w:hint="default"/>
      </w:rPr>
    </w:lvl>
    <w:lvl w:ilvl="1" w:tplc="FFFFFFFF">
      <w:start w:val="1"/>
      <w:numFmt w:val="lowerLetter"/>
      <w:lvlText w:val="%2."/>
      <w:lvlJc w:val="left"/>
      <w:pPr>
        <w:ind w:left="1080" w:hanging="360"/>
      </w:pPr>
      <w:rPr>
        <w:rFonts w:ascii="Times New Roman" w:hAnsi="Times New Roman" w:cs="Times New Roman" w:hint="default"/>
        <w:color w:val="000000" w:themeColor="text1"/>
        <w:sz w:val="24"/>
        <w:szCs w:val="24"/>
      </w:r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1490830517">
    <w:abstractNumId w:val="9"/>
  </w:num>
  <w:num w:numId="2" w16cid:durableId="1303005570">
    <w:abstractNumId w:val="11"/>
  </w:num>
  <w:num w:numId="3" w16cid:durableId="1576936224">
    <w:abstractNumId w:val="19"/>
  </w:num>
  <w:num w:numId="4" w16cid:durableId="1652754101">
    <w:abstractNumId w:val="32"/>
  </w:num>
  <w:num w:numId="5" w16cid:durableId="430048894">
    <w:abstractNumId w:val="21"/>
  </w:num>
  <w:num w:numId="6" w16cid:durableId="273291680">
    <w:abstractNumId w:val="31"/>
  </w:num>
  <w:num w:numId="7" w16cid:durableId="1292714783">
    <w:abstractNumId w:val="4"/>
  </w:num>
  <w:num w:numId="8" w16cid:durableId="1232496700">
    <w:abstractNumId w:val="1"/>
  </w:num>
  <w:num w:numId="9" w16cid:durableId="1678312177">
    <w:abstractNumId w:val="13"/>
  </w:num>
  <w:num w:numId="10" w16cid:durableId="130751774">
    <w:abstractNumId w:val="17"/>
  </w:num>
  <w:num w:numId="11" w16cid:durableId="1365598878">
    <w:abstractNumId w:val="18"/>
  </w:num>
  <w:num w:numId="12" w16cid:durableId="1240090775">
    <w:abstractNumId w:val="6"/>
  </w:num>
  <w:num w:numId="13" w16cid:durableId="425198984">
    <w:abstractNumId w:val="28"/>
  </w:num>
  <w:num w:numId="14" w16cid:durableId="1853646900">
    <w:abstractNumId w:val="26"/>
  </w:num>
  <w:num w:numId="15" w16cid:durableId="1243175372">
    <w:abstractNumId w:val="3"/>
  </w:num>
  <w:num w:numId="16" w16cid:durableId="1003238558">
    <w:abstractNumId w:val="15"/>
  </w:num>
  <w:num w:numId="17" w16cid:durableId="269630914">
    <w:abstractNumId w:val="5"/>
  </w:num>
  <w:num w:numId="18" w16cid:durableId="944996150">
    <w:abstractNumId w:val="12"/>
  </w:num>
  <w:num w:numId="19" w16cid:durableId="589193049">
    <w:abstractNumId w:val="22"/>
  </w:num>
  <w:num w:numId="20" w16cid:durableId="1001739406">
    <w:abstractNumId w:val="27"/>
  </w:num>
  <w:num w:numId="21" w16cid:durableId="910113980">
    <w:abstractNumId w:val="24"/>
  </w:num>
  <w:num w:numId="22" w16cid:durableId="780226416">
    <w:abstractNumId w:val="2"/>
  </w:num>
  <w:num w:numId="23" w16cid:durableId="406342241">
    <w:abstractNumId w:val="10"/>
  </w:num>
  <w:num w:numId="24" w16cid:durableId="605314651">
    <w:abstractNumId w:val="0"/>
  </w:num>
  <w:num w:numId="25" w16cid:durableId="1234779948">
    <w:abstractNumId w:val="30"/>
  </w:num>
  <w:num w:numId="26" w16cid:durableId="492382491">
    <w:abstractNumId w:val="23"/>
  </w:num>
  <w:num w:numId="27" w16cid:durableId="1000934022">
    <w:abstractNumId w:val="7"/>
  </w:num>
  <w:num w:numId="28" w16cid:durableId="1309046400">
    <w:abstractNumId w:val="29"/>
  </w:num>
  <w:num w:numId="29" w16cid:durableId="1039864956">
    <w:abstractNumId w:val="16"/>
  </w:num>
  <w:num w:numId="30" w16cid:durableId="1438794240">
    <w:abstractNumId w:val="20"/>
  </w:num>
  <w:num w:numId="31" w16cid:durableId="65955006">
    <w:abstractNumId w:val="8"/>
  </w:num>
  <w:num w:numId="32" w16cid:durableId="176623076">
    <w:abstractNumId w:val="25"/>
  </w:num>
  <w:num w:numId="33" w16cid:durableId="664433647">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antiago Jiménez Sánchez">
    <w15:presenceInfo w15:providerId="AD" w15:userId="S::202106075@alu.comillas.edu::32343037-b26f-47b3-9228-67ffcc3c6b5c"/>
  </w15:person>
  <w15:person w15:author="Irene Lorenzo">
    <w15:presenceInfo w15:providerId="Windows Live" w15:userId="3e9f4fdd0de02ba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988"/>
    <w:rsid w:val="00000A7F"/>
    <w:rsid w:val="00000A9C"/>
    <w:rsid w:val="00001694"/>
    <w:rsid w:val="000025EA"/>
    <w:rsid w:val="00003220"/>
    <w:rsid w:val="00003E69"/>
    <w:rsid w:val="00004186"/>
    <w:rsid w:val="00004B78"/>
    <w:rsid w:val="00005564"/>
    <w:rsid w:val="0000598F"/>
    <w:rsid w:val="00005F49"/>
    <w:rsid w:val="00007109"/>
    <w:rsid w:val="000076C7"/>
    <w:rsid w:val="0001085A"/>
    <w:rsid w:val="000118F2"/>
    <w:rsid w:val="00011934"/>
    <w:rsid w:val="00011C72"/>
    <w:rsid w:val="000127C9"/>
    <w:rsid w:val="0001295C"/>
    <w:rsid w:val="00012FC1"/>
    <w:rsid w:val="00014D60"/>
    <w:rsid w:val="00015237"/>
    <w:rsid w:val="00015862"/>
    <w:rsid w:val="00015C18"/>
    <w:rsid w:val="000165C2"/>
    <w:rsid w:val="00016D39"/>
    <w:rsid w:val="00017516"/>
    <w:rsid w:val="00017CC0"/>
    <w:rsid w:val="00017EC7"/>
    <w:rsid w:val="0002035C"/>
    <w:rsid w:val="000203B9"/>
    <w:rsid w:val="000204F1"/>
    <w:rsid w:val="00020B0A"/>
    <w:rsid w:val="00021B00"/>
    <w:rsid w:val="00021C41"/>
    <w:rsid w:val="000221AF"/>
    <w:rsid w:val="000221BE"/>
    <w:rsid w:val="0002240A"/>
    <w:rsid w:val="00022442"/>
    <w:rsid w:val="00023105"/>
    <w:rsid w:val="0002450E"/>
    <w:rsid w:val="00025717"/>
    <w:rsid w:val="00025AB6"/>
    <w:rsid w:val="00027A15"/>
    <w:rsid w:val="00030494"/>
    <w:rsid w:val="0003149F"/>
    <w:rsid w:val="000317A8"/>
    <w:rsid w:val="00032446"/>
    <w:rsid w:val="00032F78"/>
    <w:rsid w:val="000330F3"/>
    <w:rsid w:val="00033A69"/>
    <w:rsid w:val="00034612"/>
    <w:rsid w:val="00034E60"/>
    <w:rsid w:val="0003502F"/>
    <w:rsid w:val="00035BCD"/>
    <w:rsid w:val="000366FB"/>
    <w:rsid w:val="0003738A"/>
    <w:rsid w:val="00037CB2"/>
    <w:rsid w:val="00040033"/>
    <w:rsid w:val="000401B5"/>
    <w:rsid w:val="0004076A"/>
    <w:rsid w:val="000413D0"/>
    <w:rsid w:val="000418E4"/>
    <w:rsid w:val="00043793"/>
    <w:rsid w:val="000447A8"/>
    <w:rsid w:val="0004523F"/>
    <w:rsid w:val="00045F43"/>
    <w:rsid w:val="00046976"/>
    <w:rsid w:val="00046E2D"/>
    <w:rsid w:val="00047711"/>
    <w:rsid w:val="00047B08"/>
    <w:rsid w:val="00050173"/>
    <w:rsid w:val="00050448"/>
    <w:rsid w:val="000508D8"/>
    <w:rsid w:val="00051219"/>
    <w:rsid w:val="000526EA"/>
    <w:rsid w:val="000538E8"/>
    <w:rsid w:val="00053D2C"/>
    <w:rsid w:val="00053E3B"/>
    <w:rsid w:val="00053F14"/>
    <w:rsid w:val="0005432F"/>
    <w:rsid w:val="00054BD9"/>
    <w:rsid w:val="0005729E"/>
    <w:rsid w:val="000576DF"/>
    <w:rsid w:val="000577F2"/>
    <w:rsid w:val="00061E8E"/>
    <w:rsid w:val="0006231D"/>
    <w:rsid w:val="000637B4"/>
    <w:rsid w:val="00063DBB"/>
    <w:rsid w:val="00064729"/>
    <w:rsid w:val="00064992"/>
    <w:rsid w:val="00065DC0"/>
    <w:rsid w:val="00065F08"/>
    <w:rsid w:val="00071864"/>
    <w:rsid w:val="00072624"/>
    <w:rsid w:val="00072FD2"/>
    <w:rsid w:val="00074862"/>
    <w:rsid w:val="0007540A"/>
    <w:rsid w:val="00075730"/>
    <w:rsid w:val="00075922"/>
    <w:rsid w:val="00077477"/>
    <w:rsid w:val="0007753B"/>
    <w:rsid w:val="00077C15"/>
    <w:rsid w:val="00077F49"/>
    <w:rsid w:val="00081545"/>
    <w:rsid w:val="00083028"/>
    <w:rsid w:val="0008323D"/>
    <w:rsid w:val="000835F7"/>
    <w:rsid w:val="00084186"/>
    <w:rsid w:val="00084B11"/>
    <w:rsid w:val="00093F02"/>
    <w:rsid w:val="000951C7"/>
    <w:rsid w:val="00095684"/>
    <w:rsid w:val="00095882"/>
    <w:rsid w:val="00097BE5"/>
    <w:rsid w:val="000A1369"/>
    <w:rsid w:val="000A2EFB"/>
    <w:rsid w:val="000A420C"/>
    <w:rsid w:val="000A54E6"/>
    <w:rsid w:val="000A56BB"/>
    <w:rsid w:val="000A5E5A"/>
    <w:rsid w:val="000A64D2"/>
    <w:rsid w:val="000A6982"/>
    <w:rsid w:val="000A774D"/>
    <w:rsid w:val="000A7B5B"/>
    <w:rsid w:val="000A7D29"/>
    <w:rsid w:val="000B0309"/>
    <w:rsid w:val="000B10EF"/>
    <w:rsid w:val="000B314F"/>
    <w:rsid w:val="000B3D67"/>
    <w:rsid w:val="000B4297"/>
    <w:rsid w:val="000B4C4B"/>
    <w:rsid w:val="000B4F8A"/>
    <w:rsid w:val="000B52E4"/>
    <w:rsid w:val="000B5BC7"/>
    <w:rsid w:val="000B79BA"/>
    <w:rsid w:val="000B79DE"/>
    <w:rsid w:val="000B7C9C"/>
    <w:rsid w:val="000C4555"/>
    <w:rsid w:val="000C48E0"/>
    <w:rsid w:val="000C493D"/>
    <w:rsid w:val="000C5048"/>
    <w:rsid w:val="000C6590"/>
    <w:rsid w:val="000C695F"/>
    <w:rsid w:val="000C78BB"/>
    <w:rsid w:val="000D1669"/>
    <w:rsid w:val="000D1729"/>
    <w:rsid w:val="000D2951"/>
    <w:rsid w:val="000D2A86"/>
    <w:rsid w:val="000D42AA"/>
    <w:rsid w:val="000D4D5E"/>
    <w:rsid w:val="000D55A8"/>
    <w:rsid w:val="000D5CDB"/>
    <w:rsid w:val="000D776D"/>
    <w:rsid w:val="000D7790"/>
    <w:rsid w:val="000E07CB"/>
    <w:rsid w:val="000E1895"/>
    <w:rsid w:val="000E19B3"/>
    <w:rsid w:val="000E4C5F"/>
    <w:rsid w:val="000E5426"/>
    <w:rsid w:val="000E55A0"/>
    <w:rsid w:val="000E61DA"/>
    <w:rsid w:val="000E6394"/>
    <w:rsid w:val="000E6EFE"/>
    <w:rsid w:val="000F0524"/>
    <w:rsid w:val="000F29B7"/>
    <w:rsid w:val="000F3BDE"/>
    <w:rsid w:val="00100A31"/>
    <w:rsid w:val="00101959"/>
    <w:rsid w:val="00102B51"/>
    <w:rsid w:val="00103D84"/>
    <w:rsid w:val="001059D3"/>
    <w:rsid w:val="00107DAD"/>
    <w:rsid w:val="001115F1"/>
    <w:rsid w:val="001125EC"/>
    <w:rsid w:val="00112E83"/>
    <w:rsid w:val="00113A39"/>
    <w:rsid w:val="00113BC1"/>
    <w:rsid w:val="00113F15"/>
    <w:rsid w:val="0011471E"/>
    <w:rsid w:val="00115F6C"/>
    <w:rsid w:val="001166A9"/>
    <w:rsid w:val="00117073"/>
    <w:rsid w:val="00120613"/>
    <w:rsid w:val="00121114"/>
    <w:rsid w:val="00122D69"/>
    <w:rsid w:val="00123924"/>
    <w:rsid w:val="001242F4"/>
    <w:rsid w:val="0012500A"/>
    <w:rsid w:val="001261C1"/>
    <w:rsid w:val="00126EB8"/>
    <w:rsid w:val="00130700"/>
    <w:rsid w:val="0013228A"/>
    <w:rsid w:val="00132C6B"/>
    <w:rsid w:val="00132F23"/>
    <w:rsid w:val="00133F5D"/>
    <w:rsid w:val="001340A9"/>
    <w:rsid w:val="0013623F"/>
    <w:rsid w:val="00136CD6"/>
    <w:rsid w:val="001402B3"/>
    <w:rsid w:val="001402DF"/>
    <w:rsid w:val="0014132F"/>
    <w:rsid w:val="00141639"/>
    <w:rsid w:val="00141846"/>
    <w:rsid w:val="00141A7B"/>
    <w:rsid w:val="001437B3"/>
    <w:rsid w:val="001448E9"/>
    <w:rsid w:val="001453AF"/>
    <w:rsid w:val="00145776"/>
    <w:rsid w:val="001458B2"/>
    <w:rsid w:val="00146A76"/>
    <w:rsid w:val="00150B29"/>
    <w:rsid w:val="00151BE9"/>
    <w:rsid w:val="00151D07"/>
    <w:rsid w:val="0015251B"/>
    <w:rsid w:val="00153C56"/>
    <w:rsid w:val="0015438C"/>
    <w:rsid w:val="001549E9"/>
    <w:rsid w:val="001554B7"/>
    <w:rsid w:val="00155B08"/>
    <w:rsid w:val="001568B6"/>
    <w:rsid w:val="001574DD"/>
    <w:rsid w:val="00157AF5"/>
    <w:rsid w:val="00160C10"/>
    <w:rsid w:val="00161583"/>
    <w:rsid w:val="00163B17"/>
    <w:rsid w:val="00163B2F"/>
    <w:rsid w:val="00164B24"/>
    <w:rsid w:val="0017110F"/>
    <w:rsid w:val="001719B8"/>
    <w:rsid w:val="00172271"/>
    <w:rsid w:val="00172CE4"/>
    <w:rsid w:val="00174008"/>
    <w:rsid w:val="001752C5"/>
    <w:rsid w:val="00175D25"/>
    <w:rsid w:val="00175E15"/>
    <w:rsid w:val="001761CC"/>
    <w:rsid w:val="00177232"/>
    <w:rsid w:val="00180351"/>
    <w:rsid w:val="00180DB6"/>
    <w:rsid w:val="001820FF"/>
    <w:rsid w:val="00183C9D"/>
    <w:rsid w:val="001840DF"/>
    <w:rsid w:val="001845D7"/>
    <w:rsid w:val="00185144"/>
    <w:rsid w:val="0018604C"/>
    <w:rsid w:val="00187283"/>
    <w:rsid w:val="00187434"/>
    <w:rsid w:val="00187EE5"/>
    <w:rsid w:val="00191179"/>
    <w:rsid w:val="001927C5"/>
    <w:rsid w:val="0019310E"/>
    <w:rsid w:val="001948C1"/>
    <w:rsid w:val="001955A1"/>
    <w:rsid w:val="00195888"/>
    <w:rsid w:val="00196534"/>
    <w:rsid w:val="0019726B"/>
    <w:rsid w:val="001A00C5"/>
    <w:rsid w:val="001A0DE3"/>
    <w:rsid w:val="001A103E"/>
    <w:rsid w:val="001A1E54"/>
    <w:rsid w:val="001A68A9"/>
    <w:rsid w:val="001A76BB"/>
    <w:rsid w:val="001B3969"/>
    <w:rsid w:val="001B4E5A"/>
    <w:rsid w:val="001B5E86"/>
    <w:rsid w:val="001B6B99"/>
    <w:rsid w:val="001B794F"/>
    <w:rsid w:val="001B7A06"/>
    <w:rsid w:val="001C0AF7"/>
    <w:rsid w:val="001C1217"/>
    <w:rsid w:val="001C1B79"/>
    <w:rsid w:val="001C461F"/>
    <w:rsid w:val="001C5DCD"/>
    <w:rsid w:val="001C6451"/>
    <w:rsid w:val="001C66F1"/>
    <w:rsid w:val="001C6986"/>
    <w:rsid w:val="001D02E1"/>
    <w:rsid w:val="001D14D6"/>
    <w:rsid w:val="001D1E91"/>
    <w:rsid w:val="001D3B0F"/>
    <w:rsid w:val="001D3F68"/>
    <w:rsid w:val="001D42F5"/>
    <w:rsid w:val="001D4D53"/>
    <w:rsid w:val="001D5133"/>
    <w:rsid w:val="001D5B34"/>
    <w:rsid w:val="001D646C"/>
    <w:rsid w:val="001D65BE"/>
    <w:rsid w:val="001D796A"/>
    <w:rsid w:val="001D7BF4"/>
    <w:rsid w:val="001E199A"/>
    <w:rsid w:val="001E1F1C"/>
    <w:rsid w:val="001E25B0"/>
    <w:rsid w:val="001E2882"/>
    <w:rsid w:val="001E2C48"/>
    <w:rsid w:val="001E3737"/>
    <w:rsid w:val="001E3CF5"/>
    <w:rsid w:val="001E3D51"/>
    <w:rsid w:val="001E49BE"/>
    <w:rsid w:val="001E4B37"/>
    <w:rsid w:val="001E638F"/>
    <w:rsid w:val="001E6A75"/>
    <w:rsid w:val="001E722E"/>
    <w:rsid w:val="001E7942"/>
    <w:rsid w:val="001E7AFF"/>
    <w:rsid w:val="001E7F3A"/>
    <w:rsid w:val="001F09A2"/>
    <w:rsid w:val="001F0BB9"/>
    <w:rsid w:val="001F12A0"/>
    <w:rsid w:val="001F40F4"/>
    <w:rsid w:val="001F5D0F"/>
    <w:rsid w:val="001F6192"/>
    <w:rsid w:val="001F6F4C"/>
    <w:rsid w:val="00204449"/>
    <w:rsid w:val="002058D9"/>
    <w:rsid w:val="00205ECE"/>
    <w:rsid w:val="00206CF6"/>
    <w:rsid w:val="002074E7"/>
    <w:rsid w:val="002131CF"/>
    <w:rsid w:val="00213EE0"/>
    <w:rsid w:val="00214024"/>
    <w:rsid w:val="002146B9"/>
    <w:rsid w:val="00214A96"/>
    <w:rsid w:val="0021507D"/>
    <w:rsid w:val="00215D93"/>
    <w:rsid w:val="0021695D"/>
    <w:rsid w:val="00217CE4"/>
    <w:rsid w:val="00220638"/>
    <w:rsid w:val="00220706"/>
    <w:rsid w:val="00221E9A"/>
    <w:rsid w:val="00221FFC"/>
    <w:rsid w:val="0022254C"/>
    <w:rsid w:val="00222C75"/>
    <w:rsid w:val="002234D3"/>
    <w:rsid w:val="002236DC"/>
    <w:rsid w:val="00224DB1"/>
    <w:rsid w:val="00225AEA"/>
    <w:rsid w:val="00225CD5"/>
    <w:rsid w:val="00226575"/>
    <w:rsid w:val="002268FF"/>
    <w:rsid w:val="00226A92"/>
    <w:rsid w:val="00231453"/>
    <w:rsid w:val="00231CA6"/>
    <w:rsid w:val="00231E62"/>
    <w:rsid w:val="00231F82"/>
    <w:rsid w:val="002329F1"/>
    <w:rsid w:val="002347E3"/>
    <w:rsid w:val="0023568A"/>
    <w:rsid w:val="0023585B"/>
    <w:rsid w:val="00235D49"/>
    <w:rsid w:val="00236318"/>
    <w:rsid w:val="002371A1"/>
    <w:rsid w:val="002376FC"/>
    <w:rsid w:val="0023784C"/>
    <w:rsid w:val="00237C27"/>
    <w:rsid w:val="00237EE3"/>
    <w:rsid w:val="00240D30"/>
    <w:rsid w:val="00240E58"/>
    <w:rsid w:val="00240F9D"/>
    <w:rsid w:val="002415EC"/>
    <w:rsid w:val="00241865"/>
    <w:rsid w:val="00241E25"/>
    <w:rsid w:val="0024210B"/>
    <w:rsid w:val="00242DE8"/>
    <w:rsid w:val="00244E79"/>
    <w:rsid w:val="00246414"/>
    <w:rsid w:val="00251C77"/>
    <w:rsid w:val="00252187"/>
    <w:rsid w:val="00252FD4"/>
    <w:rsid w:val="002533A1"/>
    <w:rsid w:val="00253C4B"/>
    <w:rsid w:val="002552E6"/>
    <w:rsid w:val="002574D6"/>
    <w:rsid w:val="00257523"/>
    <w:rsid w:val="00257A17"/>
    <w:rsid w:val="00261FC8"/>
    <w:rsid w:val="00262FD5"/>
    <w:rsid w:val="00263255"/>
    <w:rsid w:val="0026407A"/>
    <w:rsid w:val="00264228"/>
    <w:rsid w:val="00264D4C"/>
    <w:rsid w:val="0026613C"/>
    <w:rsid w:val="00266787"/>
    <w:rsid w:val="00267A2C"/>
    <w:rsid w:val="00267B4B"/>
    <w:rsid w:val="00271D67"/>
    <w:rsid w:val="002726F4"/>
    <w:rsid w:val="00272902"/>
    <w:rsid w:val="002731AB"/>
    <w:rsid w:val="002744E6"/>
    <w:rsid w:val="00274CDF"/>
    <w:rsid w:val="00275789"/>
    <w:rsid w:val="00275CBC"/>
    <w:rsid w:val="002771AE"/>
    <w:rsid w:val="00277227"/>
    <w:rsid w:val="00277494"/>
    <w:rsid w:val="0028134A"/>
    <w:rsid w:val="002813FF"/>
    <w:rsid w:val="00283216"/>
    <w:rsid w:val="00283FAC"/>
    <w:rsid w:val="002840C9"/>
    <w:rsid w:val="00284979"/>
    <w:rsid w:val="00285295"/>
    <w:rsid w:val="00285FAE"/>
    <w:rsid w:val="002875B6"/>
    <w:rsid w:val="00287F8F"/>
    <w:rsid w:val="00291055"/>
    <w:rsid w:val="002917ED"/>
    <w:rsid w:val="00293841"/>
    <w:rsid w:val="002975D6"/>
    <w:rsid w:val="002978F5"/>
    <w:rsid w:val="00297B96"/>
    <w:rsid w:val="002A088E"/>
    <w:rsid w:val="002A144E"/>
    <w:rsid w:val="002A2008"/>
    <w:rsid w:val="002A2DE7"/>
    <w:rsid w:val="002A30F5"/>
    <w:rsid w:val="002A417C"/>
    <w:rsid w:val="002A4248"/>
    <w:rsid w:val="002A5993"/>
    <w:rsid w:val="002A62B1"/>
    <w:rsid w:val="002A661B"/>
    <w:rsid w:val="002A778D"/>
    <w:rsid w:val="002A77F3"/>
    <w:rsid w:val="002B06D5"/>
    <w:rsid w:val="002B0CA6"/>
    <w:rsid w:val="002B16FB"/>
    <w:rsid w:val="002B1940"/>
    <w:rsid w:val="002B1AEB"/>
    <w:rsid w:val="002B1DAA"/>
    <w:rsid w:val="002B3AA8"/>
    <w:rsid w:val="002B45D6"/>
    <w:rsid w:val="002B5FDC"/>
    <w:rsid w:val="002B6346"/>
    <w:rsid w:val="002B65C6"/>
    <w:rsid w:val="002B6608"/>
    <w:rsid w:val="002C093A"/>
    <w:rsid w:val="002C1B93"/>
    <w:rsid w:val="002C2DCE"/>
    <w:rsid w:val="002C2E34"/>
    <w:rsid w:val="002C363F"/>
    <w:rsid w:val="002C3D41"/>
    <w:rsid w:val="002C4367"/>
    <w:rsid w:val="002C63B7"/>
    <w:rsid w:val="002C729D"/>
    <w:rsid w:val="002C7390"/>
    <w:rsid w:val="002D04F1"/>
    <w:rsid w:val="002D074F"/>
    <w:rsid w:val="002D14AB"/>
    <w:rsid w:val="002D3E6F"/>
    <w:rsid w:val="002D4C16"/>
    <w:rsid w:val="002D4EF6"/>
    <w:rsid w:val="002D55E8"/>
    <w:rsid w:val="002D798E"/>
    <w:rsid w:val="002E3D88"/>
    <w:rsid w:val="002E5829"/>
    <w:rsid w:val="002E765D"/>
    <w:rsid w:val="002E7A0D"/>
    <w:rsid w:val="002E7E8E"/>
    <w:rsid w:val="002E7F4A"/>
    <w:rsid w:val="002F06AE"/>
    <w:rsid w:val="002F16C8"/>
    <w:rsid w:val="002F22C2"/>
    <w:rsid w:val="002F4559"/>
    <w:rsid w:val="002F4E41"/>
    <w:rsid w:val="002F581D"/>
    <w:rsid w:val="002F6E8C"/>
    <w:rsid w:val="002F7DB9"/>
    <w:rsid w:val="0030119C"/>
    <w:rsid w:val="00303243"/>
    <w:rsid w:val="003038C8"/>
    <w:rsid w:val="00303DC1"/>
    <w:rsid w:val="00304A85"/>
    <w:rsid w:val="003059DC"/>
    <w:rsid w:val="00305C47"/>
    <w:rsid w:val="00305CA9"/>
    <w:rsid w:val="0030727C"/>
    <w:rsid w:val="00307DAD"/>
    <w:rsid w:val="00310879"/>
    <w:rsid w:val="00311599"/>
    <w:rsid w:val="003121B5"/>
    <w:rsid w:val="00313F01"/>
    <w:rsid w:val="00314741"/>
    <w:rsid w:val="00314F76"/>
    <w:rsid w:val="00314F88"/>
    <w:rsid w:val="00315097"/>
    <w:rsid w:val="0031536E"/>
    <w:rsid w:val="00316328"/>
    <w:rsid w:val="003168BE"/>
    <w:rsid w:val="00317126"/>
    <w:rsid w:val="00317D57"/>
    <w:rsid w:val="00320D5C"/>
    <w:rsid w:val="00322950"/>
    <w:rsid w:val="00323083"/>
    <w:rsid w:val="00325494"/>
    <w:rsid w:val="003268D7"/>
    <w:rsid w:val="00326D68"/>
    <w:rsid w:val="00327D03"/>
    <w:rsid w:val="003301E1"/>
    <w:rsid w:val="0033240A"/>
    <w:rsid w:val="003348BE"/>
    <w:rsid w:val="003349C0"/>
    <w:rsid w:val="00334FC3"/>
    <w:rsid w:val="0033663F"/>
    <w:rsid w:val="00340592"/>
    <w:rsid w:val="003409ED"/>
    <w:rsid w:val="00341BD1"/>
    <w:rsid w:val="003436B2"/>
    <w:rsid w:val="0034440A"/>
    <w:rsid w:val="00345029"/>
    <w:rsid w:val="00345780"/>
    <w:rsid w:val="00346298"/>
    <w:rsid w:val="00354386"/>
    <w:rsid w:val="00354BC5"/>
    <w:rsid w:val="00355480"/>
    <w:rsid w:val="003571CE"/>
    <w:rsid w:val="00357B74"/>
    <w:rsid w:val="00360D22"/>
    <w:rsid w:val="0036253A"/>
    <w:rsid w:val="00363BAB"/>
    <w:rsid w:val="00363FE2"/>
    <w:rsid w:val="003643EC"/>
    <w:rsid w:val="00364D2C"/>
    <w:rsid w:val="003650B8"/>
    <w:rsid w:val="003656B4"/>
    <w:rsid w:val="00365868"/>
    <w:rsid w:val="0036641B"/>
    <w:rsid w:val="00366891"/>
    <w:rsid w:val="00367DCE"/>
    <w:rsid w:val="00370AF3"/>
    <w:rsid w:val="00372C7D"/>
    <w:rsid w:val="00373BD6"/>
    <w:rsid w:val="00373DEF"/>
    <w:rsid w:val="00374741"/>
    <w:rsid w:val="003751A8"/>
    <w:rsid w:val="0037736D"/>
    <w:rsid w:val="003779FF"/>
    <w:rsid w:val="00377ADB"/>
    <w:rsid w:val="003802FF"/>
    <w:rsid w:val="00380EBD"/>
    <w:rsid w:val="00381EF8"/>
    <w:rsid w:val="0038208A"/>
    <w:rsid w:val="00382E0A"/>
    <w:rsid w:val="00383670"/>
    <w:rsid w:val="00383A1C"/>
    <w:rsid w:val="00384D95"/>
    <w:rsid w:val="00387A54"/>
    <w:rsid w:val="00387C50"/>
    <w:rsid w:val="00390BD3"/>
    <w:rsid w:val="00390D44"/>
    <w:rsid w:val="003911E2"/>
    <w:rsid w:val="00392B32"/>
    <w:rsid w:val="0039374D"/>
    <w:rsid w:val="003938C3"/>
    <w:rsid w:val="00393BFD"/>
    <w:rsid w:val="0039465F"/>
    <w:rsid w:val="003949E4"/>
    <w:rsid w:val="00394A14"/>
    <w:rsid w:val="00394D4A"/>
    <w:rsid w:val="00395F11"/>
    <w:rsid w:val="00397DF7"/>
    <w:rsid w:val="00397E55"/>
    <w:rsid w:val="003A14C1"/>
    <w:rsid w:val="003A2E97"/>
    <w:rsid w:val="003A4289"/>
    <w:rsid w:val="003A4587"/>
    <w:rsid w:val="003A4A21"/>
    <w:rsid w:val="003A5114"/>
    <w:rsid w:val="003A571E"/>
    <w:rsid w:val="003A5EDC"/>
    <w:rsid w:val="003A6463"/>
    <w:rsid w:val="003A6FE5"/>
    <w:rsid w:val="003A7700"/>
    <w:rsid w:val="003A7932"/>
    <w:rsid w:val="003A7DD7"/>
    <w:rsid w:val="003B1B68"/>
    <w:rsid w:val="003B24C1"/>
    <w:rsid w:val="003B31DF"/>
    <w:rsid w:val="003B3668"/>
    <w:rsid w:val="003B3D40"/>
    <w:rsid w:val="003B55AF"/>
    <w:rsid w:val="003C0492"/>
    <w:rsid w:val="003C0BD2"/>
    <w:rsid w:val="003C1D66"/>
    <w:rsid w:val="003C33E3"/>
    <w:rsid w:val="003C3F02"/>
    <w:rsid w:val="003C50D6"/>
    <w:rsid w:val="003C5807"/>
    <w:rsid w:val="003C5FA4"/>
    <w:rsid w:val="003C64C7"/>
    <w:rsid w:val="003C6B65"/>
    <w:rsid w:val="003C7FC3"/>
    <w:rsid w:val="003D04E9"/>
    <w:rsid w:val="003D1E41"/>
    <w:rsid w:val="003D3724"/>
    <w:rsid w:val="003D3DBD"/>
    <w:rsid w:val="003D4147"/>
    <w:rsid w:val="003D4855"/>
    <w:rsid w:val="003D5118"/>
    <w:rsid w:val="003D7114"/>
    <w:rsid w:val="003D72F8"/>
    <w:rsid w:val="003D75ED"/>
    <w:rsid w:val="003E1594"/>
    <w:rsid w:val="003E25C5"/>
    <w:rsid w:val="003E2B21"/>
    <w:rsid w:val="003E4B21"/>
    <w:rsid w:val="003F0D92"/>
    <w:rsid w:val="003F0F9A"/>
    <w:rsid w:val="003F1B7D"/>
    <w:rsid w:val="003F1D70"/>
    <w:rsid w:val="003F378B"/>
    <w:rsid w:val="003F3AF4"/>
    <w:rsid w:val="003F7219"/>
    <w:rsid w:val="003F78C6"/>
    <w:rsid w:val="003F7ECD"/>
    <w:rsid w:val="0040005A"/>
    <w:rsid w:val="004014AC"/>
    <w:rsid w:val="00401C55"/>
    <w:rsid w:val="00401E58"/>
    <w:rsid w:val="004027CF"/>
    <w:rsid w:val="00406400"/>
    <w:rsid w:val="00406584"/>
    <w:rsid w:val="00407795"/>
    <w:rsid w:val="00407944"/>
    <w:rsid w:val="00410A37"/>
    <w:rsid w:val="0041195C"/>
    <w:rsid w:val="00415193"/>
    <w:rsid w:val="00415366"/>
    <w:rsid w:val="004159EC"/>
    <w:rsid w:val="004171E3"/>
    <w:rsid w:val="0041779B"/>
    <w:rsid w:val="00417ED7"/>
    <w:rsid w:val="004207BF"/>
    <w:rsid w:val="004208C0"/>
    <w:rsid w:val="00423B6C"/>
    <w:rsid w:val="00423EE2"/>
    <w:rsid w:val="004242CC"/>
    <w:rsid w:val="00424357"/>
    <w:rsid w:val="00427E86"/>
    <w:rsid w:val="0043020B"/>
    <w:rsid w:val="004302CC"/>
    <w:rsid w:val="00430323"/>
    <w:rsid w:val="004312F2"/>
    <w:rsid w:val="0043163F"/>
    <w:rsid w:val="0043197A"/>
    <w:rsid w:val="00433904"/>
    <w:rsid w:val="0043468B"/>
    <w:rsid w:val="0043662B"/>
    <w:rsid w:val="004378FD"/>
    <w:rsid w:val="00440637"/>
    <w:rsid w:val="00440908"/>
    <w:rsid w:val="00441F26"/>
    <w:rsid w:val="00443B4B"/>
    <w:rsid w:val="004445FF"/>
    <w:rsid w:val="00444F29"/>
    <w:rsid w:val="00445704"/>
    <w:rsid w:val="00445D37"/>
    <w:rsid w:val="00447BE0"/>
    <w:rsid w:val="00447FC6"/>
    <w:rsid w:val="00451128"/>
    <w:rsid w:val="00451C75"/>
    <w:rsid w:val="00452B84"/>
    <w:rsid w:val="00452F98"/>
    <w:rsid w:val="004532C4"/>
    <w:rsid w:val="004537F4"/>
    <w:rsid w:val="00453C87"/>
    <w:rsid w:val="00454D63"/>
    <w:rsid w:val="00454FE6"/>
    <w:rsid w:val="004558A9"/>
    <w:rsid w:val="00455C8E"/>
    <w:rsid w:val="00455D3F"/>
    <w:rsid w:val="00456092"/>
    <w:rsid w:val="00457588"/>
    <w:rsid w:val="00457DC7"/>
    <w:rsid w:val="0046045F"/>
    <w:rsid w:val="004605B8"/>
    <w:rsid w:val="0046063F"/>
    <w:rsid w:val="00462830"/>
    <w:rsid w:val="004648E5"/>
    <w:rsid w:val="0046657B"/>
    <w:rsid w:val="0046694A"/>
    <w:rsid w:val="00471145"/>
    <w:rsid w:val="004713BC"/>
    <w:rsid w:val="00471E6C"/>
    <w:rsid w:val="004723CB"/>
    <w:rsid w:val="00472CA1"/>
    <w:rsid w:val="00472EE4"/>
    <w:rsid w:val="00473D20"/>
    <w:rsid w:val="0047499D"/>
    <w:rsid w:val="00474CC6"/>
    <w:rsid w:val="004752E0"/>
    <w:rsid w:val="00476F44"/>
    <w:rsid w:val="00477F70"/>
    <w:rsid w:val="00480B6A"/>
    <w:rsid w:val="00481D3C"/>
    <w:rsid w:val="0048356C"/>
    <w:rsid w:val="00484BC3"/>
    <w:rsid w:val="00486B7F"/>
    <w:rsid w:val="00487CC5"/>
    <w:rsid w:val="00490127"/>
    <w:rsid w:val="004901DE"/>
    <w:rsid w:val="0049023B"/>
    <w:rsid w:val="00491CE1"/>
    <w:rsid w:val="00492FBE"/>
    <w:rsid w:val="00493C21"/>
    <w:rsid w:val="0049407E"/>
    <w:rsid w:val="00494589"/>
    <w:rsid w:val="004962C3"/>
    <w:rsid w:val="0049739A"/>
    <w:rsid w:val="00497858"/>
    <w:rsid w:val="00497A8C"/>
    <w:rsid w:val="00497E13"/>
    <w:rsid w:val="004A3351"/>
    <w:rsid w:val="004A3466"/>
    <w:rsid w:val="004A35DD"/>
    <w:rsid w:val="004A41EC"/>
    <w:rsid w:val="004A46E5"/>
    <w:rsid w:val="004A4A33"/>
    <w:rsid w:val="004A50FB"/>
    <w:rsid w:val="004A7806"/>
    <w:rsid w:val="004A7F41"/>
    <w:rsid w:val="004B065C"/>
    <w:rsid w:val="004B1559"/>
    <w:rsid w:val="004B1CF7"/>
    <w:rsid w:val="004B2F40"/>
    <w:rsid w:val="004B310E"/>
    <w:rsid w:val="004B344D"/>
    <w:rsid w:val="004B350A"/>
    <w:rsid w:val="004B37B0"/>
    <w:rsid w:val="004B4120"/>
    <w:rsid w:val="004B4E4A"/>
    <w:rsid w:val="004B5244"/>
    <w:rsid w:val="004B6504"/>
    <w:rsid w:val="004B7376"/>
    <w:rsid w:val="004C07C3"/>
    <w:rsid w:val="004C08DA"/>
    <w:rsid w:val="004C1BF0"/>
    <w:rsid w:val="004C1D00"/>
    <w:rsid w:val="004C2231"/>
    <w:rsid w:val="004C3911"/>
    <w:rsid w:val="004C5074"/>
    <w:rsid w:val="004C54F4"/>
    <w:rsid w:val="004C6DCB"/>
    <w:rsid w:val="004C6F92"/>
    <w:rsid w:val="004D1A3F"/>
    <w:rsid w:val="004D28EF"/>
    <w:rsid w:val="004D2EF5"/>
    <w:rsid w:val="004D359C"/>
    <w:rsid w:val="004D571A"/>
    <w:rsid w:val="004D68C7"/>
    <w:rsid w:val="004D6E2A"/>
    <w:rsid w:val="004E0A63"/>
    <w:rsid w:val="004E1F84"/>
    <w:rsid w:val="004E20DC"/>
    <w:rsid w:val="004E328A"/>
    <w:rsid w:val="004E3622"/>
    <w:rsid w:val="004E44CC"/>
    <w:rsid w:val="004E49C3"/>
    <w:rsid w:val="004E5318"/>
    <w:rsid w:val="004E74B3"/>
    <w:rsid w:val="004F08D8"/>
    <w:rsid w:val="004F1A50"/>
    <w:rsid w:val="004F1D68"/>
    <w:rsid w:val="004F265E"/>
    <w:rsid w:val="004F2F5D"/>
    <w:rsid w:val="004F35B4"/>
    <w:rsid w:val="004F3C55"/>
    <w:rsid w:val="004F523E"/>
    <w:rsid w:val="004F59F8"/>
    <w:rsid w:val="004F5C8A"/>
    <w:rsid w:val="004F670F"/>
    <w:rsid w:val="004F72AC"/>
    <w:rsid w:val="00500283"/>
    <w:rsid w:val="00500D14"/>
    <w:rsid w:val="00502ECB"/>
    <w:rsid w:val="005033D7"/>
    <w:rsid w:val="00503AD5"/>
    <w:rsid w:val="00503DF9"/>
    <w:rsid w:val="00505495"/>
    <w:rsid w:val="00505617"/>
    <w:rsid w:val="00505DEC"/>
    <w:rsid w:val="00506149"/>
    <w:rsid w:val="00506DE7"/>
    <w:rsid w:val="00506F78"/>
    <w:rsid w:val="005070F0"/>
    <w:rsid w:val="00507DFD"/>
    <w:rsid w:val="005101E5"/>
    <w:rsid w:val="005109B9"/>
    <w:rsid w:val="00511FC4"/>
    <w:rsid w:val="005120F3"/>
    <w:rsid w:val="00514609"/>
    <w:rsid w:val="0051512A"/>
    <w:rsid w:val="005154A3"/>
    <w:rsid w:val="005156AE"/>
    <w:rsid w:val="00517662"/>
    <w:rsid w:val="00520EE3"/>
    <w:rsid w:val="005227E1"/>
    <w:rsid w:val="005267D8"/>
    <w:rsid w:val="005279A2"/>
    <w:rsid w:val="005300FF"/>
    <w:rsid w:val="00531745"/>
    <w:rsid w:val="00531C22"/>
    <w:rsid w:val="00531CE6"/>
    <w:rsid w:val="00533820"/>
    <w:rsid w:val="00533986"/>
    <w:rsid w:val="00535113"/>
    <w:rsid w:val="005355FB"/>
    <w:rsid w:val="005377E5"/>
    <w:rsid w:val="0053782B"/>
    <w:rsid w:val="00545E8B"/>
    <w:rsid w:val="0054627E"/>
    <w:rsid w:val="00546D93"/>
    <w:rsid w:val="00550990"/>
    <w:rsid w:val="00551720"/>
    <w:rsid w:val="0055373D"/>
    <w:rsid w:val="00557091"/>
    <w:rsid w:val="00561229"/>
    <w:rsid w:val="00561926"/>
    <w:rsid w:val="00561B4D"/>
    <w:rsid w:val="00561BA8"/>
    <w:rsid w:val="0056393A"/>
    <w:rsid w:val="00563FF7"/>
    <w:rsid w:val="0056424B"/>
    <w:rsid w:val="00565891"/>
    <w:rsid w:val="00570762"/>
    <w:rsid w:val="00570CA2"/>
    <w:rsid w:val="00570EB3"/>
    <w:rsid w:val="005720BF"/>
    <w:rsid w:val="0057360B"/>
    <w:rsid w:val="00573A21"/>
    <w:rsid w:val="005754F9"/>
    <w:rsid w:val="005771CB"/>
    <w:rsid w:val="005807B8"/>
    <w:rsid w:val="00580D74"/>
    <w:rsid w:val="00582FD9"/>
    <w:rsid w:val="0058346E"/>
    <w:rsid w:val="005839B9"/>
    <w:rsid w:val="00584E9E"/>
    <w:rsid w:val="00585139"/>
    <w:rsid w:val="005873E1"/>
    <w:rsid w:val="00587F8E"/>
    <w:rsid w:val="005916BE"/>
    <w:rsid w:val="00592C62"/>
    <w:rsid w:val="0059428E"/>
    <w:rsid w:val="0059459E"/>
    <w:rsid w:val="00594C0F"/>
    <w:rsid w:val="005952A2"/>
    <w:rsid w:val="005958B9"/>
    <w:rsid w:val="00596B1C"/>
    <w:rsid w:val="00597100"/>
    <w:rsid w:val="005A1426"/>
    <w:rsid w:val="005A1632"/>
    <w:rsid w:val="005A29D4"/>
    <w:rsid w:val="005A350F"/>
    <w:rsid w:val="005A43D8"/>
    <w:rsid w:val="005A4970"/>
    <w:rsid w:val="005A4FA4"/>
    <w:rsid w:val="005A5133"/>
    <w:rsid w:val="005A5256"/>
    <w:rsid w:val="005A5967"/>
    <w:rsid w:val="005A605A"/>
    <w:rsid w:val="005A7116"/>
    <w:rsid w:val="005A7873"/>
    <w:rsid w:val="005A7FFE"/>
    <w:rsid w:val="005B0D69"/>
    <w:rsid w:val="005B24E7"/>
    <w:rsid w:val="005B253D"/>
    <w:rsid w:val="005B274C"/>
    <w:rsid w:val="005B294D"/>
    <w:rsid w:val="005B2BC0"/>
    <w:rsid w:val="005B6077"/>
    <w:rsid w:val="005B61DC"/>
    <w:rsid w:val="005B703E"/>
    <w:rsid w:val="005C0C5A"/>
    <w:rsid w:val="005C1A7E"/>
    <w:rsid w:val="005C1A86"/>
    <w:rsid w:val="005C2429"/>
    <w:rsid w:val="005C243F"/>
    <w:rsid w:val="005C2CD4"/>
    <w:rsid w:val="005C39A5"/>
    <w:rsid w:val="005C4DCB"/>
    <w:rsid w:val="005C5C72"/>
    <w:rsid w:val="005C607E"/>
    <w:rsid w:val="005C7143"/>
    <w:rsid w:val="005C79EA"/>
    <w:rsid w:val="005D0DA1"/>
    <w:rsid w:val="005D12EB"/>
    <w:rsid w:val="005D246F"/>
    <w:rsid w:val="005D40B3"/>
    <w:rsid w:val="005D4A3D"/>
    <w:rsid w:val="005D4AF7"/>
    <w:rsid w:val="005D4EEF"/>
    <w:rsid w:val="005D5846"/>
    <w:rsid w:val="005D63CF"/>
    <w:rsid w:val="005D7085"/>
    <w:rsid w:val="005D7833"/>
    <w:rsid w:val="005E03EC"/>
    <w:rsid w:val="005E0832"/>
    <w:rsid w:val="005E0EAE"/>
    <w:rsid w:val="005E1981"/>
    <w:rsid w:val="005E33D2"/>
    <w:rsid w:val="005E38E1"/>
    <w:rsid w:val="005E41A6"/>
    <w:rsid w:val="005E4F20"/>
    <w:rsid w:val="005E60A3"/>
    <w:rsid w:val="005E679C"/>
    <w:rsid w:val="005E6B79"/>
    <w:rsid w:val="005E79C7"/>
    <w:rsid w:val="005E7B1C"/>
    <w:rsid w:val="005F0832"/>
    <w:rsid w:val="005F15D8"/>
    <w:rsid w:val="005F4D42"/>
    <w:rsid w:val="005F568C"/>
    <w:rsid w:val="005F6AD4"/>
    <w:rsid w:val="005F762D"/>
    <w:rsid w:val="00600AFA"/>
    <w:rsid w:val="006010A9"/>
    <w:rsid w:val="00601131"/>
    <w:rsid w:val="0060214C"/>
    <w:rsid w:val="006022CC"/>
    <w:rsid w:val="0060257F"/>
    <w:rsid w:val="00602B6B"/>
    <w:rsid w:val="00602ED0"/>
    <w:rsid w:val="006036BD"/>
    <w:rsid w:val="00603CF2"/>
    <w:rsid w:val="00606F6D"/>
    <w:rsid w:val="006116F6"/>
    <w:rsid w:val="00611D67"/>
    <w:rsid w:val="00613EF2"/>
    <w:rsid w:val="00614B2B"/>
    <w:rsid w:val="00614F01"/>
    <w:rsid w:val="00615C6A"/>
    <w:rsid w:val="006175B0"/>
    <w:rsid w:val="00617823"/>
    <w:rsid w:val="0062082E"/>
    <w:rsid w:val="00621F2C"/>
    <w:rsid w:val="00623876"/>
    <w:rsid w:val="00623B98"/>
    <w:rsid w:val="006244BF"/>
    <w:rsid w:val="006255AF"/>
    <w:rsid w:val="006260F0"/>
    <w:rsid w:val="006264B7"/>
    <w:rsid w:val="00626687"/>
    <w:rsid w:val="00630552"/>
    <w:rsid w:val="006307A3"/>
    <w:rsid w:val="00633F03"/>
    <w:rsid w:val="00634169"/>
    <w:rsid w:val="0063536E"/>
    <w:rsid w:val="00640432"/>
    <w:rsid w:val="00641E34"/>
    <w:rsid w:val="006423DC"/>
    <w:rsid w:val="00642DD8"/>
    <w:rsid w:val="00642E49"/>
    <w:rsid w:val="006431C9"/>
    <w:rsid w:val="00645909"/>
    <w:rsid w:val="006460BD"/>
    <w:rsid w:val="00647180"/>
    <w:rsid w:val="00647580"/>
    <w:rsid w:val="00650A78"/>
    <w:rsid w:val="00650DE8"/>
    <w:rsid w:val="00650E5C"/>
    <w:rsid w:val="00650F96"/>
    <w:rsid w:val="00651534"/>
    <w:rsid w:val="00651894"/>
    <w:rsid w:val="00651996"/>
    <w:rsid w:val="006520A6"/>
    <w:rsid w:val="00652BCD"/>
    <w:rsid w:val="006547E1"/>
    <w:rsid w:val="00655016"/>
    <w:rsid w:val="006556D4"/>
    <w:rsid w:val="00656433"/>
    <w:rsid w:val="00660402"/>
    <w:rsid w:val="00660CF5"/>
    <w:rsid w:val="006612A8"/>
    <w:rsid w:val="00662D52"/>
    <w:rsid w:val="00662DA8"/>
    <w:rsid w:val="00664018"/>
    <w:rsid w:val="0066451F"/>
    <w:rsid w:val="00664B48"/>
    <w:rsid w:val="00665768"/>
    <w:rsid w:val="006662E3"/>
    <w:rsid w:val="00666E61"/>
    <w:rsid w:val="00667227"/>
    <w:rsid w:val="00670339"/>
    <w:rsid w:val="00670ECD"/>
    <w:rsid w:val="00671ED8"/>
    <w:rsid w:val="0067224F"/>
    <w:rsid w:val="006734F1"/>
    <w:rsid w:val="0067432F"/>
    <w:rsid w:val="00674376"/>
    <w:rsid w:val="006745DF"/>
    <w:rsid w:val="006775CA"/>
    <w:rsid w:val="00680F75"/>
    <w:rsid w:val="006830A7"/>
    <w:rsid w:val="0068342D"/>
    <w:rsid w:val="0068351E"/>
    <w:rsid w:val="00684A35"/>
    <w:rsid w:val="0068568D"/>
    <w:rsid w:val="00685FC4"/>
    <w:rsid w:val="00686FE5"/>
    <w:rsid w:val="00692B24"/>
    <w:rsid w:val="0069394D"/>
    <w:rsid w:val="006949C1"/>
    <w:rsid w:val="0069573B"/>
    <w:rsid w:val="0069597A"/>
    <w:rsid w:val="006A0E52"/>
    <w:rsid w:val="006A116F"/>
    <w:rsid w:val="006A2BB8"/>
    <w:rsid w:val="006A2FE4"/>
    <w:rsid w:val="006A3959"/>
    <w:rsid w:val="006A4DA1"/>
    <w:rsid w:val="006A7B51"/>
    <w:rsid w:val="006A7BA6"/>
    <w:rsid w:val="006B02A5"/>
    <w:rsid w:val="006B0555"/>
    <w:rsid w:val="006B0705"/>
    <w:rsid w:val="006B3106"/>
    <w:rsid w:val="006B34EE"/>
    <w:rsid w:val="006B3E35"/>
    <w:rsid w:val="006B443D"/>
    <w:rsid w:val="006B73CD"/>
    <w:rsid w:val="006C06DB"/>
    <w:rsid w:val="006C30B9"/>
    <w:rsid w:val="006C3AE4"/>
    <w:rsid w:val="006C5B64"/>
    <w:rsid w:val="006C5BAE"/>
    <w:rsid w:val="006C60C3"/>
    <w:rsid w:val="006C7225"/>
    <w:rsid w:val="006C7439"/>
    <w:rsid w:val="006C77A2"/>
    <w:rsid w:val="006C7948"/>
    <w:rsid w:val="006C7CC3"/>
    <w:rsid w:val="006C7F72"/>
    <w:rsid w:val="006D11E8"/>
    <w:rsid w:val="006D182B"/>
    <w:rsid w:val="006D1E58"/>
    <w:rsid w:val="006D3CEF"/>
    <w:rsid w:val="006D6C6A"/>
    <w:rsid w:val="006E02ED"/>
    <w:rsid w:val="006E1187"/>
    <w:rsid w:val="006E1AA9"/>
    <w:rsid w:val="006E2731"/>
    <w:rsid w:val="006E2DC9"/>
    <w:rsid w:val="006E3B66"/>
    <w:rsid w:val="006E3C98"/>
    <w:rsid w:val="006E7FBD"/>
    <w:rsid w:val="006F26E7"/>
    <w:rsid w:val="006F3C65"/>
    <w:rsid w:val="006F4169"/>
    <w:rsid w:val="006F6346"/>
    <w:rsid w:val="006F6942"/>
    <w:rsid w:val="0070086B"/>
    <w:rsid w:val="0070132C"/>
    <w:rsid w:val="007023C1"/>
    <w:rsid w:val="00704227"/>
    <w:rsid w:val="00705600"/>
    <w:rsid w:val="00705779"/>
    <w:rsid w:val="00705C1A"/>
    <w:rsid w:val="00706A8E"/>
    <w:rsid w:val="00707615"/>
    <w:rsid w:val="00707BE8"/>
    <w:rsid w:val="00707CA1"/>
    <w:rsid w:val="0071018C"/>
    <w:rsid w:val="00712B3A"/>
    <w:rsid w:val="007131DF"/>
    <w:rsid w:val="00717B0C"/>
    <w:rsid w:val="00717F24"/>
    <w:rsid w:val="00721103"/>
    <w:rsid w:val="0072373A"/>
    <w:rsid w:val="00724AF4"/>
    <w:rsid w:val="0072577C"/>
    <w:rsid w:val="00725DA2"/>
    <w:rsid w:val="00726413"/>
    <w:rsid w:val="007266DB"/>
    <w:rsid w:val="0072774B"/>
    <w:rsid w:val="00730345"/>
    <w:rsid w:val="007308A3"/>
    <w:rsid w:val="00730C74"/>
    <w:rsid w:val="00730E85"/>
    <w:rsid w:val="007316BD"/>
    <w:rsid w:val="0073223C"/>
    <w:rsid w:val="00732674"/>
    <w:rsid w:val="00732AE2"/>
    <w:rsid w:val="00732D71"/>
    <w:rsid w:val="0073489A"/>
    <w:rsid w:val="00734E6E"/>
    <w:rsid w:val="00735520"/>
    <w:rsid w:val="00735D02"/>
    <w:rsid w:val="0073689C"/>
    <w:rsid w:val="00736C28"/>
    <w:rsid w:val="007370E7"/>
    <w:rsid w:val="00741599"/>
    <w:rsid w:val="00741CCC"/>
    <w:rsid w:val="007422C7"/>
    <w:rsid w:val="00744938"/>
    <w:rsid w:val="00746093"/>
    <w:rsid w:val="007463E6"/>
    <w:rsid w:val="007466A3"/>
    <w:rsid w:val="00746A60"/>
    <w:rsid w:val="00746DE3"/>
    <w:rsid w:val="00746E6E"/>
    <w:rsid w:val="00746E7D"/>
    <w:rsid w:val="00751C70"/>
    <w:rsid w:val="00753910"/>
    <w:rsid w:val="00753DF4"/>
    <w:rsid w:val="00753FA0"/>
    <w:rsid w:val="007553C8"/>
    <w:rsid w:val="00755A6C"/>
    <w:rsid w:val="00757BDD"/>
    <w:rsid w:val="00757F8C"/>
    <w:rsid w:val="00760939"/>
    <w:rsid w:val="007609E9"/>
    <w:rsid w:val="00760D10"/>
    <w:rsid w:val="007619D4"/>
    <w:rsid w:val="00761C45"/>
    <w:rsid w:val="007623BA"/>
    <w:rsid w:val="00764101"/>
    <w:rsid w:val="00766424"/>
    <w:rsid w:val="00767242"/>
    <w:rsid w:val="00767B81"/>
    <w:rsid w:val="00772A71"/>
    <w:rsid w:val="00772E00"/>
    <w:rsid w:val="0077389F"/>
    <w:rsid w:val="0077531F"/>
    <w:rsid w:val="0077750B"/>
    <w:rsid w:val="00777BED"/>
    <w:rsid w:val="00781E88"/>
    <w:rsid w:val="007826D6"/>
    <w:rsid w:val="00786068"/>
    <w:rsid w:val="0078655D"/>
    <w:rsid w:val="00787ADE"/>
    <w:rsid w:val="00790152"/>
    <w:rsid w:val="00790BC5"/>
    <w:rsid w:val="0079107D"/>
    <w:rsid w:val="007921BC"/>
    <w:rsid w:val="0079242D"/>
    <w:rsid w:val="007927FF"/>
    <w:rsid w:val="007937D1"/>
    <w:rsid w:val="00793B23"/>
    <w:rsid w:val="00794C2D"/>
    <w:rsid w:val="00795010"/>
    <w:rsid w:val="00795079"/>
    <w:rsid w:val="0079556D"/>
    <w:rsid w:val="00796AED"/>
    <w:rsid w:val="0079710E"/>
    <w:rsid w:val="00797215"/>
    <w:rsid w:val="007A4147"/>
    <w:rsid w:val="007A508A"/>
    <w:rsid w:val="007A5EC7"/>
    <w:rsid w:val="007A71E1"/>
    <w:rsid w:val="007B0959"/>
    <w:rsid w:val="007B1430"/>
    <w:rsid w:val="007B2E96"/>
    <w:rsid w:val="007B3E84"/>
    <w:rsid w:val="007B6096"/>
    <w:rsid w:val="007B63A7"/>
    <w:rsid w:val="007B7924"/>
    <w:rsid w:val="007B7BA5"/>
    <w:rsid w:val="007C19A3"/>
    <w:rsid w:val="007C2403"/>
    <w:rsid w:val="007C2E9E"/>
    <w:rsid w:val="007C3547"/>
    <w:rsid w:val="007C600F"/>
    <w:rsid w:val="007C63E7"/>
    <w:rsid w:val="007D0D74"/>
    <w:rsid w:val="007D1343"/>
    <w:rsid w:val="007D253D"/>
    <w:rsid w:val="007D33F7"/>
    <w:rsid w:val="007D4F03"/>
    <w:rsid w:val="007D5D49"/>
    <w:rsid w:val="007D5D51"/>
    <w:rsid w:val="007D5F2E"/>
    <w:rsid w:val="007D7596"/>
    <w:rsid w:val="007D79ED"/>
    <w:rsid w:val="007D7CA4"/>
    <w:rsid w:val="007E0A3A"/>
    <w:rsid w:val="007E0D9F"/>
    <w:rsid w:val="007E2E80"/>
    <w:rsid w:val="007E4E61"/>
    <w:rsid w:val="007E677E"/>
    <w:rsid w:val="007E6A74"/>
    <w:rsid w:val="007F0021"/>
    <w:rsid w:val="007F1E3B"/>
    <w:rsid w:val="007F28CC"/>
    <w:rsid w:val="007F31C9"/>
    <w:rsid w:val="007F3393"/>
    <w:rsid w:val="007F456A"/>
    <w:rsid w:val="007F502F"/>
    <w:rsid w:val="007F6EFD"/>
    <w:rsid w:val="00800090"/>
    <w:rsid w:val="00800BD5"/>
    <w:rsid w:val="00801175"/>
    <w:rsid w:val="008042B6"/>
    <w:rsid w:val="00804E53"/>
    <w:rsid w:val="008053CD"/>
    <w:rsid w:val="0080772B"/>
    <w:rsid w:val="00810E29"/>
    <w:rsid w:val="00811543"/>
    <w:rsid w:val="0081172C"/>
    <w:rsid w:val="00812608"/>
    <w:rsid w:val="00814C3A"/>
    <w:rsid w:val="00815FC8"/>
    <w:rsid w:val="00816E02"/>
    <w:rsid w:val="008179BA"/>
    <w:rsid w:val="00817B5A"/>
    <w:rsid w:val="00821D61"/>
    <w:rsid w:val="00822A14"/>
    <w:rsid w:val="00822CE4"/>
    <w:rsid w:val="00823002"/>
    <w:rsid w:val="008230C9"/>
    <w:rsid w:val="00823101"/>
    <w:rsid w:val="00823B20"/>
    <w:rsid w:val="00824774"/>
    <w:rsid w:val="00824C28"/>
    <w:rsid w:val="008251DD"/>
    <w:rsid w:val="0082523D"/>
    <w:rsid w:val="0082569A"/>
    <w:rsid w:val="00826A7A"/>
    <w:rsid w:val="00826CD9"/>
    <w:rsid w:val="00826D31"/>
    <w:rsid w:val="00830161"/>
    <w:rsid w:val="00832B60"/>
    <w:rsid w:val="00834872"/>
    <w:rsid w:val="00834CC5"/>
    <w:rsid w:val="00835BA2"/>
    <w:rsid w:val="00837325"/>
    <w:rsid w:val="008379D1"/>
    <w:rsid w:val="00840A1C"/>
    <w:rsid w:val="00843131"/>
    <w:rsid w:val="008446B1"/>
    <w:rsid w:val="008464F8"/>
    <w:rsid w:val="008472D4"/>
    <w:rsid w:val="00850065"/>
    <w:rsid w:val="008514FC"/>
    <w:rsid w:val="00852DD5"/>
    <w:rsid w:val="00853293"/>
    <w:rsid w:val="008535A6"/>
    <w:rsid w:val="00853B70"/>
    <w:rsid w:val="00853E14"/>
    <w:rsid w:val="00854382"/>
    <w:rsid w:val="00854601"/>
    <w:rsid w:val="00854A67"/>
    <w:rsid w:val="00856617"/>
    <w:rsid w:val="00857ECD"/>
    <w:rsid w:val="00857FA3"/>
    <w:rsid w:val="0086032B"/>
    <w:rsid w:val="008611CC"/>
    <w:rsid w:val="00861ECD"/>
    <w:rsid w:val="008631BE"/>
    <w:rsid w:val="00864021"/>
    <w:rsid w:val="0086455F"/>
    <w:rsid w:val="00864FEE"/>
    <w:rsid w:val="00865F7A"/>
    <w:rsid w:val="00866548"/>
    <w:rsid w:val="00866874"/>
    <w:rsid w:val="008669F3"/>
    <w:rsid w:val="00867108"/>
    <w:rsid w:val="00867C9E"/>
    <w:rsid w:val="00871D4C"/>
    <w:rsid w:val="00872405"/>
    <w:rsid w:val="00872A65"/>
    <w:rsid w:val="008734FD"/>
    <w:rsid w:val="00875A1A"/>
    <w:rsid w:val="00876D06"/>
    <w:rsid w:val="00877C5B"/>
    <w:rsid w:val="00877FDB"/>
    <w:rsid w:val="00880EF9"/>
    <w:rsid w:val="00881109"/>
    <w:rsid w:val="008812A6"/>
    <w:rsid w:val="0088195C"/>
    <w:rsid w:val="00881C97"/>
    <w:rsid w:val="00882323"/>
    <w:rsid w:val="00882F27"/>
    <w:rsid w:val="008835F0"/>
    <w:rsid w:val="00883600"/>
    <w:rsid w:val="00883713"/>
    <w:rsid w:val="00884255"/>
    <w:rsid w:val="00886EBA"/>
    <w:rsid w:val="008872E1"/>
    <w:rsid w:val="008876CA"/>
    <w:rsid w:val="00891DB3"/>
    <w:rsid w:val="008942B6"/>
    <w:rsid w:val="00894C0F"/>
    <w:rsid w:val="00895D5E"/>
    <w:rsid w:val="00897A47"/>
    <w:rsid w:val="00897F63"/>
    <w:rsid w:val="008A051A"/>
    <w:rsid w:val="008A1ECA"/>
    <w:rsid w:val="008A1F46"/>
    <w:rsid w:val="008A2B88"/>
    <w:rsid w:val="008A3464"/>
    <w:rsid w:val="008A419D"/>
    <w:rsid w:val="008A4460"/>
    <w:rsid w:val="008A5CF0"/>
    <w:rsid w:val="008A6B8B"/>
    <w:rsid w:val="008A6CDD"/>
    <w:rsid w:val="008B0D78"/>
    <w:rsid w:val="008B124D"/>
    <w:rsid w:val="008B2062"/>
    <w:rsid w:val="008B2164"/>
    <w:rsid w:val="008B41D0"/>
    <w:rsid w:val="008B5890"/>
    <w:rsid w:val="008B65AB"/>
    <w:rsid w:val="008B752A"/>
    <w:rsid w:val="008B75F2"/>
    <w:rsid w:val="008C2149"/>
    <w:rsid w:val="008C22A3"/>
    <w:rsid w:val="008C240A"/>
    <w:rsid w:val="008C28B1"/>
    <w:rsid w:val="008C2BB0"/>
    <w:rsid w:val="008C3A9A"/>
    <w:rsid w:val="008C4BF4"/>
    <w:rsid w:val="008C5C72"/>
    <w:rsid w:val="008C6034"/>
    <w:rsid w:val="008D048D"/>
    <w:rsid w:val="008D0577"/>
    <w:rsid w:val="008D0A07"/>
    <w:rsid w:val="008D120C"/>
    <w:rsid w:val="008D2CD6"/>
    <w:rsid w:val="008D3199"/>
    <w:rsid w:val="008D4F83"/>
    <w:rsid w:val="008D52B1"/>
    <w:rsid w:val="008D546E"/>
    <w:rsid w:val="008D5C29"/>
    <w:rsid w:val="008D66C0"/>
    <w:rsid w:val="008D6E5B"/>
    <w:rsid w:val="008D7375"/>
    <w:rsid w:val="008D741D"/>
    <w:rsid w:val="008E01A7"/>
    <w:rsid w:val="008E1237"/>
    <w:rsid w:val="008E1524"/>
    <w:rsid w:val="008E234D"/>
    <w:rsid w:val="008E2610"/>
    <w:rsid w:val="008E36C7"/>
    <w:rsid w:val="008E3E4B"/>
    <w:rsid w:val="008E4B7D"/>
    <w:rsid w:val="008E4D0D"/>
    <w:rsid w:val="008E50F4"/>
    <w:rsid w:val="008F1690"/>
    <w:rsid w:val="008F1738"/>
    <w:rsid w:val="008F1821"/>
    <w:rsid w:val="008F2476"/>
    <w:rsid w:val="008F3198"/>
    <w:rsid w:val="008F41B4"/>
    <w:rsid w:val="008F42AD"/>
    <w:rsid w:val="008F49C8"/>
    <w:rsid w:val="008F57CF"/>
    <w:rsid w:val="008F66D6"/>
    <w:rsid w:val="008F76D0"/>
    <w:rsid w:val="009005F3"/>
    <w:rsid w:val="00900D68"/>
    <w:rsid w:val="009017AC"/>
    <w:rsid w:val="00903CD8"/>
    <w:rsid w:val="00904BDF"/>
    <w:rsid w:val="00905160"/>
    <w:rsid w:val="009061D3"/>
    <w:rsid w:val="00907559"/>
    <w:rsid w:val="0090770F"/>
    <w:rsid w:val="00907858"/>
    <w:rsid w:val="00910B7A"/>
    <w:rsid w:val="00913491"/>
    <w:rsid w:val="009147C4"/>
    <w:rsid w:val="00915141"/>
    <w:rsid w:val="00916AB1"/>
    <w:rsid w:val="00917743"/>
    <w:rsid w:val="00917EF3"/>
    <w:rsid w:val="00920C7E"/>
    <w:rsid w:val="0092181F"/>
    <w:rsid w:val="00921894"/>
    <w:rsid w:val="009229C9"/>
    <w:rsid w:val="00922D56"/>
    <w:rsid w:val="00923B82"/>
    <w:rsid w:val="009254B8"/>
    <w:rsid w:val="00927075"/>
    <w:rsid w:val="009309D3"/>
    <w:rsid w:val="009341B1"/>
    <w:rsid w:val="00935145"/>
    <w:rsid w:val="0093639C"/>
    <w:rsid w:val="009365C0"/>
    <w:rsid w:val="0093762D"/>
    <w:rsid w:val="00937B38"/>
    <w:rsid w:val="00937FB0"/>
    <w:rsid w:val="00941BDE"/>
    <w:rsid w:val="00941C1C"/>
    <w:rsid w:val="00945879"/>
    <w:rsid w:val="00947FBF"/>
    <w:rsid w:val="0095026D"/>
    <w:rsid w:val="00950F37"/>
    <w:rsid w:val="00951300"/>
    <w:rsid w:val="00951B9A"/>
    <w:rsid w:val="00951BA0"/>
    <w:rsid w:val="00952FF7"/>
    <w:rsid w:val="009533B3"/>
    <w:rsid w:val="00953C7A"/>
    <w:rsid w:val="00955746"/>
    <w:rsid w:val="00955EED"/>
    <w:rsid w:val="0095787D"/>
    <w:rsid w:val="009630D6"/>
    <w:rsid w:val="00964273"/>
    <w:rsid w:val="00966008"/>
    <w:rsid w:val="00966B97"/>
    <w:rsid w:val="00966F63"/>
    <w:rsid w:val="009705F3"/>
    <w:rsid w:val="0097077A"/>
    <w:rsid w:val="009707F9"/>
    <w:rsid w:val="00970BD9"/>
    <w:rsid w:val="009730EB"/>
    <w:rsid w:val="00973DCC"/>
    <w:rsid w:val="009744F3"/>
    <w:rsid w:val="00975D30"/>
    <w:rsid w:val="00975EB3"/>
    <w:rsid w:val="009764B5"/>
    <w:rsid w:val="00976CDE"/>
    <w:rsid w:val="00976DFD"/>
    <w:rsid w:val="00977443"/>
    <w:rsid w:val="00981873"/>
    <w:rsid w:val="009834C4"/>
    <w:rsid w:val="00983D49"/>
    <w:rsid w:val="00985F8B"/>
    <w:rsid w:val="00987A9B"/>
    <w:rsid w:val="00987B69"/>
    <w:rsid w:val="0099016D"/>
    <w:rsid w:val="00991286"/>
    <w:rsid w:val="00993047"/>
    <w:rsid w:val="0099314C"/>
    <w:rsid w:val="00993BE6"/>
    <w:rsid w:val="00996223"/>
    <w:rsid w:val="00996852"/>
    <w:rsid w:val="00996E9F"/>
    <w:rsid w:val="009A0835"/>
    <w:rsid w:val="009A0DFD"/>
    <w:rsid w:val="009A1329"/>
    <w:rsid w:val="009A1796"/>
    <w:rsid w:val="009A233C"/>
    <w:rsid w:val="009A3901"/>
    <w:rsid w:val="009A3D29"/>
    <w:rsid w:val="009A5280"/>
    <w:rsid w:val="009A60E1"/>
    <w:rsid w:val="009B0486"/>
    <w:rsid w:val="009B0B11"/>
    <w:rsid w:val="009B2185"/>
    <w:rsid w:val="009B25EC"/>
    <w:rsid w:val="009B2C85"/>
    <w:rsid w:val="009B32B8"/>
    <w:rsid w:val="009B3A56"/>
    <w:rsid w:val="009B3B59"/>
    <w:rsid w:val="009B5016"/>
    <w:rsid w:val="009B59BB"/>
    <w:rsid w:val="009B7A91"/>
    <w:rsid w:val="009C1C2A"/>
    <w:rsid w:val="009C2FBB"/>
    <w:rsid w:val="009C3628"/>
    <w:rsid w:val="009C374D"/>
    <w:rsid w:val="009C42B1"/>
    <w:rsid w:val="009C4386"/>
    <w:rsid w:val="009C4FFF"/>
    <w:rsid w:val="009C58E4"/>
    <w:rsid w:val="009C59E9"/>
    <w:rsid w:val="009C64EC"/>
    <w:rsid w:val="009C7B42"/>
    <w:rsid w:val="009D1741"/>
    <w:rsid w:val="009D30AE"/>
    <w:rsid w:val="009D3805"/>
    <w:rsid w:val="009D4F17"/>
    <w:rsid w:val="009D6B85"/>
    <w:rsid w:val="009D6E15"/>
    <w:rsid w:val="009D7725"/>
    <w:rsid w:val="009D7A9E"/>
    <w:rsid w:val="009E1945"/>
    <w:rsid w:val="009E1EC4"/>
    <w:rsid w:val="009E21EC"/>
    <w:rsid w:val="009E316D"/>
    <w:rsid w:val="009E34AB"/>
    <w:rsid w:val="009E34F0"/>
    <w:rsid w:val="009E46A5"/>
    <w:rsid w:val="009E4D7E"/>
    <w:rsid w:val="009E6181"/>
    <w:rsid w:val="009E65C6"/>
    <w:rsid w:val="009E7689"/>
    <w:rsid w:val="009F0067"/>
    <w:rsid w:val="009F00B9"/>
    <w:rsid w:val="009F068B"/>
    <w:rsid w:val="009F157B"/>
    <w:rsid w:val="009F1ADF"/>
    <w:rsid w:val="009F1B1F"/>
    <w:rsid w:val="009F2AF7"/>
    <w:rsid w:val="009F2D69"/>
    <w:rsid w:val="009F357A"/>
    <w:rsid w:val="009F3BBF"/>
    <w:rsid w:val="009F4901"/>
    <w:rsid w:val="009F5316"/>
    <w:rsid w:val="009F6096"/>
    <w:rsid w:val="009F655C"/>
    <w:rsid w:val="00A02C86"/>
    <w:rsid w:val="00A03B72"/>
    <w:rsid w:val="00A03D60"/>
    <w:rsid w:val="00A0445F"/>
    <w:rsid w:val="00A04E77"/>
    <w:rsid w:val="00A06AE2"/>
    <w:rsid w:val="00A06D52"/>
    <w:rsid w:val="00A10AB0"/>
    <w:rsid w:val="00A10E4C"/>
    <w:rsid w:val="00A118CF"/>
    <w:rsid w:val="00A14201"/>
    <w:rsid w:val="00A14C6E"/>
    <w:rsid w:val="00A15CB0"/>
    <w:rsid w:val="00A1675C"/>
    <w:rsid w:val="00A169B8"/>
    <w:rsid w:val="00A16F6A"/>
    <w:rsid w:val="00A17161"/>
    <w:rsid w:val="00A17622"/>
    <w:rsid w:val="00A20186"/>
    <w:rsid w:val="00A202B7"/>
    <w:rsid w:val="00A20FA1"/>
    <w:rsid w:val="00A21578"/>
    <w:rsid w:val="00A21668"/>
    <w:rsid w:val="00A22609"/>
    <w:rsid w:val="00A23256"/>
    <w:rsid w:val="00A25F93"/>
    <w:rsid w:val="00A26A41"/>
    <w:rsid w:val="00A27487"/>
    <w:rsid w:val="00A27CDF"/>
    <w:rsid w:val="00A27F27"/>
    <w:rsid w:val="00A30A0C"/>
    <w:rsid w:val="00A30C0B"/>
    <w:rsid w:val="00A30C14"/>
    <w:rsid w:val="00A32EC5"/>
    <w:rsid w:val="00A3328D"/>
    <w:rsid w:val="00A35340"/>
    <w:rsid w:val="00A3621C"/>
    <w:rsid w:val="00A37C18"/>
    <w:rsid w:val="00A37F0D"/>
    <w:rsid w:val="00A40C14"/>
    <w:rsid w:val="00A413E9"/>
    <w:rsid w:val="00A41561"/>
    <w:rsid w:val="00A4235B"/>
    <w:rsid w:val="00A42BFE"/>
    <w:rsid w:val="00A44DEA"/>
    <w:rsid w:val="00A45995"/>
    <w:rsid w:val="00A470A6"/>
    <w:rsid w:val="00A473C4"/>
    <w:rsid w:val="00A51988"/>
    <w:rsid w:val="00A51B95"/>
    <w:rsid w:val="00A528E0"/>
    <w:rsid w:val="00A52C72"/>
    <w:rsid w:val="00A5462C"/>
    <w:rsid w:val="00A549A0"/>
    <w:rsid w:val="00A54D39"/>
    <w:rsid w:val="00A54DC3"/>
    <w:rsid w:val="00A557C5"/>
    <w:rsid w:val="00A557F8"/>
    <w:rsid w:val="00A55FC2"/>
    <w:rsid w:val="00A57A89"/>
    <w:rsid w:val="00A57B93"/>
    <w:rsid w:val="00A6041D"/>
    <w:rsid w:val="00A60CD6"/>
    <w:rsid w:val="00A6122F"/>
    <w:rsid w:val="00A61F0A"/>
    <w:rsid w:val="00A62DE3"/>
    <w:rsid w:val="00A64239"/>
    <w:rsid w:val="00A648C8"/>
    <w:rsid w:val="00A658B1"/>
    <w:rsid w:val="00A65A98"/>
    <w:rsid w:val="00A661D8"/>
    <w:rsid w:val="00A662E9"/>
    <w:rsid w:val="00A6741C"/>
    <w:rsid w:val="00A70D5C"/>
    <w:rsid w:val="00A71323"/>
    <w:rsid w:val="00A71450"/>
    <w:rsid w:val="00A716BF"/>
    <w:rsid w:val="00A80691"/>
    <w:rsid w:val="00A807EA"/>
    <w:rsid w:val="00A81134"/>
    <w:rsid w:val="00A816D9"/>
    <w:rsid w:val="00A81949"/>
    <w:rsid w:val="00A82321"/>
    <w:rsid w:val="00A84A8E"/>
    <w:rsid w:val="00A84F7F"/>
    <w:rsid w:val="00A86AB2"/>
    <w:rsid w:val="00A91422"/>
    <w:rsid w:val="00A918B7"/>
    <w:rsid w:val="00A91DD6"/>
    <w:rsid w:val="00A92D5F"/>
    <w:rsid w:val="00A94284"/>
    <w:rsid w:val="00A95E9A"/>
    <w:rsid w:val="00A96FBC"/>
    <w:rsid w:val="00A97D2E"/>
    <w:rsid w:val="00AA0CFE"/>
    <w:rsid w:val="00AA161D"/>
    <w:rsid w:val="00AA1A66"/>
    <w:rsid w:val="00AA1D3E"/>
    <w:rsid w:val="00AA2A6B"/>
    <w:rsid w:val="00AA2B8D"/>
    <w:rsid w:val="00AA2FC6"/>
    <w:rsid w:val="00AA4E75"/>
    <w:rsid w:val="00AA5A6F"/>
    <w:rsid w:val="00AA5FC9"/>
    <w:rsid w:val="00AA6C8E"/>
    <w:rsid w:val="00AB0CF0"/>
    <w:rsid w:val="00AB1717"/>
    <w:rsid w:val="00AB354C"/>
    <w:rsid w:val="00AB37E7"/>
    <w:rsid w:val="00AB52F1"/>
    <w:rsid w:val="00AB55B6"/>
    <w:rsid w:val="00AB5E4D"/>
    <w:rsid w:val="00AB74DB"/>
    <w:rsid w:val="00AB7CDB"/>
    <w:rsid w:val="00AC08CB"/>
    <w:rsid w:val="00AC2246"/>
    <w:rsid w:val="00AC3B48"/>
    <w:rsid w:val="00AC457E"/>
    <w:rsid w:val="00AC4627"/>
    <w:rsid w:val="00AC4E78"/>
    <w:rsid w:val="00AC5230"/>
    <w:rsid w:val="00AC6570"/>
    <w:rsid w:val="00AC7685"/>
    <w:rsid w:val="00AD0428"/>
    <w:rsid w:val="00AD0A05"/>
    <w:rsid w:val="00AD0E6C"/>
    <w:rsid w:val="00AD1E1A"/>
    <w:rsid w:val="00AD20EE"/>
    <w:rsid w:val="00AD25A9"/>
    <w:rsid w:val="00AD2A31"/>
    <w:rsid w:val="00AD3EC6"/>
    <w:rsid w:val="00AD4A3D"/>
    <w:rsid w:val="00AD5D9C"/>
    <w:rsid w:val="00AD6AFE"/>
    <w:rsid w:val="00AD7413"/>
    <w:rsid w:val="00AD75BA"/>
    <w:rsid w:val="00AE11BA"/>
    <w:rsid w:val="00AE339A"/>
    <w:rsid w:val="00AE3A15"/>
    <w:rsid w:val="00AE3B05"/>
    <w:rsid w:val="00AE495D"/>
    <w:rsid w:val="00AE4FD3"/>
    <w:rsid w:val="00AE5374"/>
    <w:rsid w:val="00AF0788"/>
    <w:rsid w:val="00AF0B5D"/>
    <w:rsid w:val="00AF0D68"/>
    <w:rsid w:val="00AF2183"/>
    <w:rsid w:val="00AF388C"/>
    <w:rsid w:val="00AF3B19"/>
    <w:rsid w:val="00AF3FB7"/>
    <w:rsid w:val="00AF5188"/>
    <w:rsid w:val="00AF5F64"/>
    <w:rsid w:val="00AF690D"/>
    <w:rsid w:val="00AF6B1B"/>
    <w:rsid w:val="00AF7939"/>
    <w:rsid w:val="00AF7B24"/>
    <w:rsid w:val="00B0043D"/>
    <w:rsid w:val="00B00DB0"/>
    <w:rsid w:val="00B01E35"/>
    <w:rsid w:val="00B01E4D"/>
    <w:rsid w:val="00B025FC"/>
    <w:rsid w:val="00B02ACB"/>
    <w:rsid w:val="00B04E1B"/>
    <w:rsid w:val="00B056A2"/>
    <w:rsid w:val="00B06300"/>
    <w:rsid w:val="00B0788A"/>
    <w:rsid w:val="00B07960"/>
    <w:rsid w:val="00B11587"/>
    <w:rsid w:val="00B130CA"/>
    <w:rsid w:val="00B150C1"/>
    <w:rsid w:val="00B1582E"/>
    <w:rsid w:val="00B15B85"/>
    <w:rsid w:val="00B1680B"/>
    <w:rsid w:val="00B172E7"/>
    <w:rsid w:val="00B20D8F"/>
    <w:rsid w:val="00B2156A"/>
    <w:rsid w:val="00B24A1B"/>
    <w:rsid w:val="00B24C1E"/>
    <w:rsid w:val="00B25143"/>
    <w:rsid w:val="00B26EF1"/>
    <w:rsid w:val="00B272B3"/>
    <w:rsid w:val="00B27FC9"/>
    <w:rsid w:val="00B31302"/>
    <w:rsid w:val="00B31A5F"/>
    <w:rsid w:val="00B32AD1"/>
    <w:rsid w:val="00B33F24"/>
    <w:rsid w:val="00B34BE2"/>
    <w:rsid w:val="00B3583E"/>
    <w:rsid w:val="00B35D24"/>
    <w:rsid w:val="00B361FE"/>
    <w:rsid w:val="00B36535"/>
    <w:rsid w:val="00B368AB"/>
    <w:rsid w:val="00B37718"/>
    <w:rsid w:val="00B37F02"/>
    <w:rsid w:val="00B403FD"/>
    <w:rsid w:val="00B4173E"/>
    <w:rsid w:val="00B41CB9"/>
    <w:rsid w:val="00B4237F"/>
    <w:rsid w:val="00B42B91"/>
    <w:rsid w:val="00B43A18"/>
    <w:rsid w:val="00B43AB8"/>
    <w:rsid w:val="00B45BA7"/>
    <w:rsid w:val="00B465D3"/>
    <w:rsid w:val="00B47FBC"/>
    <w:rsid w:val="00B50949"/>
    <w:rsid w:val="00B51299"/>
    <w:rsid w:val="00B51AC2"/>
    <w:rsid w:val="00B52AF3"/>
    <w:rsid w:val="00B530F4"/>
    <w:rsid w:val="00B534DA"/>
    <w:rsid w:val="00B53C25"/>
    <w:rsid w:val="00B548AA"/>
    <w:rsid w:val="00B548C2"/>
    <w:rsid w:val="00B54A1B"/>
    <w:rsid w:val="00B564E3"/>
    <w:rsid w:val="00B56CF0"/>
    <w:rsid w:val="00B6008B"/>
    <w:rsid w:val="00B61C2A"/>
    <w:rsid w:val="00B62177"/>
    <w:rsid w:val="00B63667"/>
    <w:rsid w:val="00B645E9"/>
    <w:rsid w:val="00B64EDD"/>
    <w:rsid w:val="00B67C42"/>
    <w:rsid w:val="00B70967"/>
    <w:rsid w:val="00B72606"/>
    <w:rsid w:val="00B73081"/>
    <w:rsid w:val="00B73246"/>
    <w:rsid w:val="00B758A6"/>
    <w:rsid w:val="00B758AC"/>
    <w:rsid w:val="00B7683A"/>
    <w:rsid w:val="00B76908"/>
    <w:rsid w:val="00B77292"/>
    <w:rsid w:val="00B8193B"/>
    <w:rsid w:val="00B8322F"/>
    <w:rsid w:val="00B8355A"/>
    <w:rsid w:val="00B8496E"/>
    <w:rsid w:val="00B84BC8"/>
    <w:rsid w:val="00B84F63"/>
    <w:rsid w:val="00B85C33"/>
    <w:rsid w:val="00B86340"/>
    <w:rsid w:val="00B86533"/>
    <w:rsid w:val="00B86BFD"/>
    <w:rsid w:val="00B879C7"/>
    <w:rsid w:val="00B87A33"/>
    <w:rsid w:val="00B90DF5"/>
    <w:rsid w:val="00B91F00"/>
    <w:rsid w:val="00B93D3B"/>
    <w:rsid w:val="00B94DF9"/>
    <w:rsid w:val="00B94FA4"/>
    <w:rsid w:val="00B95C96"/>
    <w:rsid w:val="00B9703D"/>
    <w:rsid w:val="00BA0BFA"/>
    <w:rsid w:val="00BA0DEC"/>
    <w:rsid w:val="00BA0E08"/>
    <w:rsid w:val="00BA12A8"/>
    <w:rsid w:val="00BA1CA1"/>
    <w:rsid w:val="00BA39F4"/>
    <w:rsid w:val="00BA40A7"/>
    <w:rsid w:val="00BA5CFA"/>
    <w:rsid w:val="00BA7E4C"/>
    <w:rsid w:val="00BB023F"/>
    <w:rsid w:val="00BB041E"/>
    <w:rsid w:val="00BB0460"/>
    <w:rsid w:val="00BB04F4"/>
    <w:rsid w:val="00BB0C30"/>
    <w:rsid w:val="00BB19AA"/>
    <w:rsid w:val="00BB1F1A"/>
    <w:rsid w:val="00BB2009"/>
    <w:rsid w:val="00BB59EC"/>
    <w:rsid w:val="00BB59EE"/>
    <w:rsid w:val="00BB5FB0"/>
    <w:rsid w:val="00BB694C"/>
    <w:rsid w:val="00BB7821"/>
    <w:rsid w:val="00BB799E"/>
    <w:rsid w:val="00BB7BB2"/>
    <w:rsid w:val="00BB7D97"/>
    <w:rsid w:val="00BC060C"/>
    <w:rsid w:val="00BC3E83"/>
    <w:rsid w:val="00BC448C"/>
    <w:rsid w:val="00BC4DD8"/>
    <w:rsid w:val="00BC5873"/>
    <w:rsid w:val="00BC74B5"/>
    <w:rsid w:val="00BD0400"/>
    <w:rsid w:val="00BD05DA"/>
    <w:rsid w:val="00BD2293"/>
    <w:rsid w:val="00BD2BC9"/>
    <w:rsid w:val="00BD4903"/>
    <w:rsid w:val="00BD4D98"/>
    <w:rsid w:val="00BD5ED7"/>
    <w:rsid w:val="00BD670A"/>
    <w:rsid w:val="00BD6B3D"/>
    <w:rsid w:val="00BD6B81"/>
    <w:rsid w:val="00BD7C5E"/>
    <w:rsid w:val="00BD7F63"/>
    <w:rsid w:val="00BE23F4"/>
    <w:rsid w:val="00BE24C0"/>
    <w:rsid w:val="00BE2AE3"/>
    <w:rsid w:val="00BE3979"/>
    <w:rsid w:val="00BE3B8A"/>
    <w:rsid w:val="00BE43C2"/>
    <w:rsid w:val="00BE4DDF"/>
    <w:rsid w:val="00BE51B2"/>
    <w:rsid w:val="00BE6A54"/>
    <w:rsid w:val="00BF139C"/>
    <w:rsid w:val="00BF162F"/>
    <w:rsid w:val="00BF2207"/>
    <w:rsid w:val="00BF33CD"/>
    <w:rsid w:val="00BF4187"/>
    <w:rsid w:val="00BF49AF"/>
    <w:rsid w:val="00BF673B"/>
    <w:rsid w:val="00BF682F"/>
    <w:rsid w:val="00BF68EE"/>
    <w:rsid w:val="00C01781"/>
    <w:rsid w:val="00C0215B"/>
    <w:rsid w:val="00C03624"/>
    <w:rsid w:val="00C06396"/>
    <w:rsid w:val="00C06F67"/>
    <w:rsid w:val="00C07816"/>
    <w:rsid w:val="00C116C2"/>
    <w:rsid w:val="00C11932"/>
    <w:rsid w:val="00C11AFB"/>
    <w:rsid w:val="00C12898"/>
    <w:rsid w:val="00C1324C"/>
    <w:rsid w:val="00C1351E"/>
    <w:rsid w:val="00C13D9E"/>
    <w:rsid w:val="00C148E6"/>
    <w:rsid w:val="00C14A43"/>
    <w:rsid w:val="00C15E6C"/>
    <w:rsid w:val="00C16DAB"/>
    <w:rsid w:val="00C2086E"/>
    <w:rsid w:val="00C20CC0"/>
    <w:rsid w:val="00C2157B"/>
    <w:rsid w:val="00C218D1"/>
    <w:rsid w:val="00C2193B"/>
    <w:rsid w:val="00C21EF6"/>
    <w:rsid w:val="00C230DB"/>
    <w:rsid w:val="00C24948"/>
    <w:rsid w:val="00C24D5A"/>
    <w:rsid w:val="00C253C0"/>
    <w:rsid w:val="00C26E07"/>
    <w:rsid w:val="00C30946"/>
    <w:rsid w:val="00C30A11"/>
    <w:rsid w:val="00C30AA4"/>
    <w:rsid w:val="00C310AC"/>
    <w:rsid w:val="00C312BE"/>
    <w:rsid w:val="00C328C7"/>
    <w:rsid w:val="00C33F63"/>
    <w:rsid w:val="00C343C1"/>
    <w:rsid w:val="00C34491"/>
    <w:rsid w:val="00C355A2"/>
    <w:rsid w:val="00C35957"/>
    <w:rsid w:val="00C35F11"/>
    <w:rsid w:val="00C361D2"/>
    <w:rsid w:val="00C373B1"/>
    <w:rsid w:val="00C374B2"/>
    <w:rsid w:val="00C376F5"/>
    <w:rsid w:val="00C37878"/>
    <w:rsid w:val="00C40F9B"/>
    <w:rsid w:val="00C41A8F"/>
    <w:rsid w:val="00C432CD"/>
    <w:rsid w:val="00C436B7"/>
    <w:rsid w:val="00C444F5"/>
    <w:rsid w:val="00C453F8"/>
    <w:rsid w:val="00C4564F"/>
    <w:rsid w:val="00C46DE8"/>
    <w:rsid w:val="00C47BA0"/>
    <w:rsid w:val="00C507F3"/>
    <w:rsid w:val="00C526B2"/>
    <w:rsid w:val="00C546DD"/>
    <w:rsid w:val="00C547FC"/>
    <w:rsid w:val="00C54CB1"/>
    <w:rsid w:val="00C54E8B"/>
    <w:rsid w:val="00C571F1"/>
    <w:rsid w:val="00C579C0"/>
    <w:rsid w:val="00C57F51"/>
    <w:rsid w:val="00C6024A"/>
    <w:rsid w:val="00C6128A"/>
    <w:rsid w:val="00C61F71"/>
    <w:rsid w:val="00C62A46"/>
    <w:rsid w:val="00C63B2D"/>
    <w:rsid w:val="00C64FF3"/>
    <w:rsid w:val="00C651B0"/>
    <w:rsid w:val="00C651BC"/>
    <w:rsid w:val="00C651C1"/>
    <w:rsid w:val="00C66215"/>
    <w:rsid w:val="00C676D4"/>
    <w:rsid w:val="00C6775C"/>
    <w:rsid w:val="00C70036"/>
    <w:rsid w:val="00C7077A"/>
    <w:rsid w:val="00C70FF9"/>
    <w:rsid w:val="00C73823"/>
    <w:rsid w:val="00C739FC"/>
    <w:rsid w:val="00C74EAC"/>
    <w:rsid w:val="00C767E1"/>
    <w:rsid w:val="00C77C7C"/>
    <w:rsid w:val="00C804DC"/>
    <w:rsid w:val="00C8297B"/>
    <w:rsid w:val="00C82CE3"/>
    <w:rsid w:val="00C82DF5"/>
    <w:rsid w:val="00C83AA2"/>
    <w:rsid w:val="00C84F6B"/>
    <w:rsid w:val="00C85143"/>
    <w:rsid w:val="00C85735"/>
    <w:rsid w:val="00C85C09"/>
    <w:rsid w:val="00C866DD"/>
    <w:rsid w:val="00C86791"/>
    <w:rsid w:val="00C86E02"/>
    <w:rsid w:val="00C87DB2"/>
    <w:rsid w:val="00C91199"/>
    <w:rsid w:val="00C9154B"/>
    <w:rsid w:val="00C93316"/>
    <w:rsid w:val="00C93969"/>
    <w:rsid w:val="00C94459"/>
    <w:rsid w:val="00C95E4B"/>
    <w:rsid w:val="00C9648D"/>
    <w:rsid w:val="00C96989"/>
    <w:rsid w:val="00C96E99"/>
    <w:rsid w:val="00C9778B"/>
    <w:rsid w:val="00C97899"/>
    <w:rsid w:val="00C97AB0"/>
    <w:rsid w:val="00C97DE1"/>
    <w:rsid w:val="00CA097E"/>
    <w:rsid w:val="00CA0CB3"/>
    <w:rsid w:val="00CA12F6"/>
    <w:rsid w:val="00CA1ECD"/>
    <w:rsid w:val="00CA2B92"/>
    <w:rsid w:val="00CA3FF1"/>
    <w:rsid w:val="00CA5543"/>
    <w:rsid w:val="00CA6B77"/>
    <w:rsid w:val="00CA720C"/>
    <w:rsid w:val="00CA7776"/>
    <w:rsid w:val="00CA7A86"/>
    <w:rsid w:val="00CB215B"/>
    <w:rsid w:val="00CB2D36"/>
    <w:rsid w:val="00CB3F11"/>
    <w:rsid w:val="00CB4564"/>
    <w:rsid w:val="00CB5559"/>
    <w:rsid w:val="00CB7961"/>
    <w:rsid w:val="00CB7FFC"/>
    <w:rsid w:val="00CC303A"/>
    <w:rsid w:val="00CC3798"/>
    <w:rsid w:val="00CC3F54"/>
    <w:rsid w:val="00CC4BF8"/>
    <w:rsid w:val="00CC4F6F"/>
    <w:rsid w:val="00CC644B"/>
    <w:rsid w:val="00CC6556"/>
    <w:rsid w:val="00CC67B4"/>
    <w:rsid w:val="00CC7F8F"/>
    <w:rsid w:val="00CD031C"/>
    <w:rsid w:val="00CD0445"/>
    <w:rsid w:val="00CD05D3"/>
    <w:rsid w:val="00CD12D7"/>
    <w:rsid w:val="00CD2CDB"/>
    <w:rsid w:val="00CD404A"/>
    <w:rsid w:val="00CD43CA"/>
    <w:rsid w:val="00CD4556"/>
    <w:rsid w:val="00CD4F7B"/>
    <w:rsid w:val="00CD55CA"/>
    <w:rsid w:val="00CD5F06"/>
    <w:rsid w:val="00CD67F9"/>
    <w:rsid w:val="00CD72B6"/>
    <w:rsid w:val="00CD7546"/>
    <w:rsid w:val="00CE059F"/>
    <w:rsid w:val="00CE0F1C"/>
    <w:rsid w:val="00CE104E"/>
    <w:rsid w:val="00CE13AC"/>
    <w:rsid w:val="00CE1475"/>
    <w:rsid w:val="00CE2CCB"/>
    <w:rsid w:val="00CE3304"/>
    <w:rsid w:val="00CE33D9"/>
    <w:rsid w:val="00CE3988"/>
    <w:rsid w:val="00CE641B"/>
    <w:rsid w:val="00CE67C3"/>
    <w:rsid w:val="00CE6A37"/>
    <w:rsid w:val="00CE6BB6"/>
    <w:rsid w:val="00CE6D7B"/>
    <w:rsid w:val="00CE7E13"/>
    <w:rsid w:val="00CF2215"/>
    <w:rsid w:val="00CF2C3D"/>
    <w:rsid w:val="00CF2C9E"/>
    <w:rsid w:val="00CF304B"/>
    <w:rsid w:val="00CF3FE9"/>
    <w:rsid w:val="00CF5308"/>
    <w:rsid w:val="00CF6630"/>
    <w:rsid w:val="00CF6E9B"/>
    <w:rsid w:val="00CF7609"/>
    <w:rsid w:val="00CF7B2F"/>
    <w:rsid w:val="00CF7DF6"/>
    <w:rsid w:val="00D00462"/>
    <w:rsid w:val="00D007D7"/>
    <w:rsid w:val="00D00AA4"/>
    <w:rsid w:val="00D00B90"/>
    <w:rsid w:val="00D02812"/>
    <w:rsid w:val="00D03661"/>
    <w:rsid w:val="00D0374E"/>
    <w:rsid w:val="00D0580D"/>
    <w:rsid w:val="00D06447"/>
    <w:rsid w:val="00D07E6B"/>
    <w:rsid w:val="00D10940"/>
    <w:rsid w:val="00D116CC"/>
    <w:rsid w:val="00D11DC8"/>
    <w:rsid w:val="00D12B55"/>
    <w:rsid w:val="00D1388E"/>
    <w:rsid w:val="00D141C2"/>
    <w:rsid w:val="00D14969"/>
    <w:rsid w:val="00D14DAE"/>
    <w:rsid w:val="00D20504"/>
    <w:rsid w:val="00D20ECB"/>
    <w:rsid w:val="00D21FD6"/>
    <w:rsid w:val="00D22D72"/>
    <w:rsid w:val="00D22F81"/>
    <w:rsid w:val="00D23072"/>
    <w:rsid w:val="00D231A2"/>
    <w:rsid w:val="00D2321A"/>
    <w:rsid w:val="00D24473"/>
    <w:rsid w:val="00D24E94"/>
    <w:rsid w:val="00D24FA3"/>
    <w:rsid w:val="00D256EC"/>
    <w:rsid w:val="00D26AFD"/>
    <w:rsid w:val="00D31797"/>
    <w:rsid w:val="00D31DD8"/>
    <w:rsid w:val="00D32E11"/>
    <w:rsid w:val="00D33B7D"/>
    <w:rsid w:val="00D3457B"/>
    <w:rsid w:val="00D364C3"/>
    <w:rsid w:val="00D368FC"/>
    <w:rsid w:val="00D4377F"/>
    <w:rsid w:val="00D46989"/>
    <w:rsid w:val="00D47643"/>
    <w:rsid w:val="00D47963"/>
    <w:rsid w:val="00D47DDE"/>
    <w:rsid w:val="00D47F29"/>
    <w:rsid w:val="00D50A34"/>
    <w:rsid w:val="00D54467"/>
    <w:rsid w:val="00D550CF"/>
    <w:rsid w:val="00D5549C"/>
    <w:rsid w:val="00D56B70"/>
    <w:rsid w:val="00D602CF"/>
    <w:rsid w:val="00D62AEA"/>
    <w:rsid w:val="00D62E58"/>
    <w:rsid w:val="00D6356F"/>
    <w:rsid w:val="00D6446D"/>
    <w:rsid w:val="00D657AB"/>
    <w:rsid w:val="00D658FC"/>
    <w:rsid w:val="00D66CE1"/>
    <w:rsid w:val="00D6718D"/>
    <w:rsid w:val="00D67934"/>
    <w:rsid w:val="00D7118A"/>
    <w:rsid w:val="00D71591"/>
    <w:rsid w:val="00D73F47"/>
    <w:rsid w:val="00D740C4"/>
    <w:rsid w:val="00D766AA"/>
    <w:rsid w:val="00D77665"/>
    <w:rsid w:val="00D802C7"/>
    <w:rsid w:val="00D808A4"/>
    <w:rsid w:val="00D809EF"/>
    <w:rsid w:val="00D81358"/>
    <w:rsid w:val="00D81901"/>
    <w:rsid w:val="00D83485"/>
    <w:rsid w:val="00D84851"/>
    <w:rsid w:val="00D86886"/>
    <w:rsid w:val="00D87541"/>
    <w:rsid w:val="00D878A4"/>
    <w:rsid w:val="00D90DFD"/>
    <w:rsid w:val="00D917B9"/>
    <w:rsid w:val="00D91ABF"/>
    <w:rsid w:val="00D92810"/>
    <w:rsid w:val="00D94218"/>
    <w:rsid w:val="00D959F8"/>
    <w:rsid w:val="00D9635C"/>
    <w:rsid w:val="00D972B3"/>
    <w:rsid w:val="00D97620"/>
    <w:rsid w:val="00DA1FB7"/>
    <w:rsid w:val="00DA2DCD"/>
    <w:rsid w:val="00DA50BD"/>
    <w:rsid w:val="00DA565F"/>
    <w:rsid w:val="00DA569D"/>
    <w:rsid w:val="00DA5809"/>
    <w:rsid w:val="00DA69B3"/>
    <w:rsid w:val="00DA7B07"/>
    <w:rsid w:val="00DB39B3"/>
    <w:rsid w:val="00DB3A1E"/>
    <w:rsid w:val="00DB3BE8"/>
    <w:rsid w:val="00DB3E71"/>
    <w:rsid w:val="00DB4777"/>
    <w:rsid w:val="00DB6BDA"/>
    <w:rsid w:val="00DB705E"/>
    <w:rsid w:val="00DB721F"/>
    <w:rsid w:val="00DC09EC"/>
    <w:rsid w:val="00DC18A3"/>
    <w:rsid w:val="00DC1BBF"/>
    <w:rsid w:val="00DC2CE0"/>
    <w:rsid w:val="00DC2DA7"/>
    <w:rsid w:val="00DC3618"/>
    <w:rsid w:val="00DC3BEF"/>
    <w:rsid w:val="00DC431D"/>
    <w:rsid w:val="00DC52A5"/>
    <w:rsid w:val="00DC5424"/>
    <w:rsid w:val="00DC557A"/>
    <w:rsid w:val="00DC7420"/>
    <w:rsid w:val="00DC79BA"/>
    <w:rsid w:val="00DD1034"/>
    <w:rsid w:val="00DD10A8"/>
    <w:rsid w:val="00DD263B"/>
    <w:rsid w:val="00DD334C"/>
    <w:rsid w:val="00DD34C4"/>
    <w:rsid w:val="00DD3EE0"/>
    <w:rsid w:val="00DD4630"/>
    <w:rsid w:val="00DD5AEC"/>
    <w:rsid w:val="00DD5D7C"/>
    <w:rsid w:val="00DD7A2B"/>
    <w:rsid w:val="00DE1195"/>
    <w:rsid w:val="00DE19EB"/>
    <w:rsid w:val="00DE2E8C"/>
    <w:rsid w:val="00DE3201"/>
    <w:rsid w:val="00DE334F"/>
    <w:rsid w:val="00DE551D"/>
    <w:rsid w:val="00DE55F7"/>
    <w:rsid w:val="00DE5C51"/>
    <w:rsid w:val="00DE7262"/>
    <w:rsid w:val="00DE7386"/>
    <w:rsid w:val="00DF0260"/>
    <w:rsid w:val="00DF0CDD"/>
    <w:rsid w:val="00DF1069"/>
    <w:rsid w:val="00DF2498"/>
    <w:rsid w:val="00DF3250"/>
    <w:rsid w:val="00DF44FF"/>
    <w:rsid w:val="00DF561F"/>
    <w:rsid w:val="00DF5A48"/>
    <w:rsid w:val="00DF67E4"/>
    <w:rsid w:val="00E0041B"/>
    <w:rsid w:val="00E00E52"/>
    <w:rsid w:val="00E01139"/>
    <w:rsid w:val="00E0169E"/>
    <w:rsid w:val="00E01E43"/>
    <w:rsid w:val="00E02C80"/>
    <w:rsid w:val="00E03561"/>
    <w:rsid w:val="00E03AA3"/>
    <w:rsid w:val="00E05373"/>
    <w:rsid w:val="00E065D2"/>
    <w:rsid w:val="00E06A18"/>
    <w:rsid w:val="00E07037"/>
    <w:rsid w:val="00E10FB4"/>
    <w:rsid w:val="00E11132"/>
    <w:rsid w:val="00E114E6"/>
    <w:rsid w:val="00E116AE"/>
    <w:rsid w:val="00E12135"/>
    <w:rsid w:val="00E14196"/>
    <w:rsid w:val="00E16090"/>
    <w:rsid w:val="00E16D64"/>
    <w:rsid w:val="00E17155"/>
    <w:rsid w:val="00E207C6"/>
    <w:rsid w:val="00E20AEB"/>
    <w:rsid w:val="00E22D95"/>
    <w:rsid w:val="00E260A1"/>
    <w:rsid w:val="00E266A7"/>
    <w:rsid w:val="00E26AFF"/>
    <w:rsid w:val="00E27E0F"/>
    <w:rsid w:val="00E30729"/>
    <w:rsid w:val="00E30E17"/>
    <w:rsid w:val="00E324F8"/>
    <w:rsid w:val="00E346CE"/>
    <w:rsid w:val="00E358F3"/>
    <w:rsid w:val="00E36248"/>
    <w:rsid w:val="00E458E8"/>
    <w:rsid w:val="00E461A9"/>
    <w:rsid w:val="00E462C0"/>
    <w:rsid w:val="00E463D4"/>
    <w:rsid w:val="00E46D4D"/>
    <w:rsid w:val="00E512C3"/>
    <w:rsid w:val="00E51F38"/>
    <w:rsid w:val="00E521D9"/>
    <w:rsid w:val="00E52DBB"/>
    <w:rsid w:val="00E54031"/>
    <w:rsid w:val="00E54F89"/>
    <w:rsid w:val="00E55530"/>
    <w:rsid w:val="00E55F9A"/>
    <w:rsid w:val="00E5672C"/>
    <w:rsid w:val="00E567C4"/>
    <w:rsid w:val="00E56E69"/>
    <w:rsid w:val="00E607FC"/>
    <w:rsid w:val="00E61289"/>
    <w:rsid w:val="00E6290E"/>
    <w:rsid w:val="00E63718"/>
    <w:rsid w:val="00E6444B"/>
    <w:rsid w:val="00E66090"/>
    <w:rsid w:val="00E6643C"/>
    <w:rsid w:val="00E674ED"/>
    <w:rsid w:val="00E704DA"/>
    <w:rsid w:val="00E70AC5"/>
    <w:rsid w:val="00E71977"/>
    <w:rsid w:val="00E71A1C"/>
    <w:rsid w:val="00E7220A"/>
    <w:rsid w:val="00E724E8"/>
    <w:rsid w:val="00E73449"/>
    <w:rsid w:val="00E735B8"/>
    <w:rsid w:val="00E73707"/>
    <w:rsid w:val="00E74D04"/>
    <w:rsid w:val="00E75F77"/>
    <w:rsid w:val="00E7687D"/>
    <w:rsid w:val="00E77B9A"/>
    <w:rsid w:val="00E800AE"/>
    <w:rsid w:val="00E80A97"/>
    <w:rsid w:val="00E80BFA"/>
    <w:rsid w:val="00E81AF7"/>
    <w:rsid w:val="00E842D7"/>
    <w:rsid w:val="00E86ECA"/>
    <w:rsid w:val="00E9032A"/>
    <w:rsid w:val="00E915A5"/>
    <w:rsid w:val="00E9275F"/>
    <w:rsid w:val="00E95400"/>
    <w:rsid w:val="00E96529"/>
    <w:rsid w:val="00E96D9F"/>
    <w:rsid w:val="00E97CF5"/>
    <w:rsid w:val="00EA0F9C"/>
    <w:rsid w:val="00EA11BF"/>
    <w:rsid w:val="00EA477B"/>
    <w:rsid w:val="00EA5334"/>
    <w:rsid w:val="00EA57E9"/>
    <w:rsid w:val="00EA73ED"/>
    <w:rsid w:val="00EA790A"/>
    <w:rsid w:val="00EB0873"/>
    <w:rsid w:val="00EB0FB2"/>
    <w:rsid w:val="00EB1DC4"/>
    <w:rsid w:val="00EB1F7C"/>
    <w:rsid w:val="00EB335D"/>
    <w:rsid w:val="00EB3462"/>
    <w:rsid w:val="00EB4118"/>
    <w:rsid w:val="00EB45C7"/>
    <w:rsid w:val="00EB5B08"/>
    <w:rsid w:val="00EB6EFE"/>
    <w:rsid w:val="00EC161B"/>
    <w:rsid w:val="00EC19A0"/>
    <w:rsid w:val="00EC32E5"/>
    <w:rsid w:val="00EC3814"/>
    <w:rsid w:val="00EC3821"/>
    <w:rsid w:val="00EC46A7"/>
    <w:rsid w:val="00EC4C67"/>
    <w:rsid w:val="00EC63E9"/>
    <w:rsid w:val="00EC69F9"/>
    <w:rsid w:val="00EC6BD1"/>
    <w:rsid w:val="00ED19A2"/>
    <w:rsid w:val="00ED2514"/>
    <w:rsid w:val="00ED26FF"/>
    <w:rsid w:val="00ED3080"/>
    <w:rsid w:val="00ED3D05"/>
    <w:rsid w:val="00ED5B4B"/>
    <w:rsid w:val="00ED6CBB"/>
    <w:rsid w:val="00ED7964"/>
    <w:rsid w:val="00EE0CFD"/>
    <w:rsid w:val="00EE1037"/>
    <w:rsid w:val="00EE2C7D"/>
    <w:rsid w:val="00EE39BC"/>
    <w:rsid w:val="00EE3ECE"/>
    <w:rsid w:val="00EE4A45"/>
    <w:rsid w:val="00EE4C75"/>
    <w:rsid w:val="00EE5529"/>
    <w:rsid w:val="00EE5D26"/>
    <w:rsid w:val="00EE5D4F"/>
    <w:rsid w:val="00EE752D"/>
    <w:rsid w:val="00EE76A5"/>
    <w:rsid w:val="00EF04A5"/>
    <w:rsid w:val="00EF058D"/>
    <w:rsid w:val="00EF0D33"/>
    <w:rsid w:val="00EF0EE7"/>
    <w:rsid w:val="00EF0F53"/>
    <w:rsid w:val="00EF1C69"/>
    <w:rsid w:val="00EF3859"/>
    <w:rsid w:val="00EF3E28"/>
    <w:rsid w:val="00EF4CE4"/>
    <w:rsid w:val="00EF5962"/>
    <w:rsid w:val="00EF6789"/>
    <w:rsid w:val="00EF7323"/>
    <w:rsid w:val="00F00077"/>
    <w:rsid w:val="00F01099"/>
    <w:rsid w:val="00F01127"/>
    <w:rsid w:val="00F01BBD"/>
    <w:rsid w:val="00F03C46"/>
    <w:rsid w:val="00F04F2F"/>
    <w:rsid w:val="00F052E8"/>
    <w:rsid w:val="00F0629F"/>
    <w:rsid w:val="00F070DD"/>
    <w:rsid w:val="00F07A35"/>
    <w:rsid w:val="00F07AB0"/>
    <w:rsid w:val="00F119D4"/>
    <w:rsid w:val="00F16DA0"/>
    <w:rsid w:val="00F16EE8"/>
    <w:rsid w:val="00F1724A"/>
    <w:rsid w:val="00F202DB"/>
    <w:rsid w:val="00F20862"/>
    <w:rsid w:val="00F21BBC"/>
    <w:rsid w:val="00F22AB0"/>
    <w:rsid w:val="00F22DD5"/>
    <w:rsid w:val="00F23A4A"/>
    <w:rsid w:val="00F245AF"/>
    <w:rsid w:val="00F264D8"/>
    <w:rsid w:val="00F26B3E"/>
    <w:rsid w:val="00F302D1"/>
    <w:rsid w:val="00F31BE0"/>
    <w:rsid w:val="00F31FAE"/>
    <w:rsid w:val="00F33743"/>
    <w:rsid w:val="00F33AD3"/>
    <w:rsid w:val="00F33B3E"/>
    <w:rsid w:val="00F34092"/>
    <w:rsid w:val="00F3415E"/>
    <w:rsid w:val="00F34866"/>
    <w:rsid w:val="00F3600B"/>
    <w:rsid w:val="00F37131"/>
    <w:rsid w:val="00F376A4"/>
    <w:rsid w:val="00F37BFA"/>
    <w:rsid w:val="00F37DC1"/>
    <w:rsid w:val="00F40B81"/>
    <w:rsid w:val="00F425E9"/>
    <w:rsid w:val="00F425F7"/>
    <w:rsid w:val="00F42F8E"/>
    <w:rsid w:val="00F446EE"/>
    <w:rsid w:val="00F479A0"/>
    <w:rsid w:val="00F52DF5"/>
    <w:rsid w:val="00F53C22"/>
    <w:rsid w:val="00F54E6E"/>
    <w:rsid w:val="00F5621F"/>
    <w:rsid w:val="00F579B4"/>
    <w:rsid w:val="00F60664"/>
    <w:rsid w:val="00F60AC6"/>
    <w:rsid w:val="00F60B89"/>
    <w:rsid w:val="00F6117B"/>
    <w:rsid w:val="00F61AF6"/>
    <w:rsid w:val="00F63235"/>
    <w:rsid w:val="00F6458F"/>
    <w:rsid w:val="00F64AE7"/>
    <w:rsid w:val="00F6712F"/>
    <w:rsid w:val="00F675AD"/>
    <w:rsid w:val="00F71509"/>
    <w:rsid w:val="00F71586"/>
    <w:rsid w:val="00F71C25"/>
    <w:rsid w:val="00F71E1F"/>
    <w:rsid w:val="00F7332C"/>
    <w:rsid w:val="00F751EC"/>
    <w:rsid w:val="00F76370"/>
    <w:rsid w:val="00F76409"/>
    <w:rsid w:val="00F773D7"/>
    <w:rsid w:val="00F77884"/>
    <w:rsid w:val="00F828E3"/>
    <w:rsid w:val="00F83815"/>
    <w:rsid w:val="00F85A46"/>
    <w:rsid w:val="00F85AB4"/>
    <w:rsid w:val="00F8631E"/>
    <w:rsid w:val="00F878EF"/>
    <w:rsid w:val="00F902E0"/>
    <w:rsid w:val="00F91368"/>
    <w:rsid w:val="00F919A6"/>
    <w:rsid w:val="00F9265F"/>
    <w:rsid w:val="00F92EA9"/>
    <w:rsid w:val="00F92F8D"/>
    <w:rsid w:val="00F940A3"/>
    <w:rsid w:val="00F949B1"/>
    <w:rsid w:val="00F95FA0"/>
    <w:rsid w:val="00FA0C8F"/>
    <w:rsid w:val="00FA0EFC"/>
    <w:rsid w:val="00FA173C"/>
    <w:rsid w:val="00FA2277"/>
    <w:rsid w:val="00FA3321"/>
    <w:rsid w:val="00FA3CCE"/>
    <w:rsid w:val="00FA481E"/>
    <w:rsid w:val="00FA4E27"/>
    <w:rsid w:val="00FA559B"/>
    <w:rsid w:val="00FA5A78"/>
    <w:rsid w:val="00FA743D"/>
    <w:rsid w:val="00FB0CD8"/>
    <w:rsid w:val="00FB14CE"/>
    <w:rsid w:val="00FB3E20"/>
    <w:rsid w:val="00FB6277"/>
    <w:rsid w:val="00FB6880"/>
    <w:rsid w:val="00FB72EA"/>
    <w:rsid w:val="00FC0143"/>
    <w:rsid w:val="00FC2704"/>
    <w:rsid w:val="00FC2904"/>
    <w:rsid w:val="00FC2CA9"/>
    <w:rsid w:val="00FC2DF3"/>
    <w:rsid w:val="00FC34AE"/>
    <w:rsid w:val="00FC4A62"/>
    <w:rsid w:val="00FC5081"/>
    <w:rsid w:val="00FC59EC"/>
    <w:rsid w:val="00FC626B"/>
    <w:rsid w:val="00FC682D"/>
    <w:rsid w:val="00FC7C93"/>
    <w:rsid w:val="00FD0AEA"/>
    <w:rsid w:val="00FD1784"/>
    <w:rsid w:val="00FD4AA3"/>
    <w:rsid w:val="00FD51C9"/>
    <w:rsid w:val="00FD5CB2"/>
    <w:rsid w:val="00FD74FA"/>
    <w:rsid w:val="00FD7EEC"/>
    <w:rsid w:val="00FE0A8E"/>
    <w:rsid w:val="00FE1623"/>
    <w:rsid w:val="00FE189F"/>
    <w:rsid w:val="00FE216B"/>
    <w:rsid w:val="00FE21C6"/>
    <w:rsid w:val="00FE2774"/>
    <w:rsid w:val="00FE292E"/>
    <w:rsid w:val="00FE383E"/>
    <w:rsid w:val="00FE5876"/>
    <w:rsid w:val="00FE5F32"/>
    <w:rsid w:val="00FE6AC6"/>
    <w:rsid w:val="00FF017E"/>
    <w:rsid w:val="00FF02B6"/>
    <w:rsid w:val="00FF0CA2"/>
    <w:rsid w:val="00FF136B"/>
    <w:rsid w:val="00FF18C3"/>
    <w:rsid w:val="00FF2883"/>
    <w:rsid w:val="00FF2E49"/>
    <w:rsid w:val="00FF3D82"/>
    <w:rsid w:val="00FF45E5"/>
    <w:rsid w:val="00FF4F53"/>
    <w:rsid w:val="00FF5E86"/>
    <w:rsid w:val="00FF6ADC"/>
    <w:rsid w:val="00FF6EF5"/>
    <w:rsid w:val="00FF77E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BD3051"/>
  <w15:chartTrackingRefBased/>
  <w15:docId w15:val="{6C746536-0208-4875-8963-28CC90976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6248"/>
    <w:pPr>
      <w:jc w:val="both"/>
    </w:pPr>
    <w:rPr>
      <w:rFonts w:ascii="Times New Roman" w:hAnsi="Times New Roman"/>
      <w:lang w:val="en-AU"/>
    </w:rPr>
  </w:style>
  <w:style w:type="paragraph" w:styleId="Ttulo1">
    <w:name w:val="heading 1"/>
    <w:basedOn w:val="Normal"/>
    <w:next w:val="Normal"/>
    <w:link w:val="Ttulo1Car"/>
    <w:autoRedefine/>
    <w:uiPriority w:val="9"/>
    <w:rsid w:val="00F8631E"/>
    <w:pPr>
      <w:keepNext/>
      <w:keepLines/>
      <w:spacing w:before="360" w:after="80" w:line="360" w:lineRule="auto"/>
      <w:outlineLvl w:val="0"/>
    </w:pPr>
    <w:rPr>
      <w:rFonts w:eastAsiaTheme="majorEastAsia" w:cs="Times New Roman"/>
      <w:b/>
      <w:color w:val="000000" w:themeColor="text1"/>
      <w:sz w:val="28"/>
      <w:szCs w:val="40"/>
      <w:lang w:val="es-ES"/>
    </w:rPr>
  </w:style>
  <w:style w:type="paragraph" w:styleId="Ttulo2">
    <w:name w:val="heading 2"/>
    <w:basedOn w:val="Normal"/>
    <w:next w:val="Normal"/>
    <w:link w:val="Ttulo2Car"/>
    <w:uiPriority w:val="9"/>
    <w:unhideWhenUsed/>
    <w:qFormat/>
    <w:rsid w:val="00CE39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CE398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CE398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CE398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CE398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E398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E398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E398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8631E"/>
    <w:rPr>
      <w:rFonts w:ascii="Times New Roman" w:eastAsiaTheme="majorEastAsia" w:hAnsi="Times New Roman" w:cs="Times New Roman"/>
      <w:b/>
      <w:color w:val="000000" w:themeColor="text1"/>
      <w:sz w:val="28"/>
      <w:szCs w:val="40"/>
    </w:rPr>
  </w:style>
  <w:style w:type="character" w:customStyle="1" w:styleId="Ttulo2Car">
    <w:name w:val="Título 2 Car"/>
    <w:basedOn w:val="Fuentedeprrafopredeter"/>
    <w:link w:val="Ttulo2"/>
    <w:uiPriority w:val="9"/>
    <w:rsid w:val="00CE398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CE398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CE398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CE398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CE398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E398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E398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E3988"/>
    <w:rPr>
      <w:rFonts w:eastAsiaTheme="majorEastAsia" w:cstheme="majorBidi"/>
      <w:color w:val="272727" w:themeColor="text1" w:themeTint="D8"/>
    </w:rPr>
  </w:style>
  <w:style w:type="paragraph" w:styleId="Ttulo">
    <w:name w:val="Title"/>
    <w:basedOn w:val="Normal"/>
    <w:next w:val="Normal"/>
    <w:link w:val="TtuloCar"/>
    <w:uiPriority w:val="10"/>
    <w:qFormat/>
    <w:rsid w:val="00CE39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E398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E398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E398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E3988"/>
    <w:pPr>
      <w:spacing w:before="160"/>
      <w:jc w:val="center"/>
    </w:pPr>
    <w:rPr>
      <w:i/>
      <w:iCs/>
      <w:color w:val="404040" w:themeColor="text1" w:themeTint="BF"/>
    </w:rPr>
  </w:style>
  <w:style w:type="character" w:customStyle="1" w:styleId="CitaCar">
    <w:name w:val="Cita Car"/>
    <w:basedOn w:val="Fuentedeprrafopredeter"/>
    <w:link w:val="Cita"/>
    <w:uiPriority w:val="29"/>
    <w:rsid w:val="00CE3988"/>
    <w:rPr>
      <w:i/>
      <w:iCs/>
      <w:color w:val="404040" w:themeColor="text1" w:themeTint="BF"/>
    </w:rPr>
  </w:style>
  <w:style w:type="paragraph" w:styleId="Prrafodelista">
    <w:name w:val="List Paragraph"/>
    <w:basedOn w:val="Normal"/>
    <w:uiPriority w:val="34"/>
    <w:qFormat/>
    <w:rsid w:val="00CE3988"/>
    <w:pPr>
      <w:ind w:left="720"/>
      <w:contextualSpacing/>
    </w:pPr>
  </w:style>
  <w:style w:type="character" w:styleId="nfasisintenso">
    <w:name w:val="Intense Emphasis"/>
    <w:basedOn w:val="Fuentedeprrafopredeter"/>
    <w:uiPriority w:val="21"/>
    <w:qFormat/>
    <w:rsid w:val="00CE3988"/>
    <w:rPr>
      <w:i/>
      <w:iCs/>
      <w:color w:val="0F4761" w:themeColor="accent1" w:themeShade="BF"/>
    </w:rPr>
  </w:style>
  <w:style w:type="paragraph" w:styleId="Citadestacada">
    <w:name w:val="Intense Quote"/>
    <w:basedOn w:val="Normal"/>
    <w:next w:val="Normal"/>
    <w:link w:val="CitadestacadaCar"/>
    <w:uiPriority w:val="30"/>
    <w:qFormat/>
    <w:rsid w:val="00CE39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CE3988"/>
    <w:rPr>
      <w:i/>
      <w:iCs/>
      <w:color w:val="0F4761" w:themeColor="accent1" w:themeShade="BF"/>
    </w:rPr>
  </w:style>
  <w:style w:type="character" w:styleId="Referenciaintensa">
    <w:name w:val="Intense Reference"/>
    <w:basedOn w:val="Fuentedeprrafopredeter"/>
    <w:uiPriority w:val="32"/>
    <w:qFormat/>
    <w:rsid w:val="00CE3988"/>
    <w:rPr>
      <w:b/>
      <w:bCs/>
      <w:smallCaps/>
      <w:color w:val="0F4761" w:themeColor="accent1" w:themeShade="BF"/>
      <w:spacing w:val="5"/>
    </w:rPr>
  </w:style>
  <w:style w:type="paragraph" w:styleId="Textonotapie">
    <w:name w:val="footnote text"/>
    <w:basedOn w:val="Normal"/>
    <w:link w:val="TextonotapieCar"/>
    <w:uiPriority w:val="99"/>
    <w:semiHidden/>
    <w:unhideWhenUsed/>
    <w:rsid w:val="00EC6BD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EC6BD1"/>
    <w:rPr>
      <w:sz w:val="20"/>
      <w:szCs w:val="20"/>
      <w:lang w:val="en-AU"/>
    </w:rPr>
  </w:style>
  <w:style w:type="character" w:styleId="Refdenotaalpie">
    <w:name w:val="footnote reference"/>
    <w:basedOn w:val="Fuentedeprrafopredeter"/>
    <w:uiPriority w:val="99"/>
    <w:semiHidden/>
    <w:unhideWhenUsed/>
    <w:rsid w:val="00EC6BD1"/>
    <w:rPr>
      <w:vertAlign w:val="superscript"/>
    </w:rPr>
  </w:style>
  <w:style w:type="character" w:styleId="Hipervnculo">
    <w:name w:val="Hyperlink"/>
    <w:basedOn w:val="Fuentedeprrafopredeter"/>
    <w:uiPriority w:val="99"/>
    <w:unhideWhenUsed/>
    <w:rsid w:val="004F265E"/>
    <w:rPr>
      <w:color w:val="467886" w:themeColor="hyperlink"/>
      <w:u w:val="single"/>
    </w:rPr>
  </w:style>
  <w:style w:type="character" w:styleId="Mencinsinresolver">
    <w:name w:val="Unresolved Mention"/>
    <w:basedOn w:val="Fuentedeprrafopredeter"/>
    <w:uiPriority w:val="99"/>
    <w:semiHidden/>
    <w:unhideWhenUsed/>
    <w:rsid w:val="004F265E"/>
    <w:rPr>
      <w:color w:val="605E5C"/>
      <w:shd w:val="clear" w:color="auto" w:fill="E1DFDD"/>
    </w:rPr>
  </w:style>
  <w:style w:type="character" w:styleId="Refdecomentario">
    <w:name w:val="annotation reference"/>
    <w:basedOn w:val="Fuentedeprrafopredeter"/>
    <w:uiPriority w:val="99"/>
    <w:semiHidden/>
    <w:unhideWhenUsed/>
    <w:rsid w:val="00AE339A"/>
    <w:rPr>
      <w:sz w:val="16"/>
      <w:szCs w:val="16"/>
    </w:rPr>
  </w:style>
  <w:style w:type="paragraph" w:styleId="Textocomentario">
    <w:name w:val="annotation text"/>
    <w:basedOn w:val="Normal"/>
    <w:link w:val="TextocomentarioCar"/>
    <w:uiPriority w:val="99"/>
    <w:unhideWhenUsed/>
    <w:rsid w:val="00AE339A"/>
    <w:pPr>
      <w:spacing w:line="240" w:lineRule="auto"/>
    </w:pPr>
    <w:rPr>
      <w:sz w:val="20"/>
      <w:szCs w:val="20"/>
    </w:rPr>
  </w:style>
  <w:style w:type="character" w:customStyle="1" w:styleId="TextocomentarioCar">
    <w:name w:val="Texto comentario Car"/>
    <w:basedOn w:val="Fuentedeprrafopredeter"/>
    <w:link w:val="Textocomentario"/>
    <w:uiPriority w:val="99"/>
    <w:rsid w:val="00AE339A"/>
    <w:rPr>
      <w:sz w:val="20"/>
      <w:szCs w:val="20"/>
      <w:lang w:val="en-AU"/>
    </w:rPr>
  </w:style>
  <w:style w:type="paragraph" w:styleId="Asuntodelcomentario">
    <w:name w:val="annotation subject"/>
    <w:basedOn w:val="Textocomentario"/>
    <w:next w:val="Textocomentario"/>
    <w:link w:val="AsuntodelcomentarioCar"/>
    <w:uiPriority w:val="99"/>
    <w:semiHidden/>
    <w:unhideWhenUsed/>
    <w:rsid w:val="00AE339A"/>
    <w:rPr>
      <w:b/>
      <w:bCs/>
    </w:rPr>
  </w:style>
  <w:style w:type="character" w:customStyle="1" w:styleId="AsuntodelcomentarioCar">
    <w:name w:val="Asunto del comentario Car"/>
    <w:basedOn w:val="TextocomentarioCar"/>
    <w:link w:val="Asuntodelcomentario"/>
    <w:uiPriority w:val="99"/>
    <w:semiHidden/>
    <w:rsid w:val="00AE339A"/>
    <w:rPr>
      <w:b/>
      <w:bCs/>
      <w:sz w:val="20"/>
      <w:szCs w:val="20"/>
      <w:lang w:val="en-AU"/>
    </w:rPr>
  </w:style>
  <w:style w:type="paragraph" w:styleId="TtuloTDC">
    <w:name w:val="TOC Heading"/>
    <w:basedOn w:val="Ttulo1"/>
    <w:next w:val="Normal"/>
    <w:uiPriority w:val="39"/>
    <w:unhideWhenUsed/>
    <w:qFormat/>
    <w:rsid w:val="002A661B"/>
    <w:pPr>
      <w:spacing w:before="240" w:after="0" w:line="259" w:lineRule="auto"/>
      <w:jc w:val="left"/>
      <w:outlineLvl w:val="9"/>
    </w:pPr>
    <w:rPr>
      <w:rFonts w:asciiTheme="majorHAnsi" w:hAnsiTheme="majorHAnsi" w:cstheme="majorBidi"/>
      <w:b w:val="0"/>
      <w:color w:val="0F4761" w:themeColor="accent1" w:themeShade="BF"/>
      <w:kern w:val="0"/>
      <w:sz w:val="32"/>
      <w:szCs w:val="32"/>
      <w:lang w:eastAsia="es-ES"/>
      <w14:ligatures w14:val="none"/>
    </w:rPr>
  </w:style>
  <w:style w:type="paragraph" w:styleId="TDC1">
    <w:name w:val="toc 1"/>
    <w:basedOn w:val="Normal"/>
    <w:next w:val="Normal"/>
    <w:autoRedefine/>
    <w:uiPriority w:val="39"/>
    <w:unhideWhenUsed/>
    <w:rsid w:val="002A661B"/>
    <w:pPr>
      <w:spacing w:after="100"/>
    </w:pPr>
  </w:style>
  <w:style w:type="paragraph" w:styleId="TDC2">
    <w:name w:val="toc 2"/>
    <w:basedOn w:val="Normal"/>
    <w:next w:val="Normal"/>
    <w:autoRedefine/>
    <w:uiPriority w:val="39"/>
    <w:unhideWhenUsed/>
    <w:rsid w:val="002A661B"/>
    <w:pPr>
      <w:spacing w:after="100"/>
      <w:ind w:left="240"/>
    </w:pPr>
  </w:style>
  <w:style w:type="paragraph" w:styleId="Encabezado">
    <w:name w:val="header"/>
    <w:basedOn w:val="Normal"/>
    <w:link w:val="EncabezadoCar"/>
    <w:uiPriority w:val="99"/>
    <w:unhideWhenUsed/>
    <w:rsid w:val="0039465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9465F"/>
    <w:rPr>
      <w:rFonts w:ascii="Times New Roman" w:hAnsi="Times New Roman"/>
      <w:lang w:val="en-AU"/>
    </w:rPr>
  </w:style>
  <w:style w:type="paragraph" w:styleId="Piedepgina">
    <w:name w:val="footer"/>
    <w:basedOn w:val="Normal"/>
    <w:link w:val="PiedepginaCar"/>
    <w:uiPriority w:val="99"/>
    <w:unhideWhenUsed/>
    <w:rsid w:val="0039465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9465F"/>
    <w:rPr>
      <w:rFonts w:ascii="Times New Roman" w:hAnsi="Times New Roman"/>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9383">
      <w:bodyDiv w:val="1"/>
      <w:marLeft w:val="0"/>
      <w:marRight w:val="0"/>
      <w:marTop w:val="0"/>
      <w:marBottom w:val="0"/>
      <w:divBdr>
        <w:top w:val="none" w:sz="0" w:space="0" w:color="auto"/>
        <w:left w:val="none" w:sz="0" w:space="0" w:color="auto"/>
        <w:bottom w:val="none" w:sz="0" w:space="0" w:color="auto"/>
        <w:right w:val="none" w:sz="0" w:space="0" w:color="auto"/>
      </w:divBdr>
    </w:div>
    <w:div w:id="143132309">
      <w:bodyDiv w:val="1"/>
      <w:marLeft w:val="0"/>
      <w:marRight w:val="0"/>
      <w:marTop w:val="0"/>
      <w:marBottom w:val="0"/>
      <w:divBdr>
        <w:top w:val="none" w:sz="0" w:space="0" w:color="auto"/>
        <w:left w:val="none" w:sz="0" w:space="0" w:color="auto"/>
        <w:bottom w:val="none" w:sz="0" w:space="0" w:color="auto"/>
        <w:right w:val="none" w:sz="0" w:space="0" w:color="auto"/>
      </w:divBdr>
    </w:div>
    <w:div w:id="366758136">
      <w:bodyDiv w:val="1"/>
      <w:marLeft w:val="0"/>
      <w:marRight w:val="0"/>
      <w:marTop w:val="0"/>
      <w:marBottom w:val="0"/>
      <w:divBdr>
        <w:top w:val="none" w:sz="0" w:space="0" w:color="auto"/>
        <w:left w:val="none" w:sz="0" w:space="0" w:color="auto"/>
        <w:bottom w:val="none" w:sz="0" w:space="0" w:color="auto"/>
        <w:right w:val="none" w:sz="0" w:space="0" w:color="auto"/>
      </w:divBdr>
    </w:div>
    <w:div w:id="394478641">
      <w:bodyDiv w:val="1"/>
      <w:marLeft w:val="0"/>
      <w:marRight w:val="0"/>
      <w:marTop w:val="0"/>
      <w:marBottom w:val="0"/>
      <w:divBdr>
        <w:top w:val="none" w:sz="0" w:space="0" w:color="auto"/>
        <w:left w:val="none" w:sz="0" w:space="0" w:color="auto"/>
        <w:bottom w:val="none" w:sz="0" w:space="0" w:color="auto"/>
        <w:right w:val="none" w:sz="0" w:space="0" w:color="auto"/>
      </w:divBdr>
    </w:div>
    <w:div w:id="568537433">
      <w:bodyDiv w:val="1"/>
      <w:marLeft w:val="0"/>
      <w:marRight w:val="0"/>
      <w:marTop w:val="0"/>
      <w:marBottom w:val="0"/>
      <w:divBdr>
        <w:top w:val="none" w:sz="0" w:space="0" w:color="auto"/>
        <w:left w:val="none" w:sz="0" w:space="0" w:color="auto"/>
        <w:bottom w:val="none" w:sz="0" w:space="0" w:color="auto"/>
        <w:right w:val="none" w:sz="0" w:space="0" w:color="auto"/>
      </w:divBdr>
    </w:div>
    <w:div w:id="610867403">
      <w:bodyDiv w:val="1"/>
      <w:marLeft w:val="0"/>
      <w:marRight w:val="0"/>
      <w:marTop w:val="0"/>
      <w:marBottom w:val="0"/>
      <w:divBdr>
        <w:top w:val="none" w:sz="0" w:space="0" w:color="auto"/>
        <w:left w:val="none" w:sz="0" w:space="0" w:color="auto"/>
        <w:bottom w:val="none" w:sz="0" w:space="0" w:color="auto"/>
        <w:right w:val="none" w:sz="0" w:space="0" w:color="auto"/>
      </w:divBdr>
    </w:div>
    <w:div w:id="657466671">
      <w:bodyDiv w:val="1"/>
      <w:marLeft w:val="0"/>
      <w:marRight w:val="0"/>
      <w:marTop w:val="0"/>
      <w:marBottom w:val="0"/>
      <w:divBdr>
        <w:top w:val="none" w:sz="0" w:space="0" w:color="auto"/>
        <w:left w:val="none" w:sz="0" w:space="0" w:color="auto"/>
        <w:bottom w:val="none" w:sz="0" w:space="0" w:color="auto"/>
        <w:right w:val="none" w:sz="0" w:space="0" w:color="auto"/>
      </w:divBdr>
    </w:div>
    <w:div w:id="663434642">
      <w:bodyDiv w:val="1"/>
      <w:marLeft w:val="0"/>
      <w:marRight w:val="0"/>
      <w:marTop w:val="0"/>
      <w:marBottom w:val="0"/>
      <w:divBdr>
        <w:top w:val="none" w:sz="0" w:space="0" w:color="auto"/>
        <w:left w:val="none" w:sz="0" w:space="0" w:color="auto"/>
        <w:bottom w:val="none" w:sz="0" w:space="0" w:color="auto"/>
        <w:right w:val="none" w:sz="0" w:space="0" w:color="auto"/>
      </w:divBdr>
    </w:div>
    <w:div w:id="672142776">
      <w:bodyDiv w:val="1"/>
      <w:marLeft w:val="0"/>
      <w:marRight w:val="0"/>
      <w:marTop w:val="0"/>
      <w:marBottom w:val="0"/>
      <w:divBdr>
        <w:top w:val="none" w:sz="0" w:space="0" w:color="auto"/>
        <w:left w:val="none" w:sz="0" w:space="0" w:color="auto"/>
        <w:bottom w:val="none" w:sz="0" w:space="0" w:color="auto"/>
        <w:right w:val="none" w:sz="0" w:space="0" w:color="auto"/>
      </w:divBdr>
    </w:div>
    <w:div w:id="688340088">
      <w:bodyDiv w:val="1"/>
      <w:marLeft w:val="0"/>
      <w:marRight w:val="0"/>
      <w:marTop w:val="0"/>
      <w:marBottom w:val="0"/>
      <w:divBdr>
        <w:top w:val="none" w:sz="0" w:space="0" w:color="auto"/>
        <w:left w:val="none" w:sz="0" w:space="0" w:color="auto"/>
        <w:bottom w:val="none" w:sz="0" w:space="0" w:color="auto"/>
        <w:right w:val="none" w:sz="0" w:space="0" w:color="auto"/>
      </w:divBdr>
    </w:div>
    <w:div w:id="752162409">
      <w:bodyDiv w:val="1"/>
      <w:marLeft w:val="0"/>
      <w:marRight w:val="0"/>
      <w:marTop w:val="0"/>
      <w:marBottom w:val="0"/>
      <w:divBdr>
        <w:top w:val="none" w:sz="0" w:space="0" w:color="auto"/>
        <w:left w:val="none" w:sz="0" w:space="0" w:color="auto"/>
        <w:bottom w:val="none" w:sz="0" w:space="0" w:color="auto"/>
        <w:right w:val="none" w:sz="0" w:space="0" w:color="auto"/>
      </w:divBdr>
    </w:div>
    <w:div w:id="790199331">
      <w:bodyDiv w:val="1"/>
      <w:marLeft w:val="0"/>
      <w:marRight w:val="0"/>
      <w:marTop w:val="0"/>
      <w:marBottom w:val="0"/>
      <w:divBdr>
        <w:top w:val="none" w:sz="0" w:space="0" w:color="auto"/>
        <w:left w:val="none" w:sz="0" w:space="0" w:color="auto"/>
        <w:bottom w:val="none" w:sz="0" w:space="0" w:color="auto"/>
        <w:right w:val="none" w:sz="0" w:space="0" w:color="auto"/>
      </w:divBdr>
    </w:div>
    <w:div w:id="832917861">
      <w:bodyDiv w:val="1"/>
      <w:marLeft w:val="0"/>
      <w:marRight w:val="0"/>
      <w:marTop w:val="0"/>
      <w:marBottom w:val="0"/>
      <w:divBdr>
        <w:top w:val="none" w:sz="0" w:space="0" w:color="auto"/>
        <w:left w:val="none" w:sz="0" w:space="0" w:color="auto"/>
        <w:bottom w:val="none" w:sz="0" w:space="0" w:color="auto"/>
        <w:right w:val="none" w:sz="0" w:space="0" w:color="auto"/>
      </w:divBdr>
    </w:div>
    <w:div w:id="883443547">
      <w:bodyDiv w:val="1"/>
      <w:marLeft w:val="0"/>
      <w:marRight w:val="0"/>
      <w:marTop w:val="0"/>
      <w:marBottom w:val="0"/>
      <w:divBdr>
        <w:top w:val="none" w:sz="0" w:space="0" w:color="auto"/>
        <w:left w:val="none" w:sz="0" w:space="0" w:color="auto"/>
        <w:bottom w:val="none" w:sz="0" w:space="0" w:color="auto"/>
        <w:right w:val="none" w:sz="0" w:space="0" w:color="auto"/>
      </w:divBdr>
    </w:div>
    <w:div w:id="910580405">
      <w:bodyDiv w:val="1"/>
      <w:marLeft w:val="0"/>
      <w:marRight w:val="0"/>
      <w:marTop w:val="0"/>
      <w:marBottom w:val="0"/>
      <w:divBdr>
        <w:top w:val="none" w:sz="0" w:space="0" w:color="auto"/>
        <w:left w:val="none" w:sz="0" w:space="0" w:color="auto"/>
        <w:bottom w:val="none" w:sz="0" w:space="0" w:color="auto"/>
        <w:right w:val="none" w:sz="0" w:space="0" w:color="auto"/>
      </w:divBdr>
    </w:div>
    <w:div w:id="1055472879">
      <w:bodyDiv w:val="1"/>
      <w:marLeft w:val="0"/>
      <w:marRight w:val="0"/>
      <w:marTop w:val="0"/>
      <w:marBottom w:val="0"/>
      <w:divBdr>
        <w:top w:val="none" w:sz="0" w:space="0" w:color="auto"/>
        <w:left w:val="none" w:sz="0" w:space="0" w:color="auto"/>
        <w:bottom w:val="none" w:sz="0" w:space="0" w:color="auto"/>
        <w:right w:val="none" w:sz="0" w:space="0" w:color="auto"/>
      </w:divBdr>
    </w:div>
    <w:div w:id="1061514504">
      <w:bodyDiv w:val="1"/>
      <w:marLeft w:val="0"/>
      <w:marRight w:val="0"/>
      <w:marTop w:val="0"/>
      <w:marBottom w:val="0"/>
      <w:divBdr>
        <w:top w:val="none" w:sz="0" w:space="0" w:color="auto"/>
        <w:left w:val="none" w:sz="0" w:space="0" w:color="auto"/>
        <w:bottom w:val="none" w:sz="0" w:space="0" w:color="auto"/>
        <w:right w:val="none" w:sz="0" w:space="0" w:color="auto"/>
      </w:divBdr>
    </w:div>
    <w:div w:id="1084912911">
      <w:bodyDiv w:val="1"/>
      <w:marLeft w:val="0"/>
      <w:marRight w:val="0"/>
      <w:marTop w:val="0"/>
      <w:marBottom w:val="0"/>
      <w:divBdr>
        <w:top w:val="none" w:sz="0" w:space="0" w:color="auto"/>
        <w:left w:val="none" w:sz="0" w:space="0" w:color="auto"/>
        <w:bottom w:val="none" w:sz="0" w:space="0" w:color="auto"/>
        <w:right w:val="none" w:sz="0" w:space="0" w:color="auto"/>
      </w:divBdr>
    </w:div>
    <w:div w:id="1138064915">
      <w:bodyDiv w:val="1"/>
      <w:marLeft w:val="0"/>
      <w:marRight w:val="0"/>
      <w:marTop w:val="0"/>
      <w:marBottom w:val="0"/>
      <w:divBdr>
        <w:top w:val="none" w:sz="0" w:space="0" w:color="auto"/>
        <w:left w:val="none" w:sz="0" w:space="0" w:color="auto"/>
        <w:bottom w:val="none" w:sz="0" w:space="0" w:color="auto"/>
        <w:right w:val="none" w:sz="0" w:space="0" w:color="auto"/>
      </w:divBdr>
    </w:div>
    <w:div w:id="1140612817">
      <w:bodyDiv w:val="1"/>
      <w:marLeft w:val="0"/>
      <w:marRight w:val="0"/>
      <w:marTop w:val="0"/>
      <w:marBottom w:val="0"/>
      <w:divBdr>
        <w:top w:val="none" w:sz="0" w:space="0" w:color="auto"/>
        <w:left w:val="none" w:sz="0" w:space="0" w:color="auto"/>
        <w:bottom w:val="none" w:sz="0" w:space="0" w:color="auto"/>
        <w:right w:val="none" w:sz="0" w:space="0" w:color="auto"/>
      </w:divBdr>
    </w:div>
    <w:div w:id="1214658540">
      <w:bodyDiv w:val="1"/>
      <w:marLeft w:val="0"/>
      <w:marRight w:val="0"/>
      <w:marTop w:val="0"/>
      <w:marBottom w:val="0"/>
      <w:divBdr>
        <w:top w:val="none" w:sz="0" w:space="0" w:color="auto"/>
        <w:left w:val="none" w:sz="0" w:space="0" w:color="auto"/>
        <w:bottom w:val="none" w:sz="0" w:space="0" w:color="auto"/>
        <w:right w:val="none" w:sz="0" w:space="0" w:color="auto"/>
      </w:divBdr>
    </w:div>
    <w:div w:id="1219901603">
      <w:bodyDiv w:val="1"/>
      <w:marLeft w:val="0"/>
      <w:marRight w:val="0"/>
      <w:marTop w:val="0"/>
      <w:marBottom w:val="0"/>
      <w:divBdr>
        <w:top w:val="none" w:sz="0" w:space="0" w:color="auto"/>
        <w:left w:val="none" w:sz="0" w:space="0" w:color="auto"/>
        <w:bottom w:val="none" w:sz="0" w:space="0" w:color="auto"/>
        <w:right w:val="none" w:sz="0" w:space="0" w:color="auto"/>
      </w:divBdr>
    </w:div>
    <w:div w:id="1390686003">
      <w:bodyDiv w:val="1"/>
      <w:marLeft w:val="0"/>
      <w:marRight w:val="0"/>
      <w:marTop w:val="0"/>
      <w:marBottom w:val="0"/>
      <w:divBdr>
        <w:top w:val="none" w:sz="0" w:space="0" w:color="auto"/>
        <w:left w:val="none" w:sz="0" w:space="0" w:color="auto"/>
        <w:bottom w:val="none" w:sz="0" w:space="0" w:color="auto"/>
        <w:right w:val="none" w:sz="0" w:space="0" w:color="auto"/>
      </w:divBdr>
    </w:div>
    <w:div w:id="1431006019">
      <w:bodyDiv w:val="1"/>
      <w:marLeft w:val="0"/>
      <w:marRight w:val="0"/>
      <w:marTop w:val="0"/>
      <w:marBottom w:val="0"/>
      <w:divBdr>
        <w:top w:val="none" w:sz="0" w:space="0" w:color="auto"/>
        <w:left w:val="none" w:sz="0" w:space="0" w:color="auto"/>
        <w:bottom w:val="none" w:sz="0" w:space="0" w:color="auto"/>
        <w:right w:val="none" w:sz="0" w:space="0" w:color="auto"/>
      </w:divBdr>
    </w:div>
    <w:div w:id="1641153068">
      <w:bodyDiv w:val="1"/>
      <w:marLeft w:val="0"/>
      <w:marRight w:val="0"/>
      <w:marTop w:val="0"/>
      <w:marBottom w:val="0"/>
      <w:divBdr>
        <w:top w:val="none" w:sz="0" w:space="0" w:color="auto"/>
        <w:left w:val="none" w:sz="0" w:space="0" w:color="auto"/>
        <w:bottom w:val="none" w:sz="0" w:space="0" w:color="auto"/>
        <w:right w:val="none" w:sz="0" w:space="0" w:color="auto"/>
      </w:divBdr>
    </w:div>
    <w:div w:id="1698697451">
      <w:bodyDiv w:val="1"/>
      <w:marLeft w:val="0"/>
      <w:marRight w:val="0"/>
      <w:marTop w:val="0"/>
      <w:marBottom w:val="0"/>
      <w:divBdr>
        <w:top w:val="none" w:sz="0" w:space="0" w:color="auto"/>
        <w:left w:val="none" w:sz="0" w:space="0" w:color="auto"/>
        <w:bottom w:val="none" w:sz="0" w:space="0" w:color="auto"/>
        <w:right w:val="none" w:sz="0" w:space="0" w:color="auto"/>
      </w:divBdr>
    </w:div>
    <w:div w:id="1709450719">
      <w:bodyDiv w:val="1"/>
      <w:marLeft w:val="0"/>
      <w:marRight w:val="0"/>
      <w:marTop w:val="0"/>
      <w:marBottom w:val="0"/>
      <w:divBdr>
        <w:top w:val="none" w:sz="0" w:space="0" w:color="auto"/>
        <w:left w:val="none" w:sz="0" w:space="0" w:color="auto"/>
        <w:bottom w:val="none" w:sz="0" w:space="0" w:color="auto"/>
        <w:right w:val="none" w:sz="0" w:space="0" w:color="auto"/>
      </w:divBdr>
    </w:div>
    <w:div w:id="1867253827">
      <w:bodyDiv w:val="1"/>
      <w:marLeft w:val="0"/>
      <w:marRight w:val="0"/>
      <w:marTop w:val="0"/>
      <w:marBottom w:val="0"/>
      <w:divBdr>
        <w:top w:val="none" w:sz="0" w:space="0" w:color="auto"/>
        <w:left w:val="none" w:sz="0" w:space="0" w:color="auto"/>
        <w:bottom w:val="none" w:sz="0" w:space="0" w:color="auto"/>
        <w:right w:val="none" w:sz="0" w:space="0" w:color="auto"/>
      </w:divBdr>
    </w:div>
    <w:div w:id="1898129706">
      <w:bodyDiv w:val="1"/>
      <w:marLeft w:val="0"/>
      <w:marRight w:val="0"/>
      <w:marTop w:val="0"/>
      <w:marBottom w:val="0"/>
      <w:divBdr>
        <w:top w:val="none" w:sz="0" w:space="0" w:color="auto"/>
        <w:left w:val="none" w:sz="0" w:space="0" w:color="auto"/>
        <w:bottom w:val="none" w:sz="0" w:space="0" w:color="auto"/>
        <w:right w:val="none" w:sz="0" w:space="0" w:color="auto"/>
      </w:divBdr>
    </w:div>
    <w:div w:id="1993361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image" Target="media/image4.png"/><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microsoft.com/office/2018/08/relationships/commentsExtensible" Target="commentsExtensible.xml"/><Relationship Id="rId10" Type="http://schemas.openxmlformats.org/officeDocument/2006/relationships/endnotes" Target="endnotes.xml"/><Relationship Id="rId19" Type="http://schemas.openxmlformats.org/officeDocument/2006/relationships/hyperlink" Target="https://biblioasia.nlb.gov.sg/vol-19/issue-4/jan-mar-2024/singapore-malaysia-indonesia-konfrontasi-confrontatio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41B0FEF3C2705E43A4EA93EF83348853" ma:contentTypeVersion="15" ma:contentTypeDescription="Crear nuevo documento." ma:contentTypeScope="" ma:versionID="dfa0a1ea6337951b9434ced9570d3f0a">
  <xsd:schema xmlns:xsd="http://www.w3.org/2001/XMLSchema" xmlns:xs="http://www.w3.org/2001/XMLSchema" xmlns:p="http://schemas.microsoft.com/office/2006/metadata/properties" xmlns:ns3="1a1f3d90-6876-48da-bbc0-13e888e9a29f" xmlns:ns4="a23d466b-f805-4dc0-8420-83e43f7a1a55" targetNamespace="http://schemas.microsoft.com/office/2006/metadata/properties" ma:root="true" ma:fieldsID="39b4c1afcd3eb41e9607583a216c4bdc" ns3:_="" ns4:_="">
    <xsd:import namespace="1a1f3d90-6876-48da-bbc0-13e888e9a29f"/>
    <xsd:import namespace="a23d466b-f805-4dc0-8420-83e43f7a1a5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_activity" minOccurs="0"/>
                <xsd:element ref="ns3:MediaServiceObjectDetectorVersions" minOccurs="0"/>
                <xsd:element ref="ns3:MediaServiceSearchProperties" minOccurs="0"/>
                <xsd:element ref="ns3:MediaServiceDateTaken" minOccurs="0"/>
                <xsd:element ref="ns3:MediaServiceSystemTags"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1f3d90-6876-48da-bbc0-13e888e9a2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5" nillable="true" ma:displayName="_activity" ma:hidden="true" ma:internalName="_activity">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Location" ma:index="20" nillable="true" ma:displayName="Location" ma:indexed="true" ma:internalName="MediaServiceLocation"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23d466b-f805-4dc0-8420-83e43f7a1a55"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SharingHintHash" ma:index="14"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1a1f3d90-6876-48da-bbc0-13e888e9a29f" xsi:nil="true"/>
  </documentManagement>
</p:properties>
</file>

<file path=customXml/itemProps1.xml><?xml version="1.0" encoding="utf-8"?>
<ds:datastoreItem xmlns:ds="http://schemas.openxmlformats.org/officeDocument/2006/customXml" ds:itemID="{6EA91BDE-CCF4-4755-8C6F-AB1AF7F4A48E}">
  <ds:schemaRefs>
    <ds:schemaRef ds:uri="http://schemas.microsoft.com/sharepoint/v3/contenttype/forms"/>
  </ds:schemaRefs>
</ds:datastoreItem>
</file>

<file path=customXml/itemProps2.xml><?xml version="1.0" encoding="utf-8"?>
<ds:datastoreItem xmlns:ds="http://schemas.openxmlformats.org/officeDocument/2006/customXml" ds:itemID="{4D594BD3-4A47-4932-BFC8-753421F81F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1f3d90-6876-48da-bbc0-13e888e9a29f"/>
    <ds:schemaRef ds:uri="a23d466b-f805-4dc0-8420-83e43f7a1a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1C93647-E50B-415F-84DE-811F23061185}">
  <ds:schemaRefs>
    <ds:schemaRef ds:uri="http://schemas.openxmlformats.org/officeDocument/2006/bibliography"/>
  </ds:schemaRefs>
</ds:datastoreItem>
</file>

<file path=customXml/itemProps4.xml><?xml version="1.0" encoding="utf-8"?>
<ds:datastoreItem xmlns:ds="http://schemas.openxmlformats.org/officeDocument/2006/customXml" ds:itemID="{881CC1D1-DA83-4B84-B167-0AFED58D0143}">
  <ds:schemaRefs>
    <ds:schemaRef ds:uri="http://schemas.microsoft.com/office/2006/metadata/properties"/>
    <ds:schemaRef ds:uri="http://schemas.microsoft.com/office/infopath/2007/PartnerControls"/>
    <ds:schemaRef ds:uri="1a1f3d90-6876-48da-bbc0-13e888e9a29f"/>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Template>
  <TotalTime>123</TotalTime>
  <Pages>37</Pages>
  <Words>10724</Words>
  <Characters>58983</Characters>
  <Application>Microsoft Office Word</Application>
  <DocSecurity>0</DocSecurity>
  <Lines>491</Lines>
  <Paragraphs>139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69568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Santiago Jiménez Sánchez</dc:creator>
  <cp:keywords/>
  <dc:description/>
  <cp:lastModifiedBy>Santiago Jiménez Sánchez</cp:lastModifiedBy>
  <cp:revision>25</cp:revision>
  <dcterms:created xsi:type="dcterms:W3CDTF">2026-03-27T18:00:00Z</dcterms:created>
  <dcterms:modified xsi:type="dcterms:W3CDTF">2026-04-10T19:51:00Z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0x01010041B0FEF3C2705E43A4EA93EF83348853</vt:lpwstr>
  </property>
</Properties>
</file>