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92D0F1" w14:textId="77777777" w:rsidR="00EA61E6" w:rsidRPr="00EA61E6" w:rsidRDefault="00EA61E6" w:rsidP="00EA61E6">
      <w:pPr>
        <w:spacing w:line="278" w:lineRule="auto"/>
        <w:ind w:right="0" w:firstLine="0"/>
        <w:jc w:val="center"/>
        <w:rPr>
          <w:rFonts w:ascii="Times New Roman" w:eastAsia="Aptos" w:hAnsi="Times New Roman" w:cs="Times New Roman"/>
          <w:color w:val="auto"/>
          <w:kern w:val="2"/>
          <w:szCs w:val="24"/>
          <w:lang w:eastAsia="en-US"/>
          <w14:ligatures w14:val="standardContextual"/>
        </w:rPr>
      </w:pPr>
      <w:r w:rsidRPr="00EA61E6">
        <w:rPr>
          <w:rFonts w:ascii="Times New Roman" w:eastAsia="Aptos" w:hAnsi="Times New Roman" w:cs="Times New Roman"/>
          <w:noProof/>
          <w:color w:val="auto"/>
          <w:kern w:val="2"/>
          <w:sz w:val="44"/>
          <w:szCs w:val="44"/>
          <w14:ligatures w14:val="standardContextual"/>
        </w:rPr>
        <w:drawing>
          <wp:anchor distT="0" distB="0" distL="114300" distR="114300" simplePos="0" relativeHeight="251659264" behindDoc="0" locked="0" layoutInCell="1" allowOverlap="1" wp14:anchorId="73A485DF" wp14:editId="09B0A271">
            <wp:simplePos x="0" y="0"/>
            <wp:positionH relativeFrom="margin">
              <wp:posOffset>699135</wp:posOffset>
            </wp:positionH>
            <wp:positionV relativeFrom="paragraph">
              <wp:posOffset>0</wp:posOffset>
            </wp:positionV>
            <wp:extent cx="4142118" cy="2926800"/>
            <wp:effectExtent l="0" t="0" r="0" b="0"/>
            <wp:wrapNone/>
            <wp:docPr id="1" name="Imagen 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 nombre de la empresa&#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4142118" cy="2926800"/>
                    </a:xfrm>
                    <a:prstGeom prst="rect">
                      <a:avLst/>
                    </a:prstGeom>
                  </pic:spPr>
                </pic:pic>
              </a:graphicData>
            </a:graphic>
            <wp14:sizeRelH relativeFrom="margin">
              <wp14:pctWidth>0</wp14:pctWidth>
            </wp14:sizeRelH>
            <wp14:sizeRelV relativeFrom="margin">
              <wp14:pctHeight>0</wp14:pctHeight>
            </wp14:sizeRelV>
          </wp:anchor>
        </w:drawing>
      </w:r>
    </w:p>
    <w:p w14:paraId="6266AE0D" w14:textId="77777777" w:rsidR="00EA61E6" w:rsidRPr="00EA61E6" w:rsidRDefault="00EA61E6" w:rsidP="00EA61E6">
      <w:pPr>
        <w:spacing w:line="278" w:lineRule="auto"/>
        <w:ind w:right="0" w:firstLine="0"/>
        <w:jc w:val="center"/>
        <w:rPr>
          <w:rFonts w:ascii="Times New Roman" w:eastAsia="Aptos" w:hAnsi="Times New Roman" w:cs="Times New Roman"/>
          <w:color w:val="auto"/>
          <w:kern w:val="2"/>
          <w:szCs w:val="24"/>
          <w:lang w:eastAsia="en-US"/>
          <w14:ligatures w14:val="standardContextual"/>
        </w:rPr>
      </w:pPr>
    </w:p>
    <w:p w14:paraId="18301658" w14:textId="77777777" w:rsidR="00EA61E6" w:rsidRPr="00EA61E6" w:rsidRDefault="00EA61E6" w:rsidP="00EA61E6">
      <w:pPr>
        <w:spacing w:line="278" w:lineRule="auto"/>
        <w:ind w:right="0" w:firstLine="0"/>
        <w:jc w:val="center"/>
        <w:rPr>
          <w:rFonts w:ascii="Times New Roman" w:eastAsia="Aptos" w:hAnsi="Times New Roman" w:cs="Times New Roman"/>
          <w:color w:val="auto"/>
          <w:kern w:val="2"/>
          <w:szCs w:val="24"/>
          <w:lang w:eastAsia="en-US"/>
          <w14:ligatures w14:val="standardContextual"/>
        </w:rPr>
      </w:pPr>
    </w:p>
    <w:p w14:paraId="07D5FDD9" w14:textId="77777777" w:rsidR="00EA61E6" w:rsidRPr="00EA61E6" w:rsidRDefault="00EA61E6" w:rsidP="00EA61E6">
      <w:pPr>
        <w:spacing w:line="278" w:lineRule="auto"/>
        <w:ind w:right="0" w:firstLine="0"/>
        <w:jc w:val="center"/>
        <w:rPr>
          <w:rFonts w:ascii="Times New Roman" w:eastAsia="Aptos" w:hAnsi="Times New Roman" w:cs="Times New Roman"/>
          <w:color w:val="auto"/>
          <w:kern w:val="2"/>
          <w:sz w:val="44"/>
          <w:szCs w:val="44"/>
          <w:lang w:eastAsia="en-US"/>
          <w14:ligatures w14:val="standardContextual"/>
        </w:rPr>
      </w:pPr>
    </w:p>
    <w:p w14:paraId="37781312" w14:textId="77777777" w:rsidR="00EA61E6" w:rsidRPr="00EA61E6" w:rsidRDefault="00EA61E6" w:rsidP="00EA61E6">
      <w:pPr>
        <w:spacing w:line="278" w:lineRule="auto"/>
        <w:ind w:right="0" w:firstLine="0"/>
        <w:jc w:val="center"/>
        <w:rPr>
          <w:rFonts w:ascii="Times New Roman" w:eastAsia="Aptos" w:hAnsi="Times New Roman" w:cs="Times New Roman"/>
          <w:color w:val="auto"/>
          <w:kern w:val="2"/>
          <w:sz w:val="44"/>
          <w:szCs w:val="44"/>
          <w:lang w:eastAsia="en-US"/>
          <w14:ligatures w14:val="standardContextual"/>
        </w:rPr>
      </w:pPr>
    </w:p>
    <w:p w14:paraId="14807DF2" w14:textId="77777777" w:rsidR="00EA61E6" w:rsidRPr="00EA61E6" w:rsidRDefault="00EA61E6" w:rsidP="00EA61E6">
      <w:pPr>
        <w:spacing w:line="278" w:lineRule="auto"/>
        <w:ind w:right="0" w:firstLine="0"/>
        <w:jc w:val="center"/>
        <w:rPr>
          <w:rFonts w:ascii="Times New Roman" w:eastAsia="Aptos" w:hAnsi="Times New Roman" w:cs="Times New Roman"/>
          <w:color w:val="auto"/>
          <w:kern w:val="2"/>
          <w:sz w:val="44"/>
          <w:szCs w:val="44"/>
          <w:lang w:eastAsia="en-US"/>
          <w14:ligatures w14:val="standardContextual"/>
        </w:rPr>
      </w:pPr>
    </w:p>
    <w:p w14:paraId="206C6FAD" w14:textId="77777777" w:rsidR="00EA61E6" w:rsidRPr="00EA61E6" w:rsidRDefault="00EA61E6" w:rsidP="00EA61E6">
      <w:pPr>
        <w:spacing w:line="278" w:lineRule="auto"/>
        <w:ind w:right="0" w:firstLine="0"/>
        <w:jc w:val="center"/>
        <w:rPr>
          <w:rFonts w:ascii="Times New Roman" w:eastAsia="Aptos" w:hAnsi="Times New Roman" w:cs="Times New Roman"/>
          <w:color w:val="auto"/>
          <w:kern w:val="2"/>
          <w:sz w:val="44"/>
          <w:szCs w:val="44"/>
          <w:lang w:eastAsia="en-US"/>
          <w14:ligatures w14:val="standardContextual"/>
        </w:rPr>
      </w:pPr>
    </w:p>
    <w:p w14:paraId="7B05139D" w14:textId="77777777" w:rsidR="00EA61E6" w:rsidRPr="00EA61E6" w:rsidRDefault="00EA61E6" w:rsidP="00EA61E6">
      <w:pPr>
        <w:spacing w:line="278" w:lineRule="auto"/>
        <w:ind w:right="0" w:firstLine="0"/>
        <w:jc w:val="center"/>
        <w:rPr>
          <w:rFonts w:ascii="Times New Roman" w:eastAsia="Aptos" w:hAnsi="Times New Roman" w:cs="Times New Roman"/>
          <w:color w:val="auto"/>
          <w:kern w:val="2"/>
          <w:sz w:val="44"/>
          <w:szCs w:val="44"/>
          <w:lang w:eastAsia="en-US"/>
          <w14:ligatures w14:val="standardContextual"/>
        </w:rPr>
      </w:pPr>
    </w:p>
    <w:p w14:paraId="0CCE7117" w14:textId="77777777" w:rsidR="00EA61E6" w:rsidRPr="00EA61E6" w:rsidRDefault="00EA61E6" w:rsidP="00EA61E6">
      <w:pPr>
        <w:spacing w:line="278" w:lineRule="auto"/>
        <w:ind w:right="0" w:firstLine="0"/>
        <w:jc w:val="center"/>
        <w:rPr>
          <w:rFonts w:ascii="Times New Roman" w:eastAsia="Aptos" w:hAnsi="Times New Roman" w:cs="Times New Roman"/>
          <w:color w:val="auto"/>
          <w:kern w:val="2"/>
          <w:sz w:val="44"/>
          <w:szCs w:val="44"/>
          <w:lang w:eastAsia="en-US"/>
          <w14:ligatures w14:val="standardContextual"/>
        </w:rPr>
      </w:pPr>
      <w:r w:rsidRPr="00EA61E6">
        <w:rPr>
          <w:rFonts w:ascii="Times New Roman" w:eastAsia="Aptos" w:hAnsi="Times New Roman" w:cs="Times New Roman"/>
          <w:color w:val="auto"/>
          <w:kern w:val="2"/>
          <w:sz w:val="44"/>
          <w:szCs w:val="44"/>
          <w:lang w:eastAsia="en-US"/>
          <w14:ligatures w14:val="standardContextual"/>
        </w:rPr>
        <w:t>FACULTAD DE CIENCIAS HUMANAS Y SOCIALES</w:t>
      </w:r>
    </w:p>
    <w:p w14:paraId="7C91993B" w14:textId="77777777" w:rsidR="00042F5D" w:rsidRDefault="00042F5D" w:rsidP="00E95066">
      <w:pPr>
        <w:spacing w:line="278" w:lineRule="auto"/>
        <w:ind w:right="0" w:firstLine="0"/>
        <w:jc w:val="center"/>
        <w:rPr>
          <w:rFonts w:ascii="Times New Roman" w:eastAsia="Aptos" w:hAnsi="Times New Roman" w:cs="Times New Roman"/>
          <w:b/>
          <w:bCs/>
          <w:color w:val="auto"/>
          <w:kern w:val="2"/>
          <w:sz w:val="44"/>
          <w:szCs w:val="44"/>
          <w:highlight w:val="yellow"/>
          <w:lang w:eastAsia="en-US"/>
          <w14:ligatures w14:val="standardContextual"/>
        </w:rPr>
      </w:pPr>
    </w:p>
    <w:p w14:paraId="27A02BAF" w14:textId="5C9DFEF3" w:rsidR="008D7914" w:rsidRPr="00D73DEE" w:rsidRDefault="00D73DEE" w:rsidP="00EA61E6">
      <w:pPr>
        <w:spacing w:line="278" w:lineRule="auto"/>
        <w:ind w:right="0" w:firstLine="0"/>
        <w:jc w:val="center"/>
        <w:rPr>
          <w:rFonts w:ascii="Times New Roman" w:eastAsia="Aptos" w:hAnsi="Times New Roman" w:cs="Times New Roman"/>
          <w:b/>
          <w:bCs/>
          <w:color w:val="auto"/>
          <w:kern w:val="2"/>
          <w:sz w:val="56"/>
          <w:szCs w:val="56"/>
          <w:lang w:eastAsia="en-US"/>
          <w14:ligatures w14:val="standardContextual"/>
        </w:rPr>
      </w:pPr>
      <w:r w:rsidRPr="00D73DEE">
        <w:rPr>
          <w:rFonts w:ascii="Times New Roman" w:hAnsi="Times New Roman" w:cs="Times New Roman"/>
          <w:b/>
          <w:bCs/>
          <w:sz w:val="44"/>
          <w:szCs w:val="40"/>
        </w:rPr>
        <w:t>Temas principales en el duelo de familiares adultos por suicidio: Revisión bibliográfica de estudios cualitativos</w:t>
      </w:r>
      <w:r w:rsidR="00DC6DB9">
        <w:rPr>
          <w:rFonts w:ascii="Times New Roman" w:hAnsi="Times New Roman" w:cs="Times New Roman"/>
          <w:b/>
          <w:bCs/>
          <w:sz w:val="44"/>
          <w:szCs w:val="40"/>
        </w:rPr>
        <w:t>.</w:t>
      </w:r>
    </w:p>
    <w:p w14:paraId="00365C64" w14:textId="1EAB9770" w:rsidR="00EA61E6" w:rsidRDefault="00EA61E6" w:rsidP="00EA61E6">
      <w:pPr>
        <w:spacing w:line="278" w:lineRule="auto"/>
        <w:ind w:right="0" w:firstLine="0"/>
        <w:jc w:val="center"/>
        <w:rPr>
          <w:rFonts w:ascii="Times New Roman" w:eastAsia="Aptos" w:hAnsi="Times New Roman" w:cs="Times New Roman"/>
          <w:color w:val="auto"/>
          <w:kern w:val="2"/>
          <w:sz w:val="36"/>
          <w:szCs w:val="36"/>
          <w:lang w:eastAsia="en-US"/>
          <w14:ligatures w14:val="standardContextual"/>
        </w:rPr>
      </w:pPr>
      <w:r w:rsidRPr="00EA61E6">
        <w:rPr>
          <w:rFonts w:ascii="Times New Roman" w:eastAsia="Aptos" w:hAnsi="Times New Roman" w:cs="Times New Roman"/>
          <w:color w:val="auto"/>
          <w:kern w:val="2"/>
          <w:sz w:val="36"/>
          <w:szCs w:val="36"/>
          <w:lang w:eastAsia="en-US"/>
          <w14:ligatures w14:val="standardContextual"/>
        </w:rPr>
        <w:t xml:space="preserve">Autora: </w:t>
      </w:r>
      <w:r w:rsidR="00A53375">
        <w:rPr>
          <w:rFonts w:ascii="Times New Roman" w:eastAsia="Aptos" w:hAnsi="Times New Roman" w:cs="Times New Roman"/>
          <w:color w:val="auto"/>
          <w:kern w:val="2"/>
          <w:sz w:val="36"/>
          <w:szCs w:val="36"/>
          <w:lang w:eastAsia="en-US"/>
          <w14:ligatures w14:val="standardContextual"/>
        </w:rPr>
        <w:t>Ana Campos de Palacios</w:t>
      </w:r>
    </w:p>
    <w:p w14:paraId="408321B9" w14:textId="7F0DCD30" w:rsidR="00EA61E6" w:rsidRPr="00EA61E6" w:rsidRDefault="00EA61E6" w:rsidP="00EA61E6">
      <w:pPr>
        <w:spacing w:line="278" w:lineRule="auto"/>
        <w:ind w:right="0" w:firstLine="0"/>
        <w:jc w:val="center"/>
        <w:rPr>
          <w:rFonts w:ascii="Times New Roman" w:eastAsia="Aptos" w:hAnsi="Times New Roman" w:cs="Times New Roman"/>
          <w:color w:val="auto"/>
          <w:kern w:val="2"/>
          <w:sz w:val="36"/>
          <w:szCs w:val="36"/>
          <w:lang w:eastAsia="en-US"/>
          <w14:ligatures w14:val="standardContextual"/>
        </w:rPr>
      </w:pPr>
      <w:r w:rsidRPr="00EA61E6">
        <w:rPr>
          <w:rFonts w:ascii="Times New Roman" w:eastAsia="Aptos" w:hAnsi="Times New Roman" w:cs="Times New Roman"/>
          <w:color w:val="auto"/>
          <w:kern w:val="2"/>
          <w:sz w:val="36"/>
          <w:szCs w:val="36"/>
          <w:lang w:eastAsia="en-US"/>
          <w14:ligatures w14:val="standardContextual"/>
        </w:rPr>
        <w:t xml:space="preserve">Directora: </w:t>
      </w:r>
      <w:r w:rsidR="00A53375">
        <w:rPr>
          <w:rFonts w:ascii="Times New Roman" w:eastAsia="Aptos" w:hAnsi="Times New Roman" w:cs="Times New Roman"/>
          <w:color w:val="auto"/>
          <w:kern w:val="2"/>
          <w:sz w:val="36"/>
          <w:szCs w:val="36"/>
          <w:lang w:eastAsia="en-US"/>
          <w14:ligatures w14:val="standardContextual"/>
        </w:rPr>
        <w:t>Paula Collazo Castiñeira</w:t>
      </w:r>
    </w:p>
    <w:p w14:paraId="01B1954C" w14:textId="77777777" w:rsidR="00EA61E6" w:rsidRPr="00EA61E6" w:rsidRDefault="00EA61E6" w:rsidP="00EA61E6">
      <w:pPr>
        <w:spacing w:line="278" w:lineRule="auto"/>
        <w:ind w:right="0" w:firstLine="0"/>
        <w:jc w:val="center"/>
        <w:rPr>
          <w:rFonts w:ascii="Times New Roman" w:eastAsia="Aptos" w:hAnsi="Times New Roman" w:cs="Times New Roman"/>
          <w:color w:val="auto"/>
          <w:kern w:val="2"/>
          <w:sz w:val="36"/>
          <w:szCs w:val="36"/>
          <w:lang w:eastAsia="en-US"/>
          <w14:ligatures w14:val="standardContextual"/>
        </w:rPr>
      </w:pPr>
    </w:p>
    <w:p w14:paraId="14B9335E" w14:textId="77777777" w:rsidR="00EA61E6" w:rsidRPr="00EA61E6" w:rsidRDefault="00EA61E6" w:rsidP="00EA61E6">
      <w:pPr>
        <w:spacing w:line="278" w:lineRule="auto"/>
        <w:ind w:right="0" w:firstLine="0"/>
        <w:jc w:val="center"/>
        <w:rPr>
          <w:rFonts w:ascii="Times New Roman" w:eastAsia="Aptos" w:hAnsi="Times New Roman" w:cs="Times New Roman"/>
          <w:color w:val="auto"/>
          <w:kern w:val="2"/>
          <w:sz w:val="36"/>
          <w:szCs w:val="36"/>
          <w:lang w:eastAsia="en-US"/>
          <w14:ligatures w14:val="standardContextual"/>
        </w:rPr>
      </w:pPr>
      <w:r w:rsidRPr="00EA61E6">
        <w:rPr>
          <w:rFonts w:ascii="Times New Roman" w:eastAsia="Aptos" w:hAnsi="Times New Roman" w:cs="Times New Roman"/>
          <w:color w:val="auto"/>
          <w:kern w:val="2"/>
          <w:sz w:val="36"/>
          <w:szCs w:val="36"/>
          <w:lang w:eastAsia="en-US"/>
          <w14:ligatures w14:val="standardContextual"/>
        </w:rPr>
        <w:t>Madrid</w:t>
      </w:r>
    </w:p>
    <w:p w14:paraId="1FF45DD1" w14:textId="77777777" w:rsidR="00EA61E6" w:rsidRPr="00EA61E6" w:rsidRDefault="00EA61E6" w:rsidP="00EA61E6">
      <w:pPr>
        <w:spacing w:line="278" w:lineRule="auto"/>
        <w:ind w:right="0" w:firstLine="0"/>
        <w:jc w:val="center"/>
        <w:rPr>
          <w:rFonts w:ascii="Times New Roman" w:eastAsia="Aptos" w:hAnsi="Times New Roman" w:cs="Times New Roman"/>
          <w:color w:val="auto"/>
          <w:kern w:val="2"/>
          <w:sz w:val="36"/>
          <w:szCs w:val="36"/>
          <w:lang w:eastAsia="en-US"/>
          <w14:ligatures w14:val="standardContextual"/>
        </w:rPr>
      </w:pPr>
      <w:r w:rsidRPr="00EA61E6">
        <w:rPr>
          <w:rFonts w:ascii="Times New Roman" w:eastAsia="Aptos" w:hAnsi="Times New Roman" w:cs="Times New Roman"/>
          <w:color w:val="auto"/>
          <w:kern w:val="2"/>
          <w:sz w:val="36"/>
          <w:szCs w:val="36"/>
          <w:lang w:eastAsia="en-US"/>
          <w14:ligatures w14:val="standardContextual"/>
        </w:rPr>
        <w:t>2025/2026</w:t>
      </w:r>
    </w:p>
    <w:p w14:paraId="23A164F8" w14:textId="77777777" w:rsidR="00A53375" w:rsidRDefault="00A53375" w:rsidP="00A53375">
      <w:pPr>
        <w:spacing w:line="259" w:lineRule="auto"/>
        <w:ind w:left="0" w:right="0" w:firstLine="0"/>
        <w:jc w:val="left"/>
        <w:rPr>
          <w:b/>
        </w:rPr>
      </w:pPr>
    </w:p>
    <w:p w14:paraId="4BB7EED8" w14:textId="694BFFCE" w:rsidR="00096D55" w:rsidRDefault="00EA61E6" w:rsidP="00E95066">
      <w:pPr>
        <w:spacing w:line="259" w:lineRule="auto"/>
        <w:ind w:right="0" w:firstLine="0"/>
        <w:jc w:val="left"/>
        <w:rPr>
          <w:b/>
          <w:highlight w:val="yellow"/>
        </w:rPr>
      </w:pPr>
      <w:r w:rsidRPr="00A53375">
        <w:br w:type="page"/>
      </w:r>
      <w:r w:rsidR="00096D55" w:rsidRPr="00A53375">
        <w:rPr>
          <w:b/>
        </w:rPr>
        <w:lastRenderedPageBreak/>
        <w:t>Índice</w:t>
      </w:r>
    </w:p>
    <w:p w14:paraId="6A52C083" w14:textId="77777777" w:rsidR="00096D55" w:rsidRPr="00096D55" w:rsidRDefault="00096D55">
      <w:pPr>
        <w:spacing w:after="284" w:line="259" w:lineRule="auto"/>
        <w:ind w:left="371" w:right="0" w:hanging="10"/>
        <w:jc w:val="left"/>
        <w:rPr>
          <w:b/>
        </w:rPr>
      </w:pPr>
      <w:r w:rsidRPr="00096D55">
        <w:rPr>
          <w:b/>
        </w:rPr>
        <w:t>Resumen</w:t>
      </w:r>
    </w:p>
    <w:p w14:paraId="03B05EF3" w14:textId="77777777" w:rsidR="00096D55" w:rsidRPr="00096D55" w:rsidRDefault="00096D55">
      <w:pPr>
        <w:spacing w:after="284" w:line="259" w:lineRule="auto"/>
        <w:ind w:left="371" w:right="0" w:hanging="10"/>
        <w:jc w:val="left"/>
        <w:rPr>
          <w:b/>
        </w:rPr>
      </w:pPr>
      <w:r w:rsidRPr="00096D55">
        <w:rPr>
          <w:b/>
        </w:rPr>
        <w:t>Abstract</w:t>
      </w:r>
    </w:p>
    <w:p w14:paraId="20373F56" w14:textId="77777777" w:rsidR="00096D55" w:rsidRPr="00096D55" w:rsidRDefault="00CB710B">
      <w:pPr>
        <w:spacing w:after="284" w:line="259" w:lineRule="auto"/>
        <w:ind w:left="371" w:right="0" w:hanging="10"/>
        <w:jc w:val="left"/>
        <w:rPr>
          <w:b/>
        </w:rPr>
      </w:pPr>
      <w:r>
        <w:rPr>
          <w:b/>
        </w:rPr>
        <w:t xml:space="preserve">1. </w:t>
      </w:r>
      <w:r w:rsidR="00096D55" w:rsidRPr="00096D55">
        <w:rPr>
          <w:b/>
        </w:rPr>
        <w:t>Introducción</w:t>
      </w:r>
    </w:p>
    <w:p w14:paraId="02857C6B" w14:textId="77777777" w:rsidR="00096D55" w:rsidRPr="00096D55" w:rsidRDefault="00CB710B">
      <w:pPr>
        <w:spacing w:after="284" w:line="259" w:lineRule="auto"/>
        <w:ind w:left="371" w:right="0" w:hanging="10"/>
        <w:jc w:val="left"/>
        <w:rPr>
          <w:b/>
        </w:rPr>
      </w:pPr>
      <w:r>
        <w:rPr>
          <w:b/>
        </w:rPr>
        <w:t xml:space="preserve">2. </w:t>
      </w:r>
      <w:r w:rsidR="00096D55" w:rsidRPr="00096D55">
        <w:rPr>
          <w:b/>
        </w:rPr>
        <w:t>Metodología</w:t>
      </w:r>
    </w:p>
    <w:p w14:paraId="5602D4DC" w14:textId="77777777" w:rsidR="00096D55" w:rsidRPr="00096D55" w:rsidRDefault="00CB710B">
      <w:pPr>
        <w:spacing w:after="284" w:line="259" w:lineRule="auto"/>
        <w:ind w:left="371" w:right="0" w:hanging="10"/>
        <w:jc w:val="left"/>
        <w:rPr>
          <w:b/>
        </w:rPr>
      </w:pPr>
      <w:r>
        <w:rPr>
          <w:b/>
        </w:rPr>
        <w:t xml:space="preserve">3. </w:t>
      </w:r>
      <w:r w:rsidR="00096D55" w:rsidRPr="00096D55">
        <w:rPr>
          <w:b/>
        </w:rPr>
        <w:t>Marco teórico</w:t>
      </w:r>
    </w:p>
    <w:p w14:paraId="45ACDA69" w14:textId="77777777" w:rsidR="00096D55" w:rsidRPr="00096D55" w:rsidRDefault="00CB710B">
      <w:pPr>
        <w:spacing w:after="284" w:line="259" w:lineRule="auto"/>
        <w:ind w:left="371" w:right="0" w:hanging="10"/>
        <w:jc w:val="left"/>
        <w:rPr>
          <w:b/>
        </w:rPr>
      </w:pPr>
      <w:r>
        <w:rPr>
          <w:b/>
        </w:rPr>
        <w:t xml:space="preserve">4. </w:t>
      </w:r>
      <w:r w:rsidR="00096D55" w:rsidRPr="00096D55">
        <w:rPr>
          <w:b/>
        </w:rPr>
        <w:t>Discusión</w:t>
      </w:r>
    </w:p>
    <w:p w14:paraId="1343BA80" w14:textId="77777777" w:rsidR="00096D55" w:rsidRPr="00096D55" w:rsidRDefault="00CB710B">
      <w:pPr>
        <w:spacing w:after="284" w:line="259" w:lineRule="auto"/>
        <w:ind w:left="371" w:right="0" w:hanging="10"/>
        <w:jc w:val="left"/>
        <w:rPr>
          <w:b/>
        </w:rPr>
      </w:pPr>
      <w:r>
        <w:rPr>
          <w:b/>
        </w:rPr>
        <w:t xml:space="preserve">5. </w:t>
      </w:r>
      <w:r w:rsidR="00096D55" w:rsidRPr="00096D55">
        <w:rPr>
          <w:b/>
        </w:rPr>
        <w:t>Conclusiones</w:t>
      </w:r>
    </w:p>
    <w:p w14:paraId="28567780" w14:textId="77777777" w:rsidR="00096D55" w:rsidRPr="00096D55" w:rsidRDefault="00CB710B">
      <w:pPr>
        <w:spacing w:after="284" w:line="259" w:lineRule="auto"/>
        <w:ind w:left="371" w:right="0" w:hanging="10"/>
        <w:jc w:val="left"/>
        <w:rPr>
          <w:b/>
        </w:rPr>
      </w:pPr>
      <w:r>
        <w:rPr>
          <w:b/>
        </w:rPr>
        <w:t xml:space="preserve">6. </w:t>
      </w:r>
      <w:r w:rsidR="00096D55" w:rsidRPr="00096D55">
        <w:rPr>
          <w:b/>
        </w:rPr>
        <w:t xml:space="preserve">Referencias Bibliográficas. </w:t>
      </w:r>
    </w:p>
    <w:p w14:paraId="1833296B" w14:textId="77777777" w:rsidR="00096D55" w:rsidRDefault="00096D55">
      <w:pPr>
        <w:spacing w:line="259" w:lineRule="auto"/>
        <w:ind w:right="0" w:firstLine="0"/>
        <w:jc w:val="left"/>
        <w:rPr>
          <w:b/>
          <w:highlight w:val="yellow"/>
        </w:rPr>
      </w:pPr>
      <w:r>
        <w:rPr>
          <w:b/>
          <w:highlight w:val="yellow"/>
        </w:rPr>
        <w:br w:type="page"/>
      </w:r>
    </w:p>
    <w:p w14:paraId="14898904" w14:textId="77777777" w:rsidR="00EA61E6" w:rsidRDefault="00EA61E6">
      <w:pPr>
        <w:spacing w:after="284" w:line="259" w:lineRule="auto"/>
        <w:ind w:left="371" w:right="0" w:hanging="10"/>
        <w:jc w:val="left"/>
        <w:rPr>
          <w:b/>
        </w:rPr>
      </w:pPr>
      <w:r>
        <w:rPr>
          <w:b/>
        </w:rPr>
        <w:lastRenderedPageBreak/>
        <w:t>Resumen</w:t>
      </w:r>
    </w:p>
    <w:p w14:paraId="7B5A1E37" w14:textId="77777777" w:rsidR="00EA61E6" w:rsidRPr="00EA61E6" w:rsidRDefault="00EA61E6" w:rsidP="00EA61E6">
      <w:pPr>
        <w:spacing w:after="284" w:line="259" w:lineRule="auto"/>
        <w:ind w:left="371" w:right="0" w:hanging="10"/>
      </w:pPr>
      <w:r w:rsidRPr="00EA61E6">
        <w:t>En este apartado se introduce un breve resumen en español del trabajo realizado (extensión máxima: 200-300 palabras). Aquí se debe incluir el contexto y relevancia del tema. El objetivo principal o propósito de la investigación, la metodología, algún resultado importante y las conclusiones, aquella que consideres de respuesta al objetivo principal.</w:t>
      </w:r>
    </w:p>
    <w:p w14:paraId="4B4613EC" w14:textId="77777777" w:rsidR="00EA61E6" w:rsidRPr="00EA61E6" w:rsidRDefault="00EA61E6" w:rsidP="00EA61E6">
      <w:pPr>
        <w:spacing w:after="284" w:line="259" w:lineRule="auto"/>
        <w:ind w:left="371" w:right="0" w:hanging="10"/>
      </w:pPr>
      <w:r w:rsidRPr="00EA61E6">
        <w:t>Se escribe en pasado.</w:t>
      </w:r>
    </w:p>
    <w:p w14:paraId="5A772CF5" w14:textId="77777777" w:rsidR="00EA61E6" w:rsidRPr="00EA61E6" w:rsidRDefault="00EA61E6" w:rsidP="00EA61E6">
      <w:pPr>
        <w:spacing w:after="284" w:line="259" w:lineRule="auto"/>
        <w:ind w:left="371" w:right="0" w:hanging="10"/>
        <w:jc w:val="left"/>
      </w:pPr>
      <w:r w:rsidRPr="00EA61E6">
        <w:rPr>
          <w:b/>
          <w:bCs/>
        </w:rPr>
        <w:t>Palabras Clave</w:t>
      </w:r>
      <w:r w:rsidRPr="00EA61E6">
        <w:rPr>
          <w:b/>
        </w:rPr>
        <w:t xml:space="preserve">: </w:t>
      </w:r>
      <w:r w:rsidRPr="00EA61E6">
        <w:t>se deben incluir de 3 a 5 palabras clave en español.</w:t>
      </w:r>
    </w:p>
    <w:p w14:paraId="2904A63F" w14:textId="77777777" w:rsidR="00EA61E6" w:rsidRDefault="00EA61E6">
      <w:pPr>
        <w:spacing w:after="284" w:line="259" w:lineRule="auto"/>
        <w:ind w:left="371" w:right="0" w:hanging="10"/>
        <w:jc w:val="left"/>
        <w:rPr>
          <w:b/>
        </w:rPr>
      </w:pPr>
      <w:r>
        <w:rPr>
          <w:b/>
        </w:rPr>
        <w:t xml:space="preserve">Abstract </w:t>
      </w:r>
    </w:p>
    <w:p w14:paraId="326A804D" w14:textId="77777777" w:rsidR="00EA61E6" w:rsidRDefault="00EA61E6">
      <w:pPr>
        <w:spacing w:line="259" w:lineRule="auto"/>
        <w:ind w:right="0" w:firstLine="0"/>
        <w:jc w:val="left"/>
        <w:rPr>
          <w:b/>
        </w:rPr>
      </w:pPr>
      <w:r>
        <w:rPr>
          <w:b/>
        </w:rPr>
        <w:br w:type="page"/>
      </w:r>
    </w:p>
    <w:p w14:paraId="3AC8D367" w14:textId="77777777" w:rsidR="00E33A6B" w:rsidRDefault="00AC0CD1">
      <w:pPr>
        <w:spacing w:after="284" w:line="259" w:lineRule="auto"/>
        <w:ind w:left="371" w:right="0" w:hanging="10"/>
        <w:jc w:val="left"/>
      </w:pPr>
      <w:r>
        <w:rPr>
          <w:b/>
        </w:rPr>
        <w:lastRenderedPageBreak/>
        <w:t xml:space="preserve">1. Introducción </w:t>
      </w:r>
    </w:p>
    <w:p w14:paraId="387965D9" w14:textId="6B9D1A18" w:rsidR="00A53375" w:rsidRPr="00A53375" w:rsidRDefault="00A53375" w:rsidP="00A53375">
      <w:pPr>
        <w:spacing w:after="0"/>
        <w:ind w:right="-6"/>
        <w:rPr>
          <w:rFonts w:asciiTheme="minorHAnsi" w:eastAsia="Times New Roman" w:hAnsiTheme="minorHAnsi" w:cstheme="minorHAnsi"/>
          <w:color w:val="auto"/>
          <w:szCs w:val="24"/>
        </w:rPr>
      </w:pPr>
      <w:r w:rsidRPr="00A53375">
        <w:rPr>
          <w:rFonts w:asciiTheme="minorHAnsi" w:eastAsia="Times New Roman" w:hAnsiTheme="minorHAnsi" w:cstheme="minorHAnsi"/>
          <w:szCs w:val="24"/>
        </w:rPr>
        <w:t>El suicidio es definido por la Organización Mundial de la Salud (OMS</w:t>
      </w:r>
      <w:r w:rsidR="00A7771C">
        <w:rPr>
          <w:rFonts w:asciiTheme="minorHAnsi" w:eastAsia="Times New Roman" w:hAnsiTheme="minorHAnsi" w:cstheme="minorHAnsi"/>
          <w:szCs w:val="24"/>
        </w:rPr>
        <w:t>, 2019</w:t>
      </w:r>
      <w:r w:rsidRPr="00A53375">
        <w:rPr>
          <w:rFonts w:asciiTheme="minorHAnsi" w:eastAsia="Times New Roman" w:hAnsiTheme="minorHAnsi" w:cstheme="minorHAnsi"/>
          <w:szCs w:val="24"/>
        </w:rPr>
        <w:t xml:space="preserve">) como el acto deliberado de quitarse la vida. Sin embargo, un informe de la OMS </w:t>
      </w:r>
      <w:r w:rsidR="00DC6DB9">
        <w:rPr>
          <w:rFonts w:asciiTheme="minorHAnsi" w:eastAsia="Times New Roman" w:hAnsiTheme="minorHAnsi" w:cstheme="minorHAnsi"/>
          <w:szCs w:val="24"/>
        </w:rPr>
        <w:t>puntualiza</w:t>
      </w:r>
      <w:r w:rsidRPr="00A53375">
        <w:rPr>
          <w:rFonts w:asciiTheme="minorHAnsi" w:eastAsia="Times New Roman" w:hAnsiTheme="minorHAnsi" w:cstheme="minorHAnsi"/>
          <w:szCs w:val="24"/>
        </w:rPr>
        <w:t xml:space="preserve"> que la mayoría de las personas que intentan suicidarse no persiguen la muerte, sino poner fin al sufrimiento que experimentan (UNICEF, 2019). No existe una causa única que explique este fenómeno ya que el suicidio se trata de una vivencia compleja, multidimensional y multicausal (Rocamora, 2022).</w:t>
      </w:r>
    </w:p>
    <w:p w14:paraId="24450C60" w14:textId="77777777" w:rsidR="00A53375" w:rsidRPr="00A53375" w:rsidRDefault="00A53375" w:rsidP="00A53375">
      <w:pPr>
        <w:spacing w:after="0"/>
        <w:ind w:right="-6"/>
        <w:rPr>
          <w:rFonts w:asciiTheme="minorHAnsi" w:eastAsia="Times New Roman" w:hAnsiTheme="minorHAnsi" w:cstheme="minorHAnsi"/>
          <w:color w:val="auto"/>
          <w:szCs w:val="24"/>
        </w:rPr>
      </w:pPr>
    </w:p>
    <w:p w14:paraId="07F890DA" w14:textId="65D2D123" w:rsidR="00A53375" w:rsidRPr="00A53375" w:rsidRDefault="00A53375" w:rsidP="00A53375">
      <w:pPr>
        <w:spacing w:after="0"/>
        <w:ind w:right="-6"/>
        <w:rPr>
          <w:rFonts w:asciiTheme="minorHAnsi" w:eastAsia="Times New Roman" w:hAnsiTheme="minorHAnsi" w:cstheme="minorHAnsi"/>
          <w:color w:val="auto"/>
          <w:szCs w:val="24"/>
        </w:rPr>
      </w:pPr>
      <w:r w:rsidRPr="00A53375">
        <w:rPr>
          <w:rFonts w:asciiTheme="minorHAnsi" w:eastAsia="Times New Roman" w:hAnsiTheme="minorHAnsi" w:cstheme="minorHAnsi"/>
          <w:szCs w:val="24"/>
        </w:rPr>
        <w:t>En España, el Instituto Nacional de Estadística (INE, 2024) publicó que 3,846 personas fallecieron en 2024 por suicidio. A nivel mundial, se estima que 727 000 personas fallecieron por suicidio en 2021, siendo esta la tercera causa principal de muerte entre jóvenes de 15 a 29 años (</w:t>
      </w:r>
      <w:r w:rsidR="003048B8">
        <w:rPr>
          <w:rFonts w:asciiTheme="minorHAnsi" w:eastAsia="Times New Roman" w:hAnsiTheme="minorHAnsi" w:cstheme="minorHAnsi"/>
          <w:szCs w:val="24"/>
          <w:shd w:val="clear" w:color="auto" w:fill="FFFFFF"/>
        </w:rPr>
        <w:t>WHO,</w:t>
      </w:r>
      <w:r w:rsidRPr="00A53375">
        <w:rPr>
          <w:rFonts w:asciiTheme="minorHAnsi" w:eastAsia="Times New Roman" w:hAnsiTheme="minorHAnsi" w:cstheme="minorHAnsi"/>
          <w:szCs w:val="24"/>
          <w:shd w:val="clear" w:color="auto" w:fill="FFFFFF"/>
        </w:rPr>
        <w:t xml:space="preserve"> 2001)</w:t>
      </w:r>
      <w:r w:rsidRPr="00A53375">
        <w:rPr>
          <w:rFonts w:asciiTheme="minorHAnsi" w:eastAsia="Times New Roman" w:hAnsiTheme="minorHAnsi" w:cstheme="minorHAnsi"/>
          <w:szCs w:val="24"/>
        </w:rPr>
        <w:t>. Dichos datos evidencian la magnitud y persistencia de esta problemática global.</w:t>
      </w:r>
    </w:p>
    <w:p w14:paraId="65D9A3BB" w14:textId="77777777" w:rsidR="00A53375" w:rsidRPr="00A53375" w:rsidRDefault="00A53375" w:rsidP="00A53375">
      <w:pPr>
        <w:spacing w:after="0"/>
        <w:ind w:right="-6"/>
        <w:rPr>
          <w:rFonts w:asciiTheme="minorHAnsi" w:eastAsia="Times New Roman" w:hAnsiTheme="minorHAnsi" w:cstheme="minorHAnsi"/>
          <w:color w:val="auto"/>
          <w:szCs w:val="24"/>
        </w:rPr>
      </w:pPr>
    </w:p>
    <w:p w14:paraId="696B2109" w14:textId="51A1390A" w:rsidR="00A53375" w:rsidRPr="00A53375" w:rsidRDefault="00A53375" w:rsidP="00A53375">
      <w:pPr>
        <w:spacing w:after="0"/>
        <w:ind w:right="-6"/>
        <w:rPr>
          <w:rFonts w:asciiTheme="minorHAnsi" w:eastAsia="Times New Roman" w:hAnsiTheme="minorHAnsi" w:cstheme="minorHAnsi"/>
          <w:color w:val="auto"/>
          <w:szCs w:val="24"/>
        </w:rPr>
      </w:pPr>
      <w:r w:rsidRPr="00A53375">
        <w:rPr>
          <w:rFonts w:asciiTheme="minorHAnsi" w:eastAsia="Times New Roman" w:hAnsiTheme="minorHAnsi" w:cstheme="minorHAnsi"/>
          <w:szCs w:val="24"/>
        </w:rPr>
        <w:t>Cerel</w:t>
      </w:r>
      <w:r w:rsidR="003048B8">
        <w:rPr>
          <w:rFonts w:asciiTheme="minorHAnsi" w:eastAsia="Times New Roman" w:hAnsiTheme="minorHAnsi" w:cstheme="minorHAnsi"/>
          <w:szCs w:val="24"/>
        </w:rPr>
        <w:t xml:space="preserve"> et al. </w:t>
      </w:r>
      <w:r w:rsidRPr="00A53375">
        <w:rPr>
          <w:rFonts w:asciiTheme="minorHAnsi" w:eastAsia="Times New Roman" w:hAnsiTheme="minorHAnsi" w:cstheme="minorHAnsi"/>
          <w:szCs w:val="24"/>
        </w:rPr>
        <w:t>(2019)</w:t>
      </w:r>
      <w:r w:rsidR="003048B8">
        <w:rPr>
          <w:rFonts w:asciiTheme="minorHAnsi" w:eastAsia="Times New Roman" w:hAnsiTheme="minorHAnsi" w:cstheme="minorHAnsi"/>
          <w:szCs w:val="24"/>
        </w:rPr>
        <w:t>,</w:t>
      </w:r>
      <w:r w:rsidRPr="00A53375">
        <w:rPr>
          <w:rFonts w:asciiTheme="minorHAnsi" w:eastAsia="Times New Roman" w:hAnsiTheme="minorHAnsi" w:cstheme="minorHAnsi"/>
          <w:szCs w:val="24"/>
        </w:rPr>
        <w:t xml:space="preserve"> utilizando una muestra representativa de 1.736 adultos estadounidenses, estimaron que cada suicidio afecta directamente a unas 135 personas que conocían a la persona fallecida, cifra que evidencia el alcance del impacto social y emocional del suicidio. </w:t>
      </w:r>
      <w:r w:rsidRPr="00A53375">
        <w:rPr>
          <w:rFonts w:asciiTheme="minorHAnsi" w:eastAsia="Times New Roman" w:hAnsiTheme="minorHAnsi" w:cstheme="minorHAnsi"/>
          <w:szCs w:val="24"/>
          <w:shd w:val="clear" w:color="auto" w:fill="FFFFFF"/>
        </w:rPr>
        <w:t xml:space="preserve">A estas personas se las denomina </w:t>
      </w:r>
      <w:r w:rsidRPr="00A53375">
        <w:rPr>
          <w:rFonts w:asciiTheme="minorHAnsi" w:eastAsia="Times New Roman" w:hAnsiTheme="minorHAnsi" w:cstheme="minorHAnsi"/>
          <w:i/>
          <w:iCs/>
          <w:szCs w:val="24"/>
          <w:shd w:val="clear" w:color="auto" w:fill="FFFFFF"/>
        </w:rPr>
        <w:t>suicide loss survivors,</w:t>
      </w:r>
      <w:r w:rsidRPr="00A53375">
        <w:rPr>
          <w:rFonts w:asciiTheme="minorHAnsi" w:eastAsia="Times New Roman" w:hAnsiTheme="minorHAnsi" w:cstheme="minorHAnsi"/>
          <w:szCs w:val="24"/>
          <w:shd w:val="clear" w:color="auto" w:fill="FFFFFF"/>
        </w:rPr>
        <w:t xml:space="preserve"> </w:t>
      </w:r>
      <w:r w:rsidRPr="00A53375">
        <w:rPr>
          <w:rFonts w:asciiTheme="minorHAnsi" w:eastAsia="Times New Roman" w:hAnsiTheme="minorHAnsi" w:cstheme="minorHAnsi"/>
          <w:szCs w:val="24"/>
        </w:rPr>
        <w:t>ya que, tras la tragedia, deben afrontar un proceso de supervivencia centrado principalmente en la reconstrucción emocional. </w:t>
      </w:r>
    </w:p>
    <w:p w14:paraId="4DDF49E2" w14:textId="77777777" w:rsidR="00A53375" w:rsidRPr="00A53375" w:rsidRDefault="00A53375" w:rsidP="00A53375">
      <w:pPr>
        <w:spacing w:after="0"/>
        <w:ind w:right="-6"/>
        <w:rPr>
          <w:rFonts w:asciiTheme="minorHAnsi" w:eastAsia="Times New Roman" w:hAnsiTheme="minorHAnsi" w:cstheme="minorHAnsi"/>
          <w:color w:val="auto"/>
          <w:szCs w:val="24"/>
        </w:rPr>
      </w:pPr>
    </w:p>
    <w:p w14:paraId="0A22475C" w14:textId="77777777" w:rsidR="00A53375" w:rsidRPr="00A53375" w:rsidRDefault="00A53375" w:rsidP="00A53375">
      <w:pPr>
        <w:shd w:val="clear" w:color="auto" w:fill="FFFFFF"/>
        <w:spacing w:after="0"/>
        <w:ind w:right="-6"/>
        <w:rPr>
          <w:rFonts w:asciiTheme="minorHAnsi" w:eastAsia="Times New Roman" w:hAnsiTheme="minorHAnsi" w:cstheme="minorHAnsi"/>
          <w:color w:val="auto"/>
          <w:szCs w:val="24"/>
        </w:rPr>
      </w:pPr>
      <w:r w:rsidRPr="00A53375">
        <w:rPr>
          <w:rFonts w:asciiTheme="minorHAnsi" w:eastAsia="Times New Roman" w:hAnsiTheme="minorHAnsi" w:cstheme="minorHAnsi"/>
          <w:szCs w:val="24"/>
        </w:rPr>
        <w:t>Estudios poblacionales muestran que el factor clave no es solo “ser familia”, sino el grado de cercanía afectiva. La cercanía predice más duelo prolongado, depresión, ansiedad y TEPT que el vínculo de parentesco (Brown et al., 2024). Aun así, los familiares de primer grado (pareja, padres, hijos, hermanos) tienen, en promedio, mayor riesgo de duelo complicado y trastornos mentales que personas menos cercanas (Spillane et al., 2018). Dicha afirmación fue demostrada por Jang et al. (2022)</w:t>
      </w:r>
      <w:r w:rsidRPr="00A53375">
        <w:rPr>
          <w:rFonts w:asciiTheme="minorHAnsi" w:eastAsia="Times New Roman" w:hAnsiTheme="minorHAnsi" w:cstheme="minorHAnsi"/>
          <w:b/>
          <w:bCs/>
          <w:szCs w:val="24"/>
        </w:rPr>
        <w:t xml:space="preserve">, </w:t>
      </w:r>
      <w:r w:rsidRPr="00A53375">
        <w:rPr>
          <w:rFonts w:asciiTheme="minorHAnsi" w:eastAsia="Times New Roman" w:hAnsiTheme="minorHAnsi" w:cstheme="minorHAnsi"/>
          <w:szCs w:val="24"/>
        </w:rPr>
        <w:t>cuya investigación concluyó que los familiares de personas que murieron por suicidio tuvieron un riesgo de suicidio 3 veces mayor que familiares de muertes no suicidas, siendo el riesgo máximo en las esposas de hombres que se suicidaron.</w:t>
      </w:r>
    </w:p>
    <w:p w14:paraId="6018493F" w14:textId="0A38D0BE" w:rsidR="00A53375" w:rsidRPr="00A53375" w:rsidRDefault="00A53375" w:rsidP="00A53375">
      <w:pPr>
        <w:shd w:val="clear" w:color="auto" w:fill="FFFFFF"/>
        <w:spacing w:after="180"/>
        <w:ind w:right="-6"/>
        <w:rPr>
          <w:rFonts w:asciiTheme="minorHAnsi" w:eastAsia="Times New Roman" w:hAnsiTheme="minorHAnsi" w:cstheme="minorHAnsi"/>
          <w:b/>
          <w:bCs/>
          <w:color w:val="auto"/>
          <w:kern w:val="36"/>
          <w:sz w:val="48"/>
          <w:szCs w:val="48"/>
        </w:rPr>
      </w:pPr>
      <w:r w:rsidRPr="00A53375">
        <w:rPr>
          <w:rFonts w:asciiTheme="minorHAnsi" w:eastAsia="Times New Roman" w:hAnsiTheme="minorHAnsi" w:cstheme="minorHAnsi"/>
          <w:kern w:val="36"/>
          <w:szCs w:val="24"/>
        </w:rPr>
        <w:lastRenderedPageBreak/>
        <w:t xml:space="preserve">La investigación cualitativa es clave para comprender el duelo por suicidio porque capta la vivencia subjetiva, relacional y contextual, identificando </w:t>
      </w:r>
      <w:r w:rsidR="003048B8" w:rsidRPr="00A53375">
        <w:rPr>
          <w:rFonts w:asciiTheme="minorHAnsi" w:eastAsia="Times New Roman" w:hAnsiTheme="minorHAnsi" w:cstheme="minorHAnsi"/>
          <w:kern w:val="36"/>
          <w:szCs w:val="24"/>
        </w:rPr>
        <w:t>así</w:t>
      </w:r>
      <w:r w:rsidRPr="00A53375">
        <w:rPr>
          <w:rFonts w:asciiTheme="minorHAnsi" w:eastAsia="Times New Roman" w:hAnsiTheme="minorHAnsi" w:cstheme="minorHAnsi"/>
          <w:kern w:val="36"/>
          <w:szCs w:val="24"/>
          <w:shd w:val="clear" w:color="auto" w:fill="FFFFFF"/>
        </w:rPr>
        <w:t xml:space="preserve"> de forma consistente una serie de temas recurrentes en la experiencia de los familiares. Entre ellos destacan la vivencia del suicidio como un evento traumático e inesperado, la presencia de emociones intensas y ambivalentes, los cambios y conflictos en las dinámicas familiares, el estigma y el aislamiento social, así como la búsqueda de sentido y de continuidad del vínculo con la persona fallecida (Creuzé et al., 2022; Nilsson et al., 2022; Zavrou et al., 2022). Asimismo, estudios señalan que, en algunos casos, las personas en duelo pueden experimentar </w:t>
      </w:r>
      <w:r w:rsidR="00A7771C">
        <w:rPr>
          <w:rFonts w:asciiTheme="minorHAnsi" w:eastAsia="Times New Roman" w:hAnsiTheme="minorHAnsi" w:cstheme="minorHAnsi"/>
          <w:kern w:val="36"/>
          <w:szCs w:val="24"/>
          <w:shd w:val="clear" w:color="auto" w:fill="FFFFFF"/>
        </w:rPr>
        <w:t>crecimiento postraumático, es decir, cambios positivos como resultado de enfrentar el trauma de la pérdida</w:t>
      </w:r>
      <w:r w:rsidRPr="00A53375">
        <w:rPr>
          <w:rFonts w:asciiTheme="minorHAnsi" w:eastAsia="Times New Roman" w:hAnsiTheme="minorHAnsi" w:cstheme="minorHAnsi"/>
          <w:kern w:val="36"/>
          <w:szCs w:val="24"/>
          <w:shd w:val="clear" w:color="auto" w:fill="FFFFFF"/>
        </w:rPr>
        <w:t xml:space="preserve"> (</w:t>
      </w:r>
      <w:r w:rsidR="003048B8">
        <w:rPr>
          <w:rFonts w:asciiTheme="minorHAnsi" w:eastAsia="Times New Roman" w:hAnsiTheme="minorHAnsi" w:cstheme="minorHAnsi"/>
          <w:kern w:val="36"/>
          <w:szCs w:val="24"/>
          <w:shd w:val="clear" w:color="auto" w:fill="FFFFFF"/>
        </w:rPr>
        <w:t>Whittaker et al., 2025</w:t>
      </w:r>
      <w:r w:rsidRPr="00A53375">
        <w:rPr>
          <w:rFonts w:asciiTheme="minorHAnsi" w:eastAsia="Times New Roman" w:hAnsiTheme="minorHAnsi" w:cstheme="minorHAnsi"/>
          <w:kern w:val="36"/>
          <w:szCs w:val="24"/>
          <w:shd w:val="clear" w:color="auto" w:fill="FFFFFF"/>
        </w:rPr>
        <w:t>).</w:t>
      </w:r>
    </w:p>
    <w:p w14:paraId="5D284540" w14:textId="77777777" w:rsidR="007041DD" w:rsidRDefault="00306397" w:rsidP="007041DD">
      <w:pPr>
        <w:ind w:left="-15" w:right="3" w:firstLine="706"/>
        <w:rPr>
          <w:sz w:val="22"/>
        </w:rPr>
      </w:pPr>
      <w:r>
        <w:t>Visto todo lo anteriormente citado</w:t>
      </w:r>
      <w:r w:rsidR="00AC0CD1">
        <w:t>, el objetivo principal de este estudio será</w:t>
      </w:r>
      <w:r w:rsidR="00D73DEE">
        <w:t xml:space="preserve"> </w:t>
      </w:r>
      <w:r w:rsidR="00D73DEE" w:rsidRPr="00D73DEE">
        <w:t> identificar y analizar los principales temas y experiencias presentes en la literatura cualitativa sobre el duelo tras el suicidio de un familiar.</w:t>
      </w:r>
      <w:r w:rsidR="00AC0CD1">
        <w:t xml:space="preserve"> El presente trabajo dará respuesta a cuestiones clave tales como:</w:t>
      </w:r>
      <w:r>
        <w:t xml:space="preserve"> ¿Cuáles son los principales temas y experiencias que describen los familiares adultos que han perdido a un ser querido según investigaciones cualitativas?, ¿Qué impacto perciben los familiares en su vida personal, social y familiar tras la pérdida por suicidio?, ¿Qué barreras identifican en los estudios cualitativos en referencia al apoyo social y estigmatización para los familiares en duelo?.</w:t>
      </w:r>
      <w:r w:rsidR="00AC0CD1">
        <w:t xml:space="preserve"> Se trata de una investigación de carácter cualitativo que utiliza</w:t>
      </w:r>
      <w:r>
        <w:t xml:space="preserve"> los</w:t>
      </w:r>
      <w:r w:rsidR="00AC0CD1">
        <w:t xml:space="preserve"> </w:t>
      </w:r>
      <w:r>
        <w:t>estudios</w:t>
      </w:r>
      <w:r w:rsidR="00D73DEE">
        <w:t xml:space="preserve"> sobre </w:t>
      </w:r>
      <w:r w:rsidR="00D73DEE" w:rsidRPr="00D73DEE">
        <w:rPr>
          <w:i/>
          <w:iCs/>
        </w:rPr>
        <w:t>suicide loss survivors</w:t>
      </w:r>
      <w:r w:rsidR="00AC0CD1" w:rsidRPr="00D73DEE">
        <w:rPr>
          <w:i/>
          <w:iCs/>
        </w:rPr>
        <w:t xml:space="preserve"> </w:t>
      </w:r>
      <w:r w:rsidR="00AC0CD1">
        <w:t>como marco de análisis para dar respuesta al propósito del estudio.</w:t>
      </w:r>
      <w:r w:rsidR="00AC0CD1">
        <w:rPr>
          <w:sz w:val="22"/>
        </w:rPr>
        <w:t xml:space="preserve"> </w:t>
      </w:r>
    </w:p>
    <w:p w14:paraId="6274E168" w14:textId="5D1E599E" w:rsidR="007041DD" w:rsidRPr="007503B6" w:rsidRDefault="007503B6" w:rsidP="007041DD">
      <w:pPr>
        <w:ind w:left="-15" w:right="3" w:firstLine="706"/>
        <w:rPr>
          <w:szCs w:val="24"/>
        </w:rPr>
      </w:pPr>
      <w:r w:rsidRPr="007503B6">
        <w:rPr>
          <w:szCs w:val="24"/>
        </w:rPr>
        <w:t>Este trabajo resulta relevante porque</w:t>
      </w:r>
      <w:r w:rsidR="007041DD" w:rsidRPr="007503B6">
        <w:rPr>
          <w:szCs w:val="24"/>
        </w:rPr>
        <w:t xml:space="preserve"> posibilita comprender en profundidad los factores que más afectan a los familiares en duelo por suicidio y la forma en que estos inciden en su proceso para hacer frente a la pérdida. Asimismo, apoyarse en investigaciones cualitativas en lugar de cuantitativas posibilita captar la experiencia</w:t>
      </w:r>
      <w:r w:rsidRPr="007503B6">
        <w:rPr>
          <w:szCs w:val="24"/>
        </w:rPr>
        <w:t xml:space="preserve"> de los </w:t>
      </w:r>
      <w:r w:rsidRPr="007503B6">
        <w:rPr>
          <w:i/>
          <w:iCs/>
          <w:szCs w:val="24"/>
        </w:rPr>
        <w:t xml:space="preserve">suicide loss survivors </w:t>
      </w:r>
      <w:r w:rsidRPr="007503B6">
        <w:rPr>
          <w:szCs w:val="24"/>
        </w:rPr>
        <w:t xml:space="preserve">desde su propia perspectiva, identificando los temas recurrentes en su experiencia de duelo y las barreras sociales, como el estigma, que pueden afectar su proceso de adaptación. </w:t>
      </w:r>
    </w:p>
    <w:p w14:paraId="04B0EB9C" w14:textId="23DCA363" w:rsidR="00E33A6B" w:rsidRPr="007041DD" w:rsidRDefault="00306397" w:rsidP="007041DD">
      <w:pPr>
        <w:ind w:left="-15" w:right="3" w:firstLine="706"/>
        <w:rPr>
          <w:sz w:val="22"/>
        </w:rPr>
      </w:pPr>
      <w:r w:rsidRPr="00306397">
        <w:t>Finalmente, el trabajo se estructura en cinco secciones principales. La introducción, contextualiza el tema,</w:t>
      </w:r>
      <w:r w:rsidR="00DE72D7">
        <w:t xml:space="preserve"> </w:t>
      </w:r>
      <w:r w:rsidRPr="00306397">
        <w:t xml:space="preserve">presenta el objetivo general y justifica la relevancia </w:t>
      </w:r>
      <w:r w:rsidRPr="00306397">
        <w:lastRenderedPageBreak/>
        <w:t xml:space="preserve">del estudio. La metodología, expone el enfoque cualitativo y el método documental, junto con el planteamiento del problema y los objetivos. La fundamentación teórica, desarrolla los marcos conceptuales desde </w:t>
      </w:r>
      <w:r w:rsidR="00004BCA" w:rsidRPr="00306397">
        <w:t>la</w:t>
      </w:r>
      <w:r w:rsidR="00004BCA">
        <w:t>s</w:t>
      </w:r>
      <w:r w:rsidR="00004BCA" w:rsidRPr="00306397">
        <w:t xml:space="preserve"> perspectiva</w:t>
      </w:r>
      <w:r w:rsidR="00004BCA">
        <w:t>s</w:t>
      </w:r>
      <w:r w:rsidRPr="00306397">
        <w:t xml:space="preserve"> de</w:t>
      </w:r>
      <w:r>
        <w:t xml:space="preserve"> </w:t>
      </w:r>
      <w:r w:rsidR="00004BCA">
        <w:t>religión y espiritualidad, estigma social y crecimiento postraumático en familiares sobrevivientes de suicidio</w:t>
      </w:r>
      <w:r>
        <w:t>.</w:t>
      </w:r>
      <w:r w:rsidRPr="00306397">
        <w:t xml:space="preserve"> La discusión contrasta los hallazgos teóricos con los objetivos planteados, permitiendo una reflexión crítica. Finalmente, las conclusiones recogen las respuestas a cada objetivo y proponen recomendaciones para </w:t>
      </w:r>
      <w:r w:rsidR="00004BCA">
        <w:t>el acompañamiento a las familias en duelo y futuras investigaciones sobre el duelo por suicidio</w:t>
      </w:r>
      <w:r w:rsidRPr="00306397">
        <w:t>.</w:t>
      </w:r>
    </w:p>
    <w:p w14:paraId="124B80F0" w14:textId="77777777" w:rsidR="00E33A6B" w:rsidRDefault="00AC0CD1">
      <w:pPr>
        <w:spacing w:after="126" w:line="259" w:lineRule="auto"/>
        <w:ind w:right="0" w:firstLine="0"/>
        <w:jc w:val="left"/>
      </w:pPr>
      <w:r>
        <w:t xml:space="preserve"> </w:t>
      </w:r>
    </w:p>
    <w:p w14:paraId="759E32AD" w14:textId="067119C0" w:rsidR="00E33A6B" w:rsidRPr="00D73DEE" w:rsidRDefault="00AC0CD1" w:rsidP="00D73DEE">
      <w:pPr>
        <w:spacing w:after="221"/>
        <w:rPr>
          <w:rFonts w:asciiTheme="minorHAnsi" w:hAnsiTheme="minorHAnsi" w:cstheme="minorHAnsi"/>
          <w:b/>
          <w:szCs w:val="24"/>
        </w:rPr>
      </w:pPr>
      <w:r w:rsidRPr="00D73DEE">
        <w:rPr>
          <w:rFonts w:asciiTheme="minorHAnsi" w:hAnsiTheme="minorHAnsi" w:cstheme="minorHAnsi"/>
          <w:b/>
          <w:szCs w:val="24"/>
        </w:rPr>
        <w:t xml:space="preserve">2.  Metodología </w:t>
      </w:r>
    </w:p>
    <w:p w14:paraId="09D7ACF8" w14:textId="1712E96F" w:rsidR="000012EF" w:rsidRPr="00D73DEE" w:rsidRDefault="000012EF" w:rsidP="00D73DEE">
      <w:pPr>
        <w:spacing w:after="221"/>
        <w:rPr>
          <w:rFonts w:asciiTheme="minorHAnsi" w:hAnsiTheme="minorHAnsi" w:cstheme="minorHAnsi"/>
          <w:bCs/>
          <w:szCs w:val="24"/>
        </w:rPr>
      </w:pPr>
      <w:r w:rsidRPr="00D73DEE">
        <w:rPr>
          <w:rFonts w:asciiTheme="minorHAnsi" w:hAnsiTheme="minorHAnsi" w:cstheme="minorHAnsi"/>
          <w:b/>
          <w:bCs/>
          <w:szCs w:val="24"/>
        </w:rPr>
        <w:t>2.1 Tipo de investigación</w:t>
      </w:r>
      <w:r w:rsidRPr="00D73DEE">
        <w:rPr>
          <w:rFonts w:asciiTheme="minorHAnsi" w:hAnsiTheme="minorHAnsi" w:cstheme="minorHAnsi"/>
          <w:bCs/>
          <w:szCs w:val="24"/>
        </w:rPr>
        <w:t>.</w:t>
      </w:r>
    </w:p>
    <w:p w14:paraId="06516B00" w14:textId="77777777" w:rsidR="00A53375" w:rsidRPr="00D73DEE" w:rsidRDefault="00A53375" w:rsidP="00D73DEE">
      <w:pPr>
        <w:pStyle w:val="NormalWeb"/>
        <w:spacing w:before="0" w:beforeAutospacing="0" w:after="220" w:afterAutospacing="0" w:line="360" w:lineRule="auto"/>
        <w:ind w:right="6" w:firstLine="709"/>
        <w:jc w:val="both"/>
        <w:rPr>
          <w:rFonts w:asciiTheme="minorHAnsi" w:hAnsiTheme="minorHAnsi" w:cstheme="minorHAnsi"/>
        </w:rPr>
      </w:pPr>
      <w:r w:rsidRPr="00D73DEE">
        <w:rPr>
          <w:rFonts w:asciiTheme="minorHAnsi" w:hAnsiTheme="minorHAnsi" w:cstheme="minorHAnsi"/>
          <w:color w:val="000000"/>
        </w:rPr>
        <w:t>El presente trabajo es una revisión bibliográfica basada en el análisis de artículos científicos publicados en la base de datos PubMed</w:t>
      </w:r>
      <w:r w:rsidRPr="00D73DEE">
        <w:rPr>
          <w:rFonts w:asciiTheme="minorHAnsi" w:hAnsiTheme="minorHAnsi" w:cstheme="minorHAnsi"/>
          <w:color w:val="000000"/>
          <w:shd w:val="clear" w:color="auto" w:fill="FFFFFF"/>
        </w:rPr>
        <w:t>. La pregunta de investigación es: ¿Cuáles son los principales temas descritos en la literatura científica cualitativa sobre las experiencias de duelo de familiares adultos que han perdido a un ser querido por suicidio?</w:t>
      </w:r>
    </w:p>
    <w:p w14:paraId="39885836" w14:textId="18CE1A94" w:rsidR="001C3EDE" w:rsidRPr="00D73DEE" w:rsidRDefault="001C3EDE" w:rsidP="00D73DEE">
      <w:pPr>
        <w:spacing w:after="221"/>
        <w:rPr>
          <w:rFonts w:asciiTheme="minorHAnsi" w:hAnsiTheme="minorHAnsi" w:cstheme="minorHAnsi"/>
          <w:b/>
          <w:bCs/>
          <w:szCs w:val="24"/>
        </w:rPr>
      </w:pPr>
      <w:r w:rsidRPr="00D73DEE">
        <w:rPr>
          <w:rFonts w:asciiTheme="minorHAnsi" w:hAnsiTheme="minorHAnsi" w:cstheme="minorHAnsi"/>
          <w:b/>
          <w:bCs/>
          <w:szCs w:val="24"/>
        </w:rPr>
        <w:t xml:space="preserve">2.2 </w:t>
      </w:r>
      <w:r w:rsidR="00A53375" w:rsidRPr="00D73DEE">
        <w:rPr>
          <w:rFonts w:asciiTheme="minorHAnsi" w:hAnsiTheme="minorHAnsi" w:cstheme="minorHAnsi"/>
          <w:b/>
          <w:bCs/>
          <w:szCs w:val="24"/>
        </w:rPr>
        <w:t>Criterios de inclusión/exclusión.</w:t>
      </w:r>
      <w:r w:rsidRPr="00D73DEE">
        <w:rPr>
          <w:rFonts w:asciiTheme="minorHAnsi" w:hAnsiTheme="minorHAnsi" w:cstheme="minorHAnsi"/>
          <w:b/>
          <w:bCs/>
          <w:szCs w:val="24"/>
        </w:rPr>
        <w:t xml:space="preserve"> </w:t>
      </w:r>
    </w:p>
    <w:p w14:paraId="16D7465E" w14:textId="77777777" w:rsidR="00A53375" w:rsidRPr="00D73DEE" w:rsidRDefault="00A53375" w:rsidP="00D73DEE">
      <w:pPr>
        <w:pStyle w:val="NormalWeb"/>
        <w:spacing w:before="0" w:beforeAutospacing="0" w:after="220" w:afterAutospacing="0" w:line="360" w:lineRule="auto"/>
        <w:ind w:right="6" w:firstLine="709"/>
        <w:jc w:val="both"/>
        <w:rPr>
          <w:rFonts w:asciiTheme="minorHAnsi" w:hAnsiTheme="minorHAnsi" w:cstheme="minorHAnsi"/>
        </w:rPr>
      </w:pPr>
      <w:r w:rsidRPr="00D73DEE">
        <w:rPr>
          <w:rFonts w:asciiTheme="minorHAnsi" w:hAnsiTheme="minorHAnsi" w:cstheme="minorHAnsi"/>
          <w:color w:val="000000"/>
          <w:shd w:val="clear" w:color="auto" w:fill="FFFFFF"/>
        </w:rPr>
        <w:t xml:space="preserve">La población objeto de estudio está compuesta por </w:t>
      </w:r>
      <w:r w:rsidRPr="00D73DEE">
        <w:rPr>
          <w:rFonts w:asciiTheme="minorHAnsi" w:hAnsiTheme="minorHAnsi" w:cstheme="minorHAnsi"/>
          <w:i/>
          <w:iCs/>
          <w:color w:val="000000"/>
          <w:shd w:val="clear" w:color="auto" w:fill="FFFFFF"/>
        </w:rPr>
        <w:t>suicide loss survivors</w:t>
      </w:r>
      <w:r w:rsidRPr="00D73DEE">
        <w:rPr>
          <w:rFonts w:asciiTheme="minorHAnsi" w:hAnsiTheme="minorHAnsi" w:cstheme="minorHAnsi"/>
          <w:color w:val="000000"/>
          <w:shd w:val="clear" w:color="auto" w:fill="FFFFFF"/>
        </w:rPr>
        <w:t>, definidos como supervivientes a una pérdida por suicidio. Se incluirán exclusivamente estudios cuyos participantes mantengan un vínculo familiar directo con la persona fallecida, incluyendo también pareja o cónyuge. Asimismo, se considerarán únicamente investigaciones realizadas con población adulta (mayores de 18 años) que emplean una metodología cualitativa y la revisión se limita a artículos científicos publicados en revistas académicas y obtenidos a través de la base de datos PubMed.</w:t>
      </w:r>
    </w:p>
    <w:p w14:paraId="5BB34E1A" w14:textId="77777777" w:rsidR="00A53375" w:rsidRPr="00D73DEE" w:rsidRDefault="00A53375" w:rsidP="00D73DEE">
      <w:pPr>
        <w:pStyle w:val="NormalWeb"/>
        <w:spacing w:before="0" w:beforeAutospacing="0" w:after="220" w:afterAutospacing="0" w:line="360" w:lineRule="auto"/>
        <w:ind w:right="6" w:firstLine="709"/>
        <w:jc w:val="both"/>
        <w:rPr>
          <w:rFonts w:asciiTheme="minorHAnsi" w:hAnsiTheme="minorHAnsi" w:cstheme="minorHAnsi"/>
        </w:rPr>
      </w:pPr>
      <w:r w:rsidRPr="00D73DEE">
        <w:rPr>
          <w:rFonts w:asciiTheme="minorHAnsi" w:hAnsiTheme="minorHAnsi" w:cstheme="minorHAnsi"/>
          <w:color w:val="000000"/>
          <w:shd w:val="clear" w:color="auto" w:fill="FFFFFF"/>
        </w:rPr>
        <w:t xml:space="preserve">Por lo tanto, se excluirán los estudios que incluyan participantes menores de edad o personas sin relación familiar directa con el fallecido, como amigos u otros vínculos sociales. Del mismo modo, quedarán excluidas las investigaciones basadas en metodologías cuantitativas o mixtas, así como trabajos académicos no publicados en </w:t>
      </w:r>
      <w:r w:rsidRPr="00D73DEE">
        <w:rPr>
          <w:rFonts w:asciiTheme="minorHAnsi" w:hAnsiTheme="minorHAnsi" w:cstheme="minorHAnsi"/>
          <w:color w:val="000000"/>
          <w:shd w:val="clear" w:color="auto" w:fill="FFFFFF"/>
        </w:rPr>
        <w:lastRenderedPageBreak/>
        <w:t>formato de artículo científico, tales como tesis doctorales, trabajos de fin de grado o de máster.</w:t>
      </w:r>
    </w:p>
    <w:p w14:paraId="79A71356" w14:textId="77777777" w:rsidR="000535C8" w:rsidRDefault="000535C8" w:rsidP="000535C8">
      <w:pPr>
        <w:spacing w:line="240" w:lineRule="auto"/>
        <w:ind w:right="3" w:firstLine="0"/>
      </w:pPr>
    </w:p>
    <w:p w14:paraId="1B3940EC" w14:textId="067CA31C" w:rsidR="000535C8" w:rsidRDefault="000535C8" w:rsidP="000535C8">
      <w:pPr>
        <w:ind w:right="3" w:firstLine="0"/>
        <w:rPr>
          <w:b/>
          <w:bCs/>
        </w:rPr>
      </w:pPr>
      <w:r w:rsidRPr="001D7502">
        <w:rPr>
          <w:b/>
        </w:rPr>
        <w:t xml:space="preserve">2.3 </w:t>
      </w:r>
      <w:r w:rsidR="00A53375">
        <w:rPr>
          <w:b/>
          <w:bCs/>
        </w:rPr>
        <w:t>Estrategia de búsqueda</w:t>
      </w:r>
      <w:r w:rsidR="001D7502">
        <w:rPr>
          <w:b/>
          <w:bCs/>
        </w:rPr>
        <w:t>.</w:t>
      </w:r>
    </w:p>
    <w:p w14:paraId="468E89B9" w14:textId="7CEA4A4A" w:rsidR="00A53375" w:rsidRDefault="00A53375" w:rsidP="000535C8">
      <w:pPr>
        <w:ind w:right="3" w:firstLine="0"/>
        <w:rPr>
          <w:b/>
        </w:rPr>
      </w:pPr>
      <w:r>
        <w:rPr>
          <w:b/>
          <w:noProof/>
        </w:rPr>
        <w:drawing>
          <wp:inline distT="0" distB="0" distL="0" distR="0" wp14:anchorId="59D73AE7" wp14:editId="57889163">
            <wp:extent cx="5646254" cy="794657"/>
            <wp:effectExtent l="0" t="0" r="0" b="5715"/>
            <wp:docPr id="2" name="Imagen 2"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con confianza baj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81819" cy="813737"/>
                    </a:xfrm>
                    <a:prstGeom prst="rect">
                      <a:avLst/>
                    </a:prstGeom>
                    <a:noFill/>
                    <a:ln>
                      <a:noFill/>
                    </a:ln>
                  </pic:spPr>
                </pic:pic>
              </a:graphicData>
            </a:graphic>
          </wp:inline>
        </w:drawing>
      </w:r>
    </w:p>
    <w:p w14:paraId="4330FF14" w14:textId="4F430F97" w:rsidR="001D7502" w:rsidRPr="000535C8" w:rsidRDefault="001D7502" w:rsidP="000535C8">
      <w:pPr>
        <w:ind w:right="3" w:firstLine="0"/>
        <w:rPr>
          <w:b/>
        </w:rPr>
      </w:pPr>
      <w:r w:rsidRPr="001D7502">
        <w:rPr>
          <w:b/>
          <w:noProof/>
        </w:rPr>
        <w:drawing>
          <wp:inline distT="0" distB="0" distL="0" distR="0" wp14:anchorId="5AB9E23B" wp14:editId="0A5CDACC">
            <wp:extent cx="4852615" cy="5397500"/>
            <wp:effectExtent l="0" t="0" r="5715" b="0"/>
            <wp:docPr id="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9"/>
                    <a:stretch>
                      <a:fillRect/>
                    </a:stretch>
                  </pic:blipFill>
                  <pic:spPr>
                    <a:xfrm>
                      <a:off x="0" y="0"/>
                      <a:ext cx="4855535" cy="5400748"/>
                    </a:xfrm>
                    <a:prstGeom prst="rect">
                      <a:avLst/>
                    </a:prstGeom>
                  </pic:spPr>
                </pic:pic>
              </a:graphicData>
            </a:graphic>
          </wp:inline>
        </w:drawing>
      </w:r>
    </w:p>
    <w:p w14:paraId="56CB63F4" w14:textId="421844D0" w:rsidR="00D0268A" w:rsidRPr="00D0268A" w:rsidRDefault="00D0268A" w:rsidP="00D0268A">
      <w:pPr>
        <w:spacing w:after="0" w:line="259" w:lineRule="auto"/>
        <w:ind w:right="0" w:firstLine="0"/>
        <w:rPr>
          <w:color w:val="auto"/>
        </w:rPr>
      </w:pPr>
    </w:p>
    <w:p w14:paraId="654EEB0A" w14:textId="46A1A691" w:rsidR="00D0268A" w:rsidRPr="00D0268A" w:rsidRDefault="00D0268A" w:rsidP="00D0268A">
      <w:pPr>
        <w:spacing w:after="0" w:line="259" w:lineRule="auto"/>
        <w:ind w:right="0" w:firstLine="0"/>
        <w:rPr>
          <w:color w:val="auto"/>
          <w:lang w:val="es-ES_tradnl"/>
        </w:rPr>
      </w:pPr>
    </w:p>
    <w:p w14:paraId="33CD0DE1" w14:textId="3A7752E8" w:rsidR="00D0268A" w:rsidRPr="00D0268A" w:rsidRDefault="00D0268A" w:rsidP="00D0268A">
      <w:pPr>
        <w:spacing w:after="0" w:line="259" w:lineRule="auto"/>
        <w:ind w:right="0" w:firstLine="0"/>
        <w:rPr>
          <w:color w:val="auto"/>
        </w:rPr>
      </w:pPr>
    </w:p>
    <w:sectPr w:rsidR="00D0268A" w:rsidRPr="00D0268A">
      <w:pgSz w:w="11904" w:h="16838"/>
      <w:pgMar w:top="1467" w:right="1699" w:bottom="1438" w:left="17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EE4DD2" w14:textId="77777777" w:rsidR="006E67B0" w:rsidRDefault="006E67B0" w:rsidP="00A53375">
      <w:pPr>
        <w:spacing w:after="0" w:line="240" w:lineRule="auto"/>
      </w:pPr>
      <w:r>
        <w:separator/>
      </w:r>
    </w:p>
  </w:endnote>
  <w:endnote w:type="continuationSeparator" w:id="0">
    <w:p w14:paraId="3337BD1E" w14:textId="77777777" w:rsidR="006E67B0" w:rsidRDefault="006E67B0" w:rsidP="00A533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24DBA2" w14:textId="77777777" w:rsidR="006E67B0" w:rsidRDefault="006E67B0" w:rsidP="00A53375">
      <w:pPr>
        <w:spacing w:after="0" w:line="240" w:lineRule="auto"/>
      </w:pPr>
      <w:r>
        <w:separator/>
      </w:r>
    </w:p>
  </w:footnote>
  <w:footnote w:type="continuationSeparator" w:id="0">
    <w:p w14:paraId="05202C37" w14:textId="77777777" w:rsidR="006E67B0" w:rsidRDefault="006E67B0" w:rsidP="00A533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00CF3"/>
    <w:multiLevelType w:val="hybridMultilevel"/>
    <w:tmpl w:val="CF50A68A"/>
    <w:lvl w:ilvl="0" w:tplc="32A44E42">
      <w:start w:val="1"/>
      <w:numFmt w:val="bullet"/>
      <w:lvlText w:val="-"/>
      <w:lvlJc w:val="left"/>
      <w:pPr>
        <w:ind w:left="720" w:hanging="360"/>
      </w:pPr>
      <w:rPr>
        <w:rFonts w:ascii="Tahoma" w:hAnsi="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39618F2"/>
    <w:multiLevelType w:val="hybridMultilevel"/>
    <w:tmpl w:val="590215B8"/>
    <w:lvl w:ilvl="0" w:tplc="32A44E42">
      <w:start w:val="1"/>
      <w:numFmt w:val="bullet"/>
      <w:lvlText w:val="-"/>
      <w:lvlJc w:val="left"/>
      <w:pPr>
        <w:ind w:left="720" w:hanging="360"/>
      </w:pPr>
      <w:rPr>
        <w:rFonts w:ascii="Tahoma" w:hAnsi="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4E3C26E2"/>
    <w:multiLevelType w:val="hybridMultilevel"/>
    <w:tmpl w:val="E9C032D4"/>
    <w:lvl w:ilvl="0" w:tplc="32A44E42">
      <w:start w:val="1"/>
      <w:numFmt w:val="bullet"/>
      <w:lvlText w:val="-"/>
      <w:lvlJc w:val="left"/>
      <w:pPr>
        <w:ind w:left="720" w:hanging="360"/>
      </w:pPr>
      <w:rPr>
        <w:rFonts w:ascii="Tahoma" w:hAnsi="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5A082E08"/>
    <w:multiLevelType w:val="hybridMultilevel"/>
    <w:tmpl w:val="545812A2"/>
    <w:lvl w:ilvl="0" w:tplc="32A44E42">
      <w:start w:val="1"/>
      <w:numFmt w:val="bullet"/>
      <w:lvlText w:val="-"/>
      <w:lvlJc w:val="left"/>
      <w:pPr>
        <w:ind w:left="720" w:hanging="360"/>
      </w:pPr>
      <w:rPr>
        <w:rFonts w:ascii="Tahoma" w:hAnsi="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7AEF0726"/>
    <w:multiLevelType w:val="hybridMultilevel"/>
    <w:tmpl w:val="FBA22D38"/>
    <w:lvl w:ilvl="0" w:tplc="32A44E42">
      <w:start w:val="1"/>
      <w:numFmt w:val="bullet"/>
      <w:lvlText w:val="-"/>
      <w:lvlJc w:val="left"/>
      <w:pPr>
        <w:ind w:left="720" w:hanging="360"/>
      </w:pPr>
      <w:rPr>
        <w:rFonts w:ascii="Tahoma" w:hAnsi="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076782185">
    <w:abstractNumId w:val="0"/>
  </w:num>
  <w:num w:numId="2" w16cid:durableId="549802809">
    <w:abstractNumId w:val="4"/>
  </w:num>
  <w:num w:numId="3" w16cid:durableId="97415625">
    <w:abstractNumId w:val="3"/>
  </w:num>
  <w:num w:numId="4" w16cid:durableId="969626364">
    <w:abstractNumId w:val="2"/>
  </w:num>
  <w:num w:numId="5" w16cid:durableId="8635956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A6B"/>
    <w:rsid w:val="000012EF"/>
    <w:rsid w:val="00004BCA"/>
    <w:rsid w:val="00042F5D"/>
    <w:rsid w:val="000535C8"/>
    <w:rsid w:val="00096D55"/>
    <w:rsid w:val="00196D7E"/>
    <w:rsid w:val="00197467"/>
    <w:rsid w:val="001C3EDE"/>
    <w:rsid w:val="001D7502"/>
    <w:rsid w:val="003048B8"/>
    <w:rsid w:val="00306397"/>
    <w:rsid w:val="00326A1F"/>
    <w:rsid w:val="00331A47"/>
    <w:rsid w:val="00334F4A"/>
    <w:rsid w:val="00337003"/>
    <w:rsid w:val="004B41A0"/>
    <w:rsid w:val="005753C5"/>
    <w:rsid w:val="005840C9"/>
    <w:rsid w:val="00623893"/>
    <w:rsid w:val="006E67B0"/>
    <w:rsid w:val="007041DD"/>
    <w:rsid w:val="00706FE8"/>
    <w:rsid w:val="007503B6"/>
    <w:rsid w:val="007F16B8"/>
    <w:rsid w:val="008D7914"/>
    <w:rsid w:val="00940208"/>
    <w:rsid w:val="009E5B7A"/>
    <w:rsid w:val="009F5A60"/>
    <w:rsid w:val="00A53375"/>
    <w:rsid w:val="00A7771C"/>
    <w:rsid w:val="00AB4BFC"/>
    <w:rsid w:val="00AC00C2"/>
    <w:rsid w:val="00AC0CD1"/>
    <w:rsid w:val="00AD2927"/>
    <w:rsid w:val="00B161A7"/>
    <w:rsid w:val="00CB710B"/>
    <w:rsid w:val="00CB7AF1"/>
    <w:rsid w:val="00D0268A"/>
    <w:rsid w:val="00D73DEE"/>
    <w:rsid w:val="00DC6DB9"/>
    <w:rsid w:val="00DE72D7"/>
    <w:rsid w:val="00E33A6B"/>
    <w:rsid w:val="00E808AC"/>
    <w:rsid w:val="00E85865"/>
    <w:rsid w:val="00E95066"/>
    <w:rsid w:val="00EA61E6"/>
    <w:rsid w:val="00EE3720"/>
    <w:rsid w:val="00F06D58"/>
    <w:rsid w:val="00F41BC6"/>
    <w:rsid w:val="00F675C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301DF"/>
  <w15:docId w15:val="{466618E5-905F-4A58-835F-2D530867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360" w:lineRule="auto"/>
        <w:ind w:left="-17" w:right="6"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sz w:val="24"/>
    </w:rPr>
  </w:style>
  <w:style w:type="paragraph" w:styleId="Ttulo1">
    <w:name w:val="heading 1"/>
    <w:basedOn w:val="Normal"/>
    <w:link w:val="Ttulo1Car"/>
    <w:uiPriority w:val="9"/>
    <w:qFormat/>
    <w:rsid w:val="00A53375"/>
    <w:pPr>
      <w:spacing w:before="100" w:beforeAutospacing="1" w:after="100" w:afterAutospacing="1" w:line="240" w:lineRule="auto"/>
      <w:ind w:right="0" w:firstLine="0"/>
      <w:jc w:val="left"/>
      <w:outlineLvl w:val="0"/>
    </w:pPr>
    <w:rPr>
      <w:rFonts w:ascii="Times New Roman" w:eastAsia="Times New Roman" w:hAnsi="Times New Roman" w:cs="Times New Roman"/>
      <w:b/>
      <w:bCs/>
      <w:color w:val="auto"/>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E95066"/>
    <w:rPr>
      <w:sz w:val="16"/>
      <w:szCs w:val="16"/>
    </w:rPr>
  </w:style>
  <w:style w:type="paragraph" w:styleId="Textocomentario">
    <w:name w:val="annotation text"/>
    <w:basedOn w:val="Normal"/>
    <w:link w:val="TextocomentarioCar"/>
    <w:uiPriority w:val="99"/>
    <w:semiHidden/>
    <w:unhideWhenUsed/>
    <w:rsid w:val="00E9506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95066"/>
    <w:rPr>
      <w:rFonts w:ascii="Calibri" w:eastAsia="Calibri" w:hAnsi="Calibri" w:cs="Calibri"/>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E95066"/>
    <w:rPr>
      <w:b/>
      <w:bCs/>
    </w:rPr>
  </w:style>
  <w:style w:type="character" w:customStyle="1" w:styleId="AsuntodelcomentarioCar">
    <w:name w:val="Asunto del comentario Car"/>
    <w:basedOn w:val="TextocomentarioCar"/>
    <w:link w:val="Asuntodelcomentario"/>
    <w:uiPriority w:val="99"/>
    <w:semiHidden/>
    <w:rsid w:val="00E95066"/>
    <w:rPr>
      <w:rFonts w:ascii="Calibri" w:eastAsia="Calibri" w:hAnsi="Calibri" w:cs="Calibri"/>
      <w:b/>
      <w:bCs/>
      <w:color w:val="000000"/>
      <w:sz w:val="20"/>
      <w:szCs w:val="20"/>
    </w:rPr>
  </w:style>
  <w:style w:type="paragraph" w:styleId="Textodeglobo">
    <w:name w:val="Balloon Text"/>
    <w:basedOn w:val="Normal"/>
    <w:link w:val="TextodegloboCar"/>
    <w:uiPriority w:val="99"/>
    <w:semiHidden/>
    <w:unhideWhenUsed/>
    <w:rsid w:val="00E950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95066"/>
    <w:rPr>
      <w:rFonts w:ascii="Segoe UI" w:eastAsia="Calibri" w:hAnsi="Segoe UI" w:cs="Segoe UI"/>
      <w:color w:val="000000"/>
      <w:sz w:val="18"/>
      <w:szCs w:val="18"/>
    </w:rPr>
  </w:style>
  <w:style w:type="paragraph" w:styleId="Prrafodelista">
    <w:name w:val="List Paragraph"/>
    <w:basedOn w:val="Normal"/>
    <w:uiPriority w:val="34"/>
    <w:qFormat/>
    <w:rsid w:val="00940208"/>
    <w:pPr>
      <w:spacing w:line="259" w:lineRule="auto"/>
      <w:ind w:left="720" w:right="0" w:firstLine="0"/>
      <w:contextualSpacing/>
      <w:jc w:val="left"/>
    </w:pPr>
    <w:rPr>
      <w:rFonts w:asciiTheme="minorHAnsi" w:eastAsiaTheme="minorHAnsi" w:hAnsiTheme="minorHAnsi" w:cstheme="minorBidi"/>
      <w:color w:val="auto"/>
      <w:sz w:val="22"/>
      <w:lang w:val="es-ES_tradnl" w:eastAsia="en-US"/>
    </w:rPr>
  </w:style>
  <w:style w:type="paragraph" w:styleId="Encabezado">
    <w:name w:val="header"/>
    <w:basedOn w:val="Normal"/>
    <w:link w:val="EncabezadoCar"/>
    <w:uiPriority w:val="99"/>
    <w:unhideWhenUsed/>
    <w:rsid w:val="00A5337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53375"/>
    <w:rPr>
      <w:rFonts w:ascii="Calibri" w:eastAsia="Calibri" w:hAnsi="Calibri" w:cs="Calibri"/>
      <w:color w:val="000000"/>
      <w:sz w:val="24"/>
    </w:rPr>
  </w:style>
  <w:style w:type="paragraph" w:styleId="Piedepgina">
    <w:name w:val="footer"/>
    <w:basedOn w:val="Normal"/>
    <w:link w:val="PiedepginaCar"/>
    <w:uiPriority w:val="99"/>
    <w:unhideWhenUsed/>
    <w:rsid w:val="00A5337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53375"/>
    <w:rPr>
      <w:rFonts w:ascii="Calibri" w:eastAsia="Calibri" w:hAnsi="Calibri" w:cs="Calibri"/>
      <w:color w:val="000000"/>
      <w:sz w:val="24"/>
    </w:rPr>
  </w:style>
  <w:style w:type="character" w:customStyle="1" w:styleId="Ttulo1Car">
    <w:name w:val="Título 1 Car"/>
    <w:basedOn w:val="Fuentedeprrafopredeter"/>
    <w:link w:val="Ttulo1"/>
    <w:uiPriority w:val="9"/>
    <w:rsid w:val="00A53375"/>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A53375"/>
    <w:pPr>
      <w:spacing w:before="100" w:beforeAutospacing="1" w:after="100" w:afterAutospacing="1" w:line="240" w:lineRule="auto"/>
      <w:ind w:right="0" w:firstLine="0"/>
      <w:jc w:val="left"/>
    </w:pPr>
    <w:rPr>
      <w:rFonts w:ascii="Times New Roman" w:eastAsia="Times New Roman" w:hAnsi="Times New Roman" w:cs="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876505">
      <w:bodyDiv w:val="1"/>
      <w:marLeft w:val="0"/>
      <w:marRight w:val="0"/>
      <w:marTop w:val="0"/>
      <w:marBottom w:val="0"/>
      <w:divBdr>
        <w:top w:val="none" w:sz="0" w:space="0" w:color="auto"/>
        <w:left w:val="none" w:sz="0" w:space="0" w:color="auto"/>
        <w:bottom w:val="none" w:sz="0" w:space="0" w:color="auto"/>
        <w:right w:val="none" w:sz="0" w:space="0" w:color="auto"/>
      </w:divBdr>
      <w:divsChild>
        <w:div w:id="576861464">
          <w:marLeft w:val="0"/>
          <w:marRight w:val="0"/>
          <w:marTop w:val="0"/>
          <w:marBottom w:val="0"/>
          <w:divBdr>
            <w:top w:val="none" w:sz="0" w:space="0" w:color="auto"/>
            <w:left w:val="none" w:sz="0" w:space="0" w:color="auto"/>
            <w:bottom w:val="none" w:sz="0" w:space="0" w:color="auto"/>
            <w:right w:val="none" w:sz="0" w:space="0" w:color="auto"/>
          </w:divBdr>
        </w:div>
      </w:divsChild>
    </w:div>
    <w:div w:id="270667009">
      <w:bodyDiv w:val="1"/>
      <w:marLeft w:val="0"/>
      <w:marRight w:val="0"/>
      <w:marTop w:val="0"/>
      <w:marBottom w:val="0"/>
      <w:divBdr>
        <w:top w:val="none" w:sz="0" w:space="0" w:color="auto"/>
        <w:left w:val="none" w:sz="0" w:space="0" w:color="auto"/>
        <w:bottom w:val="none" w:sz="0" w:space="0" w:color="auto"/>
        <w:right w:val="none" w:sz="0" w:space="0" w:color="auto"/>
      </w:divBdr>
      <w:divsChild>
        <w:div w:id="1363438957">
          <w:marLeft w:val="0"/>
          <w:marRight w:val="0"/>
          <w:marTop w:val="0"/>
          <w:marBottom w:val="0"/>
          <w:divBdr>
            <w:top w:val="none" w:sz="0" w:space="0" w:color="auto"/>
            <w:left w:val="none" w:sz="0" w:space="0" w:color="auto"/>
            <w:bottom w:val="none" w:sz="0" w:space="0" w:color="auto"/>
            <w:right w:val="none" w:sz="0" w:space="0" w:color="auto"/>
          </w:divBdr>
        </w:div>
      </w:divsChild>
    </w:div>
    <w:div w:id="462964285">
      <w:bodyDiv w:val="1"/>
      <w:marLeft w:val="0"/>
      <w:marRight w:val="0"/>
      <w:marTop w:val="0"/>
      <w:marBottom w:val="0"/>
      <w:divBdr>
        <w:top w:val="none" w:sz="0" w:space="0" w:color="auto"/>
        <w:left w:val="none" w:sz="0" w:space="0" w:color="auto"/>
        <w:bottom w:val="none" w:sz="0" w:space="0" w:color="auto"/>
        <w:right w:val="none" w:sz="0" w:space="0" w:color="auto"/>
      </w:divBdr>
      <w:divsChild>
        <w:div w:id="616716158">
          <w:marLeft w:val="0"/>
          <w:marRight w:val="0"/>
          <w:marTop w:val="0"/>
          <w:marBottom w:val="0"/>
          <w:divBdr>
            <w:top w:val="none" w:sz="0" w:space="0" w:color="auto"/>
            <w:left w:val="none" w:sz="0" w:space="0" w:color="auto"/>
            <w:bottom w:val="none" w:sz="0" w:space="0" w:color="auto"/>
            <w:right w:val="none" w:sz="0" w:space="0" w:color="auto"/>
          </w:divBdr>
        </w:div>
      </w:divsChild>
    </w:div>
    <w:div w:id="808784055">
      <w:bodyDiv w:val="1"/>
      <w:marLeft w:val="0"/>
      <w:marRight w:val="0"/>
      <w:marTop w:val="0"/>
      <w:marBottom w:val="0"/>
      <w:divBdr>
        <w:top w:val="none" w:sz="0" w:space="0" w:color="auto"/>
        <w:left w:val="none" w:sz="0" w:space="0" w:color="auto"/>
        <w:bottom w:val="none" w:sz="0" w:space="0" w:color="auto"/>
        <w:right w:val="none" w:sz="0" w:space="0" w:color="auto"/>
      </w:divBdr>
      <w:divsChild>
        <w:div w:id="1555772608">
          <w:marLeft w:val="0"/>
          <w:marRight w:val="0"/>
          <w:marTop w:val="0"/>
          <w:marBottom w:val="0"/>
          <w:divBdr>
            <w:top w:val="none" w:sz="0" w:space="0" w:color="auto"/>
            <w:left w:val="none" w:sz="0" w:space="0" w:color="auto"/>
            <w:bottom w:val="none" w:sz="0" w:space="0" w:color="auto"/>
            <w:right w:val="none" w:sz="0" w:space="0" w:color="auto"/>
          </w:divBdr>
        </w:div>
      </w:divsChild>
    </w:div>
    <w:div w:id="826898608">
      <w:bodyDiv w:val="1"/>
      <w:marLeft w:val="0"/>
      <w:marRight w:val="0"/>
      <w:marTop w:val="0"/>
      <w:marBottom w:val="0"/>
      <w:divBdr>
        <w:top w:val="none" w:sz="0" w:space="0" w:color="auto"/>
        <w:left w:val="none" w:sz="0" w:space="0" w:color="auto"/>
        <w:bottom w:val="none" w:sz="0" w:space="0" w:color="auto"/>
        <w:right w:val="none" w:sz="0" w:space="0" w:color="auto"/>
      </w:divBdr>
      <w:divsChild>
        <w:div w:id="1172138760">
          <w:marLeft w:val="0"/>
          <w:marRight w:val="0"/>
          <w:marTop w:val="0"/>
          <w:marBottom w:val="0"/>
          <w:divBdr>
            <w:top w:val="none" w:sz="0" w:space="0" w:color="auto"/>
            <w:left w:val="none" w:sz="0" w:space="0" w:color="auto"/>
            <w:bottom w:val="none" w:sz="0" w:space="0" w:color="auto"/>
            <w:right w:val="none" w:sz="0" w:space="0" w:color="auto"/>
          </w:divBdr>
        </w:div>
      </w:divsChild>
    </w:div>
    <w:div w:id="1021780947">
      <w:bodyDiv w:val="1"/>
      <w:marLeft w:val="0"/>
      <w:marRight w:val="0"/>
      <w:marTop w:val="0"/>
      <w:marBottom w:val="0"/>
      <w:divBdr>
        <w:top w:val="none" w:sz="0" w:space="0" w:color="auto"/>
        <w:left w:val="none" w:sz="0" w:space="0" w:color="auto"/>
        <w:bottom w:val="none" w:sz="0" w:space="0" w:color="auto"/>
        <w:right w:val="none" w:sz="0" w:space="0" w:color="auto"/>
      </w:divBdr>
    </w:div>
    <w:div w:id="1336766770">
      <w:bodyDiv w:val="1"/>
      <w:marLeft w:val="0"/>
      <w:marRight w:val="0"/>
      <w:marTop w:val="0"/>
      <w:marBottom w:val="0"/>
      <w:divBdr>
        <w:top w:val="none" w:sz="0" w:space="0" w:color="auto"/>
        <w:left w:val="none" w:sz="0" w:space="0" w:color="auto"/>
        <w:bottom w:val="none" w:sz="0" w:space="0" w:color="auto"/>
        <w:right w:val="none" w:sz="0" w:space="0" w:color="auto"/>
      </w:divBdr>
    </w:div>
    <w:div w:id="1725979133">
      <w:bodyDiv w:val="1"/>
      <w:marLeft w:val="0"/>
      <w:marRight w:val="0"/>
      <w:marTop w:val="0"/>
      <w:marBottom w:val="0"/>
      <w:divBdr>
        <w:top w:val="none" w:sz="0" w:space="0" w:color="auto"/>
        <w:left w:val="none" w:sz="0" w:space="0" w:color="auto"/>
        <w:bottom w:val="none" w:sz="0" w:space="0" w:color="auto"/>
        <w:right w:val="none" w:sz="0" w:space="0" w:color="auto"/>
      </w:divBdr>
    </w:div>
    <w:div w:id="18284006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1143</Words>
  <Characters>6292</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campos</dc:creator>
  <cp:keywords/>
  <cp:lastModifiedBy>ana campos</cp:lastModifiedBy>
  <cp:revision>3</cp:revision>
  <dcterms:created xsi:type="dcterms:W3CDTF">2026-01-09T13:43:00Z</dcterms:created>
  <dcterms:modified xsi:type="dcterms:W3CDTF">2026-01-09T13:48:00Z</dcterms:modified>
</cp:coreProperties>
</file>