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49411ADB" w14:textId="744B64C6" w:rsidR="00A32592" w:rsidRPr="00A32592" w:rsidRDefault="00A32592" w:rsidP="00A32592">
      <w:pPr>
        <w:pStyle w:val="NormalWeb"/>
        <w:shd w:val="clear" w:color="auto" w:fill="FFFFFF"/>
        <w:jc w:val="center"/>
        <w:rPr>
          <w:b/>
          <w:sz w:val="36"/>
          <w:szCs w:val="36"/>
        </w:rPr>
      </w:pPr>
      <w:r w:rsidRPr="00A32592">
        <w:rPr>
          <w:b/>
          <w:sz w:val="36"/>
          <w:szCs w:val="36"/>
        </w:rPr>
        <w:t xml:space="preserve">Confesiones falsas y procesos </w:t>
      </w:r>
      <w:proofErr w:type="spellStart"/>
      <w:r w:rsidRPr="00A32592">
        <w:rPr>
          <w:b/>
          <w:sz w:val="36"/>
          <w:szCs w:val="36"/>
        </w:rPr>
        <w:t>psicológicos</w:t>
      </w:r>
      <w:proofErr w:type="spellEnd"/>
      <w:r w:rsidRPr="00A32592">
        <w:rPr>
          <w:b/>
          <w:sz w:val="36"/>
          <w:szCs w:val="36"/>
        </w:rPr>
        <w:t xml:space="preserve">: un </w:t>
      </w:r>
      <w:proofErr w:type="spellStart"/>
      <w:r w:rsidRPr="00A32592">
        <w:rPr>
          <w:b/>
          <w:sz w:val="36"/>
          <w:szCs w:val="36"/>
        </w:rPr>
        <w:t>análisis</w:t>
      </w:r>
      <w:proofErr w:type="spellEnd"/>
      <w:r w:rsidRPr="00A32592">
        <w:rPr>
          <w:b/>
          <w:sz w:val="36"/>
          <w:szCs w:val="36"/>
        </w:rPr>
        <w:t xml:space="preserve"> desde la </w:t>
      </w:r>
      <w:proofErr w:type="spellStart"/>
      <w:r w:rsidRPr="00A32592">
        <w:rPr>
          <w:b/>
          <w:sz w:val="36"/>
          <w:szCs w:val="36"/>
        </w:rPr>
        <w:t>psicología</w:t>
      </w:r>
      <w:proofErr w:type="spellEnd"/>
      <w:r w:rsidRPr="00A32592">
        <w:rPr>
          <w:b/>
          <w:sz w:val="36"/>
          <w:szCs w:val="36"/>
        </w:rPr>
        <w:t xml:space="preserve"> </w:t>
      </w:r>
      <w:proofErr w:type="spellStart"/>
      <w:r w:rsidRPr="00A32592">
        <w:rPr>
          <w:b/>
          <w:sz w:val="36"/>
          <w:szCs w:val="36"/>
        </w:rPr>
        <w:t>jurídica</w:t>
      </w:r>
      <w:proofErr w:type="spellEnd"/>
      <w:r w:rsidRPr="00A32592">
        <w:rPr>
          <w:b/>
          <w:sz w:val="36"/>
          <w:szCs w:val="36"/>
        </w:rPr>
        <w:t xml:space="preserve"> y del testimonio.</w:t>
      </w:r>
    </w:p>
    <w:p w14:paraId="226343B6" w14:textId="61B03107" w:rsidR="00EF7929" w:rsidRPr="00EF7929" w:rsidRDefault="00EF7929" w:rsidP="00EF7929">
      <w:pPr>
        <w:jc w:val="center"/>
        <w:rPr>
          <w:rFonts w:ascii="Times New Roman" w:hAnsi="Times New Roman" w:cs="Times New Roman"/>
          <w:b/>
          <w:sz w:val="36"/>
          <w:szCs w:val="36"/>
        </w:rPr>
      </w:pPr>
    </w:p>
    <w:p w14:paraId="36AB0302" w14:textId="77777777" w:rsidR="00EF7929" w:rsidRDefault="00EF7929" w:rsidP="00EF7929">
      <w:pPr>
        <w:jc w:val="center"/>
        <w:rPr>
          <w:rFonts w:ascii="Times New Roman" w:hAnsi="Times New Roman" w:cs="Times New Roman"/>
          <w:b/>
          <w:sz w:val="40"/>
          <w:szCs w:val="40"/>
        </w:rPr>
      </w:pPr>
    </w:p>
    <w:p w14:paraId="599F40B6" w14:textId="6F907FFB"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Autor</w:t>
      </w:r>
      <w:r w:rsidR="00601C8F">
        <w:rPr>
          <w:rFonts w:ascii="Times New Roman" w:hAnsi="Times New Roman" w:cs="Times New Roman"/>
          <w:sz w:val="36"/>
          <w:szCs w:val="36"/>
        </w:rPr>
        <w:t>/</w:t>
      </w:r>
      <w:r>
        <w:rPr>
          <w:rFonts w:ascii="Times New Roman" w:hAnsi="Times New Roman" w:cs="Times New Roman"/>
          <w:sz w:val="36"/>
          <w:szCs w:val="36"/>
        </w:rPr>
        <w:t xml:space="preserve">a: </w:t>
      </w:r>
      <w:r w:rsidR="00A32592">
        <w:rPr>
          <w:rFonts w:ascii="Times New Roman" w:hAnsi="Times New Roman" w:cs="Times New Roman"/>
          <w:sz w:val="36"/>
          <w:szCs w:val="36"/>
        </w:rPr>
        <w:t>Marina Corral Vila</w:t>
      </w:r>
    </w:p>
    <w:p w14:paraId="4D826FEA" w14:textId="1204E467" w:rsidR="00EF7929" w:rsidRPr="00601C8F" w:rsidRDefault="00EF7929" w:rsidP="00EF7929">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Director</w:t>
      </w:r>
      <w:r w:rsidR="00601C8F" w:rsidRPr="00601C8F">
        <w:rPr>
          <w:rFonts w:ascii="Times New Roman" w:hAnsi="Times New Roman" w:cs="Times New Roman"/>
          <w:sz w:val="36"/>
          <w:szCs w:val="36"/>
          <w:lang w:val="en-US"/>
        </w:rPr>
        <w:t>/</w:t>
      </w:r>
      <w:r w:rsidRPr="00601C8F">
        <w:rPr>
          <w:rFonts w:ascii="Times New Roman" w:hAnsi="Times New Roman" w:cs="Times New Roman"/>
          <w:sz w:val="36"/>
          <w:szCs w:val="36"/>
          <w:lang w:val="en-US"/>
        </w:rPr>
        <w:t xml:space="preserve">a: </w:t>
      </w:r>
      <w:r w:rsidR="00A32592">
        <w:rPr>
          <w:rFonts w:ascii="Times New Roman" w:hAnsi="Times New Roman" w:cs="Times New Roman"/>
          <w:sz w:val="36"/>
          <w:szCs w:val="36"/>
          <w:lang w:val="en-US"/>
        </w:rPr>
        <w:t>Luis Gutiérrez Morante</w:t>
      </w:r>
    </w:p>
    <w:p w14:paraId="200C5022" w14:textId="77777777" w:rsidR="00EF7929" w:rsidRPr="00601C8F" w:rsidRDefault="00EF7929" w:rsidP="00EF7929">
      <w:pPr>
        <w:jc w:val="center"/>
        <w:rPr>
          <w:rFonts w:ascii="Times New Roman" w:hAnsi="Times New Roman" w:cs="Times New Roman"/>
          <w:sz w:val="36"/>
          <w:szCs w:val="36"/>
          <w:lang w:val="en-US"/>
        </w:rPr>
      </w:pPr>
    </w:p>
    <w:p w14:paraId="136ADFF4" w14:textId="77777777" w:rsidR="00EF7929" w:rsidRPr="00601C8F" w:rsidRDefault="00EF7929" w:rsidP="00EF7929">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Madrid</w:t>
      </w:r>
    </w:p>
    <w:p w14:paraId="061E3E94" w14:textId="6C97C0C7" w:rsidR="00EF7929" w:rsidRPr="00601C8F" w:rsidRDefault="00C758EE" w:rsidP="00EF7929">
      <w:pPr>
        <w:jc w:val="center"/>
        <w:rPr>
          <w:rFonts w:ascii="Times New Roman" w:hAnsi="Times New Roman" w:cs="Times New Roman"/>
          <w:sz w:val="36"/>
          <w:szCs w:val="36"/>
          <w:lang w:val="en-US"/>
        </w:rPr>
      </w:pPr>
      <w:r>
        <w:rPr>
          <w:rFonts w:ascii="Times New Roman" w:hAnsi="Times New Roman" w:cs="Times New Roman"/>
          <w:sz w:val="36"/>
          <w:szCs w:val="36"/>
          <w:lang w:val="en-US"/>
        </w:rPr>
        <w:t>202</w:t>
      </w:r>
      <w:r w:rsidR="0057361C">
        <w:rPr>
          <w:rFonts w:ascii="Times New Roman" w:hAnsi="Times New Roman" w:cs="Times New Roman"/>
          <w:sz w:val="36"/>
          <w:szCs w:val="36"/>
          <w:lang w:val="en-US"/>
        </w:rPr>
        <w:t>5</w:t>
      </w:r>
      <w:r w:rsidR="00EF7929" w:rsidRPr="00601C8F">
        <w:rPr>
          <w:rFonts w:ascii="Times New Roman" w:hAnsi="Times New Roman" w:cs="Times New Roman"/>
          <w:sz w:val="36"/>
          <w:szCs w:val="36"/>
          <w:lang w:val="en-US"/>
        </w:rPr>
        <w:t>/20</w:t>
      </w:r>
      <w:r w:rsidR="008D1C31">
        <w:rPr>
          <w:rFonts w:ascii="Times New Roman" w:hAnsi="Times New Roman" w:cs="Times New Roman"/>
          <w:sz w:val="36"/>
          <w:szCs w:val="36"/>
          <w:lang w:val="en-US"/>
        </w:rPr>
        <w:t>2</w:t>
      </w:r>
      <w:r w:rsidR="0057361C">
        <w:rPr>
          <w:rFonts w:ascii="Times New Roman" w:hAnsi="Times New Roman" w:cs="Times New Roman"/>
          <w:sz w:val="36"/>
          <w:szCs w:val="36"/>
          <w:lang w:val="en-US"/>
        </w:rPr>
        <w:t>6</w:t>
      </w:r>
    </w:p>
    <w:p w14:paraId="75EEF01A" w14:textId="63B1A542" w:rsidR="00A767E5" w:rsidRPr="00601C8F" w:rsidRDefault="00A767E5" w:rsidP="00DE5EB1">
      <w:pPr>
        <w:jc w:val="center"/>
        <w:rPr>
          <w:rFonts w:ascii="Times New Roman" w:hAnsi="Times New Roman" w:cs="Times New Roman"/>
          <w:b/>
          <w:sz w:val="28"/>
          <w:szCs w:val="28"/>
          <w:lang w:val="en-US"/>
        </w:rPr>
      </w:pPr>
    </w:p>
    <w:p w14:paraId="311DCBD0" w14:textId="27D9A23B" w:rsidR="00A767E5" w:rsidRDefault="00A767E5">
      <w:pPr>
        <w:rPr>
          <w:rFonts w:ascii="Times New Roman" w:hAnsi="Times New Roman" w:cs="Times New Roman"/>
          <w:b/>
          <w:sz w:val="28"/>
          <w:szCs w:val="28"/>
          <w:lang w:val="en-US"/>
        </w:rPr>
      </w:pPr>
    </w:p>
    <w:p w14:paraId="3FE0FEE2" w14:textId="77777777" w:rsidR="001A062E" w:rsidRDefault="001A062E">
      <w:pPr>
        <w:rPr>
          <w:rFonts w:ascii="Times New Roman" w:hAnsi="Times New Roman" w:cs="Times New Roman"/>
          <w:b/>
          <w:sz w:val="28"/>
          <w:szCs w:val="28"/>
          <w:lang w:val="en-US"/>
        </w:rPr>
      </w:pPr>
    </w:p>
    <w:p w14:paraId="662DA6B2" w14:textId="77777777" w:rsidR="001A062E" w:rsidRPr="00FB7FB8" w:rsidRDefault="001A062E" w:rsidP="00FB7FB8">
      <w:pPr>
        <w:pStyle w:val="NormalWeb"/>
        <w:spacing w:line="360" w:lineRule="auto"/>
        <w:jc w:val="both"/>
        <w:rPr>
          <w:highlight w:val="cyan"/>
        </w:rPr>
      </w:pPr>
      <w:r w:rsidRPr="00FB7FB8">
        <w:rPr>
          <w:b/>
          <w:bCs/>
          <w:highlight w:val="cyan"/>
        </w:rPr>
        <w:lastRenderedPageBreak/>
        <w:t xml:space="preserve">2. Contexto </w:t>
      </w:r>
      <w:proofErr w:type="spellStart"/>
      <w:r w:rsidRPr="00FB7FB8">
        <w:rPr>
          <w:b/>
          <w:bCs/>
          <w:highlight w:val="cyan"/>
        </w:rPr>
        <w:t>español</w:t>
      </w:r>
      <w:proofErr w:type="spellEnd"/>
      <w:r w:rsidRPr="00FB7FB8">
        <w:rPr>
          <w:b/>
          <w:bCs/>
          <w:highlight w:val="cyan"/>
        </w:rPr>
        <w:t xml:space="preserve">: marco normativo y </w:t>
      </w:r>
      <w:proofErr w:type="spellStart"/>
      <w:r w:rsidRPr="00FB7FB8">
        <w:rPr>
          <w:b/>
          <w:bCs/>
          <w:highlight w:val="cyan"/>
        </w:rPr>
        <w:t>garantías</w:t>
      </w:r>
      <w:proofErr w:type="spellEnd"/>
      <w:r w:rsidRPr="00FB7FB8">
        <w:rPr>
          <w:b/>
          <w:bCs/>
          <w:highlight w:val="cyan"/>
        </w:rPr>
        <w:t xml:space="preserve"> procesales </w:t>
      </w:r>
    </w:p>
    <w:p w14:paraId="53A16E68" w14:textId="54F37C88" w:rsidR="006654D8" w:rsidRPr="00FB7FB8" w:rsidRDefault="006654D8" w:rsidP="00FB7FB8">
      <w:pPr>
        <w:spacing w:before="100" w:beforeAutospacing="1" w:after="100" w:afterAutospacing="1" w:line="360" w:lineRule="auto"/>
        <w:jc w:val="both"/>
        <w:outlineLvl w:val="2"/>
        <w:rPr>
          <w:rFonts w:ascii="Times New Roman" w:eastAsia="Times New Roman" w:hAnsi="Times New Roman" w:cs="Times New Roman"/>
          <w:b/>
          <w:bCs/>
          <w:color w:val="000000"/>
          <w:sz w:val="24"/>
          <w:szCs w:val="24"/>
          <w:lang w:eastAsia="es-ES_tradnl"/>
        </w:rPr>
      </w:pPr>
      <w:r w:rsidRPr="00FB7FB8">
        <w:rPr>
          <w:rFonts w:ascii="Times New Roman" w:eastAsia="Times New Roman" w:hAnsi="Times New Roman" w:cs="Times New Roman"/>
          <w:b/>
          <w:bCs/>
          <w:color w:val="000000"/>
          <w:sz w:val="24"/>
          <w:szCs w:val="24"/>
          <w:lang w:eastAsia="es-ES_tradnl"/>
        </w:rPr>
        <w:t xml:space="preserve">2.1. Garantías constitucionales en la detención y el </w:t>
      </w:r>
      <w:r w:rsidR="00D81CC8" w:rsidRPr="00FB7FB8">
        <w:rPr>
          <w:rFonts w:ascii="Times New Roman" w:eastAsia="Times New Roman" w:hAnsi="Times New Roman" w:cs="Times New Roman"/>
          <w:b/>
          <w:bCs/>
          <w:color w:val="000000"/>
          <w:sz w:val="24"/>
          <w:szCs w:val="24"/>
          <w:lang w:eastAsia="es-ES_tradnl"/>
        </w:rPr>
        <w:t>interrogatorio</w:t>
      </w:r>
    </w:p>
    <w:p w14:paraId="40BD143A" w14:textId="07E4E56A" w:rsidR="00FB7FB8" w:rsidRDefault="006654D8" w:rsidP="00FB7FB8">
      <w:pPr>
        <w:pStyle w:val="NormalWeb"/>
        <w:spacing w:line="360" w:lineRule="auto"/>
        <w:jc w:val="both"/>
        <w:rPr>
          <w:color w:val="000000"/>
        </w:rPr>
      </w:pPr>
      <w:r w:rsidRPr="00FB7FB8">
        <w:rPr>
          <w:color w:val="000000"/>
        </w:rPr>
        <w:t>En España, la</w:t>
      </w:r>
      <w:r w:rsidRPr="00FB7FB8">
        <w:rPr>
          <w:rStyle w:val="apple-converted-space"/>
          <w:rFonts w:eastAsiaTheme="majorEastAsia"/>
          <w:color w:val="000000"/>
        </w:rPr>
        <w:t> </w:t>
      </w:r>
      <w:r w:rsidRPr="00FB7FB8">
        <w:rPr>
          <w:rStyle w:val="Textoennegrita"/>
          <w:rFonts w:eastAsiaTheme="majorEastAsia"/>
          <w:b w:val="0"/>
          <w:bCs w:val="0"/>
          <w:color w:val="000000"/>
        </w:rPr>
        <w:t>Constitución Española</w:t>
      </w:r>
      <w:r w:rsidRPr="00FB7FB8">
        <w:rPr>
          <w:color w:val="000000"/>
        </w:rPr>
        <w:t>, especialmente los artículos</w:t>
      </w:r>
      <w:r w:rsidRPr="00FB7FB8">
        <w:rPr>
          <w:rStyle w:val="apple-converted-space"/>
          <w:rFonts w:eastAsiaTheme="majorEastAsia"/>
          <w:color w:val="000000"/>
        </w:rPr>
        <w:t> </w:t>
      </w:r>
      <w:r w:rsidRPr="00FB7FB8">
        <w:rPr>
          <w:rStyle w:val="Textoennegrita"/>
          <w:rFonts w:eastAsiaTheme="majorEastAsia"/>
          <w:b w:val="0"/>
          <w:bCs w:val="0"/>
          <w:color w:val="000000"/>
        </w:rPr>
        <w:t>17</w:t>
      </w:r>
      <w:r w:rsidRPr="00FB7FB8">
        <w:rPr>
          <w:rStyle w:val="apple-converted-space"/>
          <w:rFonts w:eastAsiaTheme="majorEastAsia"/>
          <w:color w:val="000000"/>
        </w:rPr>
        <w:t> </w:t>
      </w:r>
      <w:r w:rsidRPr="00FB7FB8">
        <w:rPr>
          <w:color w:val="000000"/>
        </w:rPr>
        <w:t>y</w:t>
      </w:r>
      <w:r w:rsidRPr="00FB7FB8">
        <w:rPr>
          <w:rStyle w:val="apple-converted-space"/>
          <w:rFonts w:eastAsiaTheme="majorEastAsia"/>
          <w:color w:val="000000"/>
        </w:rPr>
        <w:t> </w:t>
      </w:r>
      <w:r w:rsidRPr="00FB7FB8">
        <w:rPr>
          <w:rStyle w:val="Textoennegrita"/>
          <w:rFonts w:eastAsiaTheme="majorEastAsia"/>
          <w:b w:val="0"/>
          <w:bCs w:val="0"/>
          <w:color w:val="000000"/>
        </w:rPr>
        <w:t>24</w:t>
      </w:r>
      <w:r w:rsidRPr="00FB7FB8">
        <w:rPr>
          <w:color w:val="000000"/>
        </w:rPr>
        <w:t xml:space="preserve">, recogen las garantías básicas </w:t>
      </w:r>
      <w:r w:rsidR="000546EA">
        <w:rPr>
          <w:color w:val="000000"/>
        </w:rPr>
        <w:t xml:space="preserve">para las personas </w:t>
      </w:r>
      <w:r w:rsidRPr="00FB7FB8">
        <w:rPr>
          <w:color w:val="000000"/>
        </w:rPr>
        <w:t>detenida</w:t>
      </w:r>
      <w:r w:rsidR="000546EA">
        <w:rPr>
          <w:color w:val="000000"/>
        </w:rPr>
        <w:t>s</w:t>
      </w:r>
      <w:r w:rsidRPr="00FB7FB8">
        <w:rPr>
          <w:color w:val="000000"/>
        </w:rPr>
        <w:t xml:space="preserve"> o investigada</w:t>
      </w:r>
      <w:r w:rsidR="000546EA">
        <w:rPr>
          <w:color w:val="000000"/>
        </w:rPr>
        <w:t>s</w:t>
      </w:r>
      <w:r w:rsidRPr="00FB7FB8">
        <w:rPr>
          <w:color w:val="000000"/>
        </w:rPr>
        <w:t xml:space="preserve">.  </w:t>
      </w:r>
    </w:p>
    <w:p w14:paraId="7A814BCA" w14:textId="20704E7A" w:rsidR="00FB7FB8" w:rsidRDefault="006654D8" w:rsidP="00FB7FB8">
      <w:pPr>
        <w:pStyle w:val="NormalWeb"/>
        <w:spacing w:line="360" w:lineRule="auto"/>
        <w:jc w:val="both"/>
        <w:rPr>
          <w:color w:val="000000"/>
        </w:rPr>
      </w:pPr>
      <w:r w:rsidRPr="00FB7FB8">
        <w:rPr>
          <w:color w:val="000000"/>
        </w:rPr>
        <w:t>El</w:t>
      </w:r>
      <w:r w:rsidRPr="00FB7FB8">
        <w:rPr>
          <w:rStyle w:val="apple-converted-space"/>
          <w:rFonts w:eastAsiaTheme="majorEastAsia"/>
          <w:color w:val="000000"/>
        </w:rPr>
        <w:t> </w:t>
      </w:r>
      <w:r w:rsidRPr="00FB7FB8">
        <w:rPr>
          <w:rStyle w:val="Textoennegrita"/>
          <w:rFonts w:eastAsiaTheme="majorEastAsia"/>
          <w:b w:val="0"/>
          <w:bCs w:val="0"/>
          <w:color w:val="000000" w:themeColor="text1"/>
        </w:rPr>
        <w:t>artículo 17</w:t>
      </w:r>
      <w:r w:rsidRPr="00FB7FB8">
        <w:rPr>
          <w:rStyle w:val="apple-converted-space"/>
          <w:rFonts w:eastAsiaTheme="majorEastAsia"/>
          <w:color w:val="000000" w:themeColor="text1"/>
        </w:rPr>
        <w:t> </w:t>
      </w:r>
      <w:r w:rsidRPr="00FB7FB8">
        <w:rPr>
          <w:color w:val="000000"/>
        </w:rPr>
        <w:t xml:space="preserve">reconoce el derecho a la libertad y a la seguridad, y establece que nadie puede ser privado de su libertad si no es en los casos previstos por la ley. Esto es importante en el contexto del interrogatorio, ya que limita el uso de la detención policial y evita que una persona pueda permanecer privada de libertad de forma indefinida. La Constitución fija </w:t>
      </w:r>
      <w:r w:rsidR="000546EA">
        <w:rPr>
          <w:color w:val="000000"/>
        </w:rPr>
        <w:t>el</w:t>
      </w:r>
      <w:r w:rsidRPr="00FB7FB8">
        <w:rPr>
          <w:color w:val="000000"/>
        </w:rPr>
        <w:t xml:space="preserve"> límite </w:t>
      </w:r>
      <w:r w:rsidR="000546EA">
        <w:rPr>
          <w:color w:val="000000"/>
        </w:rPr>
        <w:t>en</w:t>
      </w:r>
      <w:r w:rsidRPr="00FB7FB8">
        <w:rPr>
          <w:rStyle w:val="apple-converted-space"/>
          <w:rFonts w:eastAsiaTheme="majorEastAsia"/>
          <w:color w:val="000000"/>
        </w:rPr>
        <w:t> </w:t>
      </w:r>
      <w:r w:rsidR="000546EA">
        <w:rPr>
          <w:rStyle w:val="Textoennegrita"/>
          <w:rFonts w:eastAsiaTheme="majorEastAsia"/>
          <w:b w:val="0"/>
          <w:bCs w:val="0"/>
          <w:color w:val="000000"/>
        </w:rPr>
        <w:t>setenta y dos</w:t>
      </w:r>
      <w:r w:rsidRPr="00FB7FB8">
        <w:rPr>
          <w:rStyle w:val="Textoennegrita"/>
          <w:rFonts w:eastAsiaTheme="majorEastAsia"/>
          <w:b w:val="0"/>
          <w:bCs w:val="0"/>
          <w:color w:val="000000"/>
        </w:rPr>
        <w:t xml:space="preserve"> horas</w:t>
      </w:r>
      <w:r w:rsidRPr="00FB7FB8">
        <w:rPr>
          <w:rStyle w:val="apple-converted-space"/>
          <w:rFonts w:eastAsiaTheme="majorEastAsia"/>
          <w:color w:val="000000"/>
        </w:rPr>
        <w:t> </w:t>
      </w:r>
      <w:r w:rsidRPr="00FB7FB8">
        <w:rPr>
          <w:color w:val="000000"/>
        </w:rPr>
        <w:t>para la detención preventiva, tras este tiempo, la persona detenida debe ser puesta en libertad o pasar a disposición judicial (Constitución Española, art. 17). Este mismo artículo recoge también que la persona detenida debe ser informada de forma inmediata y comprensible tanto de los motivos de su detención como de sus derechos. Entre estos, destacan el</w:t>
      </w:r>
      <w:r w:rsidRPr="00FB7FB8">
        <w:rPr>
          <w:rStyle w:val="apple-converted-space"/>
          <w:rFonts w:eastAsiaTheme="majorEastAsia"/>
          <w:color w:val="000000"/>
        </w:rPr>
        <w:t> </w:t>
      </w:r>
      <w:r w:rsidRPr="00FB7FB8">
        <w:rPr>
          <w:rStyle w:val="Textoennegrita"/>
          <w:rFonts w:eastAsiaTheme="majorEastAsia"/>
          <w:b w:val="0"/>
          <w:bCs w:val="0"/>
          <w:color w:val="000000"/>
        </w:rPr>
        <w:t>derecho a no declarar</w:t>
      </w:r>
      <w:r w:rsidRPr="00FB7FB8">
        <w:rPr>
          <w:color w:val="000000"/>
        </w:rPr>
        <w:t>, así como el derecho a contar con</w:t>
      </w:r>
      <w:r w:rsidRPr="00FB7FB8">
        <w:rPr>
          <w:rStyle w:val="apple-converted-space"/>
          <w:rFonts w:eastAsiaTheme="majorEastAsia"/>
          <w:color w:val="000000"/>
        </w:rPr>
        <w:t> </w:t>
      </w:r>
      <w:r w:rsidRPr="00FB7FB8">
        <w:rPr>
          <w:rStyle w:val="Textoennegrita"/>
          <w:rFonts w:eastAsiaTheme="majorEastAsia"/>
          <w:b w:val="0"/>
          <w:bCs w:val="0"/>
          <w:color w:val="000000"/>
        </w:rPr>
        <w:t>asistencia</w:t>
      </w:r>
      <w:r w:rsidRPr="00FB7FB8">
        <w:rPr>
          <w:rStyle w:val="Textoennegrita"/>
          <w:rFonts w:eastAsiaTheme="majorEastAsia"/>
          <w:color w:val="000000"/>
        </w:rPr>
        <w:t xml:space="preserve"> </w:t>
      </w:r>
      <w:r w:rsidRPr="00FB7FB8">
        <w:t>letrada </w:t>
      </w:r>
      <w:r w:rsidRPr="00FB7FB8">
        <w:rPr>
          <w:color w:val="000000"/>
        </w:rPr>
        <w:t>durante las diligencias policiales y judiciales. Estas garantías son especialmente relevantes para evitar presiones durante el interrogatorio y para asegurar que cualquier declaración se realice con conocimiento de los propios derechos (Constitución Española, art. 17). Además, el artículo 17 introduce el procedimiento de</w:t>
      </w:r>
      <w:r w:rsidRPr="00FB7FB8">
        <w:t> habeas corpus</w:t>
      </w:r>
      <w:r w:rsidRPr="00FB7FB8">
        <w:rPr>
          <w:color w:val="000000"/>
        </w:rPr>
        <w:t xml:space="preserve">, que permite controlar judicialmente las detenciones ilegales. </w:t>
      </w:r>
    </w:p>
    <w:p w14:paraId="73156219" w14:textId="30BDC026" w:rsidR="006654D8" w:rsidRPr="00FB7FB8" w:rsidRDefault="006654D8" w:rsidP="00FB7FB8">
      <w:pPr>
        <w:pStyle w:val="NormalWeb"/>
        <w:spacing w:line="360" w:lineRule="auto"/>
        <w:jc w:val="both"/>
        <w:rPr>
          <w:color w:val="000000"/>
        </w:rPr>
      </w:pPr>
      <w:r w:rsidRPr="00FB7FB8">
        <w:rPr>
          <w:color w:val="000000"/>
        </w:rPr>
        <w:t>Por otro lado, el</w:t>
      </w:r>
      <w:r w:rsidRPr="00FB7FB8">
        <w:t> </w:t>
      </w:r>
      <w:r w:rsidRPr="00FB7FB8">
        <w:rPr>
          <w:color w:val="000000" w:themeColor="text1"/>
        </w:rPr>
        <w:t xml:space="preserve">artículo 24 de la Constitución </w:t>
      </w:r>
      <w:r w:rsidRPr="00FB7FB8">
        <w:rPr>
          <w:color w:val="000000"/>
        </w:rPr>
        <w:t>refuerza la protección de los derechos de la persona dentro del proceso penal. Este precepto reconoce el derecho a la</w:t>
      </w:r>
      <w:r w:rsidRPr="00FB7FB8">
        <w:t> tutela judicial efectiva</w:t>
      </w:r>
      <w:r w:rsidRPr="00FB7FB8">
        <w:rPr>
          <w:color w:val="000000"/>
        </w:rPr>
        <w:t>, es decir, a poder defender los propios derechos ante los tribunales sin que se produzca indefensión. También recoge derechos como la</w:t>
      </w:r>
      <w:r w:rsidRPr="00FB7FB8">
        <w:t> asistencia de abogado</w:t>
      </w:r>
      <w:r w:rsidRPr="00FB7FB8">
        <w:rPr>
          <w:color w:val="000000"/>
        </w:rPr>
        <w:t>, a ser informado de la acusación y a un proceso con todas las garantías. En relación con el interrogatorio y la confesión, resulta relevante el derecho a</w:t>
      </w:r>
      <w:r w:rsidRPr="00FB7FB8">
        <w:t> no declarar contra uno mismo </w:t>
      </w:r>
      <w:r w:rsidRPr="00FB7FB8">
        <w:rPr>
          <w:color w:val="000000"/>
        </w:rPr>
        <w:t>y a</w:t>
      </w:r>
      <w:r w:rsidRPr="00FB7FB8">
        <w:t> no confesarse culpable</w:t>
      </w:r>
      <w:r w:rsidRPr="00FB7FB8">
        <w:rPr>
          <w:color w:val="000000"/>
        </w:rPr>
        <w:t>, junto con el principio de</w:t>
      </w:r>
      <w:r w:rsidRPr="00FB7FB8">
        <w:t> presunción de inocencia</w:t>
      </w:r>
      <w:r w:rsidRPr="00FB7FB8">
        <w:rPr>
          <w:color w:val="000000"/>
        </w:rPr>
        <w:t xml:space="preserve"> (Constitución Española, art. 24).</w:t>
      </w:r>
    </w:p>
    <w:p w14:paraId="16613C84" w14:textId="77777777" w:rsidR="006654D8" w:rsidRPr="00FB7FB8" w:rsidRDefault="006654D8" w:rsidP="00FB7FB8">
      <w:pPr>
        <w:spacing w:before="100" w:beforeAutospacing="1" w:after="100" w:afterAutospacing="1" w:line="360" w:lineRule="auto"/>
        <w:jc w:val="both"/>
        <w:outlineLvl w:val="2"/>
        <w:rPr>
          <w:rFonts w:ascii="Times New Roman" w:eastAsia="Times New Roman" w:hAnsi="Times New Roman" w:cs="Times New Roman"/>
          <w:b/>
          <w:bCs/>
          <w:color w:val="000000"/>
          <w:sz w:val="24"/>
          <w:szCs w:val="24"/>
          <w:lang w:eastAsia="es-ES_tradnl"/>
        </w:rPr>
      </w:pPr>
      <w:r w:rsidRPr="00FB7FB8">
        <w:rPr>
          <w:rFonts w:ascii="Times New Roman" w:eastAsia="Times New Roman" w:hAnsi="Times New Roman" w:cs="Times New Roman"/>
          <w:b/>
          <w:bCs/>
          <w:color w:val="000000"/>
          <w:sz w:val="24"/>
          <w:szCs w:val="24"/>
          <w:lang w:eastAsia="es-ES_tradnl"/>
        </w:rPr>
        <w:t>2.2. Derechos de la persona detenida y de la persona investigada en la Ley de Enjuiciamiento Criminal</w:t>
      </w:r>
    </w:p>
    <w:p w14:paraId="2B5B48EE" w14:textId="21A1AD0C" w:rsidR="006654D8" w:rsidRPr="00FB7FB8" w:rsidRDefault="006654D8" w:rsidP="00FB7FB8">
      <w:pPr>
        <w:pStyle w:val="NormalWeb"/>
        <w:spacing w:line="360" w:lineRule="auto"/>
        <w:jc w:val="both"/>
        <w:rPr>
          <w:color w:val="000000"/>
        </w:rPr>
      </w:pPr>
      <w:r w:rsidRPr="00FB7FB8">
        <w:rPr>
          <w:color w:val="000000"/>
        </w:rPr>
        <w:lastRenderedPageBreak/>
        <w:t xml:space="preserve">En el ámbito de la Ley de Enjuiciamiento Criminal es importante distinguir entre los derechos que asisten a la persona detenida y </w:t>
      </w:r>
      <w:r w:rsidR="000546EA">
        <w:rPr>
          <w:color w:val="000000"/>
        </w:rPr>
        <w:t>los</w:t>
      </w:r>
      <w:r w:rsidRPr="00FB7FB8">
        <w:rPr>
          <w:color w:val="000000"/>
        </w:rPr>
        <w:t xml:space="preserve"> que corresponden a la persona investigada. En este sentido, el artículo 520 regula específicamente los derechos de la persona detenida durante la detención policial, mientras que el artículo 118 se refiere al derecho de defensa de la persona investigada.</w:t>
      </w:r>
    </w:p>
    <w:p w14:paraId="6809960B" w14:textId="14D787BF" w:rsidR="006654D8" w:rsidRPr="00FB7FB8" w:rsidRDefault="006654D8" w:rsidP="00FB7FB8">
      <w:pPr>
        <w:pStyle w:val="NormalWeb"/>
        <w:spacing w:line="360" w:lineRule="auto"/>
        <w:jc w:val="both"/>
        <w:rPr>
          <w:color w:val="000000"/>
        </w:rPr>
      </w:pPr>
      <w:r w:rsidRPr="00FB7FB8">
        <w:rPr>
          <w:color w:val="000000"/>
        </w:rPr>
        <w:t xml:space="preserve">El artículo 520 de la Ley de Enjuiciamiento Criminal regula los derechos de la persona detenida durante la detención policial y actúa como una de las principales garantías frente a posibles abusos en </w:t>
      </w:r>
      <w:r w:rsidR="000546EA">
        <w:rPr>
          <w:color w:val="000000"/>
        </w:rPr>
        <w:t>la</w:t>
      </w:r>
      <w:r w:rsidRPr="00FB7FB8">
        <w:rPr>
          <w:color w:val="000000"/>
        </w:rPr>
        <w:t xml:space="preserve"> fase inicial del procedimiento. En primer lugar, señala que la detención debe realizarse causando el menor perjuicio posible y establece un límite máximo de setenta y dos horas, tras el cual la persona detenida debe ser puesta en libertad o pasar a disposición judicial. Además,</w:t>
      </w:r>
      <w:r w:rsidRPr="00FB7FB8">
        <w:t> establece la obligación </w:t>
      </w:r>
      <w:r w:rsidRPr="00FB7FB8">
        <w:rPr>
          <w:color w:val="000000"/>
        </w:rPr>
        <w:t xml:space="preserve">de informar al detenido de manera inmediata y comprensible de los hechos que se le atribuyen y de los derechos que le asisten, entre los que destacan el derecho a guardar silencio, a no declarar contra sí mismo y a no confesarse culpable. </w:t>
      </w:r>
      <w:r w:rsidR="000546EA">
        <w:rPr>
          <w:color w:val="000000"/>
        </w:rPr>
        <w:t xml:space="preserve">Además, </w:t>
      </w:r>
      <w:r w:rsidRPr="00FB7FB8">
        <w:rPr>
          <w:color w:val="000000"/>
        </w:rPr>
        <w:t>reconoce el derecho a la asistencia letrada desde el inicio de la detención, incluyendo la posibilidad de entrevistarse</w:t>
      </w:r>
      <w:r w:rsidRPr="00FB7FB8">
        <w:t> en privado </w:t>
      </w:r>
      <w:r w:rsidRPr="00FB7FB8">
        <w:rPr>
          <w:color w:val="000000"/>
        </w:rPr>
        <w:t xml:space="preserve">con </w:t>
      </w:r>
      <w:r w:rsidR="000546EA">
        <w:rPr>
          <w:color w:val="000000"/>
        </w:rPr>
        <w:t>un</w:t>
      </w:r>
      <w:r w:rsidRPr="00FB7FB8">
        <w:rPr>
          <w:color w:val="000000"/>
        </w:rPr>
        <w:t xml:space="preserve"> abogado antes de prestar declaración, así como el acceso a los elementos esenciales de las actuaciones</w:t>
      </w:r>
      <w:r w:rsidRPr="00FB7FB8">
        <w:t> para poder cuestionar la legalidad </w:t>
      </w:r>
      <w:r w:rsidRPr="00FB7FB8">
        <w:rPr>
          <w:color w:val="000000"/>
        </w:rPr>
        <w:t xml:space="preserve">de la detención. Además de estos derechos directamente vinculados a la declaración, el artículo 520 de la Ley de Enjuiciamiento Criminal contempla otros derechos, como la asistencia de intérprete, reconocimiento médico o la comunicación con familiares o autoridades consulares, así como una protección reforzada en el caso de menores y personas especialmente vulnerables. </w:t>
      </w:r>
      <w:r w:rsidR="000546EA">
        <w:rPr>
          <w:color w:val="000000"/>
        </w:rPr>
        <w:t xml:space="preserve">Todas </w:t>
      </w:r>
      <w:r w:rsidRPr="00FB7FB8">
        <w:rPr>
          <w:color w:val="000000"/>
        </w:rPr>
        <w:t>estas garantías tienen como finalidad reducir situaciones de indefensión y evitar que se obtengan declaraciones o confesiones bajo presión durante la fase policial (Ley de Enjuiciamiento Criminal, art. 520).</w:t>
      </w:r>
    </w:p>
    <w:p w14:paraId="52CE1E0E" w14:textId="77777777" w:rsidR="006654D8" w:rsidRPr="00FB7FB8" w:rsidRDefault="006654D8" w:rsidP="00FB7FB8">
      <w:pPr>
        <w:pStyle w:val="NormalWeb"/>
        <w:spacing w:line="360" w:lineRule="auto"/>
        <w:jc w:val="both"/>
        <w:rPr>
          <w:color w:val="000000"/>
        </w:rPr>
      </w:pPr>
      <w:r w:rsidRPr="00FB7FB8">
        <w:rPr>
          <w:color w:val="000000"/>
        </w:rPr>
        <w:t xml:space="preserve">El artículo 118 de la Ley de Enjuiciamiento Criminal regula el derecho de defensa de la persona investigada y amplía las garantías que ya existen durante la detención, asegurando su protección desde el momento en que se le atribuye un hecho punible. Este artículo indica que el investigado debe ser informado de forma clara y comprensible de los hechos que se le imputan, de cualquier cambio relevante que pueda producirse en la investigación y de los derechos que le asisten antes de prestar declaración. Entre estos derechos se encuentran el derecho a guardar silencio, a no declarar contra sí mismo y a no confesarse culpable, aspectos que resultan especialmente importantes en el contexto </w:t>
      </w:r>
      <w:r w:rsidRPr="00FB7FB8">
        <w:rPr>
          <w:color w:val="000000"/>
        </w:rPr>
        <w:lastRenderedPageBreak/>
        <w:t>del interrogatorio. Además, el artículo 118 reconoce el derecho a la asistencia letrada desde las primeras actuaciones, permitiendo al investigado comunicarse y reunirse en privado con su abogado incluso antes de declarar ante la policía, el Ministerio Fiscal o la autoridad judicial, así como contar con su presencia en las declaraciones y diligencias relevantes. También se garantiza la confidencialidad de las comunicaciones entre el investigado y su abogado, lo que refuerza la protección del derecho de defensa y contribuye a evitar situaciones de indefensión. En definitiva, este artículo establece un conjunto de garantías destinadas a que la participación del investigado en el proceso penal y sus declaraciones se produzcan con respeto al derecho de defensa y sin presiones indebidas (Ley de Enjuiciamiento Criminal, art. 118).</w:t>
      </w:r>
    </w:p>
    <w:p w14:paraId="4863D4CE" w14:textId="77777777" w:rsidR="006654D8" w:rsidRPr="00FB7FB8" w:rsidRDefault="006654D8" w:rsidP="00FB7FB8">
      <w:pPr>
        <w:pStyle w:val="NormalWeb"/>
        <w:spacing w:line="360" w:lineRule="auto"/>
        <w:jc w:val="both"/>
        <w:rPr>
          <w:b/>
          <w:bCs/>
          <w:color w:val="000000"/>
        </w:rPr>
      </w:pPr>
      <w:r w:rsidRPr="00FB7FB8">
        <w:rPr>
          <w:b/>
          <w:bCs/>
          <w:color w:val="000000"/>
        </w:rPr>
        <w:t>2.3. Mecanismos institucionales de supervisión y prevención</w:t>
      </w:r>
    </w:p>
    <w:p w14:paraId="38E7B4E2" w14:textId="45B11834" w:rsidR="006654D8" w:rsidRPr="00FB7FB8" w:rsidRDefault="006654D8" w:rsidP="00FB7FB8">
      <w:pPr>
        <w:pStyle w:val="NormalWeb"/>
        <w:spacing w:line="360" w:lineRule="auto"/>
        <w:jc w:val="both"/>
        <w:rPr>
          <w:color w:val="000000" w:themeColor="text1"/>
        </w:rPr>
      </w:pPr>
      <w:r w:rsidRPr="00FB7FB8">
        <w:rPr>
          <w:color w:val="000000" w:themeColor="text1"/>
        </w:rPr>
        <w:t xml:space="preserve">Además del marco normativo previsto en la Constitución y en la Ley de Enjuiciamiento Criminal, existen informes y sugerencias institucionales que buscan reforzar las garantías durante la detención policial. En este sentido, el Defensor del Pueblo, en su función como Mecanismo Nacional de Prevención de la Tortura (MNP), ha emitido diversas recomendaciones tras visitas a dependencias policiales. Un ejemplo </w:t>
      </w:r>
      <w:r w:rsidR="000546EA">
        <w:rPr>
          <w:color w:val="000000" w:themeColor="text1"/>
        </w:rPr>
        <w:t>es</w:t>
      </w:r>
      <w:r w:rsidRPr="00FB7FB8">
        <w:rPr>
          <w:color w:val="000000" w:themeColor="text1"/>
        </w:rPr>
        <w:t xml:space="preserve"> la necesidad de ampliar los sistemas de videovigilancia y videograbación a todas las zonas en las que puedan permanecer personas privadas de libertad, con excepción de los aseos y las salas de entrevista con abogados. Estas sugerencias tienen como finalidad aumentar la transparencia, prevenir posibles malos tratos y mejorar el control de las condiciones de custodia (Defensor del Pueblo, 2018).</w:t>
      </w:r>
    </w:p>
    <w:p w14:paraId="2C1317F9" w14:textId="77777777" w:rsidR="006654D8" w:rsidRPr="00FB7FB8" w:rsidRDefault="006654D8" w:rsidP="00FB7FB8">
      <w:pPr>
        <w:pStyle w:val="NormalWeb"/>
        <w:spacing w:line="360" w:lineRule="auto"/>
        <w:jc w:val="both"/>
        <w:rPr>
          <w:b/>
          <w:bCs/>
          <w:color w:val="000000" w:themeColor="text1"/>
        </w:rPr>
      </w:pPr>
      <w:r w:rsidRPr="00FB7FB8">
        <w:rPr>
          <w:b/>
          <w:bCs/>
          <w:color w:val="000000" w:themeColor="text1"/>
        </w:rPr>
        <w:t>2.4. Protocolos policiales e instrucciones internas</w:t>
      </w:r>
    </w:p>
    <w:p w14:paraId="738B6513" w14:textId="6491F9C9" w:rsidR="006654D8" w:rsidRPr="00FB7FB8" w:rsidRDefault="00B72D93" w:rsidP="00FB7FB8">
      <w:pPr>
        <w:pStyle w:val="NormalWeb"/>
        <w:spacing w:line="360" w:lineRule="auto"/>
        <w:jc w:val="both"/>
        <w:rPr>
          <w:color w:val="000000" w:themeColor="text1"/>
        </w:rPr>
      </w:pPr>
      <w:r>
        <w:rPr>
          <w:color w:val="000000" w:themeColor="text1"/>
        </w:rPr>
        <w:t>L</w:t>
      </w:r>
      <w:r w:rsidR="006654D8" w:rsidRPr="00FB7FB8">
        <w:rPr>
          <w:color w:val="000000" w:themeColor="text1"/>
        </w:rPr>
        <w:t>as instrucciones internas del Ministerio del Interior sirven para concretar cómo deben aplicarse en la práctica las garantías durante la detención y la custodia policial. En este sentido, la Instrucción 11/2015 aborda aspectos relacionados con el diseño y funcionamiento de las áreas de detención, dando importancia a la videovigilancia de los calabozos y al control del entorno físico como medidas destinadas a prevenir situaciones de riesgo durante la custodia. Esta instrucción contribuye a reforzar el control y la supervisión de la actuación policial en espacios donde las personas permanecen privadas de libertad (Ministerio del Interior, 2015).</w:t>
      </w:r>
    </w:p>
    <w:p w14:paraId="4AFC4C9A" w14:textId="6F95162A" w:rsidR="001A062E" w:rsidRPr="00FB7FB8" w:rsidRDefault="006654D8" w:rsidP="00FB7FB8">
      <w:pPr>
        <w:pStyle w:val="NormalWeb"/>
        <w:spacing w:line="360" w:lineRule="auto"/>
        <w:jc w:val="both"/>
        <w:rPr>
          <w:color w:val="000000" w:themeColor="text1"/>
        </w:rPr>
      </w:pPr>
      <w:r w:rsidRPr="00FB7FB8">
        <w:rPr>
          <w:color w:val="000000" w:themeColor="text1"/>
        </w:rPr>
        <w:lastRenderedPageBreak/>
        <w:t xml:space="preserve">Por su parte, la Instrucción 1/2024 de la Secretaría de Estado de Seguridad establece un procedimiento actualizado de la detención policial. Esta tiene especial interés en relación con </w:t>
      </w:r>
      <w:r w:rsidR="0097126E" w:rsidRPr="00FB7FB8">
        <w:rPr>
          <w:color w:val="000000" w:themeColor="text1"/>
        </w:rPr>
        <w:t>las confesiones</w:t>
      </w:r>
      <w:r w:rsidR="0097126E">
        <w:rPr>
          <w:color w:val="000000" w:themeColor="text1"/>
        </w:rPr>
        <w:t xml:space="preserve"> y</w:t>
      </w:r>
      <w:r w:rsidR="0097126E" w:rsidRPr="00FB7FB8">
        <w:rPr>
          <w:color w:val="000000" w:themeColor="text1"/>
        </w:rPr>
        <w:t xml:space="preserve"> </w:t>
      </w:r>
      <w:r w:rsidRPr="00FB7FB8">
        <w:rPr>
          <w:color w:val="000000" w:themeColor="text1"/>
        </w:rPr>
        <w:t>los interrogatorios al insistir en la necesidad y proporcionalidad de la detención, promover el uso de alternativas como la figura del investigado no detenido y reforzar la obligación de informar de los derechos en un lenguaje claro y comprensible, con especial atención a las personas más vulnerables.</w:t>
      </w:r>
      <w:r w:rsidR="0097126E">
        <w:rPr>
          <w:color w:val="000000" w:themeColor="text1"/>
        </w:rPr>
        <w:t xml:space="preserve"> E</w:t>
      </w:r>
      <w:r w:rsidRPr="00FB7FB8">
        <w:rPr>
          <w:color w:val="000000" w:themeColor="text1"/>
        </w:rPr>
        <w:t>stas medidas buscan reducir la presión derivada de la privación de libertad y mejorar el control de la custodia, lo que puede contribuir a disminuir el riesgo de declaraciones o confesiones obtenidas en contextos coercitivos (Ministerio del Interior, 2024).</w:t>
      </w:r>
    </w:p>
    <w:p w14:paraId="4CB63497" w14:textId="77777777" w:rsidR="00FB7FB8" w:rsidRPr="00FB7FB8" w:rsidRDefault="00FB7FB8" w:rsidP="00FB7FB8">
      <w:pPr>
        <w:pStyle w:val="NormalWeb"/>
        <w:spacing w:line="360" w:lineRule="auto"/>
        <w:jc w:val="both"/>
      </w:pPr>
      <w:r w:rsidRPr="00FB7FB8">
        <w:rPr>
          <w:b/>
          <w:bCs/>
          <w:highlight w:val="cyan"/>
        </w:rPr>
        <w:t xml:space="preserve">3. La </w:t>
      </w:r>
      <w:proofErr w:type="spellStart"/>
      <w:r w:rsidRPr="00FB7FB8">
        <w:rPr>
          <w:b/>
          <w:bCs/>
          <w:highlight w:val="cyan"/>
        </w:rPr>
        <w:t>confesión</w:t>
      </w:r>
      <w:proofErr w:type="spellEnd"/>
      <w:r w:rsidRPr="00FB7FB8">
        <w:rPr>
          <w:b/>
          <w:bCs/>
          <w:highlight w:val="cyan"/>
        </w:rPr>
        <w:t xml:space="preserve"> como medio de prueba y su </w:t>
      </w:r>
      <w:proofErr w:type="spellStart"/>
      <w:r w:rsidRPr="00FB7FB8">
        <w:rPr>
          <w:b/>
          <w:bCs/>
          <w:highlight w:val="cyan"/>
        </w:rPr>
        <w:t>valoración</w:t>
      </w:r>
      <w:proofErr w:type="spellEnd"/>
      <w:r w:rsidRPr="00FB7FB8">
        <w:rPr>
          <w:b/>
          <w:bCs/>
          <w:highlight w:val="cyan"/>
        </w:rPr>
        <w:t xml:space="preserve"> judicial</w:t>
      </w:r>
      <w:r w:rsidRPr="00FB7FB8">
        <w:rPr>
          <w:b/>
          <w:bCs/>
        </w:rPr>
        <w:t xml:space="preserve"> </w:t>
      </w:r>
    </w:p>
    <w:p w14:paraId="050C6870" w14:textId="65086076" w:rsidR="00FB7FB8" w:rsidRPr="00FB7FB8" w:rsidRDefault="00FB7FB8" w:rsidP="00FB7FB8">
      <w:pPr>
        <w:spacing w:before="100" w:beforeAutospacing="1" w:after="100" w:afterAutospacing="1" w:line="360" w:lineRule="auto"/>
        <w:jc w:val="both"/>
        <w:outlineLvl w:val="3"/>
        <w:rPr>
          <w:rFonts w:ascii="Times New Roman" w:hAnsi="Times New Roman" w:cs="Times New Roman"/>
          <w:b/>
          <w:bCs/>
          <w:color w:val="000000" w:themeColor="text1"/>
          <w:sz w:val="24"/>
          <w:szCs w:val="24"/>
        </w:rPr>
      </w:pPr>
      <w:r w:rsidRPr="00FB7FB8">
        <w:rPr>
          <w:rFonts w:ascii="Times New Roman" w:hAnsi="Times New Roman" w:cs="Times New Roman"/>
          <w:b/>
          <w:bCs/>
          <w:color w:val="000000" w:themeColor="text1"/>
          <w:sz w:val="24"/>
          <w:szCs w:val="24"/>
        </w:rPr>
        <w:t xml:space="preserve">3.1. </w:t>
      </w:r>
      <w:r w:rsidR="003366B9">
        <w:rPr>
          <w:rFonts w:ascii="Times New Roman" w:hAnsi="Times New Roman" w:cs="Times New Roman"/>
          <w:b/>
          <w:bCs/>
          <w:color w:val="000000" w:themeColor="text1"/>
          <w:sz w:val="24"/>
          <w:szCs w:val="24"/>
        </w:rPr>
        <w:t>C</w:t>
      </w:r>
      <w:r w:rsidRPr="00FB7FB8">
        <w:rPr>
          <w:rFonts w:ascii="Times New Roman" w:hAnsi="Times New Roman" w:cs="Times New Roman"/>
          <w:b/>
          <w:bCs/>
          <w:color w:val="000000" w:themeColor="text1"/>
          <w:sz w:val="24"/>
          <w:szCs w:val="24"/>
        </w:rPr>
        <w:t>onfesión judicial y confesión extrajudicial</w:t>
      </w:r>
    </w:p>
    <w:p w14:paraId="480F5386" w14:textId="45804830"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Antes de analizar el valor probatorio de la confesión resulta necesario distinguir entre confesión judicial y confesión extrajudicial. La confesión judicial es aquella que se presta ante la autoridad judicial, en el marco del proceso penal y con las garantías propias del juicio. Por el contrario, la confesión extrajudicial comprende las manifestaciones realizadas fuera del proceso, ya sea ante la policía o ante terceros. Esta distinción es relevante, pues únicamente la confesión prestada ante el juez puede adquirir, en su caso, valor probatorio directo, mientras que las declaraciones realizadas en sede policial se integran en el atestado y tienen, conforme al artículo 297 de la Ley de Enjuiciamiento Criminal, el valor de mera denuncia.</w:t>
      </w:r>
    </w:p>
    <w:p w14:paraId="0F04166C" w14:textId="77777777" w:rsidR="00FB7FB8" w:rsidRPr="00FB7FB8" w:rsidRDefault="00FB7FB8" w:rsidP="00FB7FB8">
      <w:pPr>
        <w:spacing w:before="100" w:beforeAutospacing="1" w:after="100" w:afterAutospacing="1" w:line="360" w:lineRule="auto"/>
        <w:jc w:val="both"/>
        <w:outlineLvl w:val="2"/>
        <w:rPr>
          <w:rFonts w:ascii="Times New Roman" w:hAnsi="Times New Roman" w:cs="Times New Roman"/>
          <w:b/>
          <w:bCs/>
          <w:color w:val="000000" w:themeColor="text1"/>
          <w:sz w:val="24"/>
          <w:szCs w:val="24"/>
        </w:rPr>
      </w:pPr>
      <w:r w:rsidRPr="00FB7FB8">
        <w:rPr>
          <w:rFonts w:ascii="Times New Roman" w:hAnsi="Times New Roman" w:cs="Times New Roman"/>
          <w:b/>
          <w:bCs/>
          <w:color w:val="000000" w:themeColor="text1"/>
          <w:sz w:val="24"/>
          <w:szCs w:val="24"/>
        </w:rPr>
        <w:t>3.2. Importancia histórica de la confesión como medio de prueba</w:t>
      </w:r>
    </w:p>
    <w:p w14:paraId="767499FC" w14:textId="49A72D02"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En el Derecho histórico castellano, la confesión desempeñó un papel relevante dentro del sistema probatorio. Tanto </w:t>
      </w:r>
      <w:r w:rsidRPr="00FB7FB8">
        <w:rPr>
          <w:rFonts w:ascii="Times New Roman" w:hAnsi="Times New Roman" w:cs="Times New Roman"/>
          <w:i/>
          <w:iCs/>
          <w:color w:val="000000" w:themeColor="text1"/>
          <w:sz w:val="24"/>
          <w:szCs w:val="24"/>
        </w:rPr>
        <w:t>Las Partidas</w:t>
      </w:r>
      <w:r w:rsidRPr="00FB7FB8">
        <w:rPr>
          <w:rFonts w:ascii="Times New Roman" w:hAnsi="Times New Roman" w:cs="Times New Roman"/>
          <w:color w:val="000000" w:themeColor="text1"/>
          <w:sz w:val="24"/>
          <w:szCs w:val="24"/>
        </w:rPr>
        <w:t> como el </w:t>
      </w:r>
      <w:r w:rsidRPr="00FB7FB8">
        <w:rPr>
          <w:rFonts w:ascii="Times New Roman" w:hAnsi="Times New Roman" w:cs="Times New Roman"/>
          <w:i/>
          <w:iCs/>
          <w:color w:val="000000" w:themeColor="text1"/>
          <w:sz w:val="24"/>
          <w:szCs w:val="24"/>
        </w:rPr>
        <w:t>Fuero Real</w:t>
      </w:r>
      <w:r w:rsidRPr="00FB7FB8">
        <w:rPr>
          <w:rFonts w:ascii="Times New Roman" w:hAnsi="Times New Roman" w:cs="Times New Roman"/>
          <w:color w:val="000000" w:themeColor="text1"/>
          <w:sz w:val="24"/>
          <w:szCs w:val="24"/>
        </w:rPr>
        <w:t xml:space="preserve"> la consideraron un auténtico medio de prueba, al que se atribuía una fuerza probatoria </w:t>
      </w:r>
      <w:r w:rsidR="006A24D5">
        <w:rPr>
          <w:rFonts w:ascii="Times New Roman" w:hAnsi="Times New Roman" w:cs="Times New Roman"/>
          <w:color w:val="000000" w:themeColor="text1"/>
          <w:sz w:val="24"/>
          <w:szCs w:val="24"/>
        </w:rPr>
        <w:t>importante</w:t>
      </w:r>
      <w:r w:rsidRPr="00FB7FB8">
        <w:rPr>
          <w:rFonts w:ascii="Times New Roman" w:hAnsi="Times New Roman" w:cs="Times New Roman"/>
          <w:color w:val="000000" w:themeColor="text1"/>
          <w:sz w:val="24"/>
          <w:szCs w:val="24"/>
        </w:rPr>
        <w:t>.</w:t>
      </w:r>
      <w:r w:rsidR="006A24D5">
        <w:rPr>
          <w:rFonts w:ascii="Times New Roman" w:hAnsi="Times New Roman" w:cs="Times New Roman"/>
          <w:color w:val="000000" w:themeColor="text1"/>
          <w:sz w:val="24"/>
          <w:szCs w:val="24"/>
        </w:rPr>
        <w:t xml:space="preserve"> E</w:t>
      </w:r>
      <w:r w:rsidRPr="00FB7FB8">
        <w:rPr>
          <w:rFonts w:ascii="Times New Roman" w:hAnsi="Times New Roman" w:cs="Times New Roman"/>
          <w:color w:val="000000" w:themeColor="text1"/>
          <w:sz w:val="24"/>
          <w:szCs w:val="24"/>
        </w:rPr>
        <w:t xml:space="preserve">l reconocimiento de los hechos por parte del confesante podía resultar suficiente para resolver </w:t>
      </w:r>
      <w:r w:rsidR="006A24D5">
        <w:rPr>
          <w:rFonts w:ascii="Times New Roman" w:hAnsi="Times New Roman" w:cs="Times New Roman"/>
          <w:color w:val="000000" w:themeColor="text1"/>
          <w:sz w:val="24"/>
          <w:szCs w:val="24"/>
        </w:rPr>
        <w:t>un caso</w:t>
      </w:r>
      <w:r w:rsidRPr="00FB7FB8">
        <w:rPr>
          <w:rFonts w:ascii="Times New Roman" w:hAnsi="Times New Roman" w:cs="Times New Roman"/>
          <w:color w:val="000000" w:themeColor="text1"/>
          <w:sz w:val="24"/>
          <w:szCs w:val="24"/>
        </w:rPr>
        <w:t>, sin necesidad de acudir a otros medios de prueba (Pérez Molina, 2012).</w:t>
      </w:r>
      <w:r w:rsidR="006A24D5">
        <w:rPr>
          <w:rFonts w:ascii="Times New Roman" w:hAnsi="Times New Roman" w:cs="Times New Roman"/>
          <w:color w:val="000000" w:themeColor="text1"/>
          <w:sz w:val="24"/>
          <w:szCs w:val="24"/>
        </w:rPr>
        <w:t xml:space="preserve"> L</w:t>
      </w:r>
      <w:r w:rsidRPr="00FB7FB8">
        <w:rPr>
          <w:rFonts w:ascii="Times New Roman" w:hAnsi="Times New Roman" w:cs="Times New Roman"/>
          <w:color w:val="000000" w:themeColor="text1"/>
          <w:sz w:val="24"/>
          <w:szCs w:val="24"/>
        </w:rPr>
        <w:t xml:space="preserve">a confesión judicial, prestada ante el juez y durante el proceso, </w:t>
      </w:r>
      <w:r w:rsidR="006A24D5">
        <w:rPr>
          <w:rFonts w:ascii="Times New Roman" w:hAnsi="Times New Roman" w:cs="Times New Roman"/>
          <w:color w:val="000000" w:themeColor="text1"/>
          <w:sz w:val="24"/>
          <w:szCs w:val="24"/>
        </w:rPr>
        <w:t>se consideraba</w:t>
      </w:r>
      <w:r w:rsidRPr="00FB7FB8">
        <w:rPr>
          <w:rFonts w:ascii="Times New Roman" w:hAnsi="Times New Roman" w:cs="Times New Roman"/>
          <w:color w:val="000000" w:themeColor="text1"/>
          <w:sz w:val="24"/>
          <w:szCs w:val="24"/>
        </w:rPr>
        <w:t xml:space="preserve"> una manifestación especialmente fiable, a la que se otorgaba un valor superior al de la confesión extrajudicial. No obstante, ya entonces se establecían ciertos límites, en la medida en que </w:t>
      </w:r>
      <w:r w:rsidRPr="00FB7FB8">
        <w:rPr>
          <w:rFonts w:ascii="Times New Roman" w:hAnsi="Times New Roman" w:cs="Times New Roman"/>
          <w:color w:val="000000" w:themeColor="text1"/>
          <w:sz w:val="24"/>
          <w:szCs w:val="24"/>
        </w:rPr>
        <w:lastRenderedPageBreak/>
        <w:t>la confesión solo producía efectos perjudiciales para quien la realizaba y no frente a terceros.</w:t>
      </w:r>
    </w:p>
    <w:p w14:paraId="41FC7BB5" w14:textId="2D769080" w:rsidR="00FB7FB8" w:rsidRPr="00FB7FB8" w:rsidRDefault="00FB7FB8" w:rsidP="00FB7FB8">
      <w:pPr>
        <w:spacing w:before="100" w:beforeAutospacing="1" w:after="100" w:afterAutospacing="1" w:line="360" w:lineRule="auto"/>
        <w:jc w:val="both"/>
        <w:outlineLvl w:val="2"/>
        <w:rPr>
          <w:rFonts w:ascii="Times New Roman" w:hAnsi="Times New Roman" w:cs="Times New Roman"/>
          <w:b/>
          <w:bCs/>
          <w:color w:val="000000" w:themeColor="text1"/>
          <w:sz w:val="24"/>
          <w:szCs w:val="24"/>
        </w:rPr>
      </w:pPr>
      <w:r w:rsidRPr="00FB7FB8">
        <w:rPr>
          <w:rFonts w:ascii="Times New Roman" w:hAnsi="Times New Roman" w:cs="Times New Roman"/>
          <w:b/>
          <w:bCs/>
          <w:color w:val="000000" w:themeColor="text1"/>
          <w:sz w:val="24"/>
          <w:szCs w:val="24"/>
        </w:rPr>
        <w:t xml:space="preserve">3.3. La confesión policial y su valor probatorio </w:t>
      </w:r>
    </w:p>
    <w:p w14:paraId="0E22B017" w14:textId="57CF89C5"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 xml:space="preserve">La afirmación de que las declaraciones </w:t>
      </w:r>
      <w:proofErr w:type="spellStart"/>
      <w:r w:rsidRPr="00FB7FB8">
        <w:rPr>
          <w:rFonts w:ascii="Times New Roman" w:hAnsi="Times New Roman" w:cs="Times New Roman"/>
          <w:color w:val="000000" w:themeColor="text1"/>
          <w:sz w:val="24"/>
          <w:szCs w:val="24"/>
        </w:rPr>
        <w:t>autoinculpatorias</w:t>
      </w:r>
      <w:proofErr w:type="spellEnd"/>
      <w:r w:rsidRPr="00FB7FB8">
        <w:rPr>
          <w:rFonts w:ascii="Times New Roman" w:hAnsi="Times New Roman" w:cs="Times New Roman"/>
          <w:color w:val="000000" w:themeColor="text1"/>
          <w:sz w:val="24"/>
          <w:szCs w:val="24"/>
        </w:rPr>
        <w:t xml:space="preserve"> prestadas por el detenido en dependencias policiales carecen de valor probatorio autónomo deriva de </w:t>
      </w:r>
      <w:r w:rsidR="006A24D5">
        <w:rPr>
          <w:rFonts w:ascii="Times New Roman" w:hAnsi="Times New Roman" w:cs="Times New Roman"/>
          <w:color w:val="000000" w:themeColor="text1"/>
          <w:sz w:val="24"/>
          <w:szCs w:val="24"/>
        </w:rPr>
        <w:t>una</w:t>
      </w:r>
      <w:r w:rsidRPr="00FB7FB8">
        <w:rPr>
          <w:rFonts w:ascii="Times New Roman" w:hAnsi="Times New Roman" w:cs="Times New Roman"/>
          <w:color w:val="000000" w:themeColor="text1"/>
          <w:sz w:val="24"/>
          <w:szCs w:val="24"/>
        </w:rPr>
        <w:t xml:space="preserve"> interpretación conjunta de la normativa procesal y de la doctrina consolidada del Tribunal Constitucional. </w:t>
      </w:r>
      <w:r w:rsidR="006A24D5">
        <w:rPr>
          <w:rFonts w:ascii="Times New Roman" w:hAnsi="Times New Roman" w:cs="Times New Roman"/>
          <w:color w:val="000000" w:themeColor="text1"/>
          <w:sz w:val="24"/>
          <w:szCs w:val="24"/>
        </w:rPr>
        <w:t>D</w:t>
      </w:r>
      <w:r w:rsidRPr="00FB7FB8">
        <w:rPr>
          <w:rFonts w:ascii="Times New Roman" w:hAnsi="Times New Roman" w:cs="Times New Roman"/>
          <w:color w:val="000000" w:themeColor="text1"/>
          <w:sz w:val="24"/>
          <w:szCs w:val="24"/>
        </w:rPr>
        <w:t>icha doctrina se apoya principalmente en el artículo 297 de la Ley de Enjuiciamiento Criminal, que atribuye al atestado policial un mero valor de denuncia, y en el artículo 741 del mismo texto legal, que exige que la condena penal se fundamente exclusivamente en las pruebas practicadas en el juicio oral (Santos, 2018).</w:t>
      </w:r>
    </w:p>
    <w:p w14:paraId="63CA13F5" w14:textId="139169B7"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 xml:space="preserve">Desde sus primeras resoluciones, el Tribunal Constitucional ha sostenido que las declaraciones realizadas ante la policía, al integrarse en el atestado, no constituyen un verdadero medio de prueba y por tanto no pueden desvirtuar por sí solas la presunción de inocencia. Esta doctrina fue formulada de manera temprana en la STC 31/1981, de 28 de julio, en la que se afirmó que no basta con dar en el juicio oral una confesión policial para conferirle valor probatorio, siendo imprescindible que </w:t>
      </w:r>
      <w:r w:rsidR="006A24D5">
        <w:rPr>
          <w:rFonts w:ascii="Times New Roman" w:hAnsi="Times New Roman" w:cs="Times New Roman"/>
          <w:color w:val="000000" w:themeColor="text1"/>
          <w:sz w:val="24"/>
          <w:szCs w:val="24"/>
        </w:rPr>
        <w:t>esta</w:t>
      </w:r>
      <w:r w:rsidRPr="00FB7FB8">
        <w:rPr>
          <w:rFonts w:ascii="Times New Roman" w:hAnsi="Times New Roman" w:cs="Times New Roman"/>
          <w:color w:val="000000" w:themeColor="text1"/>
          <w:sz w:val="24"/>
          <w:szCs w:val="24"/>
        </w:rPr>
        <w:t xml:space="preserve"> declaración sea reiterada y ratificada ante un órgano judicial, con respeto a los principios de inmediación y contradicción.</w:t>
      </w:r>
    </w:p>
    <w:p w14:paraId="5A6C8148" w14:textId="73EC6F1B" w:rsidR="00FB7FB8" w:rsidRPr="00FB7FB8" w:rsidRDefault="006A24D5" w:rsidP="00FB7FB8">
      <w:pPr>
        <w:spacing w:before="100" w:beforeAutospacing="1" w:after="100" w:afterAutospacing="1"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Por esto</w:t>
      </w:r>
      <w:r w:rsidR="00FB7FB8" w:rsidRPr="00FB7FB8">
        <w:rPr>
          <w:rFonts w:ascii="Times New Roman" w:hAnsi="Times New Roman" w:cs="Times New Roman"/>
          <w:color w:val="000000" w:themeColor="text1"/>
          <w:sz w:val="24"/>
          <w:szCs w:val="24"/>
        </w:rPr>
        <w:t xml:space="preserve">, una condena penal no puede sustentarse válidamente en una confesión prestada en sede policial, ni siquiera cuando esta haya sido documentada de forma regular, si no se transforma en prueba judicial conforme a las garantías propias del proceso penal. La confesión policial puede, en todo caso, orientar la investigación o aportar datos </w:t>
      </w:r>
      <w:r>
        <w:rPr>
          <w:rFonts w:ascii="Times New Roman" w:hAnsi="Times New Roman" w:cs="Times New Roman"/>
          <w:color w:val="000000" w:themeColor="text1"/>
          <w:sz w:val="24"/>
          <w:szCs w:val="24"/>
        </w:rPr>
        <w:t>que posteriormente serán contrastados</w:t>
      </w:r>
      <w:r w:rsidR="00FB7FB8" w:rsidRPr="00FB7FB8">
        <w:rPr>
          <w:rFonts w:ascii="Times New Roman" w:hAnsi="Times New Roman" w:cs="Times New Roman"/>
          <w:color w:val="000000" w:themeColor="text1"/>
          <w:sz w:val="24"/>
          <w:szCs w:val="24"/>
        </w:rPr>
        <w:t>, pero carece de eficacia como prueba de cargo autónoma, doctrina que el Tribunal Constitucional ha reiterado de manera constante y que hoy constituye un principio consolidado del proceso penal español (Santos, 2018).</w:t>
      </w:r>
    </w:p>
    <w:p w14:paraId="50F7CFD8" w14:textId="1ED923CC" w:rsidR="006A24D5" w:rsidRPr="006A24D5" w:rsidRDefault="006A24D5" w:rsidP="006A24D5">
      <w:pPr>
        <w:spacing w:before="100" w:beforeAutospacing="1" w:after="100" w:afterAutospacing="1" w:line="360" w:lineRule="auto"/>
        <w:jc w:val="both"/>
        <w:rPr>
          <w:rFonts w:ascii="Times New Roman" w:hAnsi="Times New Roman" w:cs="Times New Roman"/>
          <w:color w:val="000000" w:themeColor="text1"/>
          <w:sz w:val="24"/>
          <w:szCs w:val="24"/>
        </w:rPr>
      </w:pPr>
      <w:r w:rsidRPr="006A24D5">
        <w:rPr>
          <w:rFonts w:ascii="Times New Roman" w:hAnsi="Times New Roman" w:cs="Times New Roman"/>
          <w:color w:val="000000" w:themeColor="text1"/>
          <w:sz w:val="24"/>
          <w:szCs w:val="24"/>
        </w:rPr>
        <w:t xml:space="preserve">El Tribunal Constitucional ha admitido que algunos elementos incluidos en el atestado policial puedan tener valor probatorio en el proceso penal, pero solo en casos muy concretos. </w:t>
      </w:r>
      <w:r>
        <w:rPr>
          <w:rFonts w:ascii="Times New Roman" w:hAnsi="Times New Roman" w:cs="Times New Roman"/>
          <w:color w:val="000000" w:themeColor="text1"/>
          <w:sz w:val="24"/>
          <w:szCs w:val="24"/>
        </w:rPr>
        <w:t>E</w:t>
      </w:r>
      <w:r w:rsidRPr="006A24D5">
        <w:rPr>
          <w:rFonts w:ascii="Times New Roman" w:hAnsi="Times New Roman" w:cs="Times New Roman"/>
          <w:color w:val="000000" w:themeColor="text1"/>
          <w:sz w:val="24"/>
          <w:szCs w:val="24"/>
        </w:rPr>
        <w:t>sto ocurre cuando se trata de datos objetivos, que no admiten discusión y que no pueden reproducirse posteriormente en el juicio oral.</w:t>
      </w:r>
      <w:r>
        <w:rPr>
          <w:rFonts w:ascii="Times New Roman" w:hAnsi="Times New Roman" w:cs="Times New Roman"/>
          <w:color w:val="000000" w:themeColor="text1"/>
          <w:sz w:val="24"/>
          <w:szCs w:val="24"/>
        </w:rPr>
        <w:t xml:space="preserve"> En cambio</w:t>
      </w:r>
      <w:r w:rsidRPr="006A24D5">
        <w:rPr>
          <w:rFonts w:ascii="Times New Roman" w:hAnsi="Times New Roman" w:cs="Times New Roman"/>
          <w:color w:val="000000" w:themeColor="text1"/>
          <w:sz w:val="24"/>
          <w:szCs w:val="24"/>
        </w:rPr>
        <w:t xml:space="preserve">, el propio Tribunal ha dejado claro que esta excepción no se aplica a las declaraciones </w:t>
      </w:r>
      <w:proofErr w:type="spellStart"/>
      <w:r w:rsidRPr="006A24D5">
        <w:rPr>
          <w:rFonts w:ascii="Times New Roman" w:hAnsi="Times New Roman" w:cs="Times New Roman"/>
          <w:color w:val="000000" w:themeColor="text1"/>
          <w:sz w:val="24"/>
          <w:szCs w:val="24"/>
        </w:rPr>
        <w:t>autoinculpatorias</w:t>
      </w:r>
      <w:proofErr w:type="spellEnd"/>
      <w:r w:rsidRPr="006A24D5">
        <w:rPr>
          <w:rFonts w:ascii="Times New Roman" w:hAnsi="Times New Roman" w:cs="Times New Roman"/>
          <w:color w:val="000000" w:themeColor="text1"/>
          <w:sz w:val="24"/>
          <w:szCs w:val="24"/>
        </w:rPr>
        <w:t xml:space="preserve"> </w:t>
      </w:r>
      <w:r w:rsidRPr="006A24D5">
        <w:rPr>
          <w:rFonts w:ascii="Times New Roman" w:hAnsi="Times New Roman" w:cs="Times New Roman"/>
          <w:color w:val="000000" w:themeColor="text1"/>
          <w:sz w:val="24"/>
          <w:szCs w:val="24"/>
        </w:rPr>
        <w:lastRenderedPageBreak/>
        <w:t xml:space="preserve">realizadas por el detenido ante la policía. La razón es que la obtención y valoración de este tipo de pruebas debe realizarse en el ámbito judicial, y no en la fase policial. Por ello, las diligencias policiales cumplen únicamente una función preparatoria, mientras que la </w:t>
      </w:r>
      <w:proofErr w:type="spellStart"/>
      <w:r w:rsidRPr="006A24D5">
        <w:rPr>
          <w:rFonts w:ascii="Times New Roman" w:hAnsi="Times New Roman" w:cs="Times New Roman"/>
          <w:color w:val="000000" w:themeColor="text1"/>
          <w:sz w:val="24"/>
          <w:szCs w:val="24"/>
        </w:rPr>
        <w:t>preconstitución</w:t>
      </w:r>
      <w:proofErr w:type="spellEnd"/>
      <w:r w:rsidRPr="006A24D5">
        <w:rPr>
          <w:rFonts w:ascii="Times New Roman" w:hAnsi="Times New Roman" w:cs="Times New Roman"/>
          <w:color w:val="000000" w:themeColor="text1"/>
          <w:sz w:val="24"/>
          <w:szCs w:val="24"/>
        </w:rPr>
        <w:t xml:space="preserve"> y anticipación de la prueba corresponde de forma exclusiva a la autoridad judicial.</w:t>
      </w:r>
    </w:p>
    <w:p w14:paraId="5E83CC5E" w14:textId="6E20E9A5" w:rsidR="00FB7FB8" w:rsidRPr="006A24D5" w:rsidRDefault="00FB7FB8" w:rsidP="00FB7FB8">
      <w:pPr>
        <w:pStyle w:val="NormalWeb"/>
        <w:spacing w:line="360" w:lineRule="auto"/>
        <w:jc w:val="both"/>
        <w:rPr>
          <w:color w:val="000000" w:themeColor="text1"/>
          <w:highlight w:val="yellow"/>
        </w:rPr>
      </w:pPr>
      <w:r w:rsidRPr="00FB7FB8">
        <w:rPr>
          <w:color w:val="000000" w:themeColor="text1"/>
        </w:rPr>
        <w:t xml:space="preserve">No obstante, la ausencia de valor probatorio directo de la confesión policial no implica que esta sea irrelevante en el proceso penal. El Tribunal Constitucional ha admitido que las declaraciones </w:t>
      </w:r>
      <w:proofErr w:type="spellStart"/>
      <w:r w:rsidRPr="00FB7FB8">
        <w:rPr>
          <w:color w:val="000000" w:themeColor="text1"/>
        </w:rPr>
        <w:t>autoinculpatorias</w:t>
      </w:r>
      <w:proofErr w:type="spellEnd"/>
      <w:r w:rsidRPr="00FB7FB8">
        <w:rPr>
          <w:color w:val="000000" w:themeColor="text1"/>
        </w:rPr>
        <w:t xml:space="preserve"> prestadas ante la policía pueden adquirir una eficacia </w:t>
      </w:r>
      <w:r w:rsidRPr="00306696">
        <w:rPr>
          <w:color w:val="000000" w:themeColor="text1"/>
        </w:rPr>
        <w:t>indirecta cuando concurren determinadas condiciones. En particular, es necesario que la declaración se haya obtenido de manera lícita, con pleno respeto a los derechos fundamentales del detenido, y que su contenido sea corroborado por otros medios de prueba practicados en el juicio oral.</w:t>
      </w:r>
      <w:r w:rsidR="006A24D5" w:rsidRPr="00306696">
        <w:rPr>
          <w:color w:val="000000" w:themeColor="text1"/>
        </w:rPr>
        <w:t xml:space="preserve"> </w:t>
      </w:r>
      <w:r w:rsidRPr="00306696">
        <w:rPr>
          <w:color w:val="000000" w:themeColor="text1"/>
        </w:rPr>
        <w:t xml:space="preserve">En estos supuestos, la confesión policial no se valora como prueba en sí misma, sino en conexión con otros elementos probatorios independientes que acrediten los hechos reconocidos. Solo cuando concurren pruebas externas suficientes y se </w:t>
      </w:r>
      <w:r w:rsidR="00306696" w:rsidRPr="00306696">
        <w:rPr>
          <w:color w:val="000000" w:themeColor="text1"/>
        </w:rPr>
        <w:t>hayan</w:t>
      </w:r>
      <w:r w:rsidRPr="00306696">
        <w:rPr>
          <w:color w:val="000000" w:themeColor="text1"/>
        </w:rPr>
        <w:t xml:space="preserve"> respetado las garantías procesales puede el tribunal tener en cuenta, de forma indirecta y no autónoma, las declaraciones </w:t>
      </w:r>
      <w:proofErr w:type="spellStart"/>
      <w:r w:rsidRPr="00306696">
        <w:rPr>
          <w:color w:val="000000" w:themeColor="text1"/>
        </w:rPr>
        <w:t>autoinculpatorias</w:t>
      </w:r>
      <w:proofErr w:type="spellEnd"/>
      <w:r w:rsidRPr="00306696">
        <w:rPr>
          <w:color w:val="000000" w:themeColor="text1"/>
        </w:rPr>
        <w:t xml:space="preserve"> prestadas en sede policial. En ausencia de tales elementos de corroboración, una condena fundada exclusivamente en la confesión policial vulneraría el derecho a la presunción de inocencia (Santos, 2018).</w:t>
      </w:r>
    </w:p>
    <w:p w14:paraId="22EAB9F2" w14:textId="10E92C25" w:rsidR="00FB7FB8" w:rsidRPr="00FB7FB8" w:rsidRDefault="00FB7FB8" w:rsidP="00FB7FB8">
      <w:pPr>
        <w:pStyle w:val="NormalWeb"/>
        <w:spacing w:line="360" w:lineRule="auto"/>
        <w:jc w:val="both"/>
        <w:rPr>
          <w:b/>
          <w:bCs/>
          <w:color w:val="000000" w:themeColor="text1"/>
        </w:rPr>
      </w:pPr>
      <w:r w:rsidRPr="00FB7FB8">
        <w:rPr>
          <w:b/>
          <w:bCs/>
          <w:color w:val="000000" w:themeColor="text1"/>
        </w:rPr>
        <w:t>3.</w:t>
      </w:r>
      <w:r w:rsidR="00A602FD">
        <w:rPr>
          <w:b/>
          <w:bCs/>
          <w:color w:val="000000" w:themeColor="text1"/>
        </w:rPr>
        <w:t>4</w:t>
      </w:r>
      <w:r w:rsidRPr="00FB7FB8">
        <w:rPr>
          <w:b/>
          <w:bCs/>
          <w:color w:val="000000" w:themeColor="text1"/>
        </w:rPr>
        <w:t>. La jurisprudencia del Tribunal Supremo y el Acuerdo de 3 de junio de 2015</w:t>
      </w:r>
    </w:p>
    <w:p w14:paraId="1A393706" w14:textId="7EFB2C9D"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 xml:space="preserve">Para que una confesión sea jurídicamente válida, debe proceder de una manifestación libre y espontánea de la voluntad del imputado, sin violencia, coacción o intimidación y con pleno respeto a los derechos fundamentales. </w:t>
      </w:r>
      <w:r w:rsidR="00A602FD">
        <w:rPr>
          <w:rFonts w:ascii="Times New Roman" w:hAnsi="Times New Roman" w:cs="Times New Roman"/>
          <w:color w:val="000000" w:themeColor="text1"/>
          <w:sz w:val="24"/>
          <w:szCs w:val="24"/>
        </w:rPr>
        <w:t>Aun así</w:t>
      </w:r>
      <w:r w:rsidRPr="00FB7FB8">
        <w:rPr>
          <w:rFonts w:ascii="Times New Roman" w:hAnsi="Times New Roman" w:cs="Times New Roman"/>
          <w:color w:val="000000" w:themeColor="text1"/>
          <w:sz w:val="24"/>
          <w:szCs w:val="24"/>
        </w:rPr>
        <w:t>, el cumplimiento de estos requisitos de validez no implica por sí solo que una confesión prestada en sede policial pueda adquirir valor probatorio suficiente para fundamentar una condena penal (Alhambra, 2017).</w:t>
      </w:r>
      <w:r w:rsidR="00A602FD">
        <w:rPr>
          <w:rFonts w:ascii="Times New Roman" w:hAnsi="Times New Roman" w:cs="Times New Roman"/>
          <w:color w:val="000000" w:themeColor="text1"/>
          <w:sz w:val="24"/>
          <w:szCs w:val="24"/>
        </w:rPr>
        <w:t xml:space="preserve"> </w:t>
      </w:r>
      <w:r w:rsidRPr="00FB7FB8">
        <w:rPr>
          <w:rFonts w:ascii="Times New Roman" w:hAnsi="Times New Roman" w:cs="Times New Roman"/>
          <w:color w:val="000000" w:themeColor="text1"/>
          <w:sz w:val="24"/>
          <w:szCs w:val="24"/>
        </w:rPr>
        <w:t>En esta línea, el Acuerdo del Pleno no jurisdiccional de la Sala Segunda del </w:t>
      </w:r>
      <w:r w:rsidRPr="00A602FD">
        <w:rPr>
          <w:rFonts w:ascii="Times New Roman" w:hAnsi="Times New Roman" w:cs="Times New Roman"/>
          <w:color w:val="000000" w:themeColor="text1"/>
          <w:sz w:val="24"/>
          <w:szCs w:val="24"/>
        </w:rPr>
        <w:t>Tribunal Supremo</w:t>
      </w:r>
      <w:r w:rsidRPr="00FB7FB8">
        <w:rPr>
          <w:rFonts w:ascii="Times New Roman" w:hAnsi="Times New Roman" w:cs="Times New Roman"/>
          <w:color w:val="000000" w:themeColor="text1"/>
          <w:sz w:val="24"/>
          <w:szCs w:val="24"/>
        </w:rPr>
        <w:t> de 3 de junio de 2015 ha reafirmado que las declaraciones realizadas ante la policía carecen de valor probatorio autónomo. Sin embargo, los datos objetivos que puedan contener, cuando resultan acreditados mediante verdaderos medios de prueba practicados en el juicio oral, pueden servir como base para inferencias lógicas que han de ser debidamente razonadas en la sentencia.</w:t>
      </w:r>
    </w:p>
    <w:p w14:paraId="5125C4C6" w14:textId="6CD2CC87" w:rsidR="00FB7FB8" w:rsidRPr="00FB7FB8" w:rsidRDefault="00FB7FB8" w:rsidP="00FB7FB8">
      <w:pPr>
        <w:pStyle w:val="NormalWeb"/>
        <w:spacing w:line="360" w:lineRule="auto"/>
        <w:jc w:val="both"/>
        <w:rPr>
          <w:color w:val="000000" w:themeColor="text1"/>
        </w:rPr>
      </w:pPr>
      <w:r w:rsidRPr="00A602FD">
        <w:rPr>
          <w:color w:val="000000" w:themeColor="text1"/>
        </w:rPr>
        <w:lastRenderedPageBreak/>
        <w:t>Un supuesto particular lo constituyen las denominadas manifestaciones espontáneas del detenido. La jurisprudencia ha admitido su relevancia, siempre que se trate de manifestaciones verdaderamente libres, no provocadas por interrogatorio policial ni resultado de presión o coacción. No obstante, cuando dichas manifestaciones no son ratificadas posteriormente ante la autoridad judicial o son retractadas por su autor, no pueden constituir por sí solas prueba de cargo suficiente.</w:t>
      </w:r>
      <w:r w:rsidR="00A602FD">
        <w:rPr>
          <w:color w:val="000000" w:themeColor="text1"/>
        </w:rPr>
        <w:t xml:space="preserve"> </w:t>
      </w:r>
      <w:r w:rsidRPr="00A602FD">
        <w:rPr>
          <w:color w:val="000000" w:themeColor="text1"/>
        </w:rPr>
        <w:t>En estos casos, su eventual relevancia procesal es meramente indirecta y exige la concurrencia de otros medios de prueba independientes que corroboren los datos objetivos obtenidos a partir de ellas. En ningún caso las manifestaciones espontáneas pueden operar como prueba autónoma para desvirtuar la presunción de inocencia</w:t>
      </w:r>
      <w:r w:rsidR="00A602FD">
        <w:rPr>
          <w:color w:val="000000" w:themeColor="text1"/>
        </w:rPr>
        <w:t xml:space="preserve"> </w:t>
      </w:r>
      <w:r w:rsidR="00A602FD" w:rsidRPr="00A602FD">
        <w:rPr>
          <w:color w:val="000000" w:themeColor="text1"/>
        </w:rPr>
        <w:t>(Alhambra, 2017</w:t>
      </w:r>
      <w:r w:rsidR="00A602FD" w:rsidRPr="00A602FD">
        <w:rPr>
          <w:color w:val="000000" w:themeColor="text1"/>
        </w:rPr>
        <w:t>).</w:t>
      </w:r>
    </w:p>
    <w:p w14:paraId="30FAAE88" w14:textId="6D41AA19" w:rsidR="00FB7FB8" w:rsidRPr="00FB7FB8" w:rsidRDefault="00FB7FB8" w:rsidP="00FB7FB8">
      <w:pPr>
        <w:spacing w:before="100" w:beforeAutospacing="1" w:after="100" w:afterAutospacing="1" w:line="360" w:lineRule="auto"/>
        <w:jc w:val="both"/>
        <w:outlineLvl w:val="3"/>
        <w:rPr>
          <w:rFonts w:ascii="Times New Roman" w:hAnsi="Times New Roman" w:cs="Times New Roman"/>
          <w:b/>
          <w:bCs/>
          <w:color w:val="000000" w:themeColor="text1"/>
          <w:sz w:val="24"/>
          <w:szCs w:val="24"/>
        </w:rPr>
      </w:pPr>
      <w:r w:rsidRPr="00FB7FB8">
        <w:rPr>
          <w:rFonts w:ascii="Times New Roman" w:hAnsi="Times New Roman" w:cs="Times New Roman"/>
          <w:b/>
          <w:bCs/>
          <w:color w:val="000000" w:themeColor="text1"/>
          <w:sz w:val="24"/>
          <w:szCs w:val="24"/>
        </w:rPr>
        <w:t>3.</w:t>
      </w:r>
      <w:r w:rsidR="00A602FD">
        <w:rPr>
          <w:rFonts w:ascii="Times New Roman" w:hAnsi="Times New Roman" w:cs="Times New Roman"/>
          <w:b/>
          <w:bCs/>
          <w:color w:val="000000" w:themeColor="text1"/>
          <w:sz w:val="24"/>
          <w:szCs w:val="24"/>
        </w:rPr>
        <w:t>5</w:t>
      </w:r>
      <w:r w:rsidRPr="00FB7FB8">
        <w:rPr>
          <w:rFonts w:ascii="Times New Roman" w:hAnsi="Times New Roman" w:cs="Times New Roman"/>
          <w:b/>
          <w:bCs/>
          <w:color w:val="000000" w:themeColor="text1"/>
          <w:sz w:val="24"/>
          <w:szCs w:val="24"/>
        </w:rPr>
        <w:t>. Consideración final</w:t>
      </w:r>
    </w:p>
    <w:p w14:paraId="1C065FA4" w14:textId="3C2C7AF3"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 xml:space="preserve">La evolución del valor probatorio de la confesión refleja el tránsito desde un modelo histórico que le atribuía una eficacia prácticamente decisoria hacia un sistema probatorio de carácter </w:t>
      </w:r>
      <w:r w:rsidR="00A602FD">
        <w:rPr>
          <w:rFonts w:ascii="Times New Roman" w:hAnsi="Times New Roman" w:cs="Times New Roman"/>
          <w:color w:val="000000" w:themeColor="text1"/>
          <w:sz w:val="24"/>
          <w:szCs w:val="24"/>
        </w:rPr>
        <w:t xml:space="preserve">más </w:t>
      </w:r>
      <w:r w:rsidRPr="00FB7FB8">
        <w:rPr>
          <w:rFonts w:ascii="Times New Roman" w:hAnsi="Times New Roman" w:cs="Times New Roman"/>
          <w:color w:val="000000" w:themeColor="text1"/>
          <w:sz w:val="24"/>
          <w:szCs w:val="24"/>
        </w:rPr>
        <w:t xml:space="preserve">garantista, en el que la confesión ha dejado de ocupar </w:t>
      </w:r>
      <w:r w:rsidR="00A602FD">
        <w:rPr>
          <w:rFonts w:ascii="Times New Roman" w:hAnsi="Times New Roman" w:cs="Times New Roman"/>
          <w:color w:val="000000" w:themeColor="text1"/>
          <w:sz w:val="24"/>
          <w:szCs w:val="24"/>
        </w:rPr>
        <w:t>la</w:t>
      </w:r>
      <w:r w:rsidRPr="00FB7FB8">
        <w:rPr>
          <w:rFonts w:ascii="Times New Roman" w:hAnsi="Times New Roman" w:cs="Times New Roman"/>
          <w:color w:val="000000" w:themeColor="text1"/>
          <w:sz w:val="24"/>
          <w:szCs w:val="24"/>
        </w:rPr>
        <w:t xml:space="preserve"> posición central. En el proceso penal actual, la confesión policial carece de valor probatorio autónomo y solo puede ser tomada en consideración de forma indirecta, cuando sus contenidos resultan corroborados por pruebas independientes practicadas en el juicio oral.</w:t>
      </w:r>
    </w:p>
    <w:p w14:paraId="72862BA4" w14:textId="005DF704" w:rsidR="00FB7FB8" w:rsidRPr="00FB7FB8" w:rsidRDefault="00FB7FB8" w:rsidP="00FB7FB8">
      <w:pPr>
        <w:spacing w:before="100" w:beforeAutospacing="1" w:after="100" w:afterAutospacing="1" w:line="360" w:lineRule="auto"/>
        <w:jc w:val="both"/>
        <w:rPr>
          <w:rFonts w:ascii="Times New Roman" w:hAnsi="Times New Roman" w:cs="Times New Roman"/>
          <w:color w:val="000000" w:themeColor="text1"/>
          <w:sz w:val="24"/>
          <w:szCs w:val="24"/>
        </w:rPr>
      </w:pPr>
      <w:r w:rsidRPr="00FB7FB8">
        <w:rPr>
          <w:rFonts w:ascii="Times New Roman" w:hAnsi="Times New Roman" w:cs="Times New Roman"/>
          <w:color w:val="000000" w:themeColor="text1"/>
          <w:sz w:val="24"/>
          <w:szCs w:val="24"/>
        </w:rPr>
        <w:t>Es</w:t>
      </w:r>
      <w:r w:rsidR="00A602FD">
        <w:rPr>
          <w:rFonts w:ascii="Times New Roman" w:hAnsi="Times New Roman" w:cs="Times New Roman"/>
          <w:color w:val="000000" w:themeColor="text1"/>
          <w:sz w:val="24"/>
          <w:szCs w:val="24"/>
        </w:rPr>
        <w:t>to ocurre</w:t>
      </w:r>
      <w:r w:rsidRPr="00FB7FB8">
        <w:rPr>
          <w:rFonts w:ascii="Times New Roman" w:hAnsi="Times New Roman" w:cs="Times New Roman"/>
          <w:color w:val="000000" w:themeColor="text1"/>
          <w:sz w:val="24"/>
          <w:szCs w:val="24"/>
        </w:rPr>
        <w:t xml:space="preserve">, entre otras razones, </w:t>
      </w:r>
      <w:r w:rsidR="00A602FD">
        <w:rPr>
          <w:rFonts w:ascii="Times New Roman" w:hAnsi="Times New Roman" w:cs="Times New Roman"/>
          <w:color w:val="000000" w:themeColor="text1"/>
          <w:sz w:val="24"/>
          <w:szCs w:val="24"/>
        </w:rPr>
        <w:t>debido al</w:t>
      </w:r>
      <w:r w:rsidRPr="00FB7FB8">
        <w:rPr>
          <w:rFonts w:ascii="Times New Roman" w:hAnsi="Times New Roman" w:cs="Times New Roman"/>
          <w:color w:val="000000" w:themeColor="text1"/>
          <w:sz w:val="24"/>
          <w:szCs w:val="24"/>
        </w:rPr>
        <w:t xml:space="preserve"> riesgo de</w:t>
      </w:r>
      <w:r w:rsidR="00A602FD">
        <w:rPr>
          <w:rFonts w:ascii="Times New Roman" w:hAnsi="Times New Roman" w:cs="Times New Roman"/>
          <w:color w:val="000000" w:themeColor="text1"/>
          <w:sz w:val="24"/>
          <w:szCs w:val="24"/>
        </w:rPr>
        <w:t xml:space="preserve"> obtener</w:t>
      </w:r>
      <w:r w:rsidRPr="00FB7FB8">
        <w:rPr>
          <w:rFonts w:ascii="Times New Roman" w:hAnsi="Times New Roman" w:cs="Times New Roman"/>
          <w:color w:val="000000" w:themeColor="text1"/>
          <w:sz w:val="24"/>
          <w:szCs w:val="24"/>
        </w:rPr>
        <w:t xml:space="preserve"> confesiones falsas, que pueden producirse por factores como la presión, el miedo o el agotamiento del detenido. La configuración actual del sistema probatorio pretende, así, conciliar la eficacia en la persecución de los delitos con la protección de los derechos del acusado y el respeto a la presunción de inocencia (Muñoz, 2015).</w:t>
      </w:r>
    </w:p>
    <w:p w14:paraId="28049029" w14:textId="77777777" w:rsidR="00FB7FB8" w:rsidRPr="00FB7FB8" w:rsidRDefault="00FB7FB8" w:rsidP="00FB7FB8">
      <w:pPr>
        <w:pStyle w:val="NormalWeb"/>
        <w:spacing w:line="360" w:lineRule="auto"/>
        <w:jc w:val="both"/>
      </w:pPr>
      <w:r w:rsidRPr="00FB7FB8">
        <w:rPr>
          <w:b/>
          <w:bCs/>
          <w:highlight w:val="cyan"/>
        </w:rPr>
        <w:t>5. Tipos de confesiones</w:t>
      </w:r>
      <w:r w:rsidRPr="00FB7FB8">
        <w:rPr>
          <w:b/>
          <w:bCs/>
        </w:rPr>
        <w:t xml:space="preserve"> </w:t>
      </w:r>
    </w:p>
    <w:p w14:paraId="7B0A6697" w14:textId="0EC303A7" w:rsidR="00FB7FB8" w:rsidRPr="007D644C" w:rsidRDefault="00FB7FB8" w:rsidP="00FB7FB8">
      <w:pPr>
        <w:pStyle w:val="NormalWeb"/>
        <w:spacing w:line="360" w:lineRule="auto"/>
        <w:jc w:val="both"/>
        <w:rPr>
          <w:color w:val="000000"/>
        </w:rPr>
      </w:pPr>
      <w:r w:rsidRPr="00FB7FB8">
        <w:rPr>
          <w:color w:val="000000"/>
        </w:rPr>
        <w:t>Desde una perspectiva psicológica, una confesión falsa se entiende como la admisión detallada de responsabilidad por un acto delictivo que el confesor no ha cometido realmente, constituyendo un fenómeno de especial relevancia en el estudio del interrogatorio policial y de los errores judiciales (</w:t>
      </w:r>
      <w:proofErr w:type="spellStart"/>
      <w:r w:rsidRPr="00FB7FB8">
        <w:rPr>
          <w:color w:val="000000"/>
        </w:rPr>
        <w:t>Kassin</w:t>
      </w:r>
      <w:proofErr w:type="spellEnd"/>
      <w:r w:rsidRPr="00FB7FB8">
        <w:rPr>
          <w:color w:val="000000"/>
        </w:rPr>
        <w:t xml:space="preserve"> &amp; </w:t>
      </w:r>
      <w:proofErr w:type="spellStart"/>
      <w:r w:rsidRPr="00FB7FB8">
        <w:rPr>
          <w:color w:val="000000"/>
        </w:rPr>
        <w:t>Gudjonsson</w:t>
      </w:r>
      <w:proofErr w:type="spellEnd"/>
      <w:r w:rsidRPr="00FB7FB8">
        <w:rPr>
          <w:color w:val="000000"/>
        </w:rPr>
        <w:t>, 2004).</w:t>
      </w:r>
      <w:r w:rsidR="007D644C">
        <w:rPr>
          <w:color w:val="000000"/>
        </w:rPr>
        <w:t xml:space="preserve"> </w:t>
      </w:r>
      <w:r w:rsidRPr="00FB7FB8">
        <w:rPr>
          <w:color w:val="000000" w:themeColor="text1"/>
        </w:rPr>
        <w:t xml:space="preserve">Se distinguen tres tipos principales de confesiones falsas: </w:t>
      </w:r>
      <w:r w:rsidR="007D644C">
        <w:rPr>
          <w:color w:val="000000" w:themeColor="text1"/>
        </w:rPr>
        <w:t>confesiones voluntarias, coaccionadas-complacientes, y coaccionadas-internalizadas.</w:t>
      </w:r>
    </w:p>
    <w:p w14:paraId="590E9A3A" w14:textId="77777777" w:rsidR="00FB7FB8" w:rsidRPr="00FB7FB8" w:rsidRDefault="00FB7FB8" w:rsidP="00FB7FB8">
      <w:pPr>
        <w:pStyle w:val="NormalWeb"/>
        <w:spacing w:line="360" w:lineRule="auto"/>
        <w:jc w:val="both"/>
        <w:rPr>
          <w:color w:val="000000"/>
        </w:rPr>
      </w:pPr>
      <w:r w:rsidRPr="00FB7FB8">
        <w:rPr>
          <w:rStyle w:val="Textoennegrita"/>
          <w:rFonts w:eastAsiaTheme="majorEastAsia"/>
          <w:color w:val="000000"/>
        </w:rPr>
        <w:t>5.1. Confesiones falsas voluntarias:</w:t>
      </w:r>
      <w:r w:rsidRPr="00FB7FB8">
        <w:rPr>
          <w:rStyle w:val="Textoennegrita"/>
          <w:rFonts w:eastAsiaTheme="majorEastAsia"/>
          <w:color w:val="000000"/>
        </w:rPr>
        <w:tab/>
      </w:r>
    </w:p>
    <w:p w14:paraId="203F8827" w14:textId="77777777" w:rsidR="00FB7FB8" w:rsidRPr="00581F92" w:rsidRDefault="00FB7FB8" w:rsidP="00FB7FB8">
      <w:pPr>
        <w:pStyle w:val="NormalWeb"/>
        <w:spacing w:line="360" w:lineRule="auto"/>
        <w:jc w:val="both"/>
        <w:rPr>
          <w:color w:val="000000"/>
        </w:rPr>
      </w:pPr>
      <w:r w:rsidRPr="00581F92">
        <w:rPr>
          <w:color w:val="000000"/>
        </w:rPr>
        <w:lastRenderedPageBreak/>
        <w:t>Las confesiones falsas voluntarias se producen cuando personas inocentes reconocen haber cometido un delito sin que exista una presión policial significativa durante el proceso de interrogatorio</w:t>
      </w:r>
      <w:r w:rsidRPr="00581F92">
        <w:rPr>
          <w:rStyle w:val="apple-converted-space"/>
          <w:rFonts w:eastAsiaTheme="majorEastAsia"/>
          <w:color w:val="000000"/>
        </w:rPr>
        <w:t> </w:t>
      </w:r>
      <w:r w:rsidRPr="00581F92">
        <w:rPr>
          <w:rStyle w:val="Textoennegrita"/>
          <w:rFonts w:eastAsiaTheme="majorEastAsia"/>
          <w:b w:val="0"/>
          <w:bCs w:val="0"/>
          <w:color w:val="000000"/>
        </w:rPr>
        <w:t>(</w:t>
      </w:r>
      <w:proofErr w:type="spellStart"/>
      <w:r w:rsidRPr="00581F92">
        <w:rPr>
          <w:rStyle w:val="Textoennegrita"/>
          <w:rFonts w:eastAsiaTheme="majorEastAsia"/>
          <w:b w:val="0"/>
          <w:bCs w:val="0"/>
          <w:color w:val="000000"/>
        </w:rPr>
        <w:t>Navamuel</w:t>
      </w:r>
      <w:proofErr w:type="spellEnd"/>
      <w:r w:rsidRPr="00581F92">
        <w:rPr>
          <w:rStyle w:val="Textoennegrita"/>
          <w:rFonts w:eastAsiaTheme="majorEastAsia"/>
          <w:b w:val="0"/>
          <w:bCs w:val="0"/>
          <w:color w:val="000000"/>
        </w:rPr>
        <w:t xml:space="preserve"> &amp; López, 2017; </w:t>
      </w:r>
      <w:proofErr w:type="spellStart"/>
      <w:r w:rsidRPr="00581F92">
        <w:rPr>
          <w:rStyle w:val="Textoennegrita"/>
          <w:rFonts w:eastAsiaTheme="majorEastAsia"/>
          <w:b w:val="0"/>
          <w:bCs w:val="0"/>
          <w:color w:val="000000"/>
        </w:rPr>
        <w:t>Gudjonsson</w:t>
      </w:r>
      <w:proofErr w:type="spellEnd"/>
      <w:r w:rsidRPr="00581F92">
        <w:rPr>
          <w:rStyle w:val="Textoennegrita"/>
          <w:rFonts w:eastAsiaTheme="majorEastAsia"/>
          <w:b w:val="0"/>
          <w:bCs w:val="0"/>
          <w:color w:val="000000"/>
        </w:rPr>
        <w:t>, 2003)</w:t>
      </w:r>
      <w:r w:rsidRPr="00581F92">
        <w:rPr>
          <w:color w:val="000000"/>
        </w:rPr>
        <w:t>. En estos casos, la iniciativa de la confesión parte del propio individuo, que no actúa como respuesta directa a técnicas coercitivas o persuasivas por parte de las fuerzas de seguridad.</w:t>
      </w:r>
    </w:p>
    <w:p w14:paraId="62FEB06A" w14:textId="3119A6B0" w:rsidR="00FB7FB8" w:rsidRPr="00581F92" w:rsidRDefault="00FB7FB8" w:rsidP="00FB7FB8">
      <w:pPr>
        <w:pStyle w:val="NormalWeb"/>
        <w:spacing w:line="360" w:lineRule="auto"/>
        <w:jc w:val="both"/>
        <w:rPr>
          <w:color w:val="5B9BD5" w:themeColor="accent5"/>
        </w:rPr>
      </w:pPr>
      <w:r w:rsidRPr="00581F92">
        <w:rPr>
          <w:color w:val="000000"/>
        </w:rPr>
        <w:t xml:space="preserve">Habitualmente, estas personas acuden de manera espontánea a dependencias policiales y </w:t>
      </w:r>
      <w:r w:rsidR="00581F92">
        <w:rPr>
          <w:color w:val="000000"/>
        </w:rPr>
        <w:t>confiesan</w:t>
      </w:r>
      <w:r w:rsidRPr="00581F92">
        <w:rPr>
          <w:color w:val="000000"/>
        </w:rPr>
        <w:t xml:space="preserve"> su implicación en un delito. En muchos casos, el conocimiento del hecho delictivo procede de fuentes como </w:t>
      </w:r>
      <w:r w:rsidR="00581F92">
        <w:rPr>
          <w:color w:val="000000"/>
        </w:rPr>
        <w:t>los</w:t>
      </w:r>
      <w:r w:rsidRPr="00581F92">
        <w:rPr>
          <w:color w:val="000000"/>
        </w:rPr>
        <w:t xml:space="preserve"> medios de comunicación. En otros casos, puede suceder que el delito no haya llegado siquiera a producirse, y que la persona esté proporcionando información falsa de forma voluntaria</w:t>
      </w:r>
      <w:r w:rsidR="00581F92" w:rsidRPr="00581F92">
        <w:rPr>
          <w:rStyle w:val="Textoennegrita"/>
          <w:rFonts w:eastAsiaTheme="majorEastAsia"/>
          <w:b w:val="0"/>
          <w:bCs w:val="0"/>
          <w:color w:val="000000"/>
        </w:rPr>
        <w:t xml:space="preserve"> </w:t>
      </w:r>
      <w:r w:rsidRPr="00581F92">
        <w:rPr>
          <w:rStyle w:val="Textoennegrita"/>
          <w:rFonts w:eastAsiaTheme="majorEastAsia"/>
          <w:b w:val="0"/>
          <w:bCs w:val="0"/>
          <w:color w:val="000000"/>
        </w:rPr>
        <w:t>(</w:t>
      </w:r>
      <w:proofErr w:type="spellStart"/>
      <w:r w:rsidRPr="00581F92">
        <w:rPr>
          <w:rStyle w:val="Textoennegrita"/>
          <w:rFonts w:eastAsiaTheme="majorEastAsia"/>
          <w:b w:val="0"/>
          <w:bCs w:val="0"/>
          <w:color w:val="000000"/>
        </w:rPr>
        <w:t>Gudjonsson</w:t>
      </w:r>
      <w:proofErr w:type="spellEnd"/>
      <w:r w:rsidRPr="00581F92">
        <w:rPr>
          <w:rStyle w:val="Textoennegrita"/>
          <w:rFonts w:eastAsiaTheme="majorEastAsia"/>
          <w:b w:val="0"/>
          <w:bCs w:val="0"/>
          <w:color w:val="000000"/>
        </w:rPr>
        <w:t>, 2003)</w:t>
      </w:r>
      <w:r w:rsidRPr="00581F92">
        <w:rPr>
          <w:color w:val="000000"/>
        </w:rPr>
        <w:t>. Este tipo de confesiones se asocia principalmente a procesos de presión interna, más que a factores externos. Por este motivo, las confesiones falsas voluntarias aparecen con mayor frecuencia en individuos que presentan algún tipo de trastorno mental o alteración psicológica. Desde esta perspectiva, se ha propuesto que este fenómeno puede originarse en distintos procesos psicopatológicos, entre los que destacan la pérdida de la capacidad para contrastar la realidad, la presencia de sintomatología depresiva y una marcada necesidad de notoriedad o reconocimiento social. Estos elementos, que suelen interactuar entre sí, pueden favorecer que la persona llegue a autoinculparse de hechos que no ha cometido</w:t>
      </w:r>
      <w:r w:rsidRPr="00581F92">
        <w:rPr>
          <w:rStyle w:val="apple-converted-space"/>
          <w:rFonts w:eastAsiaTheme="majorEastAsia"/>
          <w:color w:val="000000"/>
        </w:rPr>
        <w:t> </w:t>
      </w:r>
      <w:r w:rsidRPr="00581F92">
        <w:rPr>
          <w:rStyle w:val="Textoennegrita"/>
          <w:rFonts w:eastAsiaTheme="majorEastAsia"/>
          <w:b w:val="0"/>
          <w:bCs w:val="0"/>
          <w:color w:val="000000"/>
        </w:rPr>
        <w:t>(Green, 2023)</w:t>
      </w:r>
      <w:r w:rsidRPr="00581F92">
        <w:rPr>
          <w:color w:val="000000"/>
        </w:rPr>
        <w:t>.</w:t>
      </w:r>
    </w:p>
    <w:p w14:paraId="5FC2B290" w14:textId="77777777" w:rsidR="00FB7FB8" w:rsidRPr="00FB7FB8" w:rsidRDefault="00FB7FB8" w:rsidP="00FB7FB8">
      <w:pPr>
        <w:pStyle w:val="NormalWeb"/>
        <w:spacing w:line="360" w:lineRule="auto"/>
        <w:jc w:val="both"/>
        <w:rPr>
          <w:rStyle w:val="Textoennegrita"/>
          <w:rFonts w:eastAsiaTheme="majorEastAsia"/>
          <w:color w:val="000000"/>
        </w:rPr>
      </w:pPr>
      <w:r w:rsidRPr="00FB7FB8">
        <w:rPr>
          <w:rStyle w:val="Textoennegrita"/>
          <w:rFonts w:eastAsiaTheme="majorEastAsia"/>
          <w:color w:val="000000"/>
        </w:rPr>
        <w:t>5.1.1. Factores explicativos de las confesiones falsas voluntarias:</w:t>
      </w:r>
    </w:p>
    <w:p w14:paraId="11B50302" w14:textId="168BBCDA" w:rsidR="00581F92" w:rsidRPr="00581F92" w:rsidRDefault="00581F92" w:rsidP="00581F92">
      <w:pPr>
        <w:pStyle w:val="NormalWeb"/>
        <w:spacing w:line="360" w:lineRule="auto"/>
        <w:jc w:val="both"/>
        <w:rPr>
          <w:color w:val="000000"/>
        </w:rPr>
      </w:pPr>
      <w:r w:rsidRPr="00581F92">
        <w:rPr>
          <w:color w:val="000000"/>
        </w:rPr>
        <w:t xml:space="preserve">La literatura ha identificado diversos factores que permiten explicar por qué algunas personas llegan a </w:t>
      </w:r>
      <w:r>
        <w:rPr>
          <w:color w:val="000000"/>
        </w:rPr>
        <w:t>dar</w:t>
      </w:r>
      <w:r w:rsidRPr="00581F92">
        <w:rPr>
          <w:color w:val="000000"/>
        </w:rPr>
        <w:t xml:space="preserve"> confesiones falsas de manera voluntaria, </w:t>
      </w:r>
      <w:r>
        <w:rPr>
          <w:color w:val="000000"/>
        </w:rPr>
        <w:t>es decir</w:t>
      </w:r>
      <w:r w:rsidRPr="00581F92">
        <w:rPr>
          <w:color w:val="000000"/>
        </w:rPr>
        <w:t>, sin que medie una presión policial directa durante el interrogatorio. Se trata</w:t>
      </w:r>
      <w:r>
        <w:rPr>
          <w:color w:val="000000"/>
        </w:rPr>
        <w:t xml:space="preserve"> </w:t>
      </w:r>
      <w:r w:rsidRPr="00581F92">
        <w:rPr>
          <w:color w:val="000000"/>
        </w:rPr>
        <w:t>de motivaciones internas de carácter psicológico, emocional o relacional que influyen en la decisión de autoinculparse de hechos que no se han cometido.</w:t>
      </w:r>
    </w:p>
    <w:p w14:paraId="2ADA8278" w14:textId="77777777" w:rsidR="00581F92" w:rsidRDefault="00581F92" w:rsidP="00581F92">
      <w:pPr>
        <w:pStyle w:val="NormalWeb"/>
        <w:spacing w:line="360" w:lineRule="auto"/>
        <w:jc w:val="both"/>
        <w:rPr>
          <w:color w:val="000000"/>
        </w:rPr>
      </w:pPr>
      <w:r w:rsidRPr="00581F92">
        <w:rPr>
          <w:color w:val="000000"/>
        </w:rPr>
        <w:t>Uno de los factores más frecuentemente señalados es el</w:t>
      </w:r>
      <w:r w:rsidRPr="00581F92">
        <w:t> deseo de notoriedad o reconocimiento social</w:t>
      </w:r>
      <w:r w:rsidRPr="00581F92">
        <w:rPr>
          <w:color w:val="000000"/>
        </w:rPr>
        <w:t>. En estos casos, la confesión falsa se vincula a una necesidad de visibilidad</w:t>
      </w:r>
      <w:r>
        <w:rPr>
          <w:color w:val="000000"/>
        </w:rPr>
        <w:t>, donde e</w:t>
      </w:r>
      <w:r w:rsidRPr="00581F92">
        <w:rPr>
          <w:color w:val="000000"/>
        </w:rPr>
        <w:t xml:space="preserve">l individuo busca reforzar su autoestima o dotarse de una identidad, incluso a costa de asumir un rol socialmente negativo. La adquisición de una identidad pública puede resultar psicológicamente más tolerable que el anonimato, especialmente en personas con sentimientos de inadecuación personal. Esta motivación ha sido descrita </w:t>
      </w:r>
      <w:r w:rsidRPr="00581F92">
        <w:rPr>
          <w:color w:val="000000"/>
        </w:rPr>
        <w:lastRenderedPageBreak/>
        <w:t>tanto en estudios clínicos como en análisis de casos mediáticos, en los que incluso se han registrado situaciones en las que múltiples personas llegan a confesar un mismo delito de forma espontánea (</w:t>
      </w:r>
      <w:proofErr w:type="spellStart"/>
      <w:r w:rsidRPr="00581F92">
        <w:rPr>
          <w:color w:val="000000"/>
        </w:rPr>
        <w:t>Gudjonsson</w:t>
      </w:r>
      <w:proofErr w:type="spellEnd"/>
      <w:r w:rsidRPr="00581F92">
        <w:rPr>
          <w:color w:val="000000"/>
        </w:rPr>
        <w:t xml:space="preserve">, 2003; </w:t>
      </w:r>
      <w:proofErr w:type="spellStart"/>
      <w:r w:rsidRPr="00581F92">
        <w:rPr>
          <w:color w:val="000000"/>
        </w:rPr>
        <w:t>Kassin</w:t>
      </w:r>
      <w:proofErr w:type="spellEnd"/>
      <w:r w:rsidRPr="00581F92">
        <w:rPr>
          <w:color w:val="000000"/>
        </w:rPr>
        <w:t xml:space="preserve"> &amp; </w:t>
      </w:r>
      <w:proofErr w:type="spellStart"/>
      <w:r w:rsidRPr="00581F92">
        <w:rPr>
          <w:color w:val="000000"/>
        </w:rPr>
        <w:t>Gudjonsson</w:t>
      </w:r>
      <w:proofErr w:type="spellEnd"/>
      <w:r w:rsidRPr="00581F92">
        <w:rPr>
          <w:color w:val="000000"/>
        </w:rPr>
        <w:t>, 2004; Green, 2023).</w:t>
      </w:r>
      <w:r>
        <w:rPr>
          <w:color w:val="000000"/>
        </w:rPr>
        <w:t xml:space="preserve"> </w:t>
      </w:r>
    </w:p>
    <w:p w14:paraId="237E6366" w14:textId="42B813C0" w:rsidR="00581F92" w:rsidRDefault="00581F92" w:rsidP="00581F92">
      <w:pPr>
        <w:pStyle w:val="NormalWeb"/>
        <w:spacing w:line="360" w:lineRule="auto"/>
        <w:jc w:val="both"/>
        <w:rPr>
          <w:color w:val="000000"/>
        </w:rPr>
      </w:pPr>
      <w:r w:rsidRPr="00581F92">
        <w:rPr>
          <w:color w:val="000000"/>
        </w:rPr>
        <w:t>Otro motivo relevante es la</w:t>
      </w:r>
      <w:r w:rsidRPr="00581F92">
        <w:t> necesidad de autocastigo o expiación de sentimientos de culpa</w:t>
      </w:r>
      <w:r w:rsidRPr="00581F92">
        <w:rPr>
          <w:color w:val="000000"/>
        </w:rPr>
        <w:t>. Algunas personas presentan una culpa persistente, derivada de experiencias pasadas reales o imaginadas</w:t>
      </w:r>
      <w:r>
        <w:rPr>
          <w:color w:val="000000"/>
        </w:rPr>
        <w:t xml:space="preserve">. </w:t>
      </w:r>
      <w:r w:rsidRPr="00581F92">
        <w:rPr>
          <w:color w:val="000000"/>
        </w:rPr>
        <w:t>En estos supuestos, la confesión falsa puede funcionar como un mecanismo de alivio psicológico o castigo personal, al permitir al individuo canalizar ese sentimiento de culpa difusa mediante la asunción de una responsabilidad penal inexistente (</w:t>
      </w:r>
      <w:proofErr w:type="spellStart"/>
      <w:r w:rsidRPr="00581F92">
        <w:rPr>
          <w:color w:val="000000"/>
        </w:rPr>
        <w:t>Gudjonsson</w:t>
      </w:r>
      <w:proofErr w:type="spellEnd"/>
      <w:r w:rsidRPr="00581F92">
        <w:rPr>
          <w:color w:val="000000"/>
        </w:rPr>
        <w:t xml:space="preserve">, 2003; </w:t>
      </w:r>
      <w:proofErr w:type="spellStart"/>
      <w:r w:rsidRPr="00581F92">
        <w:rPr>
          <w:color w:val="000000"/>
        </w:rPr>
        <w:t>Kassin</w:t>
      </w:r>
      <w:proofErr w:type="spellEnd"/>
      <w:r w:rsidRPr="00581F92">
        <w:rPr>
          <w:color w:val="000000"/>
        </w:rPr>
        <w:t xml:space="preserve"> &amp; </w:t>
      </w:r>
      <w:proofErr w:type="spellStart"/>
      <w:r w:rsidRPr="00581F92">
        <w:rPr>
          <w:color w:val="000000"/>
        </w:rPr>
        <w:t>Gudjonsson</w:t>
      </w:r>
      <w:proofErr w:type="spellEnd"/>
      <w:r w:rsidRPr="00581F92">
        <w:rPr>
          <w:color w:val="000000"/>
        </w:rPr>
        <w:t>, 2004).</w:t>
      </w:r>
      <w:r>
        <w:rPr>
          <w:color w:val="000000"/>
        </w:rPr>
        <w:t xml:space="preserve"> </w:t>
      </w:r>
    </w:p>
    <w:p w14:paraId="759B1D19" w14:textId="4C16CEBF" w:rsidR="00581F92" w:rsidRPr="00581F92" w:rsidRDefault="00581F92" w:rsidP="00581F92">
      <w:pPr>
        <w:pStyle w:val="NormalWeb"/>
        <w:spacing w:line="360" w:lineRule="auto"/>
        <w:jc w:val="both"/>
        <w:rPr>
          <w:color w:val="000000"/>
        </w:rPr>
      </w:pPr>
      <w:r w:rsidRPr="00581F92">
        <w:rPr>
          <w:color w:val="000000"/>
        </w:rPr>
        <w:t>Asimismo, se ha señalado la</w:t>
      </w:r>
      <w:r w:rsidRPr="00581F92">
        <w:t> dificultad para distinguir entre la realidad y la fantasía </w:t>
      </w:r>
      <w:r w:rsidRPr="00581F92">
        <w:rPr>
          <w:color w:val="000000"/>
        </w:rPr>
        <w:t>como un factor explicativo relevante. En estos casos, la persona presenta déficits en la evaluación de la realidad, lo que le impide diferenciar con claridad entre acontecimientos realmente vividos y contenidos generados por su imaginación, pensamientos intrusivos o narrativas internas. Este fenómeno aparece con mayor frecuencia en personas con trastornos mentales graves, como la esquizofrenia u otros trastornos psicóticos, en los que las distorsiones perceptivas pueden llevar al individuo a desarrollar la creencia errónea de haber cometido un delito, dando lugar a confesiones falsas (</w:t>
      </w:r>
      <w:proofErr w:type="spellStart"/>
      <w:r w:rsidRPr="00581F92">
        <w:rPr>
          <w:color w:val="000000"/>
        </w:rPr>
        <w:t>Gudjonsson</w:t>
      </w:r>
      <w:proofErr w:type="spellEnd"/>
      <w:r w:rsidRPr="00581F92">
        <w:rPr>
          <w:color w:val="000000"/>
        </w:rPr>
        <w:t xml:space="preserve">, 2003; </w:t>
      </w:r>
      <w:proofErr w:type="spellStart"/>
      <w:r w:rsidRPr="00581F92">
        <w:rPr>
          <w:color w:val="000000"/>
        </w:rPr>
        <w:t>Kassin</w:t>
      </w:r>
      <w:proofErr w:type="spellEnd"/>
      <w:r w:rsidRPr="00581F92">
        <w:rPr>
          <w:color w:val="000000"/>
        </w:rPr>
        <w:t xml:space="preserve"> &amp; </w:t>
      </w:r>
      <w:proofErr w:type="spellStart"/>
      <w:r w:rsidRPr="00581F92">
        <w:rPr>
          <w:color w:val="000000"/>
        </w:rPr>
        <w:t>Gudjonsson</w:t>
      </w:r>
      <w:proofErr w:type="spellEnd"/>
      <w:r w:rsidRPr="00581F92">
        <w:rPr>
          <w:color w:val="000000"/>
        </w:rPr>
        <w:t>, 2004; Green, 2023).</w:t>
      </w:r>
    </w:p>
    <w:p w14:paraId="5AB85133" w14:textId="6698DB8F" w:rsidR="00581F92" w:rsidRPr="00581F92" w:rsidRDefault="00581F92" w:rsidP="00581F92">
      <w:pPr>
        <w:pStyle w:val="NormalWeb"/>
        <w:spacing w:line="360" w:lineRule="auto"/>
        <w:jc w:val="both"/>
        <w:rPr>
          <w:color w:val="000000"/>
        </w:rPr>
      </w:pPr>
      <w:r w:rsidRPr="00581F92">
        <w:rPr>
          <w:color w:val="000000"/>
        </w:rPr>
        <w:t>Otro factor identificado es el</w:t>
      </w:r>
      <w:r w:rsidRPr="00581F92">
        <w:t> deseo de proteger a otra persona</w:t>
      </w:r>
      <w:r w:rsidRPr="00581F92">
        <w:rPr>
          <w:color w:val="000000"/>
        </w:rPr>
        <w:t>, generalmente al verdadero autor del delito. En estos casos la confesión falsa se utiliza como un mecanismo de lealtad, sacrificio o protección hacia terceros con los que existe un vínculo afectivo significativo. Aunque este tipo de motivación aparece con mayor frecuencia en delitos de menor gravedad, la doctrina ha documentado también su presencia, de forma excepcional, en infracciones penales graves (</w:t>
      </w:r>
      <w:proofErr w:type="spellStart"/>
      <w:r w:rsidRPr="00581F92">
        <w:rPr>
          <w:color w:val="000000"/>
        </w:rPr>
        <w:t>Gudjonsson</w:t>
      </w:r>
      <w:proofErr w:type="spellEnd"/>
      <w:r w:rsidRPr="00581F92">
        <w:rPr>
          <w:color w:val="000000"/>
        </w:rPr>
        <w:t xml:space="preserve">, 2003; </w:t>
      </w:r>
      <w:proofErr w:type="spellStart"/>
      <w:r w:rsidRPr="00581F92">
        <w:rPr>
          <w:color w:val="000000"/>
        </w:rPr>
        <w:t>Navamuel</w:t>
      </w:r>
      <w:proofErr w:type="spellEnd"/>
      <w:r w:rsidRPr="00581F92">
        <w:rPr>
          <w:color w:val="000000"/>
        </w:rPr>
        <w:t xml:space="preserve"> &amp; López, 2017; </w:t>
      </w:r>
      <w:proofErr w:type="spellStart"/>
      <w:r w:rsidRPr="00581F92">
        <w:rPr>
          <w:color w:val="000000"/>
        </w:rPr>
        <w:t>Kassin</w:t>
      </w:r>
      <w:proofErr w:type="spellEnd"/>
      <w:r w:rsidRPr="00581F92">
        <w:rPr>
          <w:color w:val="000000"/>
        </w:rPr>
        <w:t xml:space="preserve"> &amp; </w:t>
      </w:r>
      <w:proofErr w:type="spellStart"/>
      <w:r w:rsidRPr="00581F92">
        <w:rPr>
          <w:color w:val="000000"/>
        </w:rPr>
        <w:t>Gudjonsson</w:t>
      </w:r>
      <w:proofErr w:type="spellEnd"/>
      <w:r w:rsidRPr="00581F92">
        <w:rPr>
          <w:color w:val="000000"/>
        </w:rPr>
        <w:t>, 2004).</w:t>
      </w:r>
    </w:p>
    <w:p w14:paraId="194C7449" w14:textId="0E07AA74" w:rsidR="007D644C" w:rsidRPr="00FB7FB8" w:rsidRDefault="00581F92" w:rsidP="00FB7FB8">
      <w:pPr>
        <w:pStyle w:val="NormalWeb"/>
        <w:spacing w:line="360" w:lineRule="auto"/>
        <w:jc w:val="both"/>
        <w:rPr>
          <w:color w:val="000000"/>
        </w:rPr>
      </w:pPr>
      <w:r w:rsidRPr="00581F92">
        <w:rPr>
          <w:color w:val="000000"/>
        </w:rPr>
        <w:t>Por último, los</w:t>
      </w:r>
      <w:r w:rsidRPr="00581F92">
        <w:t> estados depresivos graves</w:t>
      </w:r>
      <w:r w:rsidRPr="00581F92">
        <w:rPr>
          <w:color w:val="000000"/>
        </w:rPr>
        <w:t xml:space="preserve">, especialmente cuando se acompañan de sintomatología psicótica, pueden favorecer la aparición de confesiones falsas voluntarias. En estos </w:t>
      </w:r>
      <w:r w:rsidR="002A4957">
        <w:rPr>
          <w:color w:val="000000"/>
        </w:rPr>
        <w:t>casos</w:t>
      </w:r>
      <w:r w:rsidRPr="00581F92">
        <w:rPr>
          <w:color w:val="000000"/>
        </w:rPr>
        <w:t xml:space="preserve"> la confesión suele estar motivada por sentimientos de culpa </w:t>
      </w:r>
      <w:r w:rsidR="002A4957">
        <w:rPr>
          <w:color w:val="000000"/>
        </w:rPr>
        <w:t>muy</w:t>
      </w:r>
      <w:r w:rsidRPr="00581F92">
        <w:rPr>
          <w:color w:val="000000"/>
        </w:rPr>
        <w:t xml:space="preserve"> intensos, que el individuo proyecta sobre situaciones actuales. En la depresión psicótica, estos sentimientos suelen vincularse a hechos reales del pasado, lo que genera una percepción </w:t>
      </w:r>
      <w:r w:rsidRPr="00581F92">
        <w:rPr>
          <w:color w:val="000000"/>
        </w:rPr>
        <w:lastRenderedPageBreak/>
        <w:t>distorsionada de responsabilidad y puede llevar a la persona a autoinculparse de delitos que no ha cometido (</w:t>
      </w:r>
      <w:proofErr w:type="spellStart"/>
      <w:r w:rsidRPr="00581F92">
        <w:rPr>
          <w:color w:val="000000"/>
        </w:rPr>
        <w:t>Gudjonsson</w:t>
      </w:r>
      <w:proofErr w:type="spellEnd"/>
      <w:r w:rsidRPr="00581F92">
        <w:rPr>
          <w:color w:val="000000"/>
        </w:rPr>
        <w:t>, 2003; Green, 2023).</w:t>
      </w:r>
    </w:p>
    <w:p w14:paraId="00F3C19F" w14:textId="77777777" w:rsidR="00FB7FB8" w:rsidRPr="00FB7FB8" w:rsidRDefault="00FB7FB8" w:rsidP="00FB7FB8">
      <w:pPr>
        <w:pStyle w:val="NormalWeb"/>
        <w:spacing w:line="360" w:lineRule="auto"/>
        <w:jc w:val="both"/>
        <w:rPr>
          <w:b/>
          <w:bCs/>
          <w:color w:val="000000"/>
        </w:rPr>
      </w:pPr>
      <w:r w:rsidRPr="00FB7FB8">
        <w:rPr>
          <w:b/>
          <w:bCs/>
          <w:color w:val="000000"/>
        </w:rPr>
        <w:t>5.2. Confesiones falsas coaccionadas–complacientes:</w:t>
      </w:r>
    </w:p>
    <w:p w14:paraId="22579F98" w14:textId="3427EF6B" w:rsidR="00FB7FB8" w:rsidRPr="00FB7FB8" w:rsidRDefault="00FB7FB8" w:rsidP="00FB7FB8">
      <w:pPr>
        <w:pStyle w:val="NormalWeb"/>
        <w:spacing w:line="360" w:lineRule="auto"/>
        <w:jc w:val="both"/>
        <w:rPr>
          <w:color w:val="000000"/>
        </w:rPr>
      </w:pPr>
      <w:r w:rsidRPr="00FB7FB8">
        <w:rPr>
          <w:color w:val="000000"/>
        </w:rPr>
        <w:t xml:space="preserve">Las confesiones falsas coaccionadas–complacientes son </w:t>
      </w:r>
      <w:r w:rsidR="002A4957">
        <w:rPr>
          <w:color w:val="000000"/>
        </w:rPr>
        <w:t>las</w:t>
      </w:r>
      <w:r w:rsidRPr="00FB7FB8">
        <w:rPr>
          <w:color w:val="000000"/>
        </w:rPr>
        <w:t xml:space="preserve"> que se producen como consecuencia directa de las presiones o del carácter coercitivo del proceso de interrogatorio (</w:t>
      </w:r>
      <w:proofErr w:type="spellStart"/>
      <w:r w:rsidRPr="00FB7FB8">
        <w:rPr>
          <w:color w:val="000000"/>
        </w:rPr>
        <w:t>Gudjonsson</w:t>
      </w:r>
      <w:proofErr w:type="spellEnd"/>
      <w:r w:rsidRPr="00FB7FB8">
        <w:rPr>
          <w:color w:val="000000"/>
        </w:rPr>
        <w:t>, 2003). En estos casos, los sospechosos son inducidos a confesar delitos que no han cometido a lo largo del interrogatorio policial, sin que la confesión sea el resultado de una aceptación voluntaria de culpabilidad, sino de la necesidad de responder a una situación percibida como altamente aversiva (</w:t>
      </w:r>
      <w:proofErr w:type="spellStart"/>
      <w:r w:rsidRPr="00FB7FB8">
        <w:rPr>
          <w:color w:val="000000"/>
        </w:rPr>
        <w:t>Navamuel</w:t>
      </w:r>
      <w:proofErr w:type="spellEnd"/>
      <w:r w:rsidRPr="00FB7FB8">
        <w:rPr>
          <w:color w:val="000000"/>
        </w:rPr>
        <w:t xml:space="preserve"> &amp; López, 2017).</w:t>
      </w:r>
    </w:p>
    <w:p w14:paraId="4F5A44D6" w14:textId="34B88F55" w:rsidR="00FB7FB8" w:rsidRPr="00FB7FB8" w:rsidRDefault="00FB7FB8" w:rsidP="00FB7FB8">
      <w:pPr>
        <w:pStyle w:val="NormalWeb"/>
        <w:spacing w:line="360" w:lineRule="auto"/>
        <w:jc w:val="both"/>
        <w:rPr>
          <w:color w:val="000000"/>
        </w:rPr>
      </w:pPr>
      <w:r w:rsidRPr="00FB7FB8">
        <w:rPr>
          <w:color w:val="000000" w:themeColor="text1"/>
        </w:rPr>
        <w:t xml:space="preserve">Desde una perspectiva psicológica, </w:t>
      </w:r>
      <w:proofErr w:type="spellStart"/>
      <w:r w:rsidRPr="00FB7FB8">
        <w:rPr>
          <w:color w:val="000000" w:themeColor="text1"/>
        </w:rPr>
        <w:t>Kassin</w:t>
      </w:r>
      <w:proofErr w:type="spellEnd"/>
      <w:r w:rsidRPr="00FB7FB8">
        <w:rPr>
          <w:color w:val="000000" w:themeColor="text1"/>
        </w:rPr>
        <w:t xml:space="preserve"> y </w:t>
      </w:r>
      <w:proofErr w:type="spellStart"/>
      <w:r w:rsidRPr="00FB7FB8">
        <w:rPr>
          <w:color w:val="000000" w:themeColor="text1"/>
        </w:rPr>
        <w:t>Gudjonsson</w:t>
      </w:r>
      <w:proofErr w:type="spellEnd"/>
      <w:r w:rsidRPr="00FB7FB8">
        <w:rPr>
          <w:color w:val="000000" w:themeColor="text1"/>
        </w:rPr>
        <w:t xml:space="preserve"> (2004) explican que este tipo de confesión constituye un acto de cumplimiento externo, en el que el individuo llega a considerar que los beneficios inmediatos de confesar superan los costes a largo plazo de mantener la negación. </w:t>
      </w:r>
      <w:r w:rsidR="002A4957" w:rsidRPr="00FB7FB8">
        <w:rPr>
          <w:color w:val="000000"/>
        </w:rPr>
        <w:t>A diferencia de otros tipos de confesiones falsas, en las confesiones coaccionadas–complacientes el individuo no confiesa de manera espontánea, sino que acaba cediendo a las exigencias y presiones ejercidas por los interrogadores con el objetivo de obtener algún beneficio instrumental inmediato (</w:t>
      </w:r>
      <w:proofErr w:type="spellStart"/>
      <w:r w:rsidR="002A4957" w:rsidRPr="00FB7FB8">
        <w:rPr>
          <w:color w:val="000000"/>
        </w:rPr>
        <w:t>Gudjonsson</w:t>
      </w:r>
      <w:proofErr w:type="spellEnd"/>
      <w:r w:rsidR="002A4957" w:rsidRPr="00FB7FB8">
        <w:rPr>
          <w:color w:val="000000"/>
        </w:rPr>
        <w:t xml:space="preserve">, 2003). </w:t>
      </w:r>
      <w:r w:rsidRPr="00FB7FB8">
        <w:rPr>
          <w:color w:val="000000" w:themeColor="text1"/>
        </w:rPr>
        <w:t xml:space="preserve">La confesión </w:t>
      </w:r>
      <w:r w:rsidR="002A4957">
        <w:rPr>
          <w:color w:val="000000" w:themeColor="text1"/>
        </w:rPr>
        <w:t>se utiliza</w:t>
      </w:r>
      <w:r w:rsidRPr="00FB7FB8">
        <w:rPr>
          <w:color w:val="000000" w:themeColor="text1"/>
        </w:rPr>
        <w:t xml:space="preserve"> como una estrategia instrumental </w:t>
      </w:r>
      <w:r w:rsidR="002A4957">
        <w:rPr>
          <w:color w:val="000000" w:themeColor="text1"/>
        </w:rPr>
        <w:t>destinada</w:t>
      </w:r>
      <w:r w:rsidRPr="00FB7FB8">
        <w:rPr>
          <w:color w:val="000000" w:themeColor="text1"/>
        </w:rPr>
        <w:t xml:space="preserve"> a poner fin al interrogatorio, evitar amenazas, o acceder a recompensas ofrecidas durante la entrevista policial</w:t>
      </w:r>
      <w:r w:rsidR="002A4957">
        <w:rPr>
          <w:color w:val="000000" w:themeColor="text1"/>
        </w:rPr>
        <w:t xml:space="preserve"> </w:t>
      </w:r>
      <w:r w:rsidR="002A4957" w:rsidRPr="00FB7FB8">
        <w:rPr>
          <w:color w:val="000000"/>
        </w:rPr>
        <w:t>(</w:t>
      </w:r>
      <w:proofErr w:type="spellStart"/>
      <w:r w:rsidR="002A4957" w:rsidRPr="00FB7FB8">
        <w:rPr>
          <w:color w:val="000000"/>
        </w:rPr>
        <w:t>Navamuel</w:t>
      </w:r>
      <w:proofErr w:type="spellEnd"/>
      <w:r w:rsidR="002A4957" w:rsidRPr="00FB7FB8">
        <w:rPr>
          <w:color w:val="000000"/>
        </w:rPr>
        <w:t xml:space="preserve"> &amp; López, 2017).</w:t>
      </w:r>
      <w:r w:rsidR="002A4957">
        <w:rPr>
          <w:color w:val="000000"/>
        </w:rPr>
        <w:t xml:space="preserve"> </w:t>
      </w:r>
      <w:r w:rsidRPr="00FB7FB8">
        <w:rPr>
          <w:color w:val="000000"/>
        </w:rPr>
        <w:t>Entre los beneficios instrumentales más habituales se encuentran la posibilidad de ser autorizado a regresar a su domicilio tras confesar, la finalización de la entrevista policial, la reducción de la presión psicológica derivada de la situación o la evitación de permanecer bajo custodia policial (</w:t>
      </w:r>
      <w:proofErr w:type="spellStart"/>
      <w:r w:rsidRPr="00FB7FB8">
        <w:rPr>
          <w:color w:val="000000"/>
        </w:rPr>
        <w:t>Gudjonsson</w:t>
      </w:r>
      <w:proofErr w:type="spellEnd"/>
      <w:r w:rsidRPr="00FB7FB8">
        <w:rPr>
          <w:color w:val="000000"/>
        </w:rPr>
        <w:t>, 2003). El elemento central no es la creencia de culpabilidad, sino la percepción de que confesar resulta menos costoso, a corto plazo, que mantener la negación.</w:t>
      </w:r>
      <w:r w:rsidR="002A4957">
        <w:rPr>
          <w:color w:val="000000"/>
        </w:rPr>
        <w:t xml:space="preserve"> Es decir, </w:t>
      </w:r>
      <w:r w:rsidRPr="00FB7FB8">
        <w:rPr>
          <w:color w:val="000000"/>
        </w:rPr>
        <w:t xml:space="preserve">el beneficio instrumental inmediato se relaciona fundamentalmente con escapar de una situación estresante o intolerable. Aunque el sospechoso puede ser consciente de las posibles consecuencias futuras de una confesión </w:t>
      </w:r>
      <w:proofErr w:type="spellStart"/>
      <w:r w:rsidRPr="00FB7FB8">
        <w:rPr>
          <w:color w:val="000000"/>
        </w:rPr>
        <w:t>autoinculpatoria</w:t>
      </w:r>
      <w:proofErr w:type="spellEnd"/>
      <w:r w:rsidRPr="00FB7FB8">
        <w:rPr>
          <w:color w:val="000000"/>
        </w:rPr>
        <w:t xml:space="preserve"> falsa, los beneficios inmediatos percibidos tienden a imponerse sobre las consecuencias a largo plazo, que se consideran inciertas o lejanas (</w:t>
      </w:r>
      <w:proofErr w:type="spellStart"/>
      <w:r w:rsidRPr="00FB7FB8">
        <w:rPr>
          <w:color w:val="000000"/>
        </w:rPr>
        <w:t>Gudjonsson</w:t>
      </w:r>
      <w:proofErr w:type="spellEnd"/>
      <w:r w:rsidRPr="00FB7FB8">
        <w:rPr>
          <w:color w:val="000000"/>
        </w:rPr>
        <w:t>, 2003). De este modo, realizar una confesión falsa puede percibirse como una opción más deseable que continuar soportando el “castigo” psicológico asociado al silencio o negación.</w:t>
      </w:r>
    </w:p>
    <w:p w14:paraId="550FB070" w14:textId="336BBFEA" w:rsidR="00FB7FB8" w:rsidRPr="00FB7FB8" w:rsidRDefault="00FB7FB8" w:rsidP="00FB7FB8">
      <w:pPr>
        <w:pStyle w:val="NormalWeb"/>
        <w:spacing w:line="360" w:lineRule="auto"/>
        <w:jc w:val="both"/>
        <w:rPr>
          <w:color w:val="000000"/>
        </w:rPr>
      </w:pPr>
      <w:r w:rsidRPr="00FB7FB8">
        <w:rPr>
          <w:color w:val="000000"/>
        </w:rPr>
        <w:lastRenderedPageBreak/>
        <w:t xml:space="preserve">Algunos sospechosos pueden mantener la creencia de que su inocencia será demostrada más adelante, o de que su abogado podrá resolver la situación </w:t>
      </w:r>
      <w:r w:rsidR="00DB6783">
        <w:rPr>
          <w:color w:val="000000"/>
        </w:rPr>
        <w:t>más tarde</w:t>
      </w:r>
      <w:r w:rsidRPr="00FB7FB8">
        <w:rPr>
          <w:color w:val="000000"/>
        </w:rPr>
        <w:t>, lo que contribuye a explicar por qué muchos confesores coaccionados–complacientes se retractan de su confesión falsa una vez que cesan las presiones asociadas al interrogatorio (Green, 2023).</w:t>
      </w:r>
    </w:p>
    <w:p w14:paraId="55F0ABB4" w14:textId="0217262F" w:rsidR="00FB7FB8" w:rsidRPr="00FB7FB8" w:rsidRDefault="00FB7FB8" w:rsidP="00FB7FB8">
      <w:pPr>
        <w:pStyle w:val="NormalWeb"/>
        <w:spacing w:line="360" w:lineRule="auto"/>
        <w:jc w:val="both"/>
        <w:rPr>
          <w:color w:val="000000"/>
        </w:rPr>
      </w:pPr>
      <w:r w:rsidRPr="00FB7FB8">
        <w:rPr>
          <w:color w:val="000000"/>
        </w:rPr>
        <w:t xml:space="preserve">No obstante, aunque muchas personas son capaces de resistir la presión del interrogatorio, existen determinadas vulnerabilidades psicológicas que incrementan significativamente el riesgo de emitir respuestas </w:t>
      </w:r>
      <w:proofErr w:type="spellStart"/>
      <w:r w:rsidRPr="00FB7FB8">
        <w:rPr>
          <w:color w:val="000000"/>
        </w:rPr>
        <w:t>confabulatorias</w:t>
      </w:r>
      <w:proofErr w:type="spellEnd"/>
      <w:r w:rsidRPr="00FB7FB8">
        <w:rPr>
          <w:color w:val="000000"/>
        </w:rPr>
        <w:t xml:space="preserve"> y confesiones </w:t>
      </w:r>
      <w:proofErr w:type="spellStart"/>
      <w:r w:rsidRPr="00FB7FB8">
        <w:rPr>
          <w:color w:val="000000"/>
        </w:rPr>
        <w:t>autoinculpatorias</w:t>
      </w:r>
      <w:proofErr w:type="spellEnd"/>
      <w:r w:rsidRPr="00FB7FB8">
        <w:rPr>
          <w:color w:val="000000"/>
        </w:rPr>
        <w:t xml:space="preserve"> engañosas bajo presión. Entre estos factores se incluyen la alta sugestionabilidad, la tendencia a la complacencia, la presencia de discapacidades de aprendizaje, niveles elevados de ansiedad, bajo cociente </w:t>
      </w:r>
      <w:r w:rsidR="00DB6783">
        <w:rPr>
          <w:color w:val="000000"/>
        </w:rPr>
        <w:t>intelectual o baj</w:t>
      </w:r>
      <w:r w:rsidRPr="00FB7FB8">
        <w:rPr>
          <w:color w:val="000000"/>
        </w:rPr>
        <w:t xml:space="preserve">a autoestima, escasa asertividad o una marcada necesidad de agradar a los demás, especialmente a figuras de autoridad (Green, 2023). </w:t>
      </w:r>
    </w:p>
    <w:p w14:paraId="1E093F23" w14:textId="77777777" w:rsidR="00FB7FB8" w:rsidRPr="00FB7FB8" w:rsidRDefault="00FB7FB8" w:rsidP="00FB7FB8">
      <w:pPr>
        <w:pStyle w:val="NormalWeb"/>
        <w:spacing w:line="360" w:lineRule="auto"/>
        <w:jc w:val="both"/>
        <w:rPr>
          <w:b/>
          <w:bCs/>
          <w:color w:val="000000" w:themeColor="text1"/>
        </w:rPr>
      </w:pPr>
      <w:r w:rsidRPr="00FB7FB8">
        <w:rPr>
          <w:b/>
          <w:bCs/>
          <w:color w:val="000000" w:themeColor="text1"/>
        </w:rPr>
        <w:t>5.3. Confesiones coaccionadas-internalizadas:</w:t>
      </w:r>
    </w:p>
    <w:p w14:paraId="63C7D45D" w14:textId="688D07A5" w:rsidR="00FB7FB8" w:rsidRPr="00DB6783" w:rsidRDefault="00FB7FB8" w:rsidP="00FB7FB8">
      <w:pPr>
        <w:pStyle w:val="NormalWeb"/>
        <w:spacing w:line="360" w:lineRule="auto"/>
        <w:jc w:val="both"/>
        <w:rPr>
          <w:color w:val="000000"/>
        </w:rPr>
      </w:pPr>
      <w:r w:rsidRPr="00DB6783">
        <w:rPr>
          <w:color w:val="000000"/>
        </w:rPr>
        <w:t>Las confesiones falsas coaccionadas–internalizadas se producen cuando, durante el interrogatorio policial, los sospechosos llegan a</w:t>
      </w:r>
      <w:r w:rsidRPr="00DB6783">
        <w:rPr>
          <w:rStyle w:val="apple-converted-space"/>
          <w:rFonts w:eastAsiaTheme="majorEastAsia"/>
          <w:color w:val="000000"/>
        </w:rPr>
        <w:t> </w:t>
      </w:r>
      <w:r w:rsidRPr="00DB6783">
        <w:rPr>
          <w:rStyle w:val="Textoennegrita"/>
          <w:rFonts w:eastAsiaTheme="majorEastAsia"/>
          <w:b w:val="0"/>
          <w:bCs w:val="0"/>
          <w:color w:val="000000"/>
        </w:rPr>
        <w:t>creer que han cometido el delito del que se les acusa</w:t>
      </w:r>
      <w:r w:rsidRPr="00DB6783">
        <w:rPr>
          <w:color w:val="000000"/>
        </w:rPr>
        <w:t>, a pesar de no tener ningún recuerdo real de haberlo hecho (</w:t>
      </w:r>
      <w:proofErr w:type="spellStart"/>
      <w:r w:rsidRPr="00DB6783">
        <w:rPr>
          <w:color w:val="000000"/>
        </w:rPr>
        <w:t>Gudjonsson</w:t>
      </w:r>
      <w:proofErr w:type="spellEnd"/>
      <w:r w:rsidRPr="00DB6783">
        <w:rPr>
          <w:color w:val="000000"/>
        </w:rPr>
        <w:t>, 2003). Este tipo de confesión se caracteriza porque personas inocentes y especialmente vulnerables, expuestas a</w:t>
      </w:r>
      <w:r w:rsidRPr="00DB6783">
        <w:rPr>
          <w:rStyle w:val="apple-converted-space"/>
          <w:rFonts w:eastAsiaTheme="majorEastAsia"/>
          <w:color w:val="000000"/>
        </w:rPr>
        <w:t> </w:t>
      </w:r>
      <w:r w:rsidRPr="00DB6783">
        <w:rPr>
          <w:rStyle w:val="Textoennegrita"/>
          <w:rFonts w:eastAsiaTheme="majorEastAsia"/>
          <w:b w:val="0"/>
          <w:bCs w:val="0"/>
          <w:color w:val="000000"/>
        </w:rPr>
        <w:t>técnicas de interrogatorio altamente sugestivas</w:t>
      </w:r>
      <w:r w:rsidRPr="00DB6783">
        <w:rPr>
          <w:color w:val="000000"/>
        </w:rPr>
        <w:t>, no solo modifican su comportamiento declarativo, sino que pueden llegar a</w:t>
      </w:r>
      <w:r w:rsidRPr="00DB6783">
        <w:rPr>
          <w:rStyle w:val="apple-converted-space"/>
          <w:rFonts w:eastAsiaTheme="majorEastAsia"/>
          <w:color w:val="000000"/>
        </w:rPr>
        <w:t> </w:t>
      </w:r>
      <w:r w:rsidRPr="00DB6783">
        <w:rPr>
          <w:rStyle w:val="Textoennegrita"/>
          <w:rFonts w:eastAsiaTheme="majorEastAsia"/>
          <w:b w:val="0"/>
          <w:bCs w:val="0"/>
          <w:color w:val="000000"/>
        </w:rPr>
        <w:t>internalizar la culpabilidad</w:t>
      </w:r>
      <w:r w:rsidRPr="00DB6783">
        <w:rPr>
          <w:color w:val="000000"/>
        </w:rPr>
        <w:t>, aceptando como propios hechos que no ocurrieron (</w:t>
      </w:r>
      <w:proofErr w:type="spellStart"/>
      <w:r w:rsidRPr="00DB6783">
        <w:rPr>
          <w:color w:val="000000"/>
        </w:rPr>
        <w:t>Navamuel</w:t>
      </w:r>
      <w:proofErr w:type="spellEnd"/>
      <w:r w:rsidRPr="00DB6783">
        <w:rPr>
          <w:color w:val="000000"/>
        </w:rPr>
        <w:t xml:space="preserve"> &amp; López, 2017).</w:t>
      </w:r>
      <w:r w:rsidR="00DB6783">
        <w:rPr>
          <w:color w:val="000000"/>
        </w:rPr>
        <w:t xml:space="preserve"> Este tipo de confesiones son aquellas</w:t>
      </w:r>
      <w:r w:rsidR="00DB6783" w:rsidRPr="00FB7FB8">
        <w:rPr>
          <w:color w:val="000000"/>
        </w:rPr>
        <w:t xml:space="preserve"> en las que sospechosos inocentes pero vulnerables, bajo la influencia de tácticas de interrogatorio sugestivas, llegan a</w:t>
      </w:r>
      <w:r w:rsidR="00DB6783" w:rsidRPr="00FB7FB8">
        <w:rPr>
          <w:rStyle w:val="apple-converted-space"/>
          <w:rFonts w:eastAsiaTheme="majorEastAsia"/>
          <w:color w:val="000000"/>
        </w:rPr>
        <w:t> </w:t>
      </w:r>
      <w:r w:rsidR="00DB6783" w:rsidRPr="00DB6783">
        <w:rPr>
          <w:rStyle w:val="Textoennegrita"/>
          <w:rFonts w:eastAsiaTheme="majorEastAsia"/>
          <w:b w:val="0"/>
          <w:bCs w:val="0"/>
          <w:color w:val="000000"/>
        </w:rPr>
        <w:t>creer genuinamente que cometieron el delito</w:t>
      </w:r>
      <w:r w:rsidR="00DB6783" w:rsidRPr="00FB7FB8">
        <w:rPr>
          <w:color w:val="000000"/>
        </w:rPr>
        <w:t>, pudiendo desarrollar recuerdos falsos coherentes con la versión inculpatoria presentada durante el interrogatorio (</w:t>
      </w:r>
      <w:proofErr w:type="spellStart"/>
      <w:r w:rsidR="00DB6783" w:rsidRPr="00FB7FB8">
        <w:rPr>
          <w:color w:val="000000"/>
        </w:rPr>
        <w:t>Kassin</w:t>
      </w:r>
      <w:proofErr w:type="spellEnd"/>
      <w:r w:rsidR="00DB6783" w:rsidRPr="00FB7FB8">
        <w:rPr>
          <w:color w:val="000000"/>
        </w:rPr>
        <w:t xml:space="preserve"> &amp; </w:t>
      </w:r>
      <w:proofErr w:type="spellStart"/>
      <w:r w:rsidR="00DB6783" w:rsidRPr="00FB7FB8">
        <w:rPr>
          <w:color w:val="000000"/>
        </w:rPr>
        <w:t>Gudjonsson</w:t>
      </w:r>
      <w:proofErr w:type="spellEnd"/>
      <w:r w:rsidR="00DB6783" w:rsidRPr="00FB7FB8">
        <w:rPr>
          <w:color w:val="000000"/>
        </w:rPr>
        <w:t xml:space="preserve">, 2004). Esta característica distintiva las diferencia de otros tipos de confesiones falsas, al implicar un cambio real en la percepción que el sospechoso tiene de sí mismo y de los hechos </w:t>
      </w:r>
      <w:r w:rsidR="00DB6783">
        <w:rPr>
          <w:color w:val="000000"/>
        </w:rPr>
        <w:t>que se investigan</w:t>
      </w:r>
      <w:r w:rsidR="00DB6783" w:rsidRPr="00FB7FB8">
        <w:rPr>
          <w:color w:val="000000"/>
        </w:rPr>
        <w:t>.</w:t>
      </w:r>
    </w:p>
    <w:p w14:paraId="7DA8908C" w14:textId="4C093013" w:rsidR="00FB7FB8" w:rsidRPr="00FB7FB8" w:rsidRDefault="00DB6783" w:rsidP="00FB7FB8">
      <w:pPr>
        <w:pStyle w:val="NormalWeb"/>
        <w:spacing w:line="360" w:lineRule="auto"/>
        <w:jc w:val="both"/>
        <w:rPr>
          <w:color w:val="000000"/>
        </w:rPr>
      </w:pPr>
      <w:r>
        <w:rPr>
          <w:color w:val="000000"/>
        </w:rPr>
        <w:t>S</w:t>
      </w:r>
      <w:r w:rsidR="00FB7FB8" w:rsidRPr="00FB7FB8">
        <w:rPr>
          <w:color w:val="000000"/>
        </w:rPr>
        <w:t>e ha señalado que los sospechosos inocentes pueden comenzar a</w:t>
      </w:r>
      <w:r w:rsidR="00FB7FB8" w:rsidRPr="00FB7FB8">
        <w:rPr>
          <w:rStyle w:val="apple-converted-space"/>
          <w:rFonts w:eastAsiaTheme="majorEastAsia"/>
          <w:color w:val="000000"/>
        </w:rPr>
        <w:t> </w:t>
      </w:r>
      <w:r w:rsidR="00FB7FB8" w:rsidRPr="00DB6783">
        <w:rPr>
          <w:rStyle w:val="Textoennegrita"/>
          <w:rFonts w:eastAsiaTheme="majorEastAsia"/>
          <w:b w:val="0"/>
          <w:bCs w:val="0"/>
          <w:color w:val="000000"/>
        </w:rPr>
        <w:t>dudar de su propia memoria</w:t>
      </w:r>
      <w:r w:rsidR="00FB7FB8" w:rsidRPr="00FB7FB8">
        <w:rPr>
          <w:rStyle w:val="apple-converted-space"/>
          <w:rFonts w:eastAsiaTheme="majorEastAsia"/>
          <w:color w:val="000000"/>
        </w:rPr>
        <w:t> </w:t>
      </w:r>
      <w:r w:rsidR="00FB7FB8" w:rsidRPr="00FB7FB8">
        <w:rPr>
          <w:color w:val="000000"/>
        </w:rPr>
        <w:t>a lo largo del interrogatorio y ser persuadidos de que, en realidad, sí cometieron el delito del que se les acusa, produciéndose un cambio en su creencia subjetiva acerca de su culpabilidad (Green, 2023). De este modo, la confesión no responde únicamente a una estrategia para obtener un beneficio inmediato, sino que implica una</w:t>
      </w:r>
      <w:r w:rsidR="00FB7FB8" w:rsidRPr="00FB7FB8">
        <w:rPr>
          <w:rStyle w:val="apple-converted-space"/>
          <w:rFonts w:eastAsiaTheme="majorEastAsia"/>
          <w:color w:val="000000"/>
        </w:rPr>
        <w:t> </w:t>
      </w:r>
      <w:r w:rsidR="00FB7FB8" w:rsidRPr="00DB6783">
        <w:rPr>
          <w:rStyle w:val="Textoennegrita"/>
          <w:rFonts w:eastAsiaTheme="majorEastAsia"/>
          <w:b w:val="0"/>
          <w:bCs w:val="0"/>
          <w:color w:val="000000"/>
        </w:rPr>
        <w:t xml:space="preserve">transformación </w:t>
      </w:r>
      <w:r w:rsidR="00FB7FB8" w:rsidRPr="00DB6783">
        <w:rPr>
          <w:rStyle w:val="Textoennegrita"/>
          <w:rFonts w:eastAsiaTheme="majorEastAsia"/>
          <w:b w:val="0"/>
          <w:bCs w:val="0"/>
          <w:color w:val="000000"/>
        </w:rPr>
        <w:lastRenderedPageBreak/>
        <w:t>cognitiva más profunda</w:t>
      </w:r>
      <w:r w:rsidR="00FB7FB8" w:rsidRPr="00FB7FB8">
        <w:rPr>
          <w:color w:val="000000"/>
        </w:rPr>
        <w:t>, en la que el individuo llega a asumir internamente la autoría del delito (</w:t>
      </w:r>
      <w:proofErr w:type="spellStart"/>
      <w:r w:rsidR="00FB7FB8" w:rsidRPr="00FB7FB8">
        <w:rPr>
          <w:color w:val="000000"/>
        </w:rPr>
        <w:t>Kassin</w:t>
      </w:r>
      <w:proofErr w:type="spellEnd"/>
      <w:r w:rsidR="00FB7FB8" w:rsidRPr="00FB7FB8">
        <w:rPr>
          <w:color w:val="000000"/>
        </w:rPr>
        <w:t>, 2008).</w:t>
      </w:r>
    </w:p>
    <w:p w14:paraId="46BE3B54" w14:textId="19503BB0" w:rsidR="00FB7FB8" w:rsidRPr="00FB7FB8" w:rsidRDefault="00DB6783" w:rsidP="00FB7FB8">
      <w:pPr>
        <w:pStyle w:val="NormalWeb"/>
        <w:spacing w:line="360" w:lineRule="auto"/>
        <w:jc w:val="both"/>
        <w:rPr>
          <w:color w:val="000000"/>
        </w:rPr>
      </w:pPr>
      <w:r>
        <w:rPr>
          <w:color w:val="000000"/>
        </w:rPr>
        <w:t>Los sospechosos</w:t>
      </w:r>
      <w:r w:rsidR="00FB7FB8" w:rsidRPr="00FB7FB8">
        <w:rPr>
          <w:rStyle w:val="apple-converted-space"/>
          <w:rFonts w:eastAsiaTheme="majorEastAsia"/>
          <w:color w:val="000000"/>
        </w:rPr>
        <w:t> </w:t>
      </w:r>
      <w:r w:rsidR="00FB7FB8" w:rsidRPr="00DB6783">
        <w:rPr>
          <w:rStyle w:val="Textoennegrita"/>
          <w:rFonts w:eastAsiaTheme="majorEastAsia"/>
          <w:b w:val="0"/>
          <w:bCs w:val="0"/>
          <w:color w:val="000000"/>
        </w:rPr>
        <w:t>llegan a creer que han cometido el delito del que se les acusa</w:t>
      </w:r>
      <w:r w:rsidR="00FB7FB8" w:rsidRPr="00FB7FB8">
        <w:rPr>
          <w:color w:val="000000"/>
        </w:rPr>
        <w:t>, aun cuando no tienen ningún recuerdo real de haberlo hecho (</w:t>
      </w:r>
      <w:proofErr w:type="spellStart"/>
      <w:r w:rsidR="00FB7FB8" w:rsidRPr="00FB7FB8">
        <w:rPr>
          <w:color w:val="000000"/>
        </w:rPr>
        <w:t>Gudjonsson</w:t>
      </w:r>
      <w:proofErr w:type="spellEnd"/>
      <w:r w:rsidR="00FB7FB8" w:rsidRPr="00FB7FB8">
        <w:rPr>
          <w:color w:val="000000"/>
        </w:rPr>
        <w:t>, 2003). Este fenómeno se explica, en parte, por la aparición del denominado</w:t>
      </w:r>
      <w:r w:rsidR="00FB7FB8" w:rsidRPr="00FB7FB8">
        <w:rPr>
          <w:rStyle w:val="apple-converted-space"/>
          <w:rFonts w:eastAsiaTheme="majorEastAsia"/>
          <w:color w:val="000000"/>
        </w:rPr>
        <w:t> </w:t>
      </w:r>
      <w:r w:rsidR="00FB7FB8" w:rsidRPr="00DB6783">
        <w:rPr>
          <w:rStyle w:val="Textoennegrita"/>
          <w:rFonts w:eastAsiaTheme="majorEastAsia"/>
          <w:b w:val="0"/>
          <w:bCs w:val="0"/>
          <w:color w:val="000000"/>
        </w:rPr>
        <w:t>síndrome de desconfianza de la memoria</w:t>
      </w:r>
      <w:r w:rsidR="00FB7FB8" w:rsidRPr="00DB6783">
        <w:rPr>
          <w:rStyle w:val="apple-converted-space"/>
          <w:rFonts w:eastAsiaTheme="majorEastAsia"/>
          <w:b/>
          <w:bCs/>
          <w:color w:val="000000"/>
        </w:rPr>
        <w:t> </w:t>
      </w:r>
      <w:r w:rsidR="00FB7FB8" w:rsidRPr="00FB7FB8">
        <w:rPr>
          <w:color w:val="000000"/>
        </w:rPr>
        <w:t>(</w:t>
      </w:r>
      <w:proofErr w:type="spellStart"/>
      <w:r w:rsidR="00FB7FB8" w:rsidRPr="00FB7FB8">
        <w:rPr>
          <w:rStyle w:val="nfasis"/>
          <w:rFonts w:eastAsiaTheme="majorEastAsia"/>
          <w:color w:val="000000"/>
        </w:rPr>
        <w:t>Memory</w:t>
      </w:r>
      <w:proofErr w:type="spellEnd"/>
      <w:r w:rsidR="00FB7FB8" w:rsidRPr="00FB7FB8">
        <w:rPr>
          <w:rStyle w:val="nfasis"/>
          <w:rFonts w:eastAsiaTheme="majorEastAsia"/>
          <w:color w:val="000000"/>
        </w:rPr>
        <w:t xml:space="preserve"> </w:t>
      </w:r>
      <w:proofErr w:type="spellStart"/>
      <w:r w:rsidR="00FB7FB8" w:rsidRPr="00FB7FB8">
        <w:rPr>
          <w:rStyle w:val="nfasis"/>
          <w:rFonts w:eastAsiaTheme="majorEastAsia"/>
          <w:color w:val="000000"/>
        </w:rPr>
        <w:t>Distrust</w:t>
      </w:r>
      <w:proofErr w:type="spellEnd"/>
      <w:r w:rsidR="00FB7FB8" w:rsidRPr="00FB7FB8">
        <w:rPr>
          <w:rStyle w:val="nfasis"/>
          <w:rFonts w:eastAsiaTheme="majorEastAsia"/>
          <w:color w:val="000000"/>
        </w:rPr>
        <w:t xml:space="preserve"> </w:t>
      </w:r>
      <w:proofErr w:type="spellStart"/>
      <w:r w:rsidR="00FB7FB8" w:rsidRPr="00FB7FB8">
        <w:rPr>
          <w:rStyle w:val="nfasis"/>
          <w:rFonts w:eastAsiaTheme="majorEastAsia"/>
          <w:color w:val="000000"/>
        </w:rPr>
        <w:t>Syndrome</w:t>
      </w:r>
      <w:proofErr w:type="spellEnd"/>
      <w:r w:rsidR="00FB7FB8" w:rsidRPr="00FB7FB8">
        <w:rPr>
          <w:color w:val="000000"/>
        </w:rPr>
        <w:t xml:space="preserve">, MDS), que </w:t>
      </w:r>
      <w:proofErr w:type="spellStart"/>
      <w:r w:rsidR="00FB7FB8" w:rsidRPr="00FB7FB8">
        <w:rPr>
          <w:color w:val="000000"/>
        </w:rPr>
        <w:t>Gudjonsson</w:t>
      </w:r>
      <w:proofErr w:type="spellEnd"/>
      <w:r w:rsidR="00FB7FB8" w:rsidRPr="00FB7FB8">
        <w:rPr>
          <w:color w:val="000000"/>
        </w:rPr>
        <w:t xml:space="preserve"> (2003) define como una condición en la que las personas desarrollan una profunda desconfianza hacia sus propios recuerdos, lo que las hace especialmente susceptibles a apoyarse en</w:t>
      </w:r>
      <w:r w:rsidR="00FB7FB8" w:rsidRPr="00FB7FB8">
        <w:rPr>
          <w:rStyle w:val="apple-converted-space"/>
          <w:rFonts w:eastAsiaTheme="majorEastAsia"/>
          <w:color w:val="000000"/>
        </w:rPr>
        <w:t> </w:t>
      </w:r>
      <w:r w:rsidR="00FB7FB8" w:rsidRPr="00DB6783">
        <w:rPr>
          <w:rStyle w:val="Textoennegrita"/>
          <w:rFonts w:eastAsiaTheme="majorEastAsia"/>
          <w:b w:val="0"/>
          <w:bCs w:val="0"/>
          <w:color w:val="000000"/>
        </w:rPr>
        <w:t>señales y sugerencias externas</w:t>
      </w:r>
      <w:r w:rsidR="00FB7FB8" w:rsidRPr="00FB7FB8">
        <w:rPr>
          <w:rStyle w:val="apple-converted-space"/>
          <w:rFonts w:eastAsiaTheme="majorEastAsia"/>
          <w:color w:val="000000"/>
        </w:rPr>
        <w:t> </w:t>
      </w:r>
      <w:r w:rsidR="00FB7FB8" w:rsidRPr="00FB7FB8">
        <w:rPr>
          <w:color w:val="000000"/>
        </w:rPr>
        <w:t xml:space="preserve">durante el interrogatorio. Este concepto fue introducido originalmente por </w:t>
      </w:r>
      <w:proofErr w:type="spellStart"/>
      <w:r w:rsidR="00FB7FB8" w:rsidRPr="00FB7FB8">
        <w:rPr>
          <w:color w:val="000000"/>
        </w:rPr>
        <w:t>Gudjonsson</w:t>
      </w:r>
      <w:proofErr w:type="spellEnd"/>
      <w:r w:rsidR="00FB7FB8" w:rsidRPr="00FB7FB8">
        <w:rPr>
          <w:color w:val="000000"/>
        </w:rPr>
        <w:t xml:space="preserve"> y </w:t>
      </w:r>
      <w:proofErr w:type="spellStart"/>
      <w:r w:rsidR="00FB7FB8" w:rsidRPr="00FB7FB8">
        <w:rPr>
          <w:color w:val="000000"/>
        </w:rPr>
        <w:t>MacKeith</w:t>
      </w:r>
      <w:proofErr w:type="spellEnd"/>
      <w:r w:rsidR="00FB7FB8" w:rsidRPr="00FB7FB8">
        <w:rPr>
          <w:color w:val="000000"/>
        </w:rPr>
        <w:t xml:space="preserve"> y desarrollado posteriormente en la literatura sobre confesiones falsas internalizadas (</w:t>
      </w:r>
      <w:proofErr w:type="spellStart"/>
      <w:r w:rsidR="00FB7FB8" w:rsidRPr="00FB7FB8">
        <w:rPr>
          <w:color w:val="000000"/>
        </w:rPr>
        <w:t>Gudjonsson</w:t>
      </w:r>
      <w:proofErr w:type="spellEnd"/>
      <w:r w:rsidR="00FB7FB8" w:rsidRPr="00FB7FB8">
        <w:rPr>
          <w:color w:val="000000"/>
        </w:rPr>
        <w:t>, 2003).</w:t>
      </w:r>
    </w:p>
    <w:p w14:paraId="0AF6D1B9" w14:textId="1D1FC625" w:rsidR="00FB7FB8" w:rsidRPr="00FB7FB8" w:rsidRDefault="00FB7FB8" w:rsidP="00FB7FB8">
      <w:pPr>
        <w:pStyle w:val="NormalWeb"/>
        <w:spacing w:line="360" w:lineRule="auto"/>
        <w:jc w:val="both"/>
        <w:rPr>
          <w:color w:val="000000"/>
        </w:rPr>
      </w:pPr>
      <w:proofErr w:type="spellStart"/>
      <w:r w:rsidRPr="00FB7FB8">
        <w:rPr>
          <w:color w:val="000000"/>
        </w:rPr>
        <w:t>Kassin</w:t>
      </w:r>
      <w:proofErr w:type="spellEnd"/>
      <w:r w:rsidRPr="00FB7FB8">
        <w:rPr>
          <w:color w:val="000000"/>
        </w:rPr>
        <w:t xml:space="preserve"> (1997) analiza el fenómeno </w:t>
      </w:r>
      <w:r w:rsidR="00DB6783">
        <w:rPr>
          <w:color w:val="000000"/>
        </w:rPr>
        <w:t>y</w:t>
      </w:r>
      <w:r w:rsidRPr="00FB7FB8">
        <w:rPr>
          <w:color w:val="000000"/>
        </w:rPr>
        <w:t xml:space="preserve"> señala que, una figura de autoridad afirma poseer un conocimiento privilegiado sobre el pasado del individuo, que se encuentra en un estado elevado de</w:t>
      </w:r>
      <w:r w:rsidRPr="00FB7FB8">
        <w:rPr>
          <w:rStyle w:val="apple-converted-space"/>
          <w:rFonts w:eastAsiaTheme="majorEastAsia"/>
          <w:color w:val="000000"/>
        </w:rPr>
        <w:t> </w:t>
      </w:r>
      <w:r w:rsidRPr="00DB6783">
        <w:rPr>
          <w:rStyle w:val="Textoennegrita"/>
          <w:rFonts w:eastAsiaTheme="majorEastAsia"/>
          <w:b w:val="0"/>
          <w:bCs w:val="0"/>
          <w:color w:val="000000"/>
        </w:rPr>
        <w:t>vulnerabilidad y maleabilidad</w:t>
      </w:r>
      <w:r w:rsidRPr="00FB7FB8">
        <w:rPr>
          <w:color w:val="000000"/>
        </w:rPr>
        <w:t>. Asimismo, las interacciones se desarrollan en entornos</w:t>
      </w:r>
      <w:r w:rsidRPr="00FB7FB8">
        <w:rPr>
          <w:rStyle w:val="apple-converted-space"/>
          <w:rFonts w:eastAsiaTheme="majorEastAsia"/>
          <w:color w:val="000000"/>
        </w:rPr>
        <w:t> </w:t>
      </w:r>
      <w:r w:rsidRPr="00DB6783">
        <w:rPr>
          <w:rStyle w:val="Textoennegrita"/>
          <w:rFonts w:eastAsiaTheme="majorEastAsia"/>
          <w:b w:val="0"/>
          <w:bCs w:val="0"/>
          <w:color w:val="000000"/>
        </w:rPr>
        <w:t>privados y socialmente aislados</w:t>
      </w:r>
      <w:r w:rsidRPr="00FB7FB8">
        <w:rPr>
          <w:color w:val="000000"/>
        </w:rPr>
        <w:t>, carentes de referencias externas de realidad. En este contexto, el individuo puede llegar a aceptar una</w:t>
      </w:r>
      <w:r w:rsidRPr="00FB7FB8">
        <w:rPr>
          <w:rStyle w:val="apple-converted-space"/>
          <w:rFonts w:eastAsiaTheme="majorEastAsia"/>
          <w:color w:val="000000"/>
        </w:rPr>
        <w:t> </w:t>
      </w:r>
      <w:r w:rsidRPr="00DB6783">
        <w:rPr>
          <w:rStyle w:val="Textoennegrita"/>
          <w:rFonts w:eastAsiaTheme="majorEastAsia"/>
          <w:b w:val="0"/>
          <w:bCs w:val="0"/>
          <w:color w:val="000000"/>
        </w:rPr>
        <w:t>autopercepción negativa</w:t>
      </w:r>
      <w:r w:rsidRPr="00FB7FB8">
        <w:rPr>
          <w:color w:val="000000"/>
        </w:rPr>
        <w:t>, incluso en ausencia de recuerdos reales, mediante la invocación de explicaciones psicológicas como la disociación o la represión</w:t>
      </w:r>
      <w:r w:rsidR="00DB6783">
        <w:rPr>
          <w:color w:val="000000"/>
        </w:rPr>
        <w:t>.</w:t>
      </w:r>
    </w:p>
    <w:p w14:paraId="39D84F45" w14:textId="76D085F3" w:rsidR="00FB7FB8" w:rsidRPr="00FB7FB8" w:rsidRDefault="00FB7FB8" w:rsidP="00FB7FB8">
      <w:pPr>
        <w:pStyle w:val="NormalWeb"/>
        <w:spacing w:line="360" w:lineRule="auto"/>
        <w:jc w:val="both"/>
        <w:rPr>
          <w:color w:val="000000"/>
        </w:rPr>
      </w:pPr>
      <w:r w:rsidRPr="00FB7FB8">
        <w:rPr>
          <w:color w:val="000000"/>
        </w:rPr>
        <w:t xml:space="preserve">El </w:t>
      </w:r>
      <w:r w:rsidRPr="00FB7FB8">
        <w:rPr>
          <w:i/>
          <w:iCs/>
          <w:color w:val="000000"/>
        </w:rPr>
        <w:t>síndrome de desconfianza de la memoria</w:t>
      </w:r>
      <w:r w:rsidRPr="00FB7FB8">
        <w:rPr>
          <w:color w:val="000000"/>
        </w:rPr>
        <w:t xml:space="preserve"> puede manifestarse en</w:t>
      </w:r>
      <w:r w:rsidRPr="00FB7FB8">
        <w:rPr>
          <w:rStyle w:val="apple-converted-space"/>
          <w:rFonts w:eastAsiaTheme="majorEastAsia"/>
          <w:color w:val="000000"/>
        </w:rPr>
        <w:t> </w:t>
      </w:r>
      <w:r w:rsidRPr="00DB6783">
        <w:rPr>
          <w:rStyle w:val="Textoennegrita"/>
          <w:rFonts w:eastAsiaTheme="majorEastAsia"/>
          <w:b w:val="0"/>
          <w:bCs w:val="0"/>
          <w:color w:val="000000"/>
        </w:rPr>
        <w:t xml:space="preserve">dos contextos </w:t>
      </w:r>
      <w:r w:rsidR="00DB6783">
        <w:rPr>
          <w:rStyle w:val="Textoennegrita"/>
          <w:rFonts w:eastAsiaTheme="majorEastAsia"/>
          <w:b w:val="0"/>
          <w:bCs w:val="0"/>
          <w:color w:val="000000"/>
        </w:rPr>
        <w:t>diferentes</w:t>
      </w:r>
      <w:r w:rsidRPr="00FB7FB8">
        <w:rPr>
          <w:rStyle w:val="apple-converted-space"/>
          <w:rFonts w:eastAsiaTheme="majorEastAsia"/>
          <w:color w:val="000000"/>
        </w:rPr>
        <w:t> </w:t>
      </w:r>
      <w:r w:rsidRPr="00FB7FB8">
        <w:rPr>
          <w:color w:val="000000"/>
        </w:rPr>
        <w:t>(Green, 2023). En el primero, el sospechoso puede haber cometido el delito, pero no recuerda haberlo hecho, como consecuencia de amnesia o de alteraciones de la memoria inducidas por el consumo de alcohol u otras sustancias, lo que le lleva a creer que debió cometer el hecho del que se le acusa (</w:t>
      </w:r>
      <w:proofErr w:type="spellStart"/>
      <w:r w:rsidRPr="00FB7FB8">
        <w:rPr>
          <w:color w:val="000000"/>
        </w:rPr>
        <w:t>Gudjonsson</w:t>
      </w:r>
      <w:proofErr w:type="spellEnd"/>
      <w:r w:rsidRPr="00FB7FB8">
        <w:rPr>
          <w:color w:val="000000"/>
        </w:rPr>
        <w:t xml:space="preserve">, 2003; </w:t>
      </w:r>
      <w:proofErr w:type="spellStart"/>
      <w:r w:rsidRPr="00FB7FB8">
        <w:rPr>
          <w:color w:val="000000"/>
        </w:rPr>
        <w:t>Santtila</w:t>
      </w:r>
      <w:proofErr w:type="spellEnd"/>
      <w:r w:rsidRPr="00FB7FB8">
        <w:rPr>
          <w:color w:val="000000"/>
        </w:rPr>
        <w:t xml:space="preserve"> et al., 1999). En otros casos, aun siendo inocente, la persona carece de un recuerdo claro de lo que estaba haciendo en el momento del delito y acaba asumiendo erróneamente su culpabilidad (</w:t>
      </w:r>
      <w:proofErr w:type="spellStart"/>
      <w:r w:rsidRPr="00FB7FB8">
        <w:rPr>
          <w:color w:val="000000"/>
        </w:rPr>
        <w:t>Gudjonsson</w:t>
      </w:r>
      <w:proofErr w:type="spellEnd"/>
      <w:r w:rsidRPr="00FB7FB8">
        <w:rPr>
          <w:color w:val="000000"/>
        </w:rPr>
        <w:t>, 2003). En el segundo contexto, los sospechosos</w:t>
      </w:r>
      <w:r w:rsidRPr="00FB7FB8">
        <w:rPr>
          <w:rStyle w:val="apple-converted-space"/>
          <w:rFonts w:eastAsiaTheme="majorEastAsia"/>
          <w:color w:val="000000"/>
        </w:rPr>
        <w:t> </w:t>
      </w:r>
      <w:r w:rsidRPr="00DB6783">
        <w:rPr>
          <w:rStyle w:val="Textoennegrita"/>
          <w:rFonts w:eastAsiaTheme="majorEastAsia"/>
          <w:b w:val="0"/>
          <w:bCs w:val="0"/>
          <w:color w:val="000000"/>
        </w:rPr>
        <w:t>mantienen inicialmente un recuerdo claro de su inocencia</w:t>
      </w:r>
      <w:r w:rsidRPr="00DB6783">
        <w:rPr>
          <w:color w:val="000000"/>
        </w:rPr>
        <w:t>,</w:t>
      </w:r>
      <w:r w:rsidRPr="00DB6783">
        <w:rPr>
          <w:b/>
          <w:bCs/>
          <w:color w:val="000000"/>
        </w:rPr>
        <w:t xml:space="preserve"> </w:t>
      </w:r>
      <w:r w:rsidRPr="00FB7FB8">
        <w:rPr>
          <w:color w:val="000000"/>
        </w:rPr>
        <w:t>pero, como consecuencia de</w:t>
      </w:r>
      <w:r w:rsidRPr="00DB6783">
        <w:rPr>
          <w:rStyle w:val="apple-converted-space"/>
          <w:rFonts w:eastAsiaTheme="majorEastAsia"/>
          <w:color w:val="000000"/>
        </w:rPr>
        <w:t> </w:t>
      </w:r>
      <w:r w:rsidRPr="00DB6783">
        <w:rPr>
          <w:rStyle w:val="Textoennegrita"/>
          <w:rFonts w:eastAsiaTheme="majorEastAsia"/>
          <w:b w:val="0"/>
          <w:bCs w:val="0"/>
          <w:color w:val="000000"/>
        </w:rPr>
        <w:t>influencias manipulativas sutiles</w:t>
      </w:r>
      <w:r w:rsidRPr="00DB6783">
        <w:rPr>
          <w:rStyle w:val="apple-converted-space"/>
          <w:rFonts w:eastAsiaTheme="majorEastAsia"/>
          <w:b/>
          <w:bCs/>
          <w:color w:val="000000"/>
        </w:rPr>
        <w:t> </w:t>
      </w:r>
      <w:r w:rsidRPr="00FB7FB8">
        <w:rPr>
          <w:color w:val="000000"/>
        </w:rPr>
        <w:t>durante el interrogatorio, comienzan progresivamente a desconfiar de sus propios recuerdos y creencias</w:t>
      </w:r>
      <w:r w:rsidR="00DB6783">
        <w:rPr>
          <w:color w:val="000000"/>
        </w:rPr>
        <w:t xml:space="preserve">, </w:t>
      </w:r>
      <w:r w:rsidRPr="00FB7FB8">
        <w:rPr>
          <w:color w:val="000000"/>
        </w:rPr>
        <w:t>facilitando la aceptación de una versión inculpatoria sin que exista un recuerdo real del delito, como se ha documentado en casos paradigmáticos como el de Peter Reilly (</w:t>
      </w:r>
      <w:proofErr w:type="spellStart"/>
      <w:r w:rsidRPr="00FB7FB8">
        <w:rPr>
          <w:color w:val="000000"/>
        </w:rPr>
        <w:t>Gudjonsson</w:t>
      </w:r>
      <w:proofErr w:type="spellEnd"/>
      <w:r w:rsidRPr="00FB7FB8">
        <w:rPr>
          <w:color w:val="000000"/>
        </w:rPr>
        <w:t xml:space="preserve">, 2003; Green, 2023). En estos supuestos, la confesión falsa </w:t>
      </w:r>
      <w:r w:rsidR="00DB6783">
        <w:rPr>
          <w:color w:val="000000"/>
        </w:rPr>
        <w:t>corresponde a un</w:t>
      </w:r>
      <w:r w:rsidRPr="00FB7FB8">
        <w:rPr>
          <w:rStyle w:val="apple-converted-space"/>
          <w:rFonts w:eastAsiaTheme="majorEastAsia"/>
          <w:color w:val="000000"/>
        </w:rPr>
        <w:t> </w:t>
      </w:r>
      <w:r w:rsidRPr="00DB6783">
        <w:rPr>
          <w:rStyle w:val="Textoennegrita"/>
          <w:rFonts w:eastAsiaTheme="majorEastAsia"/>
          <w:b w:val="0"/>
          <w:bCs w:val="0"/>
          <w:color w:val="000000"/>
        </w:rPr>
        <w:t xml:space="preserve">cambio genuino en la creencia del </w:t>
      </w:r>
      <w:r w:rsidRPr="00DB6783">
        <w:rPr>
          <w:rStyle w:val="Textoennegrita"/>
          <w:rFonts w:eastAsiaTheme="majorEastAsia"/>
          <w:b w:val="0"/>
          <w:bCs w:val="0"/>
          <w:color w:val="000000"/>
        </w:rPr>
        <w:lastRenderedPageBreak/>
        <w:t>sospechoso sobre su propia culpabilidad</w:t>
      </w:r>
      <w:r w:rsidRPr="00FB7FB8">
        <w:rPr>
          <w:color w:val="000000"/>
        </w:rPr>
        <w:t>, rasgo distintivo de las confesiones falsas internalizadas.</w:t>
      </w:r>
    </w:p>
    <w:p w14:paraId="3A65D239" w14:textId="77777777" w:rsidR="00FB7FB8" w:rsidRPr="00FB7FB8" w:rsidRDefault="00FB7FB8" w:rsidP="00FB7FB8">
      <w:pPr>
        <w:spacing w:before="100" w:beforeAutospacing="1" w:after="100" w:afterAutospacing="1" w:line="360" w:lineRule="auto"/>
        <w:jc w:val="both"/>
        <w:outlineLvl w:val="1"/>
        <w:rPr>
          <w:rFonts w:ascii="Times New Roman" w:eastAsia="Times New Roman" w:hAnsi="Times New Roman" w:cs="Times New Roman"/>
          <w:b/>
          <w:bCs/>
          <w:color w:val="000000" w:themeColor="text1"/>
          <w:sz w:val="24"/>
          <w:szCs w:val="24"/>
          <w:lang w:eastAsia="es-ES_tradnl"/>
        </w:rPr>
      </w:pPr>
      <w:r w:rsidRPr="00FB7FB8">
        <w:rPr>
          <w:rFonts w:ascii="Times New Roman" w:eastAsia="Times New Roman" w:hAnsi="Times New Roman" w:cs="Times New Roman"/>
          <w:b/>
          <w:bCs/>
          <w:color w:val="000000" w:themeColor="text1"/>
          <w:sz w:val="24"/>
          <w:szCs w:val="24"/>
          <w:lang w:eastAsia="es-ES_tradnl"/>
        </w:rPr>
        <w:t>5.3.1. El proceso de internalización:</w:t>
      </w:r>
    </w:p>
    <w:p w14:paraId="076FA62E" w14:textId="38AFBE7A" w:rsidR="0072789B" w:rsidRPr="00593A44" w:rsidRDefault="0072789B" w:rsidP="0072789B">
      <w:pPr>
        <w:pStyle w:val="NormalWeb"/>
        <w:spacing w:line="360" w:lineRule="auto"/>
        <w:jc w:val="both"/>
      </w:pPr>
      <w:r w:rsidRPr="0072789B">
        <w:t xml:space="preserve">Las confesiones falsas coaccionadas–internalizadas no aparecen de manera inmediata, sino que son el resultado de un proceso que se va desarrollando a lo largo del interrogatorio policial. Tal y como describe </w:t>
      </w:r>
      <w:proofErr w:type="spellStart"/>
      <w:r w:rsidRPr="0072789B">
        <w:t>Kassin</w:t>
      </w:r>
      <w:proofErr w:type="spellEnd"/>
      <w:r w:rsidRPr="0072789B">
        <w:t xml:space="preserve"> (2006), este tipo de confesión suele seguir una secuencia formada por distintas fases, a través de las cuales una persona inocente puede llegar a aceptar como propia la autoría de un delito que, en realidad, no </w:t>
      </w:r>
      <w:r w:rsidRPr="00593A44">
        <w:t>recuerda haber cometido.</w:t>
      </w:r>
    </w:p>
    <w:p w14:paraId="122016D5" w14:textId="305A43C1" w:rsidR="0072789B" w:rsidRPr="00593A44" w:rsidRDefault="0072789B" w:rsidP="00FB7FB8">
      <w:pPr>
        <w:pStyle w:val="NormalWeb"/>
        <w:spacing w:line="360" w:lineRule="auto"/>
        <w:jc w:val="both"/>
      </w:pPr>
      <w:r w:rsidRPr="00593A44">
        <w:t xml:space="preserve">El proceso suele comenzar con un sospechoso que presenta una especial vulnerabilidad frente a la presión interrogativa. Esta vulnerabilidad puede estar relacionada con características personales como la juventud, la ingenuidad, una discapacidad intelectual o un alto nivel de sugestionabilidad. A </w:t>
      </w:r>
      <w:r w:rsidR="00DB6783" w:rsidRPr="00593A44">
        <w:t>esto</w:t>
      </w:r>
      <w:r w:rsidRPr="00593A44">
        <w:t xml:space="preserve"> se suman factores situacionales propios del contexto, el estrés, el aislamiento, la privación de sueño o el consumo de sustancias. En conjunto, estas circunstancias disminuyen la capacidad de la persona para resistir la presión policial y facilitan que empiece a dudar de sus propios recuerdos. Más tarde, el sospechoso es confrontado por los investigadores con supuestas pruebas de su implicación en el delito. Estas pruebas, que pueden ser falsas, suelen presentarse como objetivas y concluyentes, lo que incrementa aún más la presión psicológica. A partir de este momento, y en muchos casos con la orientación de la policía, la persona intenta dar sentido a su falta de recuerdo, atribuyéndola a explicaciones como una posible disociación o </w:t>
      </w:r>
      <w:r w:rsidR="00593A44" w:rsidRPr="00593A44">
        <w:t>lagunas</w:t>
      </w:r>
      <w:r w:rsidRPr="00593A44">
        <w:t xml:space="preserve"> de memoria. Como consecuencia de todo este proceso, puede aparecer una primera admisión tentativa de culpabilidad. Esta admisión no se basa en recuerdos claros del hecho, sino en inferencias y suposiciones, y suele expresarse mediante un lenguaje dubitativo, con frases como “supongo que lo hice” o “puede que lo hiciera”. Finalmente, esta admisión inicial puede evolucionar hacia una confesión mucho más elaborada y detallada. Los recuerdos se construyen a partir de fuentes externas, como preguntas sugestivas, información proporcionada durante el interrogatorio, conversaciones escuchadas, imágenes del caso o ejercicios de imaginación. El resultado son relatos que incluyen confabulaciones de memoria, que el propio sospechoso acaba asumiendo como verdaderos (</w:t>
      </w:r>
      <w:proofErr w:type="spellStart"/>
      <w:r w:rsidRPr="00593A44">
        <w:t>Kassin</w:t>
      </w:r>
      <w:proofErr w:type="spellEnd"/>
      <w:r w:rsidRPr="00593A44">
        <w:t>, 2006).</w:t>
      </w:r>
    </w:p>
    <w:p w14:paraId="46CC55CE" w14:textId="7F87A70A" w:rsidR="00FB7FB8" w:rsidRPr="0072789B" w:rsidRDefault="0072789B" w:rsidP="0072789B">
      <w:pPr>
        <w:pStyle w:val="NormalWeb"/>
        <w:spacing w:line="360" w:lineRule="auto"/>
        <w:jc w:val="both"/>
        <w:rPr>
          <w:b/>
          <w:bCs/>
        </w:rPr>
      </w:pPr>
      <w:r w:rsidRPr="0072789B">
        <w:rPr>
          <w:b/>
          <w:bCs/>
        </w:rPr>
        <w:lastRenderedPageBreak/>
        <w:t>BIBLIOGRAFÍA</w:t>
      </w:r>
    </w:p>
    <w:p w14:paraId="2F5143B2" w14:textId="77777777" w:rsidR="0072789B" w:rsidRPr="0072789B" w:rsidRDefault="0072789B" w:rsidP="0072789B">
      <w:pPr>
        <w:pStyle w:val="NormalWeb"/>
        <w:spacing w:before="0" w:beforeAutospacing="0" w:after="0" w:afterAutospacing="0" w:line="360" w:lineRule="auto"/>
        <w:ind w:left="720" w:hanging="720"/>
        <w:jc w:val="both"/>
        <w:rPr>
          <w:color w:val="000000" w:themeColor="text1"/>
        </w:rPr>
      </w:pPr>
      <w:r w:rsidRPr="0072789B">
        <w:rPr>
          <w:rStyle w:val="Textoennegrita"/>
          <w:rFonts w:eastAsiaTheme="majorEastAsia"/>
          <w:b w:val="0"/>
          <w:bCs w:val="0"/>
          <w:color w:val="000000" w:themeColor="text1"/>
        </w:rPr>
        <w:t>Constitución</w:t>
      </w:r>
      <w:r w:rsidRPr="0072789B">
        <w:rPr>
          <w:color w:val="000000" w:themeColor="text1"/>
        </w:rPr>
        <w:t xml:space="preserve"> Española. (1978).</w:t>
      </w:r>
      <w:r w:rsidRPr="0072789B">
        <w:rPr>
          <w:rStyle w:val="apple-converted-space"/>
          <w:rFonts w:eastAsiaTheme="majorEastAsia"/>
          <w:color w:val="000000" w:themeColor="text1"/>
        </w:rPr>
        <w:t> </w:t>
      </w:r>
      <w:r w:rsidRPr="0072789B">
        <w:rPr>
          <w:rStyle w:val="nfasis"/>
          <w:rFonts w:eastAsiaTheme="majorEastAsia"/>
          <w:color w:val="000000" w:themeColor="text1"/>
        </w:rPr>
        <w:t>Boletín Oficial del Estado</w:t>
      </w:r>
      <w:r w:rsidRPr="0072789B">
        <w:rPr>
          <w:color w:val="000000" w:themeColor="text1"/>
        </w:rPr>
        <w:t>, núm. 311, de 29 de diciembre de 1978.</w:t>
      </w:r>
      <w:r w:rsidRPr="0072789B">
        <w:rPr>
          <w:color w:val="000000" w:themeColor="text1"/>
        </w:rPr>
        <w:tab/>
      </w:r>
      <w:r w:rsidRPr="0072789B">
        <w:rPr>
          <w:color w:val="000000" w:themeColor="text1"/>
        </w:rPr>
        <w:br/>
      </w:r>
      <w:hyperlink r:id="rId9" w:history="1">
        <w:r w:rsidRPr="0072789B">
          <w:rPr>
            <w:rStyle w:val="Hipervnculo"/>
            <w:color w:val="000000" w:themeColor="text1"/>
          </w:rPr>
          <w:t>https://www.boe.es/eli/es/c/1978/12/27/(1)</w:t>
        </w:r>
      </w:hyperlink>
    </w:p>
    <w:p w14:paraId="5B9ED7A8" w14:textId="77777777" w:rsidR="0072789B" w:rsidRDefault="0072789B" w:rsidP="0072789B">
      <w:pPr>
        <w:pStyle w:val="NormalWeb"/>
        <w:spacing w:before="0" w:beforeAutospacing="0" w:after="0" w:afterAutospacing="0" w:line="360" w:lineRule="auto"/>
        <w:ind w:left="720" w:hanging="720"/>
        <w:jc w:val="both"/>
      </w:pPr>
      <w:r w:rsidRPr="0072789B">
        <w:rPr>
          <w:rStyle w:val="Textoennegrita"/>
          <w:rFonts w:eastAsiaTheme="majorEastAsia"/>
          <w:b w:val="0"/>
          <w:bCs w:val="0"/>
          <w:color w:val="000000" w:themeColor="text1"/>
        </w:rPr>
        <w:t>Ley de Enjuiciamiento Criminal. (1882).</w:t>
      </w:r>
      <w:r w:rsidRPr="0072789B">
        <w:rPr>
          <w:rStyle w:val="apple-converted-space"/>
          <w:rFonts w:eastAsiaTheme="majorEastAsia"/>
          <w:color w:val="000000" w:themeColor="text1"/>
        </w:rPr>
        <w:t> </w:t>
      </w:r>
      <w:r w:rsidRPr="0072789B">
        <w:rPr>
          <w:rStyle w:val="nfasis"/>
          <w:rFonts w:eastAsiaTheme="majorEastAsia"/>
          <w:color w:val="000000" w:themeColor="text1"/>
        </w:rPr>
        <w:t>Boletín Oficial del Estado</w:t>
      </w:r>
      <w:r w:rsidRPr="0072789B">
        <w:rPr>
          <w:color w:val="000000" w:themeColor="text1"/>
        </w:rPr>
        <w:t>, núm. 260, de 17 de septiembre de 1882.</w:t>
      </w:r>
      <w:r w:rsidRPr="0072789B">
        <w:rPr>
          <w:color w:val="000000" w:themeColor="text1"/>
        </w:rPr>
        <w:br/>
      </w:r>
      <w:hyperlink r:id="rId10" w:tgtFrame="_new" w:history="1">
        <w:r w:rsidRPr="0072789B">
          <w:rPr>
            <w:rStyle w:val="Hipervnculo"/>
            <w:rFonts w:eastAsiaTheme="majorEastAsia"/>
            <w:color w:val="000000" w:themeColor="text1"/>
          </w:rPr>
          <w:t>https://www.boe.es/buscar/act.php?id=BOE-A-1882-6036</w:t>
        </w:r>
      </w:hyperlink>
    </w:p>
    <w:p w14:paraId="77C4399F" w14:textId="77777777" w:rsidR="0072789B" w:rsidRPr="0072789B" w:rsidRDefault="0072789B" w:rsidP="00A602FD">
      <w:pPr>
        <w:pStyle w:val="NormalWeb"/>
        <w:spacing w:before="0" w:beforeAutospacing="0" w:after="0" w:afterAutospacing="0" w:line="360" w:lineRule="auto"/>
        <w:ind w:left="720" w:hanging="720"/>
        <w:jc w:val="both"/>
        <w:rPr>
          <w:color w:val="000000" w:themeColor="text1"/>
        </w:rPr>
      </w:pPr>
      <w:r w:rsidRPr="0072789B">
        <w:rPr>
          <w:color w:val="000000" w:themeColor="text1"/>
        </w:rPr>
        <w:t>Ministerio</w:t>
      </w:r>
      <w:r w:rsidRPr="0072789B">
        <w:rPr>
          <w:rStyle w:val="whitespace-normal"/>
          <w:rFonts w:eastAsiaTheme="majorEastAsia"/>
          <w:color w:val="000000" w:themeColor="text1"/>
        </w:rPr>
        <w:t xml:space="preserve"> del Interior</w:t>
      </w:r>
      <w:r w:rsidRPr="0072789B">
        <w:rPr>
          <w:color w:val="000000" w:themeColor="text1"/>
        </w:rPr>
        <w:t>. (2015).</w:t>
      </w:r>
      <w:r w:rsidRPr="0072789B">
        <w:rPr>
          <w:rStyle w:val="apple-converted-space"/>
          <w:rFonts w:eastAsiaTheme="majorEastAsia"/>
          <w:color w:val="000000" w:themeColor="text1"/>
        </w:rPr>
        <w:t> </w:t>
      </w:r>
      <w:r w:rsidRPr="0072789B">
        <w:rPr>
          <w:rStyle w:val="nfasis"/>
          <w:rFonts w:eastAsiaTheme="majorEastAsia"/>
          <w:color w:val="000000" w:themeColor="text1"/>
        </w:rPr>
        <w:t>Instrucción 11/2015, sobre el diseño y funcionamiento de las áreas de detención</w:t>
      </w:r>
      <w:r w:rsidRPr="0072789B">
        <w:rPr>
          <w:color w:val="000000" w:themeColor="text1"/>
        </w:rPr>
        <w:t>. Secretaría de Estado de Seguridad.</w:t>
      </w:r>
      <w:r w:rsidRPr="0072789B">
        <w:rPr>
          <w:color w:val="000000" w:themeColor="text1"/>
        </w:rPr>
        <w:br/>
      </w:r>
      <w:hyperlink r:id="rId11" w:tgtFrame="_new" w:history="1">
        <w:r w:rsidRPr="0072789B">
          <w:rPr>
            <w:rStyle w:val="Hipervnculo"/>
            <w:rFonts w:eastAsiaTheme="majorEastAsia"/>
            <w:color w:val="000000" w:themeColor="text1"/>
          </w:rPr>
          <w:t>https://www.defensordelpueblo.es/wp-content/uploads/2016/03/Instruccion_11_2015.pdf</w:t>
        </w:r>
      </w:hyperlink>
    </w:p>
    <w:p w14:paraId="3E12D1BE" w14:textId="731FFAEC" w:rsidR="0072789B" w:rsidRPr="0072789B" w:rsidRDefault="0072789B" w:rsidP="0072789B">
      <w:pPr>
        <w:pStyle w:val="NormalWeb"/>
        <w:spacing w:before="0" w:beforeAutospacing="0" w:after="0" w:afterAutospacing="0" w:line="360" w:lineRule="auto"/>
        <w:ind w:left="720" w:hanging="720"/>
        <w:jc w:val="both"/>
        <w:rPr>
          <w:color w:val="000000" w:themeColor="text1"/>
        </w:rPr>
      </w:pPr>
      <w:r w:rsidRPr="0072789B">
        <w:rPr>
          <w:color w:val="000000" w:themeColor="text1"/>
        </w:rPr>
        <w:t>Ministerio</w:t>
      </w:r>
      <w:r w:rsidRPr="0072789B">
        <w:rPr>
          <w:rStyle w:val="whitespace-normal"/>
          <w:rFonts w:eastAsiaTheme="majorEastAsia"/>
          <w:color w:val="000000" w:themeColor="text1"/>
        </w:rPr>
        <w:t xml:space="preserve"> del Interior</w:t>
      </w:r>
      <w:r w:rsidRPr="0072789B">
        <w:rPr>
          <w:color w:val="000000" w:themeColor="text1"/>
        </w:rPr>
        <w:t>. (2024).</w:t>
      </w:r>
      <w:r w:rsidRPr="0072789B">
        <w:rPr>
          <w:rStyle w:val="apple-converted-space"/>
          <w:rFonts w:eastAsiaTheme="majorEastAsia"/>
          <w:color w:val="000000" w:themeColor="text1"/>
        </w:rPr>
        <w:t> </w:t>
      </w:r>
      <w:r w:rsidRPr="0072789B">
        <w:rPr>
          <w:rStyle w:val="nfasis"/>
          <w:rFonts w:eastAsiaTheme="majorEastAsia"/>
          <w:color w:val="000000" w:themeColor="text1"/>
        </w:rPr>
        <w:t>Instrucción n.º 1/2024, de la Secretaría de Estado de Seguridad, por la que se aprueba el procedimiento integral de la detención policial</w:t>
      </w:r>
      <w:r w:rsidRPr="0072789B">
        <w:rPr>
          <w:color w:val="000000" w:themeColor="text1"/>
        </w:rPr>
        <w:t>.</w:t>
      </w:r>
    </w:p>
    <w:p w14:paraId="628896EB" w14:textId="77777777" w:rsidR="0072789B" w:rsidRPr="0072789B" w:rsidRDefault="0072789B" w:rsidP="0072789B">
      <w:pPr>
        <w:pStyle w:val="NormalWeb"/>
        <w:spacing w:before="0" w:beforeAutospacing="0" w:after="0" w:afterAutospacing="0" w:line="360" w:lineRule="auto"/>
        <w:ind w:left="720" w:hanging="720"/>
        <w:jc w:val="both"/>
        <w:rPr>
          <w:color w:val="000000" w:themeColor="text1"/>
        </w:rPr>
      </w:pPr>
      <w:r w:rsidRPr="0072789B">
        <w:rPr>
          <w:color w:val="000000" w:themeColor="text1"/>
        </w:rPr>
        <w:t>Molina, R. P. (2012). La prueba de confesión en la legislación territorial castellana. En</w:t>
      </w:r>
      <w:r w:rsidRPr="0072789B">
        <w:rPr>
          <w:rStyle w:val="apple-converted-space"/>
          <w:rFonts w:eastAsiaTheme="majorEastAsia"/>
          <w:color w:val="000000" w:themeColor="text1"/>
        </w:rPr>
        <w:t> </w:t>
      </w:r>
      <w:r w:rsidRPr="0072789B">
        <w:rPr>
          <w:i/>
          <w:iCs/>
          <w:color w:val="000000" w:themeColor="text1"/>
        </w:rPr>
        <w:t>Dialnet (Universidad de la Rioja)</w:t>
      </w:r>
      <w:r w:rsidRPr="0072789B">
        <w:rPr>
          <w:color w:val="000000" w:themeColor="text1"/>
        </w:rPr>
        <w:t>.</w:t>
      </w:r>
      <w:r w:rsidRPr="0072789B">
        <w:rPr>
          <w:rStyle w:val="apple-converted-space"/>
          <w:rFonts w:eastAsiaTheme="majorEastAsia"/>
          <w:color w:val="000000" w:themeColor="text1"/>
        </w:rPr>
        <w:t> </w:t>
      </w:r>
      <w:r w:rsidRPr="0072789B">
        <w:rPr>
          <w:rStyle w:val="url"/>
          <w:rFonts w:eastAsiaTheme="majorEastAsia"/>
          <w:color w:val="000000" w:themeColor="text1"/>
        </w:rPr>
        <w:t>https://dialnet.unirioja.es/servlet/tesis?codigo=68881</w:t>
      </w:r>
    </w:p>
    <w:p w14:paraId="60ECCCE3" w14:textId="4F3ADA4C" w:rsidR="0072789B" w:rsidRPr="0072789B" w:rsidRDefault="0072789B" w:rsidP="0072789B">
      <w:pPr>
        <w:pStyle w:val="NormalWeb"/>
        <w:spacing w:before="0" w:beforeAutospacing="0" w:after="0" w:afterAutospacing="0" w:line="360" w:lineRule="auto"/>
        <w:ind w:left="720" w:hanging="720"/>
        <w:jc w:val="both"/>
        <w:rPr>
          <w:color w:val="000000" w:themeColor="text1"/>
        </w:rPr>
      </w:pPr>
      <w:r w:rsidRPr="0072789B">
        <w:rPr>
          <w:color w:val="000000" w:themeColor="text1"/>
        </w:rPr>
        <w:t xml:space="preserve">Santos, A. M. (2018). Confesión policial y prueba penal: el valor procesal de las declaraciones </w:t>
      </w:r>
      <w:proofErr w:type="spellStart"/>
      <w:r w:rsidRPr="0072789B">
        <w:rPr>
          <w:color w:val="000000" w:themeColor="text1"/>
        </w:rPr>
        <w:t>autoinculpatorias</w:t>
      </w:r>
      <w:proofErr w:type="spellEnd"/>
      <w:r w:rsidRPr="0072789B">
        <w:rPr>
          <w:color w:val="000000" w:themeColor="text1"/>
        </w:rPr>
        <w:t xml:space="preserve"> realizadas ante la policía.</w:t>
      </w:r>
      <w:r w:rsidRPr="0072789B">
        <w:rPr>
          <w:rStyle w:val="apple-converted-space"/>
          <w:rFonts w:eastAsiaTheme="majorEastAsia"/>
          <w:color w:val="000000" w:themeColor="text1"/>
        </w:rPr>
        <w:t> </w:t>
      </w:r>
      <w:r w:rsidRPr="0072789B">
        <w:rPr>
          <w:i/>
          <w:iCs/>
          <w:color w:val="000000" w:themeColor="text1"/>
        </w:rPr>
        <w:t>Revista General de Derecho Procesal - ISSN 1696-9642</w:t>
      </w:r>
      <w:r w:rsidRPr="0072789B">
        <w:rPr>
          <w:color w:val="000000" w:themeColor="text1"/>
        </w:rPr>
        <w:t>,</w:t>
      </w:r>
      <w:r w:rsidRPr="0072789B">
        <w:rPr>
          <w:rStyle w:val="apple-converted-space"/>
          <w:rFonts w:eastAsiaTheme="majorEastAsia"/>
          <w:color w:val="000000" w:themeColor="text1"/>
        </w:rPr>
        <w:t> </w:t>
      </w:r>
      <w:r w:rsidRPr="0072789B">
        <w:rPr>
          <w:i/>
          <w:iCs/>
          <w:color w:val="000000" w:themeColor="text1"/>
        </w:rPr>
        <w:t>45</w:t>
      </w:r>
      <w:r w:rsidRPr="0072789B">
        <w:rPr>
          <w:color w:val="000000" w:themeColor="text1"/>
        </w:rPr>
        <w:t>, 5.</w:t>
      </w:r>
      <w:r w:rsidRPr="0072789B">
        <w:rPr>
          <w:rStyle w:val="apple-converted-space"/>
          <w:rFonts w:eastAsiaTheme="majorEastAsia"/>
          <w:color w:val="000000" w:themeColor="text1"/>
        </w:rPr>
        <w:t> </w:t>
      </w:r>
      <w:r w:rsidRPr="0072789B">
        <w:rPr>
          <w:rStyle w:val="url"/>
          <w:rFonts w:eastAsiaTheme="majorEastAsia"/>
          <w:color w:val="000000" w:themeColor="text1"/>
        </w:rPr>
        <w:t>http://ddfv.ufv.es/handle/10641/1947</w:t>
      </w:r>
    </w:p>
    <w:p w14:paraId="6664BDE0" w14:textId="6521E317" w:rsidR="0072789B" w:rsidRPr="0072789B" w:rsidRDefault="0072789B" w:rsidP="0072789B">
      <w:pPr>
        <w:pStyle w:val="NormalWeb"/>
        <w:spacing w:before="0" w:beforeAutospacing="0" w:after="0" w:afterAutospacing="0" w:line="360" w:lineRule="auto"/>
        <w:ind w:left="720" w:hanging="720"/>
        <w:jc w:val="both"/>
        <w:rPr>
          <w:rFonts w:eastAsiaTheme="majorEastAsia"/>
          <w:color w:val="000000" w:themeColor="text1"/>
        </w:rPr>
      </w:pPr>
      <w:r w:rsidRPr="0072789B">
        <w:rPr>
          <w:color w:val="000000" w:themeColor="text1"/>
        </w:rPr>
        <w:t>Alhambra, P. (2017). Valor probatorio de la confesión policial del sospechoso.</w:t>
      </w:r>
      <w:r w:rsidRPr="0072789B">
        <w:rPr>
          <w:rStyle w:val="apple-converted-space"/>
          <w:rFonts w:eastAsiaTheme="majorEastAsia"/>
          <w:color w:val="000000" w:themeColor="text1"/>
        </w:rPr>
        <w:t> </w:t>
      </w:r>
      <w:r w:rsidRPr="0072789B">
        <w:rPr>
          <w:i/>
          <w:iCs/>
          <w:color w:val="000000" w:themeColor="text1"/>
        </w:rPr>
        <w:t>Dialnet (Universidad de la Rioja)</w:t>
      </w:r>
      <w:r w:rsidRPr="0072789B">
        <w:rPr>
          <w:color w:val="000000" w:themeColor="text1"/>
        </w:rPr>
        <w:t>,</w:t>
      </w:r>
      <w:r w:rsidRPr="0072789B">
        <w:rPr>
          <w:rStyle w:val="apple-converted-space"/>
          <w:rFonts w:eastAsiaTheme="majorEastAsia"/>
          <w:color w:val="000000" w:themeColor="text1"/>
        </w:rPr>
        <w:t> </w:t>
      </w:r>
      <w:r w:rsidRPr="0072789B">
        <w:rPr>
          <w:i/>
          <w:iCs/>
          <w:color w:val="000000" w:themeColor="text1"/>
        </w:rPr>
        <w:t>10</w:t>
      </w:r>
      <w:r w:rsidRPr="0072789B">
        <w:rPr>
          <w:color w:val="000000" w:themeColor="text1"/>
        </w:rPr>
        <w:t>(10), 199-242.</w:t>
      </w:r>
      <w:r w:rsidRPr="0072789B">
        <w:rPr>
          <w:rStyle w:val="apple-converted-space"/>
          <w:rFonts w:eastAsiaTheme="majorEastAsia"/>
          <w:color w:val="000000" w:themeColor="text1"/>
        </w:rPr>
        <w:t> </w:t>
      </w:r>
      <w:hyperlink r:id="rId12" w:history="1">
        <w:r w:rsidRPr="0072789B">
          <w:rPr>
            <w:rStyle w:val="Hipervnculo"/>
            <w:rFonts w:eastAsiaTheme="majorEastAsia"/>
            <w:color w:val="000000" w:themeColor="text1"/>
          </w:rPr>
          <w:t>https://dialnet.unirioja.es/servlet/articulo?codigo=6403819</w:t>
        </w:r>
      </w:hyperlink>
    </w:p>
    <w:p w14:paraId="24BB0F9D" w14:textId="200118D2" w:rsidR="0072789B" w:rsidRPr="0072789B" w:rsidRDefault="0072789B" w:rsidP="0072789B">
      <w:pPr>
        <w:pStyle w:val="NormalWeb"/>
        <w:spacing w:before="0" w:beforeAutospacing="0" w:after="0" w:afterAutospacing="0" w:line="360" w:lineRule="auto"/>
        <w:ind w:left="720" w:hanging="720"/>
        <w:jc w:val="both"/>
        <w:rPr>
          <w:rFonts w:eastAsiaTheme="majorEastAsia"/>
          <w:color w:val="000000" w:themeColor="text1"/>
        </w:rPr>
      </w:pPr>
      <w:r w:rsidRPr="0072789B">
        <w:rPr>
          <w:color w:val="000000" w:themeColor="text1"/>
        </w:rPr>
        <w:t>Muñoz, J. V. C. (2015).</w:t>
      </w:r>
      <w:r w:rsidRPr="0072789B">
        <w:rPr>
          <w:rStyle w:val="apple-converted-space"/>
          <w:rFonts w:eastAsiaTheme="majorEastAsia"/>
          <w:color w:val="000000" w:themeColor="text1"/>
        </w:rPr>
        <w:t> </w:t>
      </w:r>
      <w:r w:rsidRPr="0072789B">
        <w:rPr>
          <w:i/>
          <w:iCs/>
          <w:color w:val="000000" w:themeColor="text1"/>
        </w:rPr>
        <w:t>La confesión precedida de la obtención inconstitucional de fuentes de prueba</w:t>
      </w:r>
      <w:r w:rsidRPr="0072789B">
        <w:rPr>
          <w:color w:val="000000" w:themeColor="text1"/>
        </w:rPr>
        <w:t>.</w:t>
      </w:r>
      <w:r w:rsidRPr="0072789B">
        <w:rPr>
          <w:rStyle w:val="apple-converted-space"/>
          <w:rFonts w:eastAsiaTheme="majorEastAsia"/>
          <w:color w:val="000000" w:themeColor="text1"/>
        </w:rPr>
        <w:t> </w:t>
      </w:r>
      <w:hyperlink r:id="rId13" w:history="1">
        <w:r w:rsidRPr="0072789B">
          <w:rPr>
            <w:rStyle w:val="Hipervnculo"/>
            <w:rFonts w:eastAsiaTheme="majorEastAsia"/>
            <w:color w:val="000000" w:themeColor="text1"/>
          </w:rPr>
          <w:t>https://eprints.ucm.es/28664/1/T35819.pdf</w:t>
        </w:r>
      </w:hyperlink>
    </w:p>
    <w:p w14:paraId="7BA057B2" w14:textId="4F66A7C1" w:rsidR="0072789B" w:rsidRPr="0072789B" w:rsidRDefault="0072789B" w:rsidP="0072789B">
      <w:pPr>
        <w:pStyle w:val="NormalWeb"/>
        <w:spacing w:before="0" w:beforeAutospacing="0" w:after="0" w:afterAutospacing="0" w:line="360" w:lineRule="auto"/>
        <w:ind w:left="720" w:hanging="720"/>
        <w:jc w:val="both"/>
        <w:rPr>
          <w:color w:val="000000" w:themeColor="text1"/>
        </w:rPr>
      </w:pPr>
      <w:proofErr w:type="spellStart"/>
      <w:r w:rsidRPr="0072789B">
        <w:rPr>
          <w:color w:val="000000" w:themeColor="text1"/>
        </w:rPr>
        <w:t>Gudjonsson</w:t>
      </w:r>
      <w:proofErr w:type="spellEnd"/>
      <w:r w:rsidRPr="0072789B">
        <w:rPr>
          <w:color w:val="000000" w:themeColor="text1"/>
        </w:rPr>
        <w:t>, G. H. (2003).</w:t>
      </w:r>
      <w:r w:rsidRPr="0072789B">
        <w:rPr>
          <w:rStyle w:val="apple-converted-space"/>
          <w:rFonts w:eastAsiaTheme="majorEastAsia"/>
          <w:color w:val="000000" w:themeColor="text1"/>
        </w:rPr>
        <w:t> </w:t>
      </w:r>
      <w:proofErr w:type="spellStart"/>
      <w:r w:rsidRPr="0072789B">
        <w:rPr>
          <w:i/>
          <w:iCs/>
          <w:color w:val="000000" w:themeColor="text1"/>
        </w:rPr>
        <w:t>The</w:t>
      </w:r>
      <w:proofErr w:type="spellEnd"/>
      <w:r w:rsidRPr="0072789B">
        <w:rPr>
          <w:i/>
          <w:iCs/>
          <w:color w:val="000000" w:themeColor="text1"/>
        </w:rPr>
        <w:t xml:space="preserve"> </w:t>
      </w:r>
      <w:proofErr w:type="spellStart"/>
      <w:r w:rsidRPr="0072789B">
        <w:rPr>
          <w:i/>
          <w:iCs/>
          <w:color w:val="000000" w:themeColor="text1"/>
        </w:rPr>
        <w:t>Psychology</w:t>
      </w:r>
      <w:proofErr w:type="spellEnd"/>
      <w:r w:rsidRPr="0072789B">
        <w:rPr>
          <w:i/>
          <w:iCs/>
          <w:color w:val="000000" w:themeColor="text1"/>
        </w:rPr>
        <w:t xml:space="preserve"> </w:t>
      </w:r>
      <w:proofErr w:type="spellStart"/>
      <w:r w:rsidRPr="0072789B">
        <w:rPr>
          <w:i/>
          <w:iCs/>
          <w:color w:val="000000" w:themeColor="text1"/>
        </w:rPr>
        <w:t>of</w:t>
      </w:r>
      <w:proofErr w:type="spellEnd"/>
      <w:r w:rsidRPr="0072789B">
        <w:rPr>
          <w:i/>
          <w:iCs/>
          <w:color w:val="000000" w:themeColor="text1"/>
        </w:rPr>
        <w:t xml:space="preserve"> </w:t>
      </w:r>
      <w:proofErr w:type="spellStart"/>
      <w:r w:rsidRPr="0072789B">
        <w:rPr>
          <w:i/>
          <w:iCs/>
          <w:color w:val="000000" w:themeColor="text1"/>
        </w:rPr>
        <w:t>Interrogations</w:t>
      </w:r>
      <w:proofErr w:type="spellEnd"/>
      <w:r w:rsidRPr="0072789B">
        <w:rPr>
          <w:i/>
          <w:iCs/>
          <w:color w:val="000000" w:themeColor="text1"/>
        </w:rPr>
        <w:t xml:space="preserve"> and </w:t>
      </w:r>
      <w:proofErr w:type="spellStart"/>
      <w:r w:rsidRPr="0072789B">
        <w:rPr>
          <w:i/>
          <w:iCs/>
          <w:color w:val="000000" w:themeColor="text1"/>
        </w:rPr>
        <w:t>Confessions</w:t>
      </w:r>
      <w:proofErr w:type="spellEnd"/>
      <w:r w:rsidRPr="0072789B">
        <w:rPr>
          <w:i/>
          <w:iCs/>
          <w:color w:val="000000" w:themeColor="text1"/>
        </w:rPr>
        <w:t xml:space="preserve">: A </w:t>
      </w:r>
      <w:proofErr w:type="spellStart"/>
      <w:r w:rsidRPr="0072789B">
        <w:rPr>
          <w:i/>
          <w:iCs/>
          <w:color w:val="000000" w:themeColor="text1"/>
        </w:rPr>
        <w:t>Handbook</w:t>
      </w:r>
      <w:proofErr w:type="spellEnd"/>
      <w:r w:rsidRPr="0072789B">
        <w:rPr>
          <w:color w:val="000000" w:themeColor="text1"/>
        </w:rPr>
        <w:t>.</w:t>
      </w:r>
    </w:p>
    <w:p w14:paraId="3AD2C299" w14:textId="77777777" w:rsidR="0072789B" w:rsidRPr="0072789B" w:rsidRDefault="0072789B" w:rsidP="0072789B">
      <w:pPr>
        <w:pStyle w:val="NormalWeb"/>
        <w:spacing w:before="0" w:beforeAutospacing="0" w:after="0" w:afterAutospacing="0" w:line="360" w:lineRule="auto"/>
        <w:ind w:left="720" w:hanging="720"/>
        <w:jc w:val="both"/>
        <w:rPr>
          <w:color w:val="000000" w:themeColor="text1"/>
        </w:rPr>
      </w:pPr>
      <w:r w:rsidRPr="0072789B">
        <w:rPr>
          <w:color w:val="000000" w:themeColor="text1"/>
        </w:rPr>
        <w:t xml:space="preserve">Green, A. (2023). Criminal False </w:t>
      </w:r>
      <w:proofErr w:type="spellStart"/>
      <w:r w:rsidRPr="0072789B">
        <w:rPr>
          <w:color w:val="000000" w:themeColor="text1"/>
        </w:rPr>
        <w:t>Confessions</w:t>
      </w:r>
      <w:proofErr w:type="spellEnd"/>
      <w:r w:rsidRPr="0072789B">
        <w:rPr>
          <w:color w:val="000000" w:themeColor="text1"/>
        </w:rPr>
        <w:t xml:space="preserve">. In: Cross, N., Corteen, K., Steele, R. &amp; McManus, M. (Eds.), </w:t>
      </w:r>
      <w:proofErr w:type="spellStart"/>
      <w:r w:rsidRPr="0072789B">
        <w:rPr>
          <w:color w:val="000000" w:themeColor="text1"/>
        </w:rPr>
        <w:t>Forensic</w:t>
      </w:r>
      <w:proofErr w:type="spellEnd"/>
      <w:r w:rsidRPr="0072789B">
        <w:rPr>
          <w:color w:val="000000" w:themeColor="text1"/>
        </w:rPr>
        <w:t xml:space="preserve"> </w:t>
      </w:r>
      <w:proofErr w:type="spellStart"/>
      <w:r w:rsidRPr="0072789B">
        <w:rPr>
          <w:color w:val="000000" w:themeColor="text1"/>
        </w:rPr>
        <w:t>Psychology</w:t>
      </w:r>
      <w:proofErr w:type="spellEnd"/>
      <w:r w:rsidRPr="0072789B">
        <w:rPr>
          <w:color w:val="000000" w:themeColor="text1"/>
        </w:rPr>
        <w:t xml:space="preserve">, </w:t>
      </w:r>
      <w:proofErr w:type="spellStart"/>
      <w:r w:rsidRPr="0072789B">
        <w:rPr>
          <w:color w:val="000000" w:themeColor="text1"/>
        </w:rPr>
        <w:t>Crime</w:t>
      </w:r>
      <w:proofErr w:type="spellEnd"/>
      <w:r w:rsidRPr="0072789B">
        <w:rPr>
          <w:color w:val="000000" w:themeColor="text1"/>
        </w:rPr>
        <w:t xml:space="preserve"> and </w:t>
      </w:r>
      <w:proofErr w:type="spellStart"/>
      <w:r w:rsidRPr="0072789B">
        <w:rPr>
          <w:color w:val="000000" w:themeColor="text1"/>
        </w:rPr>
        <w:t>Policing</w:t>
      </w:r>
      <w:proofErr w:type="spellEnd"/>
      <w:r w:rsidRPr="0072789B">
        <w:rPr>
          <w:color w:val="000000" w:themeColor="text1"/>
        </w:rPr>
        <w:t xml:space="preserve"> Key </w:t>
      </w:r>
      <w:proofErr w:type="spellStart"/>
      <w:r w:rsidRPr="0072789B">
        <w:rPr>
          <w:color w:val="000000" w:themeColor="text1"/>
        </w:rPr>
        <w:t>Concepts</w:t>
      </w:r>
      <w:proofErr w:type="spellEnd"/>
      <w:r w:rsidRPr="0072789B">
        <w:rPr>
          <w:color w:val="000000" w:themeColor="text1"/>
        </w:rPr>
        <w:t xml:space="preserve"> and </w:t>
      </w:r>
      <w:proofErr w:type="spellStart"/>
      <w:r w:rsidRPr="0072789B">
        <w:rPr>
          <w:color w:val="000000" w:themeColor="text1"/>
        </w:rPr>
        <w:t>Practical</w:t>
      </w:r>
      <w:proofErr w:type="spellEnd"/>
      <w:r w:rsidRPr="0072789B">
        <w:rPr>
          <w:color w:val="000000" w:themeColor="text1"/>
        </w:rPr>
        <w:t xml:space="preserve"> Debates. (pp. 312-316). Bristol, UK: </w:t>
      </w:r>
      <w:proofErr w:type="spellStart"/>
      <w:r w:rsidRPr="0072789B">
        <w:rPr>
          <w:color w:val="000000" w:themeColor="text1"/>
        </w:rPr>
        <w:t>Policy</w:t>
      </w:r>
      <w:proofErr w:type="spellEnd"/>
      <w:r w:rsidRPr="0072789B">
        <w:rPr>
          <w:color w:val="000000" w:themeColor="text1"/>
        </w:rPr>
        <w:t xml:space="preserve"> </w:t>
      </w:r>
      <w:proofErr w:type="spellStart"/>
      <w:r w:rsidRPr="0072789B">
        <w:rPr>
          <w:color w:val="000000" w:themeColor="text1"/>
        </w:rPr>
        <w:t>Press</w:t>
      </w:r>
      <w:proofErr w:type="spellEnd"/>
      <w:r w:rsidRPr="0072789B">
        <w:rPr>
          <w:color w:val="000000" w:themeColor="text1"/>
        </w:rPr>
        <w:t xml:space="preserve">. ISBN 9781447359395 </w:t>
      </w:r>
    </w:p>
    <w:p w14:paraId="0BEC168C" w14:textId="77777777" w:rsidR="0072789B" w:rsidRPr="0072789B" w:rsidRDefault="0072789B" w:rsidP="0072789B">
      <w:pPr>
        <w:pStyle w:val="NormalWeb"/>
        <w:spacing w:before="0" w:beforeAutospacing="0" w:after="0" w:afterAutospacing="0" w:line="360" w:lineRule="auto"/>
        <w:ind w:left="720" w:hanging="720"/>
        <w:jc w:val="both"/>
        <w:rPr>
          <w:color w:val="000000" w:themeColor="text1"/>
        </w:rPr>
      </w:pPr>
      <w:proofErr w:type="spellStart"/>
      <w:r w:rsidRPr="0072789B">
        <w:rPr>
          <w:color w:val="000000" w:themeColor="text1"/>
        </w:rPr>
        <w:t>Navamuel</w:t>
      </w:r>
      <w:proofErr w:type="spellEnd"/>
      <w:r w:rsidRPr="0072789B">
        <w:rPr>
          <w:color w:val="000000" w:themeColor="text1"/>
        </w:rPr>
        <w:t xml:space="preserve">, M. &amp; </w:t>
      </w:r>
      <w:proofErr w:type="spellStart"/>
      <w:r w:rsidRPr="0072789B">
        <w:rPr>
          <w:color w:val="000000" w:themeColor="text1"/>
        </w:rPr>
        <w:t>López</w:t>
      </w:r>
      <w:proofErr w:type="spellEnd"/>
      <w:r w:rsidRPr="0072789B">
        <w:rPr>
          <w:color w:val="000000" w:themeColor="text1"/>
        </w:rPr>
        <w:t xml:space="preserve">, R. M. (2017). </w:t>
      </w:r>
      <w:proofErr w:type="spellStart"/>
      <w:r w:rsidRPr="0072789B">
        <w:rPr>
          <w:color w:val="000000" w:themeColor="text1"/>
        </w:rPr>
        <w:t>Persuasión</w:t>
      </w:r>
      <w:proofErr w:type="spellEnd"/>
      <w:r w:rsidRPr="0072789B">
        <w:rPr>
          <w:color w:val="000000" w:themeColor="text1"/>
        </w:rPr>
        <w:t xml:space="preserve"> en el interrogatorio policial: una </w:t>
      </w:r>
      <w:proofErr w:type="spellStart"/>
      <w:r w:rsidRPr="0072789B">
        <w:rPr>
          <w:color w:val="000000" w:themeColor="text1"/>
        </w:rPr>
        <w:t>revisión</w:t>
      </w:r>
      <w:proofErr w:type="spellEnd"/>
      <w:r w:rsidRPr="0072789B">
        <w:rPr>
          <w:color w:val="000000" w:themeColor="text1"/>
        </w:rPr>
        <w:t xml:space="preserve"> </w:t>
      </w:r>
      <w:proofErr w:type="spellStart"/>
      <w:r w:rsidRPr="0072789B">
        <w:rPr>
          <w:color w:val="000000" w:themeColor="text1"/>
        </w:rPr>
        <w:t>sistemática</w:t>
      </w:r>
      <w:proofErr w:type="spellEnd"/>
      <w:r w:rsidRPr="0072789B">
        <w:rPr>
          <w:color w:val="000000" w:themeColor="text1"/>
        </w:rPr>
        <w:t xml:space="preserve">. </w:t>
      </w:r>
      <w:proofErr w:type="spellStart"/>
      <w:r w:rsidRPr="0072789B">
        <w:rPr>
          <w:color w:val="000000" w:themeColor="text1"/>
        </w:rPr>
        <w:t>Behavior</w:t>
      </w:r>
      <w:proofErr w:type="spellEnd"/>
      <w:r w:rsidRPr="0072789B">
        <w:rPr>
          <w:color w:val="000000" w:themeColor="text1"/>
        </w:rPr>
        <w:t xml:space="preserve"> and </w:t>
      </w:r>
      <w:proofErr w:type="spellStart"/>
      <w:r w:rsidRPr="0072789B">
        <w:rPr>
          <w:color w:val="000000" w:themeColor="text1"/>
        </w:rPr>
        <w:t>Law</w:t>
      </w:r>
      <w:proofErr w:type="spellEnd"/>
      <w:r w:rsidRPr="0072789B">
        <w:rPr>
          <w:color w:val="000000" w:themeColor="text1"/>
        </w:rPr>
        <w:t xml:space="preserve"> </w:t>
      </w:r>
      <w:proofErr w:type="spellStart"/>
      <w:r w:rsidRPr="0072789B">
        <w:rPr>
          <w:color w:val="000000" w:themeColor="text1"/>
        </w:rPr>
        <w:t>Journal</w:t>
      </w:r>
      <w:proofErr w:type="spellEnd"/>
      <w:r w:rsidRPr="0072789B">
        <w:rPr>
          <w:color w:val="000000" w:themeColor="text1"/>
        </w:rPr>
        <w:t xml:space="preserve">, 3(1), 11-25. </w:t>
      </w:r>
    </w:p>
    <w:p w14:paraId="4CFF179F" w14:textId="7418A7F1" w:rsidR="0072789B" w:rsidRPr="0072789B" w:rsidRDefault="0072789B" w:rsidP="0072789B">
      <w:pPr>
        <w:pStyle w:val="NormalWeb"/>
        <w:spacing w:before="0" w:beforeAutospacing="0" w:after="0" w:afterAutospacing="0" w:line="360" w:lineRule="auto"/>
        <w:ind w:left="720" w:hanging="720"/>
        <w:jc w:val="both"/>
        <w:rPr>
          <w:color w:val="000000" w:themeColor="text1"/>
        </w:rPr>
      </w:pPr>
      <w:proofErr w:type="spellStart"/>
      <w:r w:rsidRPr="0072789B">
        <w:rPr>
          <w:color w:val="000000" w:themeColor="text1"/>
        </w:rPr>
        <w:lastRenderedPageBreak/>
        <w:t>Kassin</w:t>
      </w:r>
      <w:proofErr w:type="spellEnd"/>
      <w:r w:rsidRPr="0072789B">
        <w:rPr>
          <w:color w:val="000000" w:themeColor="text1"/>
        </w:rPr>
        <w:t>, S. M. (2008). </w:t>
      </w:r>
      <w:proofErr w:type="spellStart"/>
      <w:r w:rsidRPr="0072789B">
        <w:rPr>
          <w:i/>
          <w:iCs/>
          <w:color w:val="000000" w:themeColor="text1"/>
        </w:rPr>
        <w:t>Internalized</w:t>
      </w:r>
      <w:proofErr w:type="spellEnd"/>
      <w:r w:rsidRPr="0072789B">
        <w:rPr>
          <w:i/>
          <w:iCs/>
          <w:color w:val="000000" w:themeColor="text1"/>
        </w:rPr>
        <w:t xml:space="preserve"> false </w:t>
      </w:r>
      <w:proofErr w:type="spellStart"/>
      <w:r w:rsidRPr="0072789B">
        <w:rPr>
          <w:i/>
          <w:iCs/>
          <w:color w:val="000000" w:themeColor="text1"/>
        </w:rPr>
        <w:t>confessions</w:t>
      </w:r>
      <w:proofErr w:type="spellEnd"/>
      <w:r w:rsidRPr="0072789B">
        <w:rPr>
          <w:color w:val="000000" w:themeColor="text1"/>
        </w:rPr>
        <w:t xml:space="preserve">. En D. R. Lindsay, R. F. Belli, &amp; M. S. G. </w:t>
      </w:r>
      <w:proofErr w:type="spellStart"/>
      <w:r w:rsidRPr="0072789B">
        <w:rPr>
          <w:color w:val="000000" w:themeColor="text1"/>
        </w:rPr>
        <w:t>Read</w:t>
      </w:r>
      <w:proofErr w:type="spellEnd"/>
      <w:r w:rsidRPr="0072789B">
        <w:rPr>
          <w:color w:val="000000" w:themeColor="text1"/>
        </w:rPr>
        <w:t xml:space="preserve"> (Eds.), </w:t>
      </w:r>
      <w:proofErr w:type="spellStart"/>
      <w:r w:rsidRPr="0072789B">
        <w:rPr>
          <w:b/>
          <w:bCs/>
          <w:color w:val="000000" w:themeColor="text1"/>
        </w:rPr>
        <w:t>Handbook</w:t>
      </w:r>
      <w:proofErr w:type="spellEnd"/>
      <w:r w:rsidRPr="0072789B">
        <w:rPr>
          <w:b/>
          <w:bCs/>
          <w:color w:val="000000" w:themeColor="text1"/>
        </w:rPr>
        <w:t xml:space="preserve"> </w:t>
      </w:r>
      <w:proofErr w:type="spellStart"/>
      <w:r w:rsidRPr="0072789B">
        <w:rPr>
          <w:b/>
          <w:bCs/>
          <w:color w:val="000000" w:themeColor="text1"/>
        </w:rPr>
        <w:t>of</w:t>
      </w:r>
      <w:proofErr w:type="spellEnd"/>
      <w:r w:rsidRPr="0072789B">
        <w:rPr>
          <w:b/>
          <w:bCs/>
          <w:color w:val="000000" w:themeColor="text1"/>
        </w:rPr>
        <w:t xml:space="preserve"> </w:t>
      </w:r>
      <w:proofErr w:type="spellStart"/>
      <w:r w:rsidRPr="0072789B">
        <w:rPr>
          <w:b/>
          <w:bCs/>
          <w:color w:val="000000" w:themeColor="text1"/>
        </w:rPr>
        <w:t>eyewitness</w:t>
      </w:r>
      <w:proofErr w:type="spellEnd"/>
      <w:r w:rsidRPr="0072789B">
        <w:rPr>
          <w:b/>
          <w:bCs/>
          <w:color w:val="000000" w:themeColor="text1"/>
        </w:rPr>
        <w:t xml:space="preserve"> </w:t>
      </w:r>
      <w:proofErr w:type="spellStart"/>
      <w:r w:rsidRPr="0072789B">
        <w:rPr>
          <w:b/>
          <w:bCs/>
          <w:color w:val="000000" w:themeColor="text1"/>
        </w:rPr>
        <w:t>psychology</w:t>
      </w:r>
      <w:proofErr w:type="spellEnd"/>
      <w:r w:rsidRPr="0072789B">
        <w:rPr>
          <w:b/>
          <w:bCs/>
          <w:color w:val="000000" w:themeColor="text1"/>
        </w:rPr>
        <w:t xml:space="preserve">. Vol. 1: </w:t>
      </w:r>
      <w:proofErr w:type="spellStart"/>
      <w:r w:rsidRPr="0072789B">
        <w:rPr>
          <w:b/>
          <w:bCs/>
          <w:color w:val="000000" w:themeColor="text1"/>
        </w:rPr>
        <w:t>Memory</w:t>
      </w:r>
      <w:proofErr w:type="spellEnd"/>
      <w:r w:rsidRPr="0072789B">
        <w:rPr>
          <w:b/>
          <w:bCs/>
          <w:color w:val="000000" w:themeColor="text1"/>
        </w:rPr>
        <w:t xml:space="preserve"> </w:t>
      </w:r>
      <w:proofErr w:type="spellStart"/>
      <w:r w:rsidRPr="0072789B">
        <w:rPr>
          <w:b/>
          <w:bCs/>
          <w:color w:val="000000" w:themeColor="text1"/>
        </w:rPr>
        <w:t>for</w:t>
      </w:r>
      <w:proofErr w:type="spellEnd"/>
      <w:r w:rsidRPr="0072789B">
        <w:rPr>
          <w:b/>
          <w:bCs/>
          <w:color w:val="000000" w:themeColor="text1"/>
        </w:rPr>
        <w:t xml:space="preserve"> </w:t>
      </w:r>
      <w:proofErr w:type="spellStart"/>
      <w:r w:rsidRPr="0072789B">
        <w:rPr>
          <w:b/>
          <w:bCs/>
          <w:color w:val="000000" w:themeColor="text1"/>
        </w:rPr>
        <w:t>events</w:t>
      </w:r>
      <w:proofErr w:type="spellEnd"/>
      <w:r w:rsidRPr="0072789B">
        <w:rPr>
          <w:color w:val="000000" w:themeColor="text1"/>
        </w:rPr>
        <w:t xml:space="preserve"> (pp. 175–192). Lawrence </w:t>
      </w:r>
      <w:proofErr w:type="spellStart"/>
      <w:r w:rsidRPr="0072789B">
        <w:rPr>
          <w:color w:val="000000" w:themeColor="text1"/>
        </w:rPr>
        <w:t>Erlbaum</w:t>
      </w:r>
      <w:proofErr w:type="spellEnd"/>
      <w:r w:rsidRPr="0072789B">
        <w:rPr>
          <w:color w:val="000000" w:themeColor="text1"/>
        </w:rPr>
        <w:t xml:space="preserve"> </w:t>
      </w:r>
      <w:proofErr w:type="spellStart"/>
      <w:r w:rsidRPr="0072789B">
        <w:rPr>
          <w:color w:val="000000" w:themeColor="text1"/>
        </w:rPr>
        <w:t>Associates</w:t>
      </w:r>
      <w:proofErr w:type="spellEnd"/>
      <w:r w:rsidRPr="0072789B">
        <w:rPr>
          <w:color w:val="000000" w:themeColor="text1"/>
        </w:rPr>
        <w:t xml:space="preserve">. </w:t>
      </w:r>
    </w:p>
    <w:p w14:paraId="30D8D844" w14:textId="77777777" w:rsidR="0072789B" w:rsidRPr="0072789B" w:rsidRDefault="0072789B" w:rsidP="0072789B">
      <w:pPr>
        <w:pStyle w:val="NormalWeb"/>
        <w:spacing w:line="360" w:lineRule="auto"/>
        <w:jc w:val="both"/>
        <w:rPr>
          <w:color w:val="000000" w:themeColor="text1"/>
        </w:rPr>
      </w:pPr>
      <w:proofErr w:type="spellStart"/>
      <w:r w:rsidRPr="0072789B">
        <w:rPr>
          <w:color w:val="000000" w:themeColor="text1"/>
        </w:rPr>
        <w:t>Kassin</w:t>
      </w:r>
      <w:proofErr w:type="spellEnd"/>
      <w:r w:rsidRPr="0072789B">
        <w:rPr>
          <w:color w:val="000000" w:themeColor="text1"/>
        </w:rPr>
        <w:t xml:space="preserve">, S. M., &amp; </w:t>
      </w:r>
      <w:proofErr w:type="spellStart"/>
      <w:r w:rsidRPr="0072789B">
        <w:rPr>
          <w:color w:val="000000" w:themeColor="text1"/>
        </w:rPr>
        <w:t>Gudjonsson</w:t>
      </w:r>
      <w:proofErr w:type="spellEnd"/>
      <w:r w:rsidRPr="0072789B">
        <w:rPr>
          <w:color w:val="000000" w:themeColor="text1"/>
        </w:rPr>
        <w:t>, G. H. (2004).</w:t>
      </w:r>
      <w:r w:rsidRPr="0072789B">
        <w:rPr>
          <w:rStyle w:val="apple-converted-space"/>
          <w:rFonts w:eastAsiaTheme="majorEastAsia"/>
          <w:color w:val="000000" w:themeColor="text1"/>
        </w:rPr>
        <w:t> </w:t>
      </w:r>
      <w:proofErr w:type="spellStart"/>
      <w:r w:rsidRPr="0072789B">
        <w:rPr>
          <w:rStyle w:val="nfasis"/>
          <w:rFonts w:eastAsiaTheme="majorEastAsia"/>
          <w:color w:val="000000" w:themeColor="text1"/>
        </w:rPr>
        <w:t>The</w:t>
      </w:r>
      <w:proofErr w:type="spellEnd"/>
      <w:r w:rsidRPr="0072789B">
        <w:rPr>
          <w:rStyle w:val="nfasis"/>
          <w:rFonts w:eastAsiaTheme="majorEastAsia"/>
          <w:color w:val="000000" w:themeColor="text1"/>
        </w:rPr>
        <w:t xml:space="preserve"> </w:t>
      </w:r>
      <w:proofErr w:type="spellStart"/>
      <w:r w:rsidRPr="0072789B">
        <w:rPr>
          <w:rStyle w:val="nfasis"/>
          <w:rFonts w:eastAsiaTheme="majorEastAsia"/>
          <w:color w:val="000000" w:themeColor="text1"/>
        </w:rPr>
        <w:t>psychology</w:t>
      </w:r>
      <w:proofErr w:type="spellEnd"/>
      <w:r w:rsidRPr="0072789B">
        <w:rPr>
          <w:rStyle w:val="nfasis"/>
          <w:rFonts w:eastAsiaTheme="majorEastAsia"/>
          <w:color w:val="000000" w:themeColor="text1"/>
        </w:rPr>
        <w:t xml:space="preserve"> </w:t>
      </w:r>
      <w:proofErr w:type="spellStart"/>
      <w:r w:rsidRPr="0072789B">
        <w:rPr>
          <w:rStyle w:val="nfasis"/>
          <w:rFonts w:eastAsiaTheme="majorEastAsia"/>
          <w:color w:val="000000" w:themeColor="text1"/>
        </w:rPr>
        <w:t>of</w:t>
      </w:r>
      <w:proofErr w:type="spellEnd"/>
      <w:r w:rsidRPr="0072789B">
        <w:rPr>
          <w:rStyle w:val="nfasis"/>
          <w:rFonts w:eastAsiaTheme="majorEastAsia"/>
          <w:color w:val="000000" w:themeColor="text1"/>
        </w:rPr>
        <w:t xml:space="preserve"> </w:t>
      </w:r>
      <w:proofErr w:type="spellStart"/>
      <w:r w:rsidRPr="0072789B">
        <w:rPr>
          <w:rStyle w:val="nfasis"/>
          <w:rFonts w:eastAsiaTheme="majorEastAsia"/>
          <w:color w:val="000000" w:themeColor="text1"/>
        </w:rPr>
        <w:t>confessions</w:t>
      </w:r>
      <w:proofErr w:type="spellEnd"/>
      <w:r w:rsidRPr="0072789B">
        <w:rPr>
          <w:rStyle w:val="nfasis"/>
          <w:rFonts w:eastAsiaTheme="majorEastAsia"/>
          <w:color w:val="000000" w:themeColor="text1"/>
        </w:rPr>
        <w:t xml:space="preserve">: A </w:t>
      </w:r>
      <w:proofErr w:type="spellStart"/>
      <w:r w:rsidRPr="0072789B">
        <w:rPr>
          <w:rStyle w:val="nfasis"/>
          <w:rFonts w:eastAsiaTheme="majorEastAsia"/>
          <w:color w:val="000000" w:themeColor="text1"/>
        </w:rPr>
        <w:t>review</w:t>
      </w:r>
      <w:proofErr w:type="spellEnd"/>
      <w:r w:rsidRPr="0072789B">
        <w:rPr>
          <w:rStyle w:val="nfasis"/>
          <w:rFonts w:eastAsiaTheme="majorEastAsia"/>
          <w:color w:val="000000" w:themeColor="text1"/>
        </w:rPr>
        <w:t xml:space="preserve"> </w:t>
      </w:r>
      <w:proofErr w:type="spellStart"/>
      <w:r w:rsidRPr="0072789B">
        <w:rPr>
          <w:rStyle w:val="nfasis"/>
          <w:rFonts w:eastAsiaTheme="majorEastAsia"/>
          <w:color w:val="000000" w:themeColor="text1"/>
        </w:rPr>
        <w:t>of</w:t>
      </w:r>
      <w:proofErr w:type="spellEnd"/>
      <w:r w:rsidRPr="0072789B">
        <w:rPr>
          <w:rStyle w:val="nfasis"/>
          <w:rFonts w:eastAsiaTheme="majorEastAsia"/>
          <w:color w:val="000000" w:themeColor="text1"/>
        </w:rPr>
        <w:t xml:space="preserve"> </w:t>
      </w:r>
      <w:proofErr w:type="spellStart"/>
      <w:r w:rsidRPr="0072789B">
        <w:rPr>
          <w:rStyle w:val="nfasis"/>
          <w:rFonts w:eastAsiaTheme="majorEastAsia"/>
          <w:color w:val="000000" w:themeColor="text1"/>
        </w:rPr>
        <w:t>the</w:t>
      </w:r>
      <w:proofErr w:type="spellEnd"/>
      <w:r w:rsidRPr="0072789B">
        <w:rPr>
          <w:rStyle w:val="nfasis"/>
          <w:rFonts w:eastAsiaTheme="majorEastAsia"/>
          <w:color w:val="000000" w:themeColor="text1"/>
        </w:rPr>
        <w:t xml:space="preserve"> </w:t>
      </w:r>
      <w:proofErr w:type="spellStart"/>
      <w:r w:rsidRPr="0072789B">
        <w:rPr>
          <w:rStyle w:val="nfasis"/>
          <w:rFonts w:eastAsiaTheme="majorEastAsia"/>
          <w:color w:val="000000" w:themeColor="text1"/>
        </w:rPr>
        <w:t>literature</w:t>
      </w:r>
      <w:proofErr w:type="spellEnd"/>
      <w:r w:rsidRPr="0072789B">
        <w:rPr>
          <w:rStyle w:val="nfasis"/>
          <w:rFonts w:eastAsiaTheme="majorEastAsia"/>
          <w:color w:val="000000" w:themeColor="text1"/>
        </w:rPr>
        <w:t xml:space="preserve"> and </w:t>
      </w:r>
      <w:proofErr w:type="spellStart"/>
      <w:r w:rsidRPr="0072789B">
        <w:rPr>
          <w:rStyle w:val="nfasis"/>
          <w:rFonts w:eastAsiaTheme="majorEastAsia"/>
          <w:color w:val="000000" w:themeColor="text1"/>
        </w:rPr>
        <w:t>issues</w:t>
      </w:r>
      <w:proofErr w:type="spellEnd"/>
      <w:r w:rsidRPr="0072789B">
        <w:rPr>
          <w:color w:val="000000" w:themeColor="text1"/>
        </w:rPr>
        <w:t xml:space="preserve">. </w:t>
      </w:r>
      <w:proofErr w:type="spellStart"/>
      <w:r w:rsidRPr="0072789B">
        <w:rPr>
          <w:color w:val="000000" w:themeColor="text1"/>
        </w:rPr>
        <w:t>Psychological</w:t>
      </w:r>
      <w:proofErr w:type="spellEnd"/>
      <w:r w:rsidRPr="0072789B">
        <w:rPr>
          <w:color w:val="000000" w:themeColor="text1"/>
        </w:rPr>
        <w:t xml:space="preserve"> </w:t>
      </w:r>
      <w:proofErr w:type="spellStart"/>
      <w:r w:rsidRPr="0072789B">
        <w:rPr>
          <w:color w:val="000000" w:themeColor="text1"/>
        </w:rPr>
        <w:t>Science</w:t>
      </w:r>
      <w:proofErr w:type="spellEnd"/>
      <w:r w:rsidRPr="0072789B">
        <w:rPr>
          <w:color w:val="000000" w:themeColor="text1"/>
        </w:rPr>
        <w:t xml:space="preserve"> in </w:t>
      </w:r>
      <w:proofErr w:type="spellStart"/>
      <w:r w:rsidRPr="0072789B">
        <w:rPr>
          <w:color w:val="000000" w:themeColor="text1"/>
        </w:rPr>
        <w:t>the</w:t>
      </w:r>
      <w:proofErr w:type="spellEnd"/>
      <w:r w:rsidRPr="0072789B">
        <w:rPr>
          <w:color w:val="000000" w:themeColor="text1"/>
        </w:rPr>
        <w:t xml:space="preserve"> </w:t>
      </w:r>
      <w:proofErr w:type="spellStart"/>
      <w:r w:rsidRPr="0072789B">
        <w:rPr>
          <w:color w:val="000000" w:themeColor="text1"/>
        </w:rPr>
        <w:t>Public</w:t>
      </w:r>
      <w:proofErr w:type="spellEnd"/>
      <w:r w:rsidRPr="0072789B">
        <w:rPr>
          <w:color w:val="000000" w:themeColor="text1"/>
        </w:rPr>
        <w:t xml:space="preserve"> </w:t>
      </w:r>
      <w:proofErr w:type="spellStart"/>
      <w:r w:rsidRPr="0072789B">
        <w:rPr>
          <w:color w:val="000000" w:themeColor="text1"/>
        </w:rPr>
        <w:t>Interest</w:t>
      </w:r>
      <w:proofErr w:type="spellEnd"/>
      <w:r w:rsidRPr="0072789B">
        <w:rPr>
          <w:color w:val="000000" w:themeColor="text1"/>
        </w:rPr>
        <w:t>, 5(2), 33–67.</w:t>
      </w:r>
    </w:p>
    <w:p w14:paraId="552D6885" w14:textId="77777777" w:rsidR="0072789B" w:rsidRPr="0072789B" w:rsidRDefault="0072789B" w:rsidP="0072789B">
      <w:pPr>
        <w:pStyle w:val="NormalWeb"/>
        <w:spacing w:before="0" w:beforeAutospacing="0" w:after="0" w:afterAutospacing="0" w:line="360" w:lineRule="auto"/>
        <w:ind w:left="720" w:hanging="720"/>
        <w:jc w:val="both"/>
        <w:rPr>
          <w:color w:val="000000" w:themeColor="text1"/>
        </w:rPr>
      </w:pPr>
      <w:proofErr w:type="spellStart"/>
      <w:r w:rsidRPr="0072789B">
        <w:rPr>
          <w:color w:val="000000" w:themeColor="text1"/>
        </w:rPr>
        <w:t>Kassin</w:t>
      </w:r>
      <w:proofErr w:type="spellEnd"/>
      <w:r w:rsidRPr="0072789B">
        <w:rPr>
          <w:color w:val="000000" w:themeColor="text1"/>
        </w:rPr>
        <w:t xml:space="preserve">, S. M. (1997). False </w:t>
      </w:r>
      <w:proofErr w:type="spellStart"/>
      <w:r w:rsidRPr="0072789B">
        <w:rPr>
          <w:color w:val="000000" w:themeColor="text1"/>
        </w:rPr>
        <w:t>Memories</w:t>
      </w:r>
      <w:proofErr w:type="spellEnd"/>
      <w:r w:rsidRPr="0072789B">
        <w:rPr>
          <w:color w:val="000000" w:themeColor="text1"/>
        </w:rPr>
        <w:t xml:space="preserve"> </w:t>
      </w:r>
      <w:proofErr w:type="spellStart"/>
      <w:r w:rsidRPr="0072789B">
        <w:rPr>
          <w:color w:val="000000" w:themeColor="text1"/>
        </w:rPr>
        <w:t>Turned</w:t>
      </w:r>
      <w:proofErr w:type="spellEnd"/>
      <w:r w:rsidRPr="0072789B">
        <w:rPr>
          <w:color w:val="000000" w:themeColor="text1"/>
        </w:rPr>
        <w:t xml:space="preserve"> </w:t>
      </w:r>
      <w:proofErr w:type="spellStart"/>
      <w:r w:rsidRPr="0072789B">
        <w:rPr>
          <w:color w:val="000000" w:themeColor="text1"/>
        </w:rPr>
        <w:t>Against</w:t>
      </w:r>
      <w:proofErr w:type="spellEnd"/>
      <w:r w:rsidRPr="0072789B">
        <w:rPr>
          <w:color w:val="000000" w:themeColor="text1"/>
        </w:rPr>
        <w:t xml:space="preserve"> </w:t>
      </w:r>
      <w:proofErr w:type="spellStart"/>
      <w:r w:rsidRPr="0072789B">
        <w:rPr>
          <w:color w:val="000000" w:themeColor="text1"/>
        </w:rPr>
        <w:t>the</w:t>
      </w:r>
      <w:proofErr w:type="spellEnd"/>
      <w:r w:rsidRPr="0072789B">
        <w:rPr>
          <w:color w:val="000000" w:themeColor="text1"/>
        </w:rPr>
        <w:t xml:space="preserve"> </w:t>
      </w:r>
      <w:proofErr w:type="spellStart"/>
      <w:r w:rsidRPr="0072789B">
        <w:rPr>
          <w:color w:val="000000" w:themeColor="text1"/>
        </w:rPr>
        <w:t>Self</w:t>
      </w:r>
      <w:proofErr w:type="spellEnd"/>
      <w:r w:rsidRPr="0072789B">
        <w:rPr>
          <w:color w:val="000000" w:themeColor="text1"/>
        </w:rPr>
        <w:t>.</w:t>
      </w:r>
      <w:r w:rsidRPr="0072789B">
        <w:rPr>
          <w:rStyle w:val="apple-converted-space"/>
          <w:rFonts w:eastAsiaTheme="majorEastAsia"/>
          <w:color w:val="000000" w:themeColor="text1"/>
        </w:rPr>
        <w:t> </w:t>
      </w:r>
      <w:proofErr w:type="spellStart"/>
      <w:r w:rsidRPr="0072789B">
        <w:rPr>
          <w:i/>
          <w:iCs/>
          <w:color w:val="000000" w:themeColor="text1"/>
        </w:rPr>
        <w:t>Psychological</w:t>
      </w:r>
      <w:proofErr w:type="spellEnd"/>
      <w:r w:rsidRPr="0072789B">
        <w:rPr>
          <w:i/>
          <w:iCs/>
          <w:color w:val="000000" w:themeColor="text1"/>
        </w:rPr>
        <w:t xml:space="preserve"> </w:t>
      </w:r>
      <w:proofErr w:type="spellStart"/>
      <w:r w:rsidRPr="0072789B">
        <w:rPr>
          <w:i/>
          <w:iCs/>
          <w:color w:val="000000" w:themeColor="text1"/>
        </w:rPr>
        <w:t>Inquiry</w:t>
      </w:r>
      <w:proofErr w:type="spellEnd"/>
      <w:r w:rsidRPr="0072789B">
        <w:rPr>
          <w:color w:val="000000" w:themeColor="text1"/>
        </w:rPr>
        <w:t>,</w:t>
      </w:r>
      <w:r w:rsidRPr="0072789B">
        <w:rPr>
          <w:rStyle w:val="apple-converted-space"/>
          <w:rFonts w:eastAsiaTheme="majorEastAsia"/>
          <w:color w:val="000000" w:themeColor="text1"/>
        </w:rPr>
        <w:t> </w:t>
      </w:r>
      <w:r w:rsidRPr="0072789B">
        <w:rPr>
          <w:i/>
          <w:iCs/>
          <w:color w:val="000000" w:themeColor="text1"/>
        </w:rPr>
        <w:t>8</w:t>
      </w:r>
      <w:r w:rsidRPr="0072789B">
        <w:rPr>
          <w:color w:val="000000" w:themeColor="text1"/>
        </w:rPr>
        <w:t>(4), 300-302.</w:t>
      </w:r>
      <w:r w:rsidRPr="0072789B">
        <w:rPr>
          <w:rStyle w:val="apple-converted-space"/>
          <w:rFonts w:eastAsiaTheme="majorEastAsia"/>
          <w:color w:val="000000" w:themeColor="text1"/>
        </w:rPr>
        <w:t> </w:t>
      </w:r>
      <w:r w:rsidRPr="0072789B">
        <w:rPr>
          <w:rStyle w:val="url"/>
          <w:rFonts w:eastAsiaTheme="majorEastAsia"/>
          <w:color w:val="000000" w:themeColor="text1"/>
        </w:rPr>
        <w:t>https://doi.org/10.1207/s15327965pli0804_4</w:t>
      </w:r>
    </w:p>
    <w:p w14:paraId="416A8A87" w14:textId="77777777" w:rsidR="0072789B" w:rsidRPr="0072789B" w:rsidRDefault="0072789B" w:rsidP="00FB7FB8">
      <w:pPr>
        <w:pStyle w:val="NormalWeb"/>
        <w:spacing w:line="360" w:lineRule="auto"/>
        <w:jc w:val="both"/>
        <w:rPr>
          <w:color w:val="000000" w:themeColor="text1"/>
        </w:rPr>
      </w:pPr>
    </w:p>
    <w:p w14:paraId="3063EE02" w14:textId="77777777" w:rsidR="001A062E" w:rsidRPr="00601C8F" w:rsidRDefault="001A062E">
      <w:pPr>
        <w:rPr>
          <w:rFonts w:ascii="Times New Roman" w:hAnsi="Times New Roman" w:cs="Times New Roman"/>
          <w:b/>
          <w:sz w:val="28"/>
          <w:szCs w:val="28"/>
          <w:lang w:val="en-US"/>
        </w:rPr>
      </w:pPr>
    </w:p>
    <w:sectPr w:rsidR="001A062E" w:rsidRPr="00601C8F" w:rsidSect="001E440E">
      <w:footerReference w:type="default" r:id="rId14"/>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8A55E" w14:textId="77777777" w:rsidR="00611175" w:rsidRDefault="00611175" w:rsidP="001E440E">
      <w:pPr>
        <w:spacing w:after="0" w:line="240" w:lineRule="auto"/>
      </w:pPr>
      <w:r>
        <w:separator/>
      </w:r>
    </w:p>
  </w:endnote>
  <w:endnote w:type="continuationSeparator" w:id="0">
    <w:p w14:paraId="74AF186B" w14:textId="77777777" w:rsidR="00611175" w:rsidRDefault="00611175"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CC45B" w14:textId="77777777" w:rsidR="00611175" w:rsidRDefault="00611175" w:rsidP="001E440E">
      <w:pPr>
        <w:spacing w:after="0" w:line="240" w:lineRule="auto"/>
      </w:pPr>
      <w:r>
        <w:separator/>
      </w:r>
    </w:p>
  </w:footnote>
  <w:footnote w:type="continuationSeparator" w:id="0">
    <w:p w14:paraId="70843736" w14:textId="77777777" w:rsidR="00611175" w:rsidRDefault="00611175"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138EE"/>
    <w:multiLevelType w:val="multilevel"/>
    <w:tmpl w:val="2F8A097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490BAE"/>
    <w:multiLevelType w:val="multilevel"/>
    <w:tmpl w:val="937EB6EA"/>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68059535">
    <w:abstractNumId w:val="5"/>
  </w:num>
  <w:num w:numId="2" w16cid:durableId="285740934">
    <w:abstractNumId w:val="3"/>
  </w:num>
  <w:num w:numId="3" w16cid:durableId="1123308446">
    <w:abstractNumId w:val="6"/>
  </w:num>
  <w:num w:numId="4" w16cid:durableId="845287702">
    <w:abstractNumId w:val="4"/>
  </w:num>
  <w:num w:numId="5" w16cid:durableId="1052579242">
    <w:abstractNumId w:val="2"/>
  </w:num>
  <w:num w:numId="6" w16cid:durableId="1825856608">
    <w:abstractNumId w:val="1"/>
  </w:num>
  <w:num w:numId="7" w16cid:durableId="996417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2A20"/>
    <w:rsid w:val="000305D3"/>
    <w:rsid w:val="000348A4"/>
    <w:rsid w:val="000434D5"/>
    <w:rsid w:val="00046CA2"/>
    <w:rsid w:val="0005048A"/>
    <w:rsid w:val="00052FE6"/>
    <w:rsid w:val="000546EA"/>
    <w:rsid w:val="00061C06"/>
    <w:rsid w:val="00064206"/>
    <w:rsid w:val="000712BF"/>
    <w:rsid w:val="000913D0"/>
    <w:rsid w:val="000946C6"/>
    <w:rsid w:val="00094AD0"/>
    <w:rsid w:val="000A56AD"/>
    <w:rsid w:val="000B23FC"/>
    <w:rsid w:val="000B262F"/>
    <w:rsid w:val="000B30AE"/>
    <w:rsid w:val="000B4AA6"/>
    <w:rsid w:val="000B4BF0"/>
    <w:rsid w:val="000B7DE1"/>
    <w:rsid w:val="000C43B9"/>
    <w:rsid w:val="000C5A69"/>
    <w:rsid w:val="000C630A"/>
    <w:rsid w:val="000D7339"/>
    <w:rsid w:val="000F163B"/>
    <w:rsid w:val="001026D2"/>
    <w:rsid w:val="00105C9A"/>
    <w:rsid w:val="00106728"/>
    <w:rsid w:val="00112F77"/>
    <w:rsid w:val="00120739"/>
    <w:rsid w:val="001241C5"/>
    <w:rsid w:val="00124496"/>
    <w:rsid w:val="001277E1"/>
    <w:rsid w:val="00131506"/>
    <w:rsid w:val="00131E5B"/>
    <w:rsid w:val="00135F03"/>
    <w:rsid w:val="00146216"/>
    <w:rsid w:val="0015235C"/>
    <w:rsid w:val="00152433"/>
    <w:rsid w:val="001525AB"/>
    <w:rsid w:val="00160EF7"/>
    <w:rsid w:val="001624DF"/>
    <w:rsid w:val="00166A95"/>
    <w:rsid w:val="00166C5C"/>
    <w:rsid w:val="0017210F"/>
    <w:rsid w:val="00174E0C"/>
    <w:rsid w:val="00183362"/>
    <w:rsid w:val="001845C7"/>
    <w:rsid w:val="00187556"/>
    <w:rsid w:val="00193300"/>
    <w:rsid w:val="00196D71"/>
    <w:rsid w:val="00197818"/>
    <w:rsid w:val="00197E64"/>
    <w:rsid w:val="001A062E"/>
    <w:rsid w:val="001A2167"/>
    <w:rsid w:val="001A2890"/>
    <w:rsid w:val="001A6AD5"/>
    <w:rsid w:val="001B05A8"/>
    <w:rsid w:val="001B38C7"/>
    <w:rsid w:val="001D1E66"/>
    <w:rsid w:val="001D7689"/>
    <w:rsid w:val="001E42AF"/>
    <w:rsid w:val="001E440E"/>
    <w:rsid w:val="001E48BE"/>
    <w:rsid w:val="001F100A"/>
    <w:rsid w:val="00201122"/>
    <w:rsid w:val="00203A35"/>
    <w:rsid w:val="00203EF0"/>
    <w:rsid w:val="002108FC"/>
    <w:rsid w:val="00220489"/>
    <w:rsid w:val="00221D28"/>
    <w:rsid w:val="00237E15"/>
    <w:rsid w:val="00240020"/>
    <w:rsid w:val="00241DD9"/>
    <w:rsid w:val="00251177"/>
    <w:rsid w:val="002513D5"/>
    <w:rsid w:val="00251842"/>
    <w:rsid w:val="00251F1F"/>
    <w:rsid w:val="002532AE"/>
    <w:rsid w:val="00255CBE"/>
    <w:rsid w:val="0025781D"/>
    <w:rsid w:val="00283EE5"/>
    <w:rsid w:val="00284475"/>
    <w:rsid w:val="002A007C"/>
    <w:rsid w:val="002A4957"/>
    <w:rsid w:val="002B005D"/>
    <w:rsid w:val="002B57B8"/>
    <w:rsid w:val="002B6143"/>
    <w:rsid w:val="002C208A"/>
    <w:rsid w:val="002D536E"/>
    <w:rsid w:val="002E1289"/>
    <w:rsid w:val="002E3236"/>
    <w:rsid w:val="002E75EA"/>
    <w:rsid w:val="002F003A"/>
    <w:rsid w:val="002F5A58"/>
    <w:rsid w:val="002F7C15"/>
    <w:rsid w:val="00302BF7"/>
    <w:rsid w:val="003041B7"/>
    <w:rsid w:val="00306696"/>
    <w:rsid w:val="0031098A"/>
    <w:rsid w:val="0031634E"/>
    <w:rsid w:val="00317006"/>
    <w:rsid w:val="00320D0C"/>
    <w:rsid w:val="00330940"/>
    <w:rsid w:val="00334B17"/>
    <w:rsid w:val="003366B9"/>
    <w:rsid w:val="0034688A"/>
    <w:rsid w:val="003554CD"/>
    <w:rsid w:val="0035599C"/>
    <w:rsid w:val="00365F3E"/>
    <w:rsid w:val="0037699B"/>
    <w:rsid w:val="0038129E"/>
    <w:rsid w:val="003931A8"/>
    <w:rsid w:val="00394B69"/>
    <w:rsid w:val="00395B70"/>
    <w:rsid w:val="00396042"/>
    <w:rsid w:val="003A519B"/>
    <w:rsid w:val="003B25C3"/>
    <w:rsid w:val="003C71F8"/>
    <w:rsid w:val="003D50A7"/>
    <w:rsid w:val="003E61C9"/>
    <w:rsid w:val="003F0C18"/>
    <w:rsid w:val="00413A2B"/>
    <w:rsid w:val="00417F85"/>
    <w:rsid w:val="004261C8"/>
    <w:rsid w:val="004365FF"/>
    <w:rsid w:val="00441F90"/>
    <w:rsid w:val="0044554F"/>
    <w:rsid w:val="004675B4"/>
    <w:rsid w:val="00477A73"/>
    <w:rsid w:val="00482EB9"/>
    <w:rsid w:val="00483BDD"/>
    <w:rsid w:val="004846A4"/>
    <w:rsid w:val="004879BB"/>
    <w:rsid w:val="004954AE"/>
    <w:rsid w:val="004C150F"/>
    <w:rsid w:val="004D2679"/>
    <w:rsid w:val="004D3B14"/>
    <w:rsid w:val="004E1E54"/>
    <w:rsid w:val="004E4626"/>
    <w:rsid w:val="004E48B2"/>
    <w:rsid w:val="004E4ADD"/>
    <w:rsid w:val="004F5475"/>
    <w:rsid w:val="00504170"/>
    <w:rsid w:val="005048DE"/>
    <w:rsid w:val="00513E81"/>
    <w:rsid w:val="00517E49"/>
    <w:rsid w:val="0052018E"/>
    <w:rsid w:val="00543A16"/>
    <w:rsid w:val="0055439B"/>
    <w:rsid w:val="00563ECC"/>
    <w:rsid w:val="0056723E"/>
    <w:rsid w:val="005727F0"/>
    <w:rsid w:val="0057361C"/>
    <w:rsid w:val="00580615"/>
    <w:rsid w:val="00580AE8"/>
    <w:rsid w:val="00581F92"/>
    <w:rsid w:val="0058221F"/>
    <w:rsid w:val="00585B14"/>
    <w:rsid w:val="00593A44"/>
    <w:rsid w:val="00597D88"/>
    <w:rsid w:val="005A0057"/>
    <w:rsid w:val="005A08DB"/>
    <w:rsid w:val="005A6666"/>
    <w:rsid w:val="005B1C35"/>
    <w:rsid w:val="005B39CF"/>
    <w:rsid w:val="005B3C59"/>
    <w:rsid w:val="005B4DB1"/>
    <w:rsid w:val="005C5567"/>
    <w:rsid w:val="005D1EE7"/>
    <w:rsid w:val="005D23DB"/>
    <w:rsid w:val="005D3106"/>
    <w:rsid w:val="005E108A"/>
    <w:rsid w:val="005E19E4"/>
    <w:rsid w:val="005E61E9"/>
    <w:rsid w:val="00600E23"/>
    <w:rsid w:val="00601C8F"/>
    <w:rsid w:val="00611175"/>
    <w:rsid w:val="0062144B"/>
    <w:rsid w:val="00624FC0"/>
    <w:rsid w:val="00633330"/>
    <w:rsid w:val="00641218"/>
    <w:rsid w:val="00665283"/>
    <w:rsid w:val="006654D8"/>
    <w:rsid w:val="006660FE"/>
    <w:rsid w:val="006672BC"/>
    <w:rsid w:val="0067198D"/>
    <w:rsid w:val="00673A1F"/>
    <w:rsid w:val="00674E91"/>
    <w:rsid w:val="00676EF0"/>
    <w:rsid w:val="00677A51"/>
    <w:rsid w:val="0068030E"/>
    <w:rsid w:val="00682352"/>
    <w:rsid w:val="00687DD6"/>
    <w:rsid w:val="006A00E9"/>
    <w:rsid w:val="006A24D5"/>
    <w:rsid w:val="006A71CD"/>
    <w:rsid w:val="006D43BE"/>
    <w:rsid w:val="006D649F"/>
    <w:rsid w:val="006F659A"/>
    <w:rsid w:val="00700909"/>
    <w:rsid w:val="00701B97"/>
    <w:rsid w:val="007048B2"/>
    <w:rsid w:val="00705844"/>
    <w:rsid w:val="0072316E"/>
    <w:rsid w:val="00724FFB"/>
    <w:rsid w:val="0072789B"/>
    <w:rsid w:val="00732A92"/>
    <w:rsid w:val="00735A5A"/>
    <w:rsid w:val="00735D4F"/>
    <w:rsid w:val="007401E7"/>
    <w:rsid w:val="007415EF"/>
    <w:rsid w:val="0074185F"/>
    <w:rsid w:val="00743B41"/>
    <w:rsid w:val="00750E27"/>
    <w:rsid w:val="00760180"/>
    <w:rsid w:val="00762C1A"/>
    <w:rsid w:val="00763147"/>
    <w:rsid w:val="00763396"/>
    <w:rsid w:val="00763DAC"/>
    <w:rsid w:val="00771D8F"/>
    <w:rsid w:val="00773753"/>
    <w:rsid w:val="00776D5C"/>
    <w:rsid w:val="00784989"/>
    <w:rsid w:val="00787594"/>
    <w:rsid w:val="00787AD3"/>
    <w:rsid w:val="007A0A18"/>
    <w:rsid w:val="007A14F0"/>
    <w:rsid w:val="007A19C1"/>
    <w:rsid w:val="007A1BB6"/>
    <w:rsid w:val="007A2E69"/>
    <w:rsid w:val="007A7C4B"/>
    <w:rsid w:val="007B0394"/>
    <w:rsid w:val="007B3F32"/>
    <w:rsid w:val="007B456A"/>
    <w:rsid w:val="007B59BD"/>
    <w:rsid w:val="007C1969"/>
    <w:rsid w:val="007C4434"/>
    <w:rsid w:val="007C7A97"/>
    <w:rsid w:val="007D644C"/>
    <w:rsid w:val="007E61DE"/>
    <w:rsid w:val="007E673A"/>
    <w:rsid w:val="007F10EF"/>
    <w:rsid w:val="00802F65"/>
    <w:rsid w:val="00802FEB"/>
    <w:rsid w:val="00807328"/>
    <w:rsid w:val="00807983"/>
    <w:rsid w:val="00812EF6"/>
    <w:rsid w:val="0081398B"/>
    <w:rsid w:val="00813C9E"/>
    <w:rsid w:val="00815D50"/>
    <w:rsid w:val="00823E23"/>
    <w:rsid w:val="00842B50"/>
    <w:rsid w:val="00843FE5"/>
    <w:rsid w:val="00852124"/>
    <w:rsid w:val="00861EAB"/>
    <w:rsid w:val="00866A8D"/>
    <w:rsid w:val="00870031"/>
    <w:rsid w:val="008803CE"/>
    <w:rsid w:val="00881835"/>
    <w:rsid w:val="00883E96"/>
    <w:rsid w:val="0088755E"/>
    <w:rsid w:val="00896E54"/>
    <w:rsid w:val="008A26D5"/>
    <w:rsid w:val="008A2ABC"/>
    <w:rsid w:val="008A3AF1"/>
    <w:rsid w:val="008A5B62"/>
    <w:rsid w:val="008B1AD9"/>
    <w:rsid w:val="008B3581"/>
    <w:rsid w:val="008C4BFE"/>
    <w:rsid w:val="008C71D7"/>
    <w:rsid w:val="008D1C31"/>
    <w:rsid w:val="008D2068"/>
    <w:rsid w:val="008D64BA"/>
    <w:rsid w:val="008E0336"/>
    <w:rsid w:val="008E2962"/>
    <w:rsid w:val="008F37B1"/>
    <w:rsid w:val="00915743"/>
    <w:rsid w:val="009237B7"/>
    <w:rsid w:val="00932DFF"/>
    <w:rsid w:val="00936FD2"/>
    <w:rsid w:val="00940F8B"/>
    <w:rsid w:val="00945E73"/>
    <w:rsid w:val="00963D0A"/>
    <w:rsid w:val="009664B7"/>
    <w:rsid w:val="0097126E"/>
    <w:rsid w:val="00982460"/>
    <w:rsid w:val="00982D4C"/>
    <w:rsid w:val="00983FF5"/>
    <w:rsid w:val="009878FA"/>
    <w:rsid w:val="00992F7B"/>
    <w:rsid w:val="009B0B50"/>
    <w:rsid w:val="009B13C8"/>
    <w:rsid w:val="009B3FE7"/>
    <w:rsid w:val="009B76C1"/>
    <w:rsid w:val="009C2724"/>
    <w:rsid w:val="009C2D17"/>
    <w:rsid w:val="009C7A6A"/>
    <w:rsid w:val="009D20E4"/>
    <w:rsid w:val="009E3198"/>
    <w:rsid w:val="009E3F89"/>
    <w:rsid w:val="009E4F59"/>
    <w:rsid w:val="009E643E"/>
    <w:rsid w:val="009F471F"/>
    <w:rsid w:val="009F6A05"/>
    <w:rsid w:val="009F7E14"/>
    <w:rsid w:val="00A104D5"/>
    <w:rsid w:val="00A10E5F"/>
    <w:rsid w:val="00A1245E"/>
    <w:rsid w:val="00A1774F"/>
    <w:rsid w:val="00A21CF7"/>
    <w:rsid w:val="00A239C2"/>
    <w:rsid w:val="00A25B88"/>
    <w:rsid w:val="00A262EB"/>
    <w:rsid w:val="00A277D4"/>
    <w:rsid w:val="00A30C66"/>
    <w:rsid w:val="00A32592"/>
    <w:rsid w:val="00A36199"/>
    <w:rsid w:val="00A36CF6"/>
    <w:rsid w:val="00A42C98"/>
    <w:rsid w:val="00A500ED"/>
    <w:rsid w:val="00A602FD"/>
    <w:rsid w:val="00A62B2E"/>
    <w:rsid w:val="00A710D0"/>
    <w:rsid w:val="00A74FF6"/>
    <w:rsid w:val="00A767E5"/>
    <w:rsid w:val="00A77AE2"/>
    <w:rsid w:val="00A8008C"/>
    <w:rsid w:val="00A80596"/>
    <w:rsid w:val="00A81D3B"/>
    <w:rsid w:val="00A821FF"/>
    <w:rsid w:val="00A84ADF"/>
    <w:rsid w:val="00AA30C8"/>
    <w:rsid w:val="00AB225C"/>
    <w:rsid w:val="00AB432E"/>
    <w:rsid w:val="00AC006D"/>
    <w:rsid w:val="00AD18DB"/>
    <w:rsid w:val="00AD3DA5"/>
    <w:rsid w:val="00AD441B"/>
    <w:rsid w:val="00AD4CB7"/>
    <w:rsid w:val="00AD68E5"/>
    <w:rsid w:val="00AD6BD4"/>
    <w:rsid w:val="00AE0F7D"/>
    <w:rsid w:val="00AF32A3"/>
    <w:rsid w:val="00B01C7B"/>
    <w:rsid w:val="00B06A88"/>
    <w:rsid w:val="00B10C11"/>
    <w:rsid w:val="00B14354"/>
    <w:rsid w:val="00B146A8"/>
    <w:rsid w:val="00B210AC"/>
    <w:rsid w:val="00B25B2D"/>
    <w:rsid w:val="00B26E00"/>
    <w:rsid w:val="00B31349"/>
    <w:rsid w:val="00B32698"/>
    <w:rsid w:val="00B40B8A"/>
    <w:rsid w:val="00B47A62"/>
    <w:rsid w:val="00B52293"/>
    <w:rsid w:val="00B527B4"/>
    <w:rsid w:val="00B67CC5"/>
    <w:rsid w:val="00B72D93"/>
    <w:rsid w:val="00B879BF"/>
    <w:rsid w:val="00B95EDC"/>
    <w:rsid w:val="00BA1DCF"/>
    <w:rsid w:val="00BA2127"/>
    <w:rsid w:val="00BB517E"/>
    <w:rsid w:val="00BB7B40"/>
    <w:rsid w:val="00BC0BAC"/>
    <w:rsid w:val="00BC0BD1"/>
    <w:rsid w:val="00BC2C5C"/>
    <w:rsid w:val="00BC493F"/>
    <w:rsid w:val="00BC570F"/>
    <w:rsid w:val="00BD08B8"/>
    <w:rsid w:val="00BD2299"/>
    <w:rsid w:val="00BD48CC"/>
    <w:rsid w:val="00BD4A93"/>
    <w:rsid w:val="00BE1EBC"/>
    <w:rsid w:val="00BE1FD9"/>
    <w:rsid w:val="00BE649B"/>
    <w:rsid w:val="00BF023D"/>
    <w:rsid w:val="00C02CA5"/>
    <w:rsid w:val="00C065CF"/>
    <w:rsid w:val="00C14901"/>
    <w:rsid w:val="00C20C97"/>
    <w:rsid w:val="00C21803"/>
    <w:rsid w:val="00C21A09"/>
    <w:rsid w:val="00C21F7F"/>
    <w:rsid w:val="00C22D52"/>
    <w:rsid w:val="00C32EDC"/>
    <w:rsid w:val="00C33237"/>
    <w:rsid w:val="00C344C1"/>
    <w:rsid w:val="00C369BA"/>
    <w:rsid w:val="00C43F70"/>
    <w:rsid w:val="00C55ECD"/>
    <w:rsid w:val="00C6592B"/>
    <w:rsid w:val="00C758EE"/>
    <w:rsid w:val="00C807C3"/>
    <w:rsid w:val="00CA3F62"/>
    <w:rsid w:val="00CC05D2"/>
    <w:rsid w:val="00CC4F6C"/>
    <w:rsid w:val="00CC5786"/>
    <w:rsid w:val="00CD2F01"/>
    <w:rsid w:val="00CD44D1"/>
    <w:rsid w:val="00CD45AC"/>
    <w:rsid w:val="00CD46B3"/>
    <w:rsid w:val="00CD624C"/>
    <w:rsid w:val="00CE4AC2"/>
    <w:rsid w:val="00CE5C0D"/>
    <w:rsid w:val="00CF1BE7"/>
    <w:rsid w:val="00D053AF"/>
    <w:rsid w:val="00D12AE3"/>
    <w:rsid w:val="00D27532"/>
    <w:rsid w:val="00D278AB"/>
    <w:rsid w:val="00D30B57"/>
    <w:rsid w:val="00D36485"/>
    <w:rsid w:val="00D46B27"/>
    <w:rsid w:val="00D476D9"/>
    <w:rsid w:val="00D47D1E"/>
    <w:rsid w:val="00D5060E"/>
    <w:rsid w:val="00D626C8"/>
    <w:rsid w:val="00D656AE"/>
    <w:rsid w:val="00D81CC8"/>
    <w:rsid w:val="00D857FD"/>
    <w:rsid w:val="00DA0D47"/>
    <w:rsid w:val="00DA19C1"/>
    <w:rsid w:val="00DA306C"/>
    <w:rsid w:val="00DA50D6"/>
    <w:rsid w:val="00DB6653"/>
    <w:rsid w:val="00DB6783"/>
    <w:rsid w:val="00DC23E5"/>
    <w:rsid w:val="00DC5661"/>
    <w:rsid w:val="00DE0D50"/>
    <w:rsid w:val="00DE5EB1"/>
    <w:rsid w:val="00DE690E"/>
    <w:rsid w:val="00DF184A"/>
    <w:rsid w:val="00DF4058"/>
    <w:rsid w:val="00E06ADC"/>
    <w:rsid w:val="00E11406"/>
    <w:rsid w:val="00E12ED2"/>
    <w:rsid w:val="00E16FB9"/>
    <w:rsid w:val="00E17177"/>
    <w:rsid w:val="00E2201B"/>
    <w:rsid w:val="00E22642"/>
    <w:rsid w:val="00E35204"/>
    <w:rsid w:val="00E44793"/>
    <w:rsid w:val="00E4592C"/>
    <w:rsid w:val="00E53CD5"/>
    <w:rsid w:val="00E560BB"/>
    <w:rsid w:val="00E611C8"/>
    <w:rsid w:val="00E61BC2"/>
    <w:rsid w:val="00E67871"/>
    <w:rsid w:val="00E720FF"/>
    <w:rsid w:val="00E72F9C"/>
    <w:rsid w:val="00E733F3"/>
    <w:rsid w:val="00E7405F"/>
    <w:rsid w:val="00E7542F"/>
    <w:rsid w:val="00EA382D"/>
    <w:rsid w:val="00EB1C65"/>
    <w:rsid w:val="00EB52F2"/>
    <w:rsid w:val="00EB55C6"/>
    <w:rsid w:val="00EB6781"/>
    <w:rsid w:val="00EB77CB"/>
    <w:rsid w:val="00EC3ED0"/>
    <w:rsid w:val="00ED0C9B"/>
    <w:rsid w:val="00ED16F4"/>
    <w:rsid w:val="00ED70C4"/>
    <w:rsid w:val="00EE6D1C"/>
    <w:rsid w:val="00EF1FDE"/>
    <w:rsid w:val="00EF2419"/>
    <w:rsid w:val="00EF59B8"/>
    <w:rsid w:val="00EF6809"/>
    <w:rsid w:val="00EF7929"/>
    <w:rsid w:val="00F03BFC"/>
    <w:rsid w:val="00F123C7"/>
    <w:rsid w:val="00F146D5"/>
    <w:rsid w:val="00F1491B"/>
    <w:rsid w:val="00F236BE"/>
    <w:rsid w:val="00F25552"/>
    <w:rsid w:val="00F25A65"/>
    <w:rsid w:val="00F25B63"/>
    <w:rsid w:val="00F320FF"/>
    <w:rsid w:val="00F33D7D"/>
    <w:rsid w:val="00F36F31"/>
    <w:rsid w:val="00F41538"/>
    <w:rsid w:val="00F463A4"/>
    <w:rsid w:val="00F512C9"/>
    <w:rsid w:val="00F7636C"/>
    <w:rsid w:val="00F865AE"/>
    <w:rsid w:val="00F916A0"/>
    <w:rsid w:val="00F948CE"/>
    <w:rsid w:val="00F977ED"/>
    <w:rsid w:val="00FA243F"/>
    <w:rsid w:val="00FA6B91"/>
    <w:rsid w:val="00FB3485"/>
    <w:rsid w:val="00FB7FB8"/>
    <w:rsid w:val="00FC0DEB"/>
    <w:rsid w:val="00FC15D2"/>
    <w:rsid w:val="00FC6F4A"/>
    <w:rsid w:val="00FE0109"/>
    <w:rsid w:val="00FE1C9E"/>
    <w:rsid w:val="00FE29E6"/>
    <w:rsid w:val="00FE46DD"/>
    <w:rsid w:val="00FE4B4E"/>
    <w:rsid w:val="00FF2735"/>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paragraph" w:styleId="NormalWeb">
    <w:name w:val="Normal (Web)"/>
    <w:basedOn w:val="Normal"/>
    <w:uiPriority w:val="99"/>
    <w:unhideWhenUsed/>
    <w:rsid w:val="00A32592"/>
    <w:pPr>
      <w:spacing w:before="100" w:beforeAutospacing="1" w:after="100" w:afterAutospacing="1" w:line="240" w:lineRule="auto"/>
    </w:pPr>
    <w:rPr>
      <w:rFonts w:ascii="Times New Roman" w:eastAsia="Times New Roman" w:hAnsi="Times New Roman" w:cs="Times New Roman"/>
      <w:sz w:val="24"/>
      <w:szCs w:val="24"/>
      <w:lang w:eastAsia="es-ES_tradnl" w:bidi="ar-SA"/>
    </w:rPr>
  </w:style>
  <w:style w:type="character" w:customStyle="1" w:styleId="apple-converted-space">
    <w:name w:val="apple-converted-space"/>
    <w:basedOn w:val="Fuentedeprrafopredeter"/>
    <w:rsid w:val="001A062E"/>
  </w:style>
  <w:style w:type="character" w:styleId="Textoennegrita">
    <w:name w:val="Strong"/>
    <w:basedOn w:val="Fuentedeprrafopredeter"/>
    <w:uiPriority w:val="22"/>
    <w:qFormat/>
    <w:rsid w:val="001A062E"/>
    <w:rPr>
      <w:b/>
      <w:bCs/>
    </w:rPr>
  </w:style>
  <w:style w:type="character" w:styleId="nfasis">
    <w:name w:val="Emphasis"/>
    <w:basedOn w:val="Fuentedeprrafopredeter"/>
    <w:uiPriority w:val="20"/>
    <w:qFormat/>
    <w:rsid w:val="00FB7FB8"/>
    <w:rPr>
      <w:i/>
      <w:iCs/>
    </w:rPr>
  </w:style>
  <w:style w:type="character" w:customStyle="1" w:styleId="whitespace-normal">
    <w:name w:val="whitespace-normal"/>
    <w:basedOn w:val="Fuentedeprrafopredeter"/>
    <w:rsid w:val="00FB7FB8"/>
  </w:style>
  <w:style w:type="character" w:customStyle="1" w:styleId="url">
    <w:name w:val="url"/>
    <w:basedOn w:val="Fuentedeprrafopredeter"/>
    <w:rsid w:val="00727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prints.ucm.es/28664/1/T35819.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ialnet.unirioja.es/servlet/articulo?codigo=6403819"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efensordelpueblo.es/wp-content/uploads/2016/03/Instruccion_11_2015.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oe.es/buscar/act.php?id=BOE-A-1882-6036" TargetMode="External"/><Relationship Id="rId4" Type="http://schemas.openxmlformats.org/officeDocument/2006/relationships/settings" Target="settings.xml"/><Relationship Id="rId9" Type="http://schemas.openxmlformats.org/officeDocument/2006/relationships/hyperlink" Target="https://www.boe.es/eli/es/c/1978/12/27/(1)"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721A6-FADE-4C7F-BA66-81C3B7736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16</Pages>
  <Words>5414</Words>
  <Characters>29777</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Marina Corral Vila</cp:lastModifiedBy>
  <cp:revision>5</cp:revision>
  <cp:lastPrinted>2019-02-23T21:16:00Z</cp:lastPrinted>
  <dcterms:created xsi:type="dcterms:W3CDTF">2026-01-08T21:44:00Z</dcterms:created>
  <dcterms:modified xsi:type="dcterms:W3CDTF">2026-01-09T18:31:00Z</dcterms:modified>
</cp:coreProperties>
</file>