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rPr>
        <w:drawing>
          <wp:inline distB="114300" distT="114300" distL="114300" distR="114300">
            <wp:extent cx="2974964" cy="198586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74964" cy="19858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48"/>
          <w:szCs w:val="48"/>
          <w:rtl w:val="0"/>
        </w:rPr>
        <w:t xml:space="preserve">La Vida en Pareja ante la Demencia, Cambios en la Experiencia Cotidiana: Una Revisión Sistemática</w:t>
      </w:r>
      <w:r w:rsidDel="00000000" w:rsidR="00000000" w:rsidRPr="00000000">
        <w:rPr>
          <w:rtl w:val="0"/>
        </w:rPr>
      </w:r>
    </w:p>
    <w:p w:rsidR="00000000" w:rsidDel="00000000" w:rsidP="00000000" w:rsidRDefault="00000000" w:rsidRPr="00000000" w14:paraId="00000003">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Autora: Claudia Martínez Castrillo</w:t>
      </w:r>
    </w:p>
    <w:p w:rsidR="00000000" w:rsidDel="00000000" w:rsidP="00000000" w:rsidRDefault="00000000" w:rsidRPr="00000000" w14:paraId="00000004">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Tutor: José Adrián Fernandes Pires</w:t>
      </w:r>
    </w:p>
    <w:p w:rsidR="00000000" w:rsidDel="00000000" w:rsidP="00000000" w:rsidRDefault="00000000" w:rsidRPr="00000000" w14:paraId="00000005">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Facultad de Ciencias Humanas y Sociales</w:t>
      </w:r>
    </w:p>
    <w:p w:rsidR="00000000" w:rsidDel="00000000" w:rsidP="00000000" w:rsidRDefault="00000000" w:rsidRPr="00000000" w14:paraId="00000006">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Madrid</w:t>
      </w:r>
    </w:p>
    <w:p w:rsidR="00000000" w:rsidDel="00000000" w:rsidP="00000000" w:rsidRDefault="00000000" w:rsidRPr="00000000" w14:paraId="00000007">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Mayo de 2026</w:t>
      </w:r>
    </w:p>
    <w:p w:rsidR="00000000" w:rsidDel="00000000" w:rsidP="00000000" w:rsidRDefault="00000000" w:rsidRPr="00000000" w14:paraId="00000008">
      <w:pPr>
        <w:spacing w:after="240" w:before="240"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Resumen</w:t>
      </w:r>
    </w:p>
    <w:p w:rsidR="00000000" w:rsidDel="00000000" w:rsidP="00000000" w:rsidRDefault="00000000" w:rsidRPr="00000000" w14:paraId="0000000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 El aumento de la longevidad y esperanza de vida ha derivado en una mayor prevalencia de la demencia. Esto se acompaña de un progresivo descenso de la natalidad haciendo así que la responsabilidad del cuidado de las personas mayores recaiga en los cónyuges. En este contexto, la demencia supone para las parejas cambios significativos en la vida cotidiana que pueden afectar a la calidad de la relación, en los vínculos sociales o en el empeoramiento de su salud mental. El poder comprender y explorar los cambios en las experiencias vividas de parejas de personas mayores en las que un miembro sufre demencia puede contribuir al desarrollo de futuras investigaciones e intervenciones psicológicas. </w:t>
      </w:r>
    </w:p>
    <w:p w:rsidR="00000000" w:rsidDel="00000000" w:rsidP="00000000" w:rsidRDefault="00000000" w:rsidRPr="00000000" w14:paraId="0000000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El objetivo del presente trabajo es realizar una revisión sistemática que integre las experiencias y los cambios en la vida cotidiana de las parejas de personas mayores en las que un miembro padece de demencia. </w:t>
      </w:r>
    </w:p>
    <w:p w:rsidR="00000000" w:rsidDel="00000000" w:rsidP="00000000" w:rsidRDefault="00000000" w:rsidRPr="00000000" w14:paraId="0000000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Metodología: La presente revisión, se basa en el estudio de </w:t>
      </w:r>
      <w:r w:rsidDel="00000000" w:rsidR="00000000" w:rsidRPr="00000000">
        <w:rPr>
          <w:rFonts w:ascii="Times New Roman" w:cs="Times New Roman" w:eastAsia="Times New Roman" w:hAnsi="Times New Roman"/>
          <w:sz w:val="24"/>
          <w:szCs w:val="24"/>
          <w:rtl w:val="0"/>
        </w:rPr>
        <w:t xml:space="preserve">Egilstrod</w:t>
      </w:r>
      <w:r w:rsidDel="00000000" w:rsidR="00000000" w:rsidRPr="00000000">
        <w:rPr>
          <w:rFonts w:ascii="Times New Roman" w:cs="Times New Roman" w:eastAsia="Times New Roman" w:hAnsi="Times New Roman"/>
          <w:sz w:val="24"/>
          <w:szCs w:val="24"/>
          <w:rtl w:val="0"/>
        </w:rPr>
        <w:t xml:space="preserve"> et al. (2019) y recopila información actualizada sobre el tema. Para ello, se realizó una búsqueda en las bases de datos Web of Science y PubMed de estudios cualitativos publicados entre 2017 y 2025. Finalmente, se incluyeron 11 artículos que se analizaron mediante un análisis temático. </w:t>
      </w:r>
    </w:p>
    <w:p w:rsidR="00000000" w:rsidDel="00000000" w:rsidP="00000000" w:rsidRDefault="00000000" w:rsidRPr="00000000" w14:paraId="0000000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 Los hallazgos revelan que la vida cotidiana se ve profundamente cambiada por el cuidado de la pareja con demencia. Estos cambios incluyen la sobrecarga del cuidador, la transformación del vínculo de pareja, la disminución de la intimidad afectivo-sexual y un posible aislamiento social. No obstante, como estrategias de afrontamiento las parejas resaltan el compromiso y los momentos compartidos en pareja, entre otros. Además, se subraya la importancia de plantear intervenciones basadas en la pareja y un apoyo profesional para poder ayudar a mejorar su calidad de vida.</w:t>
      </w:r>
    </w:p>
    <w:p w:rsidR="00000000" w:rsidDel="00000000" w:rsidP="00000000" w:rsidRDefault="00000000" w:rsidRPr="00000000" w14:paraId="0000000E">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Palabras clave: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demencia, cónyuges, cuidado, vida cotidiana, revisión sistemática, relación de pareja. </w:t>
      </w:r>
    </w:p>
    <w:p w:rsidR="00000000" w:rsidDel="00000000" w:rsidP="00000000" w:rsidRDefault="00000000" w:rsidRPr="00000000" w14:paraId="0000000F">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1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Increased longevity and life expectancy have led to a higher prevalence of dementia. This is accompanied by a gradual decline in the birth rate, meaning that the responsibility for caring for older people falls on their spouses. In this context, dementia brings about significant changes in the daily lives of couples that can affect the quality of their relationship, their social ties, or lead to a deterioration in their mental health. Understanding and exploring the changes in the lived experiences of older couples in which one partner has dementia can contribute to the development of future research and psychological interventions. </w:t>
      </w:r>
    </w:p>
    <w:p w:rsidR="00000000" w:rsidDel="00000000" w:rsidP="00000000" w:rsidRDefault="00000000" w:rsidRPr="00000000" w14:paraId="0000001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The aim of this study is to conduct a systematic review that integrates the experiences and changes in the daily lives of older couples in which one partner has dementia. </w:t>
      </w:r>
    </w:p>
    <w:p w:rsidR="00000000" w:rsidDel="00000000" w:rsidP="00000000" w:rsidRDefault="00000000" w:rsidRPr="00000000" w14:paraId="0000001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 This review is based on the study by Egilstrod et al. (2019) and compiles up-to-date information on the subject. To this end, a search was conducted in the Web of Science and PubMed databases for qualitative studies published between 2017 and 2025. Finally, 11 articles were included and analysed using thematic analysis. </w:t>
      </w:r>
    </w:p>
    <w:p w:rsidR="00000000" w:rsidDel="00000000" w:rsidP="00000000" w:rsidRDefault="00000000" w:rsidRPr="00000000" w14:paraId="0000001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The findings reveal that daily life is profoundly altered by caring for a partner with dementia. These changes include caregiver burnout, a transformation in the couple’s relationship, a decline in emotional and sexual intimacy, and potential social isolation. However, as coping strategies, couples highlight commitment and shared moments together, amongst other things. Furthermore, the importance of implementing couple-based interventions and professional support to help improve their quality of life is emphasised.</w:t>
      </w:r>
    </w:p>
    <w:p w:rsidR="00000000" w:rsidDel="00000000" w:rsidP="00000000" w:rsidRDefault="00000000" w:rsidRPr="00000000" w14:paraId="0000001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dementia, spouses, caregiving, daily life, systematic review, couple relationship. </w:t>
      </w:r>
    </w:p>
    <w:p w:rsidR="00000000" w:rsidDel="00000000" w:rsidP="00000000" w:rsidRDefault="00000000" w:rsidRPr="00000000" w14:paraId="00000015">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Índice</w:t>
      </w:r>
    </w:p>
    <w:p w:rsidR="00000000" w:rsidDel="00000000" w:rsidP="00000000" w:rsidRDefault="00000000" w:rsidRPr="00000000" w14:paraId="00000023">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Método……………………………………………………………………………….. </w:t>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Estrategia de búsqueda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Criterios de inclusión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Criterios de exclusión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Variables de interés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Análisis de datos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w:t>
      </w:r>
    </w:p>
    <w:p w:rsidR="00000000" w:rsidDel="00000000" w:rsidP="00000000" w:rsidRDefault="00000000" w:rsidRPr="00000000" w14:paraId="0000002B">
      <w:pPr>
        <w:spacing w:before="240" w:line="480" w:lineRule="auto"/>
        <w:ind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Identificación y clasificación de los estudios…………………………………………….</w:t>
      </w:r>
    </w:p>
    <w:p w:rsidR="00000000" w:rsidDel="00000000" w:rsidP="00000000" w:rsidRDefault="00000000" w:rsidRPr="00000000" w14:paraId="0000002C">
      <w:pPr>
        <w:spacing w:line="480" w:lineRule="auto"/>
        <w:ind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Características de los estudios incluidos…………………………………………………</w:t>
      </w:r>
    </w:p>
    <w:p w:rsidR="00000000" w:rsidDel="00000000" w:rsidP="00000000" w:rsidRDefault="00000000" w:rsidRPr="00000000" w14:paraId="0000002D">
      <w:pPr>
        <w:spacing w:line="480" w:lineRule="auto"/>
        <w:ind w:left="72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País de los estudios incluidos……………………………………………………………..</w:t>
      </w:r>
    </w:p>
    <w:p w:rsidR="00000000" w:rsidDel="00000000" w:rsidP="00000000" w:rsidRDefault="00000000" w:rsidRPr="00000000" w14:paraId="0000002E">
      <w:pPr>
        <w:spacing w:line="480" w:lineRule="auto"/>
        <w:ind w:left="72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Objetivos de los estudios incluidos………………………………………………………</w:t>
      </w:r>
    </w:p>
    <w:p w:rsidR="00000000" w:rsidDel="00000000" w:rsidP="00000000" w:rsidRDefault="00000000" w:rsidRPr="00000000" w14:paraId="0000002F">
      <w:pPr>
        <w:spacing w:line="480" w:lineRule="auto"/>
        <w:ind w:left="72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Metodología utilizada por los estudios incluidos…………………………………….</w:t>
      </w:r>
    </w:p>
    <w:p w:rsidR="00000000" w:rsidDel="00000000" w:rsidP="00000000" w:rsidRDefault="00000000" w:rsidRPr="00000000" w14:paraId="00000030">
      <w:pPr>
        <w:spacing w:line="480" w:lineRule="auto"/>
        <w:ind w:left="72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Análisis de datos de los estudios incluidos………………………………………….</w:t>
      </w:r>
    </w:p>
    <w:p w:rsidR="00000000" w:rsidDel="00000000" w:rsidP="00000000" w:rsidRDefault="00000000" w:rsidRPr="00000000" w14:paraId="00000031">
      <w:pPr>
        <w:spacing w:line="480" w:lineRule="auto"/>
        <w:ind w:left="72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Resultados del análisis temático de los estudios incluidos………………………..</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Discusión………………………………………………………………………….. </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Referencias………………………………………………………………………… </w:t>
      </w:r>
    </w:p>
    <w:p w:rsidR="00000000" w:rsidDel="00000000" w:rsidP="00000000" w:rsidRDefault="00000000" w:rsidRPr="00000000" w14:paraId="00000034">
      <w:pPr>
        <w:spacing w:after="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Anexos……………………………………………………………………………… </w:t>
      </w:r>
    </w:p>
    <w:p w:rsidR="00000000" w:rsidDel="00000000" w:rsidP="00000000" w:rsidRDefault="00000000" w:rsidRPr="00000000" w14:paraId="00000035">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Introducción</w:t>
      </w:r>
    </w:p>
    <w:p w:rsidR="00000000" w:rsidDel="00000000" w:rsidP="00000000" w:rsidRDefault="00000000" w:rsidRPr="00000000" w14:paraId="00000038">
      <w:pPr>
        <w:spacing w:after="240" w:before="240" w:line="480" w:lineRule="auto"/>
        <w:ind w:left="0" w:firstLine="0"/>
        <w:rPr>
          <w:rFonts w:ascii="Roboto" w:cs="Roboto" w:eastAsia="Roboto" w:hAnsi="Roboto"/>
          <w:sz w:val="24"/>
          <w:szCs w:val="24"/>
          <w:highlight w:val="white"/>
        </w:rPr>
      </w:pPr>
      <w:r w:rsidDel="00000000" w:rsidR="00000000" w:rsidRPr="00000000">
        <w:rPr>
          <w:rFonts w:ascii="Times New Roman" w:cs="Times New Roman" w:eastAsia="Times New Roman" w:hAnsi="Times New Roman"/>
          <w:sz w:val="24"/>
          <w:szCs w:val="24"/>
          <w:rtl w:val="0"/>
        </w:rPr>
        <w:t xml:space="preserve">El creciente envejecimiento y dependencia de la población plantea un reto a nivel socioeconómico, cultural y sanitario (Abades &amp; Rayón, 2012). Esto tiene como consecuencia que la sociedad esté experimentando una transformación hacia poblaciones más envejecidas debido a dos principales causas: la baja natalidad y el aumento de la esperanza de vida de las personas de edades comprendidas entre los 65 y los 85 años (Ministerio de Sanidad, 2023). </w:t>
      </w:r>
      <w:r w:rsidDel="00000000" w:rsidR="00000000" w:rsidRPr="00000000">
        <w:rPr>
          <w:rFonts w:ascii="Roboto" w:cs="Roboto" w:eastAsia="Roboto" w:hAnsi="Roboto"/>
          <w:sz w:val="24"/>
          <w:szCs w:val="24"/>
          <w:highlight w:val="white"/>
          <w:rtl w:val="0"/>
        </w:rPr>
        <w:t xml:space="preserve"> </w:t>
      </w:r>
    </w:p>
    <w:p w:rsidR="00000000" w:rsidDel="00000000" w:rsidP="00000000" w:rsidRDefault="00000000" w:rsidRPr="00000000" w14:paraId="00000039">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España es uno de los países más afectados por el envejecimiento demográfico ya que se conoce que para el 2050 habrá aproximadamente 16 millones de personas mayores en el país (Instituto Nacional de Estadística, 2009). Factores como la mejora en la calidad de vida, los servicios sanitarios y los avances en la tecnología influyen positivamente en el aumento de la esperanza de vida de la sociedad española. Además, aspectos como la Seguridad Social o la dieta mediterránea impactan de manera positiva en la longevidad de los españoles (Abades &amp; Rayón, 2012). Concretamente, los datos más recientes revelan que en 2021, la esperanza de vida en España fue de 83,2 años; 80,3 en hombres y 86,1 en mujeres (Ministerio de Sanidad, 2023). </w:t>
      </w:r>
      <w:r w:rsidDel="00000000" w:rsidR="00000000" w:rsidRPr="00000000">
        <w:rPr>
          <w:rFonts w:ascii="Times New Roman" w:cs="Times New Roman" w:eastAsia="Times New Roman" w:hAnsi="Times New Roman"/>
          <w:sz w:val="24"/>
          <w:szCs w:val="24"/>
          <w:highlight w:val="white"/>
          <w:rtl w:val="0"/>
        </w:rPr>
        <w:t xml:space="preserve">Actualmente, más del 20% de la población tiene 65 años o más y para 2055 este porcentaje aumentará hasta el 30,5% (Instituto Nacional de Estadística, 2024). </w:t>
      </w:r>
      <w:r w:rsidDel="00000000" w:rsidR="00000000" w:rsidRPr="00000000">
        <w:rPr>
          <w:rtl w:val="0"/>
        </w:rPr>
      </w:r>
    </w:p>
    <w:p w:rsidR="00000000" w:rsidDel="00000000" w:rsidP="00000000" w:rsidRDefault="00000000" w:rsidRPr="00000000" w14:paraId="0000003A">
      <w:pPr>
        <w:spacing w:after="240" w:before="2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 incremento de la longevidad se relaciona profundamente con la demencia ya que la edad es el principal marcador de riesgo que afecta al desarrollo del Alzheimer (Viñuela, 2018).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El hecho de que la prevalencia de la demencia y el deterioro cognitivo sea tan alta está estrechamente relacionado con el envejecimiento de la población española. </w:t>
      </w:r>
    </w:p>
    <w:p w:rsidR="00000000" w:rsidDel="00000000" w:rsidP="00000000" w:rsidRDefault="00000000" w:rsidRPr="00000000" w14:paraId="0000003B">
      <w:pPr>
        <w:spacing w:after="240" w:before="2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 demencia y el deterioro cognitivo afectan a millones de personas siendo así uno de los mayores retos para la salud pública. Profundizando en su definición, Abyad (2025) afirma que la demencia “es un síndrome clínico crónico y progresivo causado por diversas enfermedades que dañan el cerebro, lo que conduce a un deterioro significativo de las capacidades cognitivas y a la pérdida de la independencia funcional” (p. 1). </w:t>
      </w:r>
      <w:r w:rsidDel="00000000" w:rsidR="00000000" w:rsidRPr="00000000">
        <w:rPr>
          <w:rFonts w:ascii="Times New Roman" w:cs="Times New Roman" w:eastAsia="Times New Roman" w:hAnsi="Times New Roman"/>
          <w:sz w:val="24"/>
          <w:szCs w:val="24"/>
          <w:highlight w:val="white"/>
          <w:rtl w:val="0"/>
        </w:rPr>
        <w:t xml:space="preserve">Así pues, son manifestaciones de un conjunto de síntomas que afectan al cerebro, la memoria, las funciones cognitivas y ejecutivas y al comportamiento por lo que tienen un gran impacto y atraviesan la vida cotidiana de las personas que lo padecen (Rexach et al., 2024). </w:t>
      </w:r>
      <w:r w:rsidDel="00000000" w:rsidR="00000000" w:rsidRPr="00000000">
        <w:rPr>
          <w:rFonts w:ascii="Times New Roman" w:cs="Times New Roman" w:eastAsia="Times New Roman" w:hAnsi="Times New Roman"/>
          <w:sz w:val="24"/>
          <w:szCs w:val="24"/>
          <w:rtl w:val="0"/>
        </w:rPr>
        <w:t xml:space="preserve">Según la Organización Mundial de la Salud (2025), los datos más recientes revelan que 57 millones de personas conviven con demencia además de ser la séptima causa de muerte</w:t>
      </w:r>
      <w:r w:rsidDel="00000000" w:rsidR="00000000" w:rsidRPr="00000000">
        <w:rPr>
          <w:rFonts w:ascii="Times New Roman" w:cs="Times New Roman" w:eastAsia="Times New Roman" w:hAnsi="Times New Roman"/>
          <w:sz w:val="24"/>
          <w:szCs w:val="24"/>
          <w:highlight w:val="white"/>
          <w:rtl w:val="0"/>
        </w:rPr>
        <w:t xml:space="preserve">. En España, la cifra se sitúa entre las 500.000 y 800.000 personas (Villarejo Galende et al., 2021). </w:t>
      </w:r>
    </w:p>
    <w:p w:rsidR="00000000" w:rsidDel="00000000" w:rsidP="00000000" w:rsidRDefault="00000000" w:rsidRPr="00000000" w14:paraId="0000003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envejecimiento de la población coincide con un hecho demográfico paralelo: el descenso de la natalidad. La tasa de natalidad ha ido decreciendo a partir de la década de los 70 debido a la situación económica, la incorporación de la mujer al mercado laboral y el descenso de la presencia de la religión en la sociedad </w:t>
      </w:r>
      <w:r w:rsidDel="00000000" w:rsidR="00000000" w:rsidRPr="00000000">
        <w:rPr>
          <w:rFonts w:ascii="Times New Roman" w:cs="Times New Roman" w:eastAsia="Times New Roman" w:hAnsi="Times New Roman"/>
          <w:color w:val="1f1f1f"/>
          <w:sz w:val="24"/>
          <w:szCs w:val="24"/>
          <w:rtl w:val="0"/>
        </w:rPr>
        <w:t xml:space="preserve">(Abades &amp; Rayón, 2012).</w:t>
      </w:r>
      <w:r w:rsidDel="00000000" w:rsidR="00000000" w:rsidRPr="00000000">
        <w:rPr>
          <w:rFonts w:ascii="Times New Roman" w:cs="Times New Roman" w:eastAsia="Times New Roman" w:hAnsi="Times New Roman"/>
          <w:sz w:val="24"/>
          <w:szCs w:val="24"/>
          <w:rtl w:val="0"/>
        </w:rPr>
        <w:t xml:space="preserve"> Esta tendencia hace que se vaya reduciendo así el tamaño de la familia y de los hijos, que son los que nor</w:t>
      </w:r>
      <w:r w:rsidDel="00000000" w:rsidR="00000000" w:rsidRPr="00000000">
        <w:rPr>
          <w:rFonts w:ascii="Times New Roman" w:cs="Times New Roman" w:eastAsia="Times New Roman" w:hAnsi="Times New Roman"/>
          <w:sz w:val="24"/>
          <w:szCs w:val="24"/>
          <w:highlight w:val="white"/>
          <w:rtl w:val="0"/>
        </w:rPr>
        <w:t xml:space="preserve">malmente asumen el cargo de sus familiares. Esto provoca que la responsabilidad del cuidado recaiga en los cónyuges en vez de en los hijos (Miller et </w:t>
      </w:r>
      <w:r w:rsidDel="00000000" w:rsidR="00000000" w:rsidRPr="00000000">
        <w:rPr>
          <w:rFonts w:ascii="Times New Roman" w:cs="Times New Roman" w:eastAsia="Times New Roman" w:hAnsi="Times New Roman"/>
          <w:sz w:val="24"/>
          <w:szCs w:val="24"/>
          <w:highlight w:val="white"/>
          <w:rtl w:val="0"/>
        </w:rPr>
        <w:t xml:space="preserve">al.,</w:t>
      </w:r>
      <w:r w:rsidDel="00000000" w:rsidR="00000000" w:rsidRPr="00000000">
        <w:rPr>
          <w:rFonts w:ascii="Times New Roman" w:cs="Times New Roman" w:eastAsia="Times New Roman" w:hAnsi="Times New Roman"/>
          <w:sz w:val="24"/>
          <w:szCs w:val="24"/>
          <w:highlight w:val="white"/>
          <w:rtl w:val="0"/>
        </w:rPr>
        <w:t xml:space="preserve"> 2025). </w:t>
      </w:r>
      <w:r w:rsidDel="00000000" w:rsidR="00000000" w:rsidRPr="00000000">
        <w:rPr>
          <w:rtl w:val="0"/>
        </w:rPr>
      </w:r>
    </w:p>
    <w:p w:rsidR="00000000" w:rsidDel="00000000" w:rsidP="00000000" w:rsidRDefault="00000000" w:rsidRPr="00000000" w14:paraId="0000003D">
      <w:pPr>
        <w:spacing w:before="2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Así pues, esto tiene un gran impacto en el sistema sanitario. El aumento de la dependencia de la persona hace que sea necesario el uso de servicios de cuidado como residencias o centros de día y las familias deben asumir el coste que esto supone. Al final, las familias de las personas con deterioro cognitivo son las principales cuidadoras y asumen sus responsabilidades que traen consigo un gran agotamiento físico y mental (Rexach et al., 2024). Dada la gran carga que deben gestionar las parejas de las personas con demencia, algunos se ven obligados a apoyarse en servicios sanitarios, como se ha mencionado anteriormente. No obstante, hay cierta preferencia por envejecer en el propio hogar lo que también reduce el apoyo de estos servicios y aumenta las necesidades de cuidado por parte de los propios cónyuges o familiares (Miller et </w:t>
      </w:r>
      <w:r w:rsidDel="00000000" w:rsidR="00000000" w:rsidRPr="00000000">
        <w:rPr>
          <w:rFonts w:ascii="Times New Roman" w:cs="Times New Roman" w:eastAsia="Times New Roman" w:hAnsi="Times New Roman"/>
          <w:sz w:val="24"/>
          <w:szCs w:val="24"/>
          <w:highlight w:val="white"/>
          <w:rtl w:val="0"/>
        </w:rPr>
        <w:t xml:space="preserve">al.,</w:t>
      </w:r>
      <w:r w:rsidDel="00000000" w:rsidR="00000000" w:rsidRPr="00000000">
        <w:rPr>
          <w:rFonts w:ascii="Times New Roman" w:cs="Times New Roman" w:eastAsia="Times New Roman" w:hAnsi="Times New Roman"/>
          <w:sz w:val="24"/>
          <w:szCs w:val="24"/>
          <w:highlight w:val="white"/>
          <w:rtl w:val="0"/>
        </w:rPr>
        <w:t xml:space="preserve"> 2025). </w:t>
      </w:r>
    </w:p>
    <w:p w:rsidR="00000000" w:rsidDel="00000000" w:rsidP="00000000" w:rsidRDefault="00000000" w:rsidRPr="00000000" w14:paraId="0000003E">
      <w:pPr>
        <w:spacing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Siguiendo esta línea, la tarea del cuidado puede resultar en elevados niveles de ansiedad y estrés para las familias y/o cuidadores principales. Esta tarea se ve influenciada por varios factores relacionados con las características sintomatológicas de la persona con demencia, como la gravedad del deterioro o del propio cuidador, como el tiempo dedicado al familiar </w:t>
      </w:r>
      <w:r w:rsidDel="00000000" w:rsidR="00000000" w:rsidRPr="00000000">
        <w:rPr>
          <w:rFonts w:ascii="Times New Roman" w:cs="Times New Roman" w:eastAsia="Times New Roman" w:hAnsi="Times New Roman"/>
          <w:sz w:val="24"/>
          <w:szCs w:val="24"/>
          <w:rtl w:val="0"/>
        </w:rPr>
        <w:t xml:space="preserve">(Villarejo et al., 2021 como se citó en López et al., 2023).</w:t>
      </w:r>
    </w:p>
    <w:p w:rsidR="00000000" w:rsidDel="00000000" w:rsidP="00000000" w:rsidRDefault="00000000" w:rsidRPr="00000000" w14:paraId="0000003F">
      <w:pPr>
        <w:spacing w:before="2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Asimismo, resulta evidente que el deterioro cognitivo y la demencia son factores que afectan de manera directa a la relación de pareja. El rol que adopta la pareja de </w:t>
      </w:r>
      <w:r w:rsidDel="00000000" w:rsidR="00000000" w:rsidRPr="00000000">
        <w:rPr>
          <w:rFonts w:ascii="Times New Roman" w:cs="Times New Roman" w:eastAsia="Times New Roman" w:hAnsi="Times New Roman"/>
          <w:sz w:val="24"/>
          <w:szCs w:val="24"/>
          <w:rtl w:val="0"/>
        </w:rPr>
        <w:t xml:space="preserve">cuidador</w:t>
      </w:r>
      <w:r w:rsidDel="00000000" w:rsidR="00000000" w:rsidRPr="00000000">
        <w:rPr>
          <w:rFonts w:ascii="Times New Roman" w:cs="Times New Roman" w:eastAsia="Times New Roman" w:hAnsi="Times New Roman"/>
          <w:sz w:val="24"/>
          <w:szCs w:val="24"/>
          <w:rtl w:val="0"/>
        </w:rPr>
        <w:t xml:space="preserve">, el ser consciente de la enfermedad y el esfuerzo por mantener el vínculo entre los dos, son aspectos influyentes en esta relación. Así pues, se destaca la importancia de la sensación de unión, el compromiso, la aceptación, el perdón y la resiliencia que son elementos que definen la calidad de una relación y determinan tanto el bienestar como la calidad de vida de ambas partes (</w:t>
      </w:r>
      <w:r w:rsidDel="00000000" w:rsidR="00000000" w:rsidRPr="00000000">
        <w:rPr>
          <w:rFonts w:ascii="Times New Roman" w:cs="Times New Roman" w:eastAsia="Times New Roman" w:hAnsi="Times New Roman"/>
          <w:sz w:val="24"/>
          <w:szCs w:val="24"/>
          <w:highlight w:val="white"/>
          <w:rtl w:val="0"/>
        </w:rPr>
        <w:t xml:space="preserve">Cheung et al., 2022). </w:t>
      </w:r>
    </w:p>
    <w:p w:rsidR="00000000" w:rsidDel="00000000" w:rsidP="00000000" w:rsidRDefault="00000000" w:rsidRPr="00000000" w14:paraId="00000040">
      <w:pPr>
        <w:spacing w:before="2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Las personas encargadas del cuidado de su pareja con demencia son considerados un grupo de alta vulnerabilidad debido a la gran responsabilidad que supone el cuidado. Las personas dependientes presentan una gran demanda de cuidados intensivos que, de no ser cubiertos por cuidadores formales, acaban recayendo en sus parejas, lo que ocupa la mayor parte de su tiempo personal. Esto tiene como consecuencia la posible desvinculación de sus círculos sociales que, alargada en el tiempo, podría derivar en un aislamiento social. Asimismo, la carga del cuidado y el aislamiento social son factores que pueden llegar a ser determinantes en el agravamiento de la salud mental de las parejas. También se ha visto que la carga impacta en la satisfacción de la relación. Desafortunadamente, es indudable que la demencia atraviesa la vida de las parejas dejando huellas en la relación y en el proyecto de vida común (Nguyen, 2022). </w:t>
      </w:r>
    </w:p>
    <w:p w:rsidR="00000000" w:rsidDel="00000000" w:rsidP="00000000" w:rsidRDefault="00000000" w:rsidRPr="00000000" w14:paraId="00000041">
      <w:pPr>
        <w:spacing w:after="240" w:before="2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 conceptualización de la familia ha ido evolucionando a lo largo de los últimos siglos. La vorágine producida por los cambios tecnológicos y la vida contemporánea ha modificado la manera de mantener los vínculos con la familia extendida. Hay una tendencia hacia lo individualizado que nos obliga a buscar vínculos cercanos y la relación de pareja parece ser un gran apoyo para combatir la soledad donde las personas encuentran intimidad y cuidados (Tapia Villanueva, 2014). Es por ello que la pareja es considerada como un pilar fundamental de apoyo social, felicidad y plenitud para las personas que se encuentran atravesando la vejez (Sweeney &amp; Replogle, 2002; </w:t>
      </w:r>
      <w:r w:rsidDel="00000000" w:rsidR="00000000" w:rsidRPr="00000000">
        <w:rPr>
          <w:rFonts w:ascii="Times New Roman" w:cs="Times New Roman" w:eastAsia="Times New Roman" w:hAnsi="Times New Roman"/>
          <w:sz w:val="24"/>
          <w:szCs w:val="24"/>
          <w:highlight w:val="white"/>
          <w:rtl w:val="0"/>
        </w:rPr>
        <w:t xml:space="preserve">Becker et al., 2019 como se citó en Arias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highlight w:val="white"/>
          <w:rtl w:val="0"/>
        </w:rPr>
        <w:t xml:space="preserve"> Polizzi, 2011</w:t>
      </w:r>
      <w:r w:rsidDel="00000000" w:rsidR="00000000" w:rsidRPr="00000000">
        <w:rPr>
          <w:rFonts w:ascii="Times New Roman" w:cs="Times New Roman" w:eastAsia="Times New Roman" w:hAnsi="Times New Roman"/>
          <w:sz w:val="24"/>
          <w:szCs w:val="24"/>
          <w:rtl w:val="0"/>
        </w:rPr>
        <w:t xml:space="preserve">). Así pues, el vínculo social se va transformando a lo largo de la vida. Conforme va avanzando el ciclo vital, la red social en general va menguando ya que la existencia de apoyos sociales es menor para las personas mayores (Arias y Polizzi, 2011). </w:t>
      </w:r>
      <w:r w:rsidDel="00000000" w:rsidR="00000000" w:rsidRPr="00000000">
        <w:rPr>
          <w:rtl w:val="0"/>
        </w:rPr>
      </w:r>
    </w:p>
    <w:p w:rsidR="00000000" w:rsidDel="00000000" w:rsidP="00000000" w:rsidRDefault="00000000" w:rsidRPr="00000000" w14:paraId="0000004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Esto sumado a la exigencia que trae consigo las necesidades del cuidado de la pareja con demencia, hace que disminuyan las visitas y es complicado mantener estos vínculos. Es por ello que no es difícil esperar que debido a la reducción de encuentros sociales se instaure en las parejas un sentimiento de soledad y aislamiento </w:t>
      </w:r>
      <w:r w:rsidDel="00000000" w:rsidR="00000000" w:rsidRPr="00000000">
        <w:rPr>
          <w:rFonts w:ascii="Times New Roman" w:cs="Times New Roman" w:eastAsia="Times New Roman" w:hAnsi="Times New Roman"/>
          <w:sz w:val="24"/>
          <w:szCs w:val="24"/>
          <w:rtl w:val="0"/>
        </w:rPr>
        <w:t xml:space="preserve">(Riekkola Carabante et al., 2018; Arias, 2009). Actualmente, la soledad es un factor crítico que impacta en la salud de las personas mayores (Newmyer et al., 2021). Del mismo modo, las personas mayores sufren muchas pérdidas a su alrededor aumentando aún más estos sentimientos de soledad (Gallardo-Peralta et al., 2023). </w:t>
      </w:r>
    </w:p>
    <w:p w:rsidR="00000000" w:rsidDel="00000000" w:rsidP="00000000" w:rsidRDefault="00000000" w:rsidRPr="00000000" w14:paraId="0000004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esto hace que la vida de las personas mayores en las que un miembro padece de demencia cambie de forma radical. Las rutinas, los vínculos sociales y la relación de pareja entre otros muchos aspectos se ven afectados por el transcurso de la enfermedad y modifican las experiencias de la vida cotidiana. Es por esto que es importante saber cómo afecta concretamente la demencia a la vida en pareja para poder comprender las necesidades específicas de esta población y llevar a cabo intervenciones tanto sanitarias como psicológicas. </w:t>
      </w:r>
    </w:p>
    <w:p w:rsidR="00000000" w:rsidDel="00000000" w:rsidP="00000000" w:rsidRDefault="00000000" w:rsidRPr="00000000" w14:paraId="00000044">
      <w:pPr>
        <w:spacing w:after="240" w:before="240" w:line="480" w:lineRule="auto"/>
        <w:ind w:firstLine="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Estudios como los de Egilstrod et al. (2019) ilustran cómo experimentan los cambios en la vida cotidiana que padecen las parejas en las que un miembro sufre demencia. No obstante, habiendo pasado casi una década, es importante poder recopilar información actualizada para hacer un análisis más profundo de la situación. Así pues, el motivo de este trabajo es realizar una revisión sistemática que permita identificar cuáles son las experiencias de la vida cotidiana de estas parejas afectadas por el diagnóstico de la demencia. </w:t>
      </w:r>
      <w:r w:rsidDel="00000000" w:rsidR="00000000" w:rsidRPr="00000000">
        <w:rPr>
          <w:rtl w:val="0"/>
        </w:rPr>
      </w:r>
    </w:p>
    <w:p w:rsidR="00000000" w:rsidDel="00000000" w:rsidP="00000000" w:rsidRDefault="00000000" w:rsidRPr="00000000" w14:paraId="00000045">
      <w:pPr>
        <w:spacing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Método</w:t>
      </w:r>
    </w:p>
    <w:p w:rsidR="00000000" w:rsidDel="00000000" w:rsidP="00000000" w:rsidRDefault="00000000" w:rsidRPr="00000000" w14:paraId="00000046">
      <w:pPr>
        <w:spacing w:after="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Estrategia de Búsqueda</w:t>
      </w:r>
    </w:p>
    <w:p w:rsidR="00000000" w:rsidDel="00000000" w:rsidP="00000000" w:rsidRDefault="00000000" w:rsidRPr="00000000" w14:paraId="00000047">
      <w:pPr>
        <w:spacing w:after="240" w:before="240" w:line="480" w:lineRule="auto"/>
        <w:rPr>
          <w:rFonts w:ascii="Times New Roman" w:cs="Times New Roman" w:eastAsia="Times New Roman" w:hAnsi="Times New Roman"/>
          <w:b w:val="1"/>
          <w:bCs w:val="1"/>
          <w:color w:val="0000ff"/>
          <w:sz w:val="24"/>
          <w:szCs w:val="24"/>
          <w:highlight w:val="yellow"/>
        </w:rPr>
      </w:pPr>
      <w:r w:rsidDel="00000000" w:rsidR="00000000" w:rsidRPr="00000000">
        <w:rPr>
          <w:rFonts w:ascii="Times New Roman" w:cs="Times New Roman" w:eastAsia="Times New Roman" w:hAnsi="Times New Roman"/>
          <w:sz w:val="24"/>
          <w:szCs w:val="24"/>
          <w:rtl w:val="0"/>
        </w:rPr>
        <w:t xml:space="preserve">Tras realizar una búsqueda preliminar acerca del impacto en la demencia en la relación de pareja en personas mayores, se encontró una revisión sistemática previa que trataba los cambios producidos por la demencia en la vida cotidiana de la pareja (Egilstrod et al. 2019) . Dicha revisión, realizada en 2017, trata de sintetizar literatura cualitativa sobre las experiencias vividas por los cónyuges. Dada la creciente investigación, se justifica realizar una versión actualizada y adaptada de la revisión. Es por eso que el motivo de este trabajo es integrar investigaciones recientes y poder aportar una visión puesta al día del impacto de la demencia en las relaciones de pareja.  </w:t>
      </w:r>
      <w:r w:rsidDel="00000000" w:rsidR="00000000" w:rsidRPr="00000000">
        <w:rPr>
          <w:rtl w:val="0"/>
        </w:rPr>
      </w:r>
    </w:p>
    <w:p w:rsidR="00000000" w:rsidDel="00000000" w:rsidP="00000000" w:rsidRDefault="00000000" w:rsidRPr="00000000" w14:paraId="0000004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 utilizó el proceso PICO (Gracia et al., 2021) para poder formular una pregunta de investigación específica y pertinente con respecto al motivo de la revisión teniendo en cuenta la población (parejas de personas mayores en las que uno de los miembros tuviera demencia), fenómenos de interés (el impacto de la demencia en las experiencias vividas en la vida cotidiana) y el contexto (hogar). </w:t>
      </w:r>
    </w:p>
    <w:p w:rsidR="00000000" w:rsidDel="00000000" w:rsidP="00000000" w:rsidRDefault="00000000" w:rsidRPr="00000000" w14:paraId="00000049">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Criterios de Inclusión</w:t>
      </w:r>
    </w:p>
    <w:p w:rsidR="00000000" w:rsidDel="00000000" w:rsidP="00000000" w:rsidRDefault="00000000" w:rsidRPr="00000000" w14:paraId="0000004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criterios de inclusión se consideraron estudios que: (a) analizaran parejas o cónyuges convivientes en los que uno de los miembros esté diagnosticado con demencia, (b) expresaran explícitamente la perspectiva de la pareja de forma exclusiva o integradas con datos sobre familiares, (c) recogieran datos acerca de los cambios producidos por la demencia en las experiencias de la vida cotidiana, (d) utilizaran metodologías cualitativas y (e) su publicación estuviera comprendida entre enero de 2017 y enero de 2026. </w:t>
      </w:r>
    </w:p>
    <w:p w:rsidR="00000000" w:rsidDel="00000000" w:rsidP="00000000" w:rsidRDefault="00000000" w:rsidRPr="00000000" w14:paraId="0000004B">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Criterios de Exclusión</w:t>
      </w:r>
    </w:p>
    <w:p w:rsidR="00000000" w:rsidDel="00000000" w:rsidP="00000000" w:rsidRDefault="00000000" w:rsidRPr="00000000" w14:paraId="0000004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excluyeron los estudios que (a) analizaran únicamente familiares sin incluir la perspectiva de la pareja, (b) no recogieran datos acerca del cambio en la vida cotidiana de las parejas, (c) utilizaran exclusivamente metodologías cuantitativas y (d) hubieran sido publicados antes del 2017. </w:t>
      </w:r>
    </w:p>
    <w:p w:rsidR="00000000" w:rsidDel="00000000" w:rsidP="00000000" w:rsidRDefault="00000000" w:rsidRPr="00000000" w14:paraId="0000004D">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Variables de Interés</w:t>
      </w:r>
    </w:p>
    <w:p w:rsidR="00000000" w:rsidDel="00000000" w:rsidP="00000000" w:rsidRDefault="00000000" w:rsidRPr="00000000" w14:paraId="0000004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tiene como objetivo conocer qué cambios concretos ocurren en la vida cotidiana y dinámica de pareja de personas mayores tras el diagnóstico de demencia de uno de los miembros. A partir de un análisis profundo de los estudios, se identificaron variables de interés relacionadas con los procesos de toma de decisiones, la progresión de la demencia en el cónyuge, transformación del vínculo y la intimidad y diversas variables relacionales y de historia de pareja. Así mismo, se contemplaron variables más específicas como manifestaciones conductuales y emocionales derivadas de la demencia, como síntomas de violencia hacia la pareja.</w:t>
      </w:r>
    </w:p>
    <w:p w:rsidR="00000000" w:rsidDel="00000000" w:rsidP="00000000" w:rsidRDefault="00000000" w:rsidRPr="00000000" w14:paraId="0000004F">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Análisis de Datos</w:t>
      </w:r>
    </w:p>
    <w:p w:rsidR="00000000" w:rsidDel="00000000" w:rsidP="00000000" w:rsidRDefault="00000000" w:rsidRPr="00000000" w14:paraId="00000050">
      <w:pPr>
        <w:spacing w:after="240" w:before="240" w:line="480"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sz w:val="24"/>
          <w:szCs w:val="24"/>
          <w:rtl w:val="0"/>
        </w:rPr>
        <w:t xml:space="preserve">El análisis de datos se realizó de forma descriptiva y temática con el objetivo de sintetizar los hallazgos de los estudios incluidos en la revisión. Se realizó una lectura exhaustiva de los estudios para poder identificar los temas recurrentes encontrados relacionados con los cambios en la vida cotidiana en parejas mayores en el contexto de la demencia. Estas temáticas se organizaron en dimensiones más específicas para poder integrar y comparar dichos resultados. </w:t>
      </w:r>
      <w:r w:rsidDel="00000000" w:rsidR="00000000" w:rsidRPr="00000000">
        <w:rPr>
          <w:rtl w:val="0"/>
        </w:rPr>
      </w:r>
    </w:p>
    <w:p w:rsidR="00000000" w:rsidDel="00000000" w:rsidP="00000000" w:rsidRDefault="00000000" w:rsidRPr="00000000" w14:paraId="00000051">
      <w:pPr>
        <w:spacing w:after="240" w:before="240"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propósito de evaluar la calidad de los estudios, se utilizó la herramienta </w:t>
      </w:r>
      <w:r w:rsidDel="00000000" w:rsidR="00000000" w:rsidRPr="00000000">
        <w:rPr>
          <w:rFonts w:ascii="Times New Roman" w:cs="Times New Roman" w:eastAsia="Times New Roman" w:hAnsi="Times New Roman"/>
          <w:i w:val="1"/>
          <w:iCs w:val="1"/>
          <w:sz w:val="24"/>
          <w:szCs w:val="24"/>
          <w:highlight w:val="white"/>
          <w:rtl w:val="0"/>
        </w:rPr>
        <w:t xml:space="preserve">Critical Appraisal Checklists </w:t>
      </w:r>
      <w:r w:rsidDel="00000000" w:rsidR="00000000" w:rsidRPr="00000000">
        <w:rPr>
          <w:rFonts w:ascii="Times New Roman" w:cs="Times New Roman" w:eastAsia="Times New Roman" w:hAnsi="Times New Roman"/>
          <w:sz w:val="24"/>
          <w:szCs w:val="24"/>
          <w:highlight w:val="white"/>
          <w:rtl w:val="0"/>
        </w:rPr>
        <w:t xml:space="preserve">o CASP </w:t>
      </w:r>
      <w:r w:rsidDel="00000000" w:rsidR="00000000" w:rsidRPr="00000000">
        <w:rPr>
          <w:rFonts w:ascii="Times New Roman" w:cs="Times New Roman" w:eastAsia="Times New Roman" w:hAnsi="Times New Roman"/>
          <w:i w:val="1"/>
          <w:iCs w:val="1"/>
          <w:sz w:val="24"/>
          <w:szCs w:val="24"/>
          <w:highlight w:val="white"/>
          <w:rtl w:val="0"/>
        </w:rPr>
        <w:t xml:space="preserve">checklist </w:t>
      </w:r>
      <w:r w:rsidDel="00000000" w:rsidR="00000000" w:rsidRPr="00000000">
        <w:rPr>
          <w:rFonts w:ascii="Times New Roman" w:cs="Times New Roman" w:eastAsia="Times New Roman" w:hAnsi="Times New Roman"/>
          <w:sz w:val="24"/>
          <w:szCs w:val="24"/>
          <w:highlight w:val="white"/>
          <w:rtl w:val="0"/>
        </w:rPr>
        <w:t xml:space="preserve">para estudios cualitativos (Critical Appraisal Checklist, 2024). En general, los estudios mostraron una alta calidad metodológica ya que cumplieron casi todos los criterios establecidos. No obstante, la mayoría de los artículos presentaron una limitación común debido a que no queda clara la relación entre los participantes y los investigadores, dificultando así el conocimiento de las posibles influencias en la investigación  (Véase Anexo A). </w:t>
      </w:r>
    </w:p>
    <w:p w:rsidR="00000000" w:rsidDel="00000000" w:rsidP="00000000" w:rsidRDefault="00000000" w:rsidRPr="00000000" w14:paraId="00000052">
      <w:pPr>
        <w:spacing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w:t>
      </w:r>
    </w:p>
    <w:p w:rsidR="00000000" w:rsidDel="00000000" w:rsidP="00000000" w:rsidRDefault="00000000" w:rsidRPr="00000000" w14:paraId="00000053">
      <w:pPr>
        <w:spacing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Identificación y Clasificación de los Estudios</w:t>
      </w:r>
    </w:p>
    <w:p w:rsidR="00000000" w:rsidDel="00000000" w:rsidP="00000000" w:rsidRDefault="00000000" w:rsidRPr="00000000" w14:paraId="00000054">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presente revisión se realizó una búsqueda sistemática en las siguientes bases de datos: </w:t>
      </w:r>
      <w:r w:rsidDel="00000000" w:rsidR="00000000" w:rsidRPr="00000000">
        <w:rPr>
          <w:rFonts w:ascii="Times New Roman" w:cs="Times New Roman" w:eastAsia="Times New Roman" w:hAnsi="Times New Roman"/>
          <w:i w:val="1"/>
          <w:iCs w:val="1"/>
          <w:sz w:val="24"/>
          <w:szCs w:val="24"/>
          <w:rtl w:val="0"/>
        </w:rPr>
        <w:t xml:space="preserve">Web of Science (WOS) y PubMed</w:t>
      </w:r>
      <w:r w:rsidDel="00000000" w:rsidR="00000000" w:rsidRPr="00000000">
        <w:rPr>
          <w:rFonts w:ascii="Times New Roman" w:cs="Times New Roman" w:eastAsia="Times New Roman" w:hAnsi="Times New Roman"/>
          <w:sz w:val="24"/>
          <w:szCs w:val="24"/>
          <w:rtl w:val="0"/>
        </w:rPr>
        <w:t xml:space="preserve">. La búsqueda se realizó entre los meses de noviembre de 2025 y enero de 2026. Además, para cada base de datos se utilizaron ecuaciones de búsqueda adaptadas a las mismas (Véase Tabla 1). Se utilizaron términos relacionados con la pareja o cónyuge como </w:t>
      </w:r>
      <w:r w:rsidDel="00000000" w:rsidR="00000000" w:rsidRPr="00000000">
        <w:rPr>
          <w:rFonts w:ascii="Times New Roman" w:cs="Times New Roman" w:eastAsia="Times New Roman" w:hAnsi="Times New Roman"/>
          <w:i w:val="1"/>
          <w:iCs w:val="1"/>
          <w:sz w:val="24"/>
          <w:szCs w:val="24"/>
          <w:rtl w:val="0"/>
        </w:rPr>
        <w:t xml:space="preserve">spouse </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i w:val="1"/>
          <w:iCs w:val="1"/>
          <w:sz w:val="24"/>
          <w:szCs w:val="24"/>
          <w:rtl w:val="0"/>
        </w:rPr>
        <w:t xml:space="preserve">significant other, </w:t>
      </w:r>
      <w:r w:rsidDel="00000000" w:rsidR="00000000" w:rsidRPr="00000000">
        <w:rPr>
          <w:rFonts w:ascii="Times New Roman" w:cs="Times New Roman" w:eastAsia="Times New Roman" w:hAnsi="Times New Roman"/>
          <w:sz w:val="24"/>
          <w:szCs w:val="24"/>
          <w:rtl w:val="0"/>
        </w:rPr>
        <w:t xml:space="preserve">junto con términos que describiera la vida cotidiana como </w:t>
      </w:r>
      <w:r w:rsidDel="00000000" w:rsidR="00000000" w:rsidRPr="00000000">
        <w:rPr>
          <w:rFonts w:ascii="Times New Roman" w:cs="Times New Roman" w:eastAsia="Times New Roman" w:hAnsi="Times New Roman"/>
          <w:i w:val="1"/>
          <w:iCs w:val="1"/>
          <w:sz w:val="24"/>
          <w:szCs w:val="24"/>
          <w:rtl w:val="0"/>
        </w:rPr>
        <w:t xml:space="preserve">daily activities </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i w:val="1"/>
          <w:iCs w:val="1"/>
          <w:sz w:val="24"/>
          <w:szCs w:val="24"/>
          <w:rtl w:val="0"/>
        </w:rPr>
        <w:t xml:space="preserve">everyday living, </w:t>
      </w:r>
      <w:r w:rsidDel="00000000" w:rsidR="00000000" w:rsidRPr="00000000">
        <w:rPr>
          <w:rFonts w:ascii="Times New Roman" w:cs="Times New Roman" w:eastAsia="Times New Roman" w:hAnsi="Times New Roman"/>
          <w:sz w:val="24"/>
          <w:szCs w:val="24"/>
          <w:rtl w:val="0"/>
        </w:rPr>
        <w:t xml:space="preserve">términos vinculados a la demencia como </w:t>
      </w:r>
      <w:r w:rsidDel="00000000" w:rsidR="00000000" w:rsidRPr="00000000">
        <w:rPr>
          <w:rFonts w:ascii="Times New Roman" w:cs="Times New Roman" w:eastAsia="Times New Roman" w:hAnsi="Times New Roman"/>
          <w:i w:val="1"/>
          <w:iCs w:val="1"/>
          <w:sz w:val="24"/>
          <w:szCs w:val="24"/>
          <w:rtl w:val="0"/>
        </w:rPr>
        <w:t xml:space="preserve">dementia o Alzheimer</w:t>
      </w:r>
      <w:r w:rsidDel="00000000" w:rsidR="00000000" w:rsidRPr="00000000">
        <w:rPr>
          <w:rFonts w:ascii="Times New Roman" w:cs="Times New Roman" w:eastAsia="Times New Roman" w:hAnsi="Times New Roman"/>
          <w:sz w:val="24"/>
          <w:szCs w:val="24"/>
          <w:rtl w:val="0"/>
        </w:rPr>
        <w:t xml:space="preserve"> y metodologías cualitativas como </w:t>
      </w:r>
      <w:r w:rsidDel="00000000" w:rsidR="00000000" w:rsidRPr="00000000">
        <w:rPr>
          <w:rFonts w:ascii="Times New Roman" w:cs="Times New Roman" w:eastAsia="Times New Roman" w:hAnsi="Times New Roman"/>
          <w:i w:val="1"/>
          <w:iCs w:val="1"/>
          <w:sz w:val="24"/>
          <w:szCs w:val="24"/>
          <w:rtl w:val="0"/>
        </w:rPr>
        <w:t xml:space="preserve">qualitative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1"/>
          <w:iCs w:val="1"/>
          <w:sz w:val="24"/>
          <w:szCs w:val="24"/>
          <w:rtl w:val="0"/>
        </w:rPr>
        <w:t xml:space="preserve"> interviews.</w:t>
      </w:r>
      <w:r w:rsidDel="00000000" w:rsidR="00000000" w:rsidRPr="00000000">
        <w:rPr>
          <w:rFonts w:ascii="Times New Roman" w:cs="Times New Roman" w:eastAsia="Times New Roman" w:hAnsi="Times New Roman"/>
          <w:sz w:val="24"/>
          <w:szCs w:val="24"/>
          <w:rtl w:val="0"/>
        </w:rPr>
        <w:t xml:space="preserve"> Para optimizar la búsqueda en </w:t>
      </w:r>
      <w:r w:rsidDel="00000000" w:rsidR="00000000" w:rsidRPr="00000000">
        <w:rPr>
          <w:rFonts w:ascii="Times New Roman" w:cs="Times New Roman" w:eastAsia="Times New Roman" w:hAnsi="Times New Roman"/>
          <w:i w:val="1"/>
          <w:iCs w:val="1"/>
          <w:sz w:val="24"/>
          <w:szCs w:val="24"/>
          <w:rtl w:val="0"/>
        </w:rPr>
        <w:t xml:space="preserve">Web of Science </w:t>
      </w:r>
      <w:r w:rsidDel="00000000" w:rsidR="00000000" w:rsidRPr="00000000">
        <w:rPr>
          <w:rFonts w:ascii="Times New Roman" w:cs="Times New Roman" w:eastAsia="Times New Roman" w:hAnsi="Times New Roman"/>
          <w:sz w:val="24"/>
          <w:szCs w:val="24"/>
          <w:rtl w:val="0"/>
        </w:rPr>
        <w:t xml:space="preserve">se aplicaron los siguientes filtros: fecha de publicación entre 2017 y 2025 y estudios publicados en inglés o español. En </w:t>
      </w:r>
      <w:r w:rsidDel="00000000" w:rsidR="00000000" w:rsidRPr="00000000">
        <w:rPr>
          <w:rFonts w:ascii="Times New Roman" w:cs="Times New Roman" w:eastAsia="Times New Roman" w:hAnsi="Times New Roman"/>
          <w:i w:val="1"/>
          <w:iCs w:val="1"/>
          <w:sz w:val="24"/>
          <w:szCs w:val="24"/>
          <w:rtl w:val="0"/>
        </w:rPr>
        <w:t xml:space="preserve">PubMed </w:t>
      </w:r>
      <w:r w:rsidDel="00000000" w:rsidR="00000000" w:rsidRPr="00000000">
        <w:rPr>
          <w:rFonts w:ascii="Times New Roman" w:cs="Times New Roman" w:eastAsia="Times New Roman" w:hAnsi="Times New Roman"/>
          <w:sz w:val="24"/>
          <w:szCs w:val="24"/>
          <w:rtl w:val="0"/>
        </w:rPr>
        <w:t xml:space="preserve">se aplicó además un filtro de edad que seleccionaba participantes a partir de los 45 años. </w:t>
      </w:r>
    </w:p>
    <w:p w:rsidR="00000000" w:rsidDel="00000000" w:rsidP="00000000" w:rsidRDefault="00000000" w:rsidRPr="00000000" w14:paraId="00000055">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Tabla 1</w:t>
      </w:r>
    </w:p>
    <w:p w:rsidR="00000000" w:rsidDel="00000000" w:rsidP="00000000" w:rsidRDefault="00000000" w:rsidRPr="00000000" w14:paraId="0000005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Ecuaciones de búsqueda</w:t>
      </w:r>
      <w:r w:rsidDel="00000000" w:rsidR="00000000" w:rsidRPr="00000000">
        <w:rPr>
          <w:rtl w:val="0"/>
        </w:rPr>
      </w:r>
    </w:p>
    <w:tbl>
      <w:tblPr>
        <w:tblStyle w:val="Table1"/>
        <w:tblpPr w:leftFromText="180" w:rightFromText="180" w:topFromText="180" w:bottomFromText="180" w:vertAnchor="text" w:horzAnchor="text" w:tblpX="0" w:tblpY="0"/>
        <w:tblW w:w="959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675"/>
        <w:gridCol w:w="7677"/>
        <w:tblGridChange w:id="0">
          <w:tblGrid>
            <w:gridCol w:w="1245"/>
            <w:gridCol w:w="675"/>
            <w:gridCol w:w="7677"/>
          </w:tblGrid>
        </w:tblGridChange>
      </w:tblGrid>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Base de datos</w:t>
            </w:r>
          </w:p>
        </w:tc>
        <w:tc>
          <w:tcPr>
            <w:tcBorders>
              <w:left w:color="ffffff" w:space="0" w:sz="8" w:val="single"/>
              <w:right w:color="ffffff" w:space="0" w:sz="8" w:val="single"/>
            </w:tcBorders>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w:t>
            </w:r>
          </w:p>
        </w:tc>
        <w:tc>
          <w:tcPr>
            <w:tcBorders>
              <w:left w:color="ffffff" w:space="0" w:sz="8" w:val="single"/>
              <w:right w:color="ffffff" w:space="0" w:sz="8" w:val="single"/>
            </w:tcBorders>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Ecuación de búsqueda</w:t>
            </w:r>
          </w:p>
        </w:tc>
      </w:tr>
      <w:tr>
        <w:trPr>
          <w:cantSplit w:val="0"/>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05A">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PubMed</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left w:color="ffffff" w:space="0" w:sz="8" w:val="single"/>
              <w:bottom w:color="ffffff" w:space="0" w:sz="8" w:val="single"/>
              <w:right w:color="ffffff" w:space="0" w:sz="8" w:val="single"/>
            </w:tcBorders>
          </w:tcPr>
          <w:p w:rsidR="00000000" w:rsidDel="00000000" w:rsidP="00000000" w:rsidRDefault="00000000" w:rsidRPr="00000000" w14:paraId="0000005C">
            <w:pPr>
              <w:shd w:fill="ffffff" w:val="clear"/>
              <w:spacing w:after="380" w:before="360" w:line="24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(spous* OR caregiv* OR husband* OR wife* OR wives OR couple* OR "significant other*" OR "spousal care*") (Topic) and ("daily activit*" OR "everyday living*" OR "everyday life" OR "life experience*" OR "life change*" OR "lived experience*") (Topic) and (dement* OR alzheim* OR "senile dement*") (Topic) and (qualitative OR interview* OR "focus group*" OR narrative* OR phenomenolog*) (Topic)</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D">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Web of Science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(spous* OR caregiv* OR husband* OR wife* OR wives OR couple* OR "significant other*" OR "spousal care*") (qualitative OR interview* OR "focus group*" OR narrative* OR phenomenolog*) (Topic) AND ("daily activit*" OR "everyday living*" OR "everyday life" OR "life experience*" OR "life change*" OR "lived experience*") (All Fields) AND (dement* OR alzheim* OR "senile dement*") (All Fields) AND (qualitative OR interview* OR "focus group*" OR narrative* OR phenomenolog*) (All Fields) and 2017</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2">
      <w:pPr>
        <w:spacing w:after="240" w:before="240" w:line="480" w:lineRule="auto"/>
        <w:ind w:left="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Tras ejecutar la búsqueda en las distintas bases de datos, se identificaron 403 resultados, 367 en </w:t>
      </w:r>
      <w:r w:rsidDel="00000000" w:rsidR="00000000" w:rsidRPr="00000000">
        <w:rPr>
          <w:rFonts w:ascii="Times New Roman" w:cs="Times New Roman" w:eastAsia="Times New Roman" w:hAnsi="Times New Roman"/>
          <w:i w:val="1"/>
          <w:iCs w:val="1"/>
          <w:sz w:val="24"/>
          <w:szCs w:val="24"/>
          <w:rtl w:val="0"/>
        </w:rPr>
        <w:t xml:space="preserve">Web of Science </w:t>
      </w:r>
      <w:r w:rsidDel="00000000" w:rsidR="00000000" w:rsidRPr="00000000">
        <w:rPr>
          <w:rFonts w:ascii="Times New Roman" w:cs="Times New Roman" w:eastAsia="Times New Roman" w:hAnsi="Times New Roman"/>
          <w:sz w:val="24"/>
          <w:szCs w:val="24"/>
          <w:rtl w:val="0"/>
        </w:rPr>
        <w:t xml:space="preserve">y 36 en </w:t>
      </w:r>
      <w:r w:rsidDel="00000000" w:rsidR="00000000" w:rsidRPr="00000000">
        <w:rPr>
          <w:rFonts w:ascii="Times New Roman" w:cs="Times New Roman" w:eastAsia="Times New Roman" w:hAnsi="Times New Roman"/>
          <w:i w:val="1"/>
          <w:iCs w:val="1"/>
          <w:sz w:val="24"/>
          <w:szCs w:val="24"/>
          <w:rtl w:val="0"/>
        </w:rPr>
        <w:t xml:space="preserve">PubMed</w:t>
      </w:r>
      <w:r w:rsidDel="00000000" w:rsidR="00000000" w:rsidRPr="00000000">
        <w:rPr>
          <w:rFonts w:ascii="Times New Roman" w:cs="Times New Roman" w:eastAsia="Times New Roman" w:hAnsi="Times New Roman"/>
          <w:sz w:val="24"/>
          <w:szCs w:val="24"/>
          <w:rtl w:val="0"/>
        </w:rPr>
        <w:t xml:space="preserve">, de los cuales 28 tuvieron que ser eliminados debido a que estaban duplicados. El proceso de cribado (Véase Figura 1) se realizó mediante la herramienta de gestión bibliográfica </w:t>
      </w:r>
      <w:r w:rsidDel="00000000" w:rsidR="00000000" w:rsidRPr="00000000">
        <w:rPr>
          <w:rFonts w:ascii="Times New Roman" w:cs="Times New Roman" w:eastAsia="Times New Roman" w:hAnsi="Times New Roman"/>
          <w:i w:val="1"/>
          <w:iCs w:val="1"/>
          <w:sz w:val="24"/>
          <w:szCs w:val="24"/>
          <w:rtl w:val="0"/>
        </w:rPr>
        <w:t xml:space="preserve">Zotero</w:t>
      </w:r>
      <w:r w:rsidDel="00000000" w:rsidR="00000000" w:rsidRPr="00000000">
        <w:rPr>
          <w:rFonts w:ascii="Times New Roman" w:cs="Times New Roman" w:eastAsia="Times New Roman" w:hAnsi="Times New Roman"/>
          <w:sz w:val="24"/>
          <w:szCs w:val="24"/>
          <w:rtl w:val="0"/>
        </w:rPr>
        <w:t xml:space="preserve">, donde se importaron los resultados y se hizo la selección de los artículos finales.</w:t>
      </w:r>
      <w:r w:rsidDel="00000000" w:rsidR="00000000" w:rsidRPr="00000000">
        <w:rPr>
          <w:rtl w:val="0"/>
        </w:rPr>
      </w:r>
    </w:p>
    <w:p w:rsidR="00000000" w:rsidDel="00000000" w:rsidP="00000000" w:rsidRDefault="00000000" w:rsidRPr="00000000" w14:paraId="0000006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 un primer cribado por título y resumen, 24 artículos fueron seleccionados para analizarlos de forma completa. Finalmente, fueron 11 los que cumplieron con los criterios de elegibilidad establecidos para la revisión. </w:t>
      </w:r>
    </w:p>
    <w:p w:rsidR="00000000" w:rsidDel="00000000" w:rsidP="00000000" w:rsidRDefault="00000000" w:rsidRPr="00000000" w14:paraId="00000064">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Figura 1</w:t>
      </w:r>
    </w:p>
    <w:p w:rsidR="00000000" w:rsidDel="00000000" w:rsidP="00000000" w:rsidRDefault="00000000" w:rsidRPr="00000000" w14:paraId="00000065">
      <w:pPr>
        <w:spacing w:after="240" w:before="240"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Diagrama de flujo PRISMA 2020</w:t>
      </w:r>
    </w:p>
    <w:p w:rsidR="00000000" w:rsidDel="00000000" w:rsidP="00000000" w:rsidRDefault="00000000" w:rsidRPr="00000000" w14:paraId="00000066">
      <w:pPr>
        <w:spacing w:after="240" w:before="240" w:lineRule="auto"/>
        <w:rPr>
          <w:sz w:val="20"/>
          <w:szCs w:val="20"/>
        </w:rPr>
      </w:pPr>
      <w:r w:rsidDel="00000000" w:rsidR="00000000" w:rsidRPr="00000000">
        <w:rPr>
          <w:sz w:val="20"/>
          <w:szCs w:val="20"/>
        </w:rPr>
        <w:drawing>
          <wp:inline distB="114300" distT="114300" distL="114300" distR="114300">
            <wp:extent cx="5077328" cy="4367213"/>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77328" cy="4367213"/>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after="240" w:before="240" w:lineRule="auto"/>
        <w:rPr>
          <w:rFonts w:ascii="Times New Roman" w:cs="Times New Roman" w:eastAsia="Times New Roman" w:hAnsi="Times New Roman"/>
          <w:b w:val="1"/>
          <w:bCs w:val="1"/>
          <w:sz w:val="24"/>
          <w:szCs w:val="24"/>
        </w:rPr>
      </w:pPr>
      <w:r w:rsidDel="00000000" w:rsidR="00000000" w:rsidRPr="00000000">
        <w:rPr>
          <w:sz w:val="20"/>
          <w:szCs w:val="20"/>
        </w:rPr>
        <w:drawing>
          <wp:inline distB="114300" distT="114300" distL="114300" distR="114300">
            <wp:extent cx="4710951" cy="980364"/>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710951" cy="980364"/>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Nota. </w:t>
      </w:r>
      <w:r w:rsidDel="00000000" w:rsidR="00000000" w:rsidRPr="00000000">
        <w:rPr>
          <w:rFonts w:ascii="Times New Roman" w:cs="Times New Roman" w:eastAsia="Times New Roman" w:hAnsi="Times New Roman"/>
          <w:sz w:val="24"/>
          <w:szCs w:val="24"/>
          <w:rtl w:val="0"/>
        </w:rPr>
        <w:t xml:space="preserve">Elaboración propia basada en Page et al. (2021)</w:t>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Características de los Estudios Incluidos</w:t>
      </w:r>
    </w:p>
    <w:p w:rsidR="00000000" w:rsidDel="00000000" w:rsidP="00000000" w:rsidRDefault="00000000" w:rsidRPr="00000000" w14:paraId="0000006B">
      <w:pPr>
        <w:spacing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País de los Estudios Incluidos</w:t>
      </w:r>
    </w:p>
    <w:p w:rsidR="00000000" w:rsidDel="00000000" w:rsidP="00000000" w:rsidRDefault="00000000" w:rsidRPr="00000000" w14:paraId="0000006C">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Cuatro de los artículos incluidos se realizaron en Noruega, dos en Suecia, dos en Reino Unido y los restantes en Singapur, Israel, Australia y los Estados Unidos de América (Véase Tabla 2). </w:t>
      </w:r>
    </w:p>
    <w:p w:rsidR="00000000" w:rsidDel="00000000" w:rsidP="00000000" w:rsidRDefault="00000000" w:rsidRPr="00000000" w14:paraId="0000006D">
      <w:pPr>
        <w:spacing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Objetivos de los Estudios Incluidos</w:t>
      </w:r>
    </w:p>
    <w:p w:rsidR="00000000" w:rsidDel="00000000" w:rsidP="00000000" w:rsidRDefault="00000000" w:rsidRPr="00000000" w14:paraId="0000006E">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general, los estudios incluidos se centran en explorar las experiencias de la vida cotidiana de los cónyuges que participan en el cuidado de sus parejas con demencia y en los cambios en el día a día que trae consigo el diagnóstico de demencia. Exploran las distintas dimensiones como la perspectiva de la pareja y la carga que supone el cuidado. Algunos estudios exploran situaciones más específicas como, por ejemplo, el impacto que tuvo la pandemia del COVID-19 </w:t>
      </w:r>
      <w:hyperlink r:id="rId10">
        <w:r w:rsidDel="00000000" w:rsidR="00000000" w:rsidRPr="00000000">
          <w:rPr>
            <w:rFonts w:ascii="Times New Roman" w:cs="Times New Roman" w:eastAsia="Times New Roman" w:hAnsi="Times New Roman"/>
            <w:sz w:val="24"/>
            <w:szCs w:val="24"/>
            <w:rtl w:val="0"/>
          </w:rPr>
          <w:t xml:space="preserve">(Rokstad et al., 2021)</w:t>
        </w:r>
      </w:hyperlink>
      <w:r w:rsidDel="00000000" w:rsidR="00000000" w:rsidRPr="00000000">
        <w:rPr>
          <w:rFonts w:ascii="Times New Roman" w:cs="Times New Roman" w:eastAsia="Times New Roman" w:hAnsi="Times New Roman"/>
          <w:sz w:val="24"/>
          <w:szCs w:val="24"/>
          <w:rtl w:val="0"/>
        </w:rPr>
        <w:t xml:space="preserve">, la aparición de síntomas violentos asociados a la demencia (Band‐Winterstein &amp; Avieli, 2019) o el diagnóstico temprano </w:t>
      </w:r>
      <w:hyperlink r:id="rId11">
        <w:r w:rsidDel="00000000" w:rsidR="00000000" w:rsidRPr="00000000">
          <w:rPr>
            <w:rFonts w:ascii="Times New Roman" w:cs="Times New Roman" w:eastAsia="Times New Roman" w:hAnsi="Times New Roman"/>
            <w:sz w:val="24"/>
            <w:szCs w:val="24"/>
            <w:rtl w:val="0"/>
          </w:rPr>
          <w:t xml:space="preserve">(Helvik et al., 2024; Popok et al., 2022)</w:t>
        </w:r>
      </w:hyperlink>
      <w:r w:rsidDel="00000000" w:rsidR="00000000" w:rsidRPr="00000000">
        <w:rPr>
          <w:rFonts w:ascii="Times New Roman" w:cs="Times New Roman" w:eastAsia="Times New Roman" w:hAnsi="Times New Roman"/>
          <w:sz w:val="24"/>
          <w:szCs w:val="24"/>
          <w:rtl w:val="0"/>
        </w:rPr>
        <w:t xml:space="preserve"> (Véase Tabla 2). </w:t>
      </w:r>
    </w:p>
    <w:p w:rsidR="00000000" w:rsidDel="00000000" w:rsidP="00000000" w:rsidRDefault="00000000" w:rsidRPr="00000000" w14:paraId="0000006F">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Metodología Utilizada por los Estudios Incluidos</w:t>
      </w:r>
    </w:p>
    <w:p w:rsidR="00000000" w:rsidDel="00000000" w:rsidP="00000000" w:rsidRDefault="00000000" w:rsidRPr="00000000" w14:paraId="0000007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mayoría de estudios utilizaron metodologías cualitativas y entrevistas individuales semiestructuradas para realizar la investigación, excepto uno que trató de recoger la información mediante sesiones de terapia de grupo </w:t>
      </w:r>
      <w:hyperlink r:id="rId12">
        <w:r w:rsidDel="00000000" w:rsidR="00000000" w:rsidRPr="00000000">
          <w:rPr>
            <w:rFonts w:ascii="Times New Roman" w:cs="Times New Roman" w:eastAsia="Times New Roman" w:hAnsi="Times New Roman"/>
            <w:sz w:val="24"/>
            <w:szCs w:val="24"/>
            <w:rtl w:val="0"/>
          </w:rPr>
          <w:t xml:space="preserve">(Riekkola Carabante et al., 2018)</w:t>
        </w:r>
      </w:hyperlink>
      <w:r w:rsidDel="00000000" w:rsidR="00000000" w:rsidRPr="00000000">
        <w:rPr>
          <w:rFonts w:ascii="Times New Roman" w:cs="Times New Roman" w:eastAsia="Times New Roman" w:hAnsi="Times New Roman"/>
          <w:sz w:val="24"/>
          <w:szCs w:val="24"/>
          <w:rtl w:val="0"/>
        </w:rPr>
        <w:t xml:space="preserve"> (Véase Tabla 2). </w:t>
      </w:r>
    </w:p>
    <w:p w:rsidR="00000000" w:rsidDel="00000000" w:rsidP="00000000" w:rsidRDefault="00000000" w:rsidRPr="00000000" w14:paraId="00000071">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Características de los Participantes de los Estudios Incluidos</w:t>
      </w:r>
    </w:p>
    <w:p w:rsidR="00000000" w:rsidDel="00000000" w:rsidP="00000000" w:rsidRDefault="00000000" w:rsidRPr="00000000" w14:paraId="00000072">
      <w:pPr>
        <w:spacing w:after="240" w:before="240" w:line="480" w:lineRule="auto"/>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sz w:val="24"/>
          <w:szCs w:val="24"/>
          <w:rtl w:val="0"/>
        </w:rPr>
        <w:t xml:space="preserve">La muestra de los artículos incluidos en la presente revisión se compone principalmente de mujeres y cónyuges en la etapa de la vejez (Véase Tabla 2). Concretamente, predomina la participación femenina ya que estudios como los de Band-Winterstein y Avieli (2019) utilizaron una muestra que incluía a 16 esposas con edades comprendidas entre los 63 y 84 años. En esta línea, Clark et al. (2019) también entrevistaron a 6 mujeres cuidadoras de edades entre los 69 y 78 años. Otros estudios que destacan por la presencia femenina son los de Riekkola Carabante et al. (2017) entrevistando a 10 mujeres y 2 hombres y los de </w:t>
      </w:r>
      <w:r w:rsidDel="00000000" w:rsidR="00000000" w:rsidRPr="00000000">
        <w:rPr>
          <w:rFonts w:ascii="Times New Roman" w:cs="Times New Roman" w:eastAsia="Times New Roman" w:hAnsi="Times New Roman"/>
          <w:color w:val="303030"/>
          <w:sz w:val="24"/>
          <w:szCs w:val="24"/>
          <w:highlight w:val="white"/>
          <w:rtl w:val="0"/>
        </w:rPr>
        <w:t xml:space="preserve">Rokstad et al. (2021), donde 14 de los 17 parejas eran mujeres y el de Chan et al. (2019) que entrevistaron a 13 mujeres y 3 hombres, mayoritariamente hijos adultos, con una edad media de 57 años. Por otro lado, estudios como el de Rykkje y Tranvåg (2019) analizaron a una muestra exclusivamente masculina ya que exploraron las experiencias de 5 esposos de edades entre los 72 y 82 años. </w:t>
      </w:r>
    </w:p>
    <w:p w:rsidR="00000000" w:rsidDel="00000000" w:rsidP="00000000" w:rsidRDefault="00000000" w:rsidRPr="00000000" w14:paraId="00000073">
      <w:pPr>
        <w:spacing w:after="240" w:before="240" w:line="480" w:lineRule="auto"/>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ab/>
        <w:t xml:space="preserve">Otros autores analizaron muestras más equilibradas en cuanto al género de sus participantes como los de Sinclair et al. (2018) incluyeron a 8 mujeres y 7 hombres de 59 a 81 años, Hammar et al. (2021) incluyeron a 5 mujeres y 4 hombres con una media de edad avanzada con una media de 75.9 años y  Benbow et al. (2019) con 9 mujeres y 4 hombres de entre 65 y 82 años. </w:t>
      </w:r>
    </w:p>
    <w:p w:rsidR="00000000" w:rsidDel="00000000" w:rsidP="00000000" w:rsidRDefault="00000000" w:rsidRPr="00000000" w14:paraId="00000074">
      <w:pPr>
        <w:spacing w:after="240" w:before="240" w:line="480" w:lineRule="auto"/>
        <w:rPr>
          <w:rFonts w:ascii="Times New Roman" w:cs="Times New Roman" w:eastAsia="Times New Roman" w:hAnsi="Times New Roman"/>
          <w:color w:val="303030"/>
          <w:sz w:val="24"/>
          <w:szCs w:val="24"/>
          <w:highlight w:val="white"/>
        </w:rPr>
      </w:pPr>
      <w:r w:rsidDel="00000000" w:rsidR="00000000" w:rsidRPr="00000000">
        <w:rPr>
          <w:rFonts w:ascii="Times New Roman" w:cs="Times New Roman" w:eastAsia="Times New Roman" w:hAnsi="Times New Roman"/>
          <w:color w:val="303030"/>
          <w:sz w:val="24"/>
          <w:szCs w:val="24"/>
          <w:highlight w:val="white"/>
          <w:rtl w:val="0"/>
        </w:rPr>
        <w:tab/>
        <w:t xml:space="preserve">Cabe señalar que estudios que recogen experiencias de personas con inicio temprano presentaban perfiles con medias de edad menores como los de Popok et al. (2022) con una media de edad de 61,47 años y los de Helvik et al. (2024) con edades comprendidas entre los 36 y 73 años. </w:t>
      </w:r>
    </w:p>
    <w:p w:rsidR="00000000" w:rsidDel="00000000" w:rsidP="00000000" w:rsidRDefault="00000000" w:rsidRPr="00000000" w14:paraId="0000007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03030"/>
          <w:sz w:val="24"/>
          <w:szCs w:val="24"/>
          <w:highlight w:val="white"/>
          <w:rtl w:val="0"/>
        </w:rPr>
        <w:tab/>
        <w:t xml:space="preserve">En cuanto a los participantes con demencia, la mayoría son diagnosticadas de la Enfermedad de Alzheimer y les siguen demencias frontotemporales, vasculares y de cuerpos de Lewy entre otras en estadios leves a moderados (</w:t>
      </w:r>
      <w:r w:rsidDel="00000000" w:rsidR="00000000" w:rsidRPr="00000000">
        <w:rPr>
          <w:rFonts w:ascii="Times New Roman" w:cs="Times New Roman" w:eastAsia="Times New Roman" w:hAnsi="Times New Roman"/>
          <w:sz w:val="24"/>
          <w:szCs w:val="24"/>
          <w:rtl w:val="0"/>
        </w:rPr>
        <w:t xml:space="preserve">Band-Winterstein &amp; Avieli, 2019; </w:t>
      </w:r>
      <w:r w:rsidDel="00000000" w:rsidR="00000000" w:rsidRPr="00000000">
        <w:rPr>
          <w:rFonts w:ascii="Times New Roman" w:cs="Times New Roman" w:eastAsia="Times New Roman" w:hAnsi="Times New Roman"/>
          <w:color w:val="303030"/>
          <w:sz w:val="24"/>
          <w:szCs w:val="24"/>
          <w:highlight w:val="white"/>
          <w:rtl w:val="0"/>
        </w:rPr>
        <w:t xml:space="preserve">Clark et al., 2019; Sinclair et al., 2018). Finalmente, estudios como los de Helvik et al. (2024) y  Popok et al., (2022) exploran la demencia de inicio temprano. </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76">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Análisis de Datos de los Estudios Incluidos</w:t>
      </w:r>
    </w:p>
    <w:p w:rsidR="00000000" w:rsidDel="00000000" w:rsidP="00000000" w:rsidRDefault="00000000" w:rsidRPr="00000000" w14:paraId="0000007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de datos de los estudios incluidos se realizó principalmente mediante métodos cualitativos. Concretamente algunos estudios se centraron en enfoques fenomenológicos descriptivos e interpretativos </w:t>
      </w:r>
      <w:hyperlink r:id="rId13">
        <w:r w:rsidDel="00000000" w:rsidR="00000000" w:rsidRPr="00000000">
          <w:rPr>
            <w:rFonts w:ascii="Times New Roman" w:cs="Times New Roman" w:eastAsia="Times New Roman" w:hAnsi="Times New Roman"/>
            <w:sz w:val="24"/>
            <w:szCs w:val="24"/>
            <w:rtl w:val="0"/>
          </w:rPr>
          <w:t xml:space="preserve">(Band‐Winterstein </w:t>
        </w:r>
      </w:hyperlink>
      <w:r w:rsidDel="00000000" w:rsidR="00000000" w:rsidRPr="00000000">
        <w:rPr>
          <w:rFonts w:ascii="Times New Roman" w:cs="Times New Roman" w:eastAsia="Times New Roman" w:hAnsi="Times New Roman"/>
          <w:sz w:val="24"/>
          <w:szCs w:val="24"/>
          <w:rtl w:val="0"/>
        </w:rPr>
        <w:t xml:space="preserve">&amp; </w:t>
      </w:r>
      <w:hyperlink r:id="rId14">
        <w:r w:rsidDel="00000000" w:rsidR="00000000" w:rsidRPr="00000000">
          <w:rPr>
            <w:rFonts w:ascii="Times New Roman" w:cs="Times New Roman" w:eastAsia="Times New Roman" w:hAnsi="Times New Roman"/>
            <w:sz w:val="24"/>
            <w:szCs w:val="24"/>
            <w:rtl w:val="0"/>
          </w:rPr>
          <w:t xml:space="preserve">Avieli, 2019; Chan et al., 2019; Clark et al., 2019; Sinclair et al., 2018)</w:t>
        </w:r>
      </w:hyperlink>
      <w:r w:rsidDel="00000000" w:rsidR="00000000" w:rsidRPr="00000000">
        <w:rPr>
          <w:rFonts w:ascii="Times New Roman" w:cs="Times New Roman" w:eastAsia="Times New Roman" w:hAnsi="Times New Roman"/>
          <w:sz w:val="24"/>
          <w:szCs w:val="24"/>
          <w:rtl w:val="0"/>
        </w:rPr>
        <w:t xml:space="preserve"> y la técnica de Colaizzi </w:t>
      </w:r>
      <w:hyperlink r:id="rId15">
        <w:r w:rsidDel="00000000" w:rsidR="00000000" w:rsidRPr="00000000">
          <w:rPr>
            <w:rFonts w:ascii="Times New Roman" w:cs="Times New Roman" w:eastAsia="Times New Roman" w:hAnsi="Times New Roman"/>
            <w:sz w:val="24"/>
            <w:szCs w:val="24"/>
            <w:rtl w:val="0"/>
          </w:rPr>
          <w:t xml:space="preserve">(Chan et al., 2019)</w:t>
        </w:r>
      </w:hyperlink>
      <w:r w:rsidDel="00000000" w:rsidR="00000000" w:rsidRPr="00000000">
        <w:rPr>
          <w:rFonts w:ascii="Times New Roman" w:cs="Times New Roman" w:eastAsia="Times New Roman" w:hAnsi="Times New Roman"/>
          <w:sz w:val="24"/>
          <w:szCs w:val="24"/>
          <w:rtl w:val="0"/>
        </w:rPr>
        <w:t xml:space="preserve">. Por otro lado, algunos se centraron en el análisis de contenido cualitativo como enfoques híbridos combinando un análisis deductivo e inductivo </w:t>
      </w:r>
      <w:hyperlink r:id="rId16">
        <w:r w:rsidDel="00000000" w:rsidR="00000000" w:rsidRPr="00000000">
          <w:rPr>
            <w:rFonts w:ascii="Times New Roman" w:cs="Times New Roman" w:eastAsia="Times New Roman" w:hAnsi="Times New Roman"/>
            <w:sz w:val="24"/>
            <w:szCs w:val="24"/>
            <w:rtl w:val="0"/>
          </w:rPr>
          <w:t xml:space="preserve">(Popok et al., 2022)</w:t>
        </w:r>
      </w:hyperlink>
      <w:r w:rsidDel="00000000" w:rsidR="00000000" w:rsidRPr="00000000">
        <w:rPr>
          <w:rFonts w:ascii="Times New Roman" w:cs="Times New Roman" w:eastAsia="Times New Roman" w:hAnsi="Times New Roman"/>
          <w:sz w:val="24"/>
          <w:szCs w:val="24"/>
          <w:rtl w:val="0"/>
        </w:rPr>
        <w:t xml:space="preserve"> y otros basados en la propuesta de Graneheim y Lundman </w:t>
      </w:r>
      <w:hyperlink r:id="rId17">
        <w:r w:rsidDel="00000000" w:rsidR="00000000" w:rsidRPr="00000000">
          <w:rPr>
            <w:rFonts w:ascii="Times New Roman" w:cs="Times New Roman" w:eastAsia="Times New Roman" w:hAnsi="Times New Roman"/>
            <w:sz w:val="24"/>
            <w:szCs w:val="24"/>
            <w:rtl w:val="0"/>
          </w:rPr>
          <w:t xml:space="preserve">(Rokstad et al., 2021)</w:t>
        </w:r>
      </w:hyperlink>
      <w:r w:rsidDel="00000000" w:rsidR="00000000" w:rsidRPr="00000000">
        <w:rPr>
          <w:rFonts w:ascii="Times New Roman" w:cs="Times New Roman" w:eastAsia="Times New Roman" w:hAnsi="Times New Roman"/>
          <w:sz w:val="24"/>
          <w:szCs w:val="24"/>
          <w:rtl w:val="0"/>
        </w:rPr>
        <w:t xml:space="preserve">. Asimismo, se utilizaron marcos metodológicos concretos, como el modelo de cuatro pasos para el análisis hermenéutico y diseños exploratorios </w:t>
      </w:r>
      <w:hyperlink r:id="rId18">
        <w:r w:rsidDel="00000000" w:rsidR="00000000" w:rsidRPr="00000000">
          <w:rPr>
            <w:rFonts w:ascii="Times New Roman" w:cs="Times New Roman" w:eastAsia="Times New Roman" w:hAnsi="Times New Roman"/>
            <w:sz w:val="24"/>
            <w:szCs w:val="24"/>
            <w:rtl w:val="0"/>
          </w:rPr>
          <w:t xml:space="preserve">(Rykkje </w:t>
        </w:r>
      </w:hyperlink>
      <w:r w:rsidDel="00000000" w:rsidR="00000000" w:rsidRPr="00000000">
        <w:rPr>
          <w:rFonts w:ascii="Times New Roman" w:cs="Times New Roman" w:eastAsia="Times New Roman" w:hAnsi="Times New Roman"/>
          <w:sz w:val="24"/>
          <w:szCs w:val="24"/>
          <w:rtl w:val="0"/>
        </w:rPr>
        <w:t xml:space="preserve">&amp;</w:t>
      </w:r>
      <w:hyperlink r:id="rId19">
        <w:r w:rsidDel="00000000" w:rsidR="00000000" w:rsidRPr="00000000">
          <w:rPr>
            <w:rFonts w:ascii="Times New Roman" w:cs="Times New Roman" w:eastAsia="Times New Roman" w:hAnsi="Times New Roman"/>
            <w:sz w:val="24"/>
            <w:szCs w:val="24"/>
            <w:rtl w:val="0"/>
          </w:rPr>
          <w:t xml:space="preserve"> Tranvåg, 2019)</w:t>
        </w:r>
      </w:hyperlink>
      <w:r w:rsidDel="00000000" w:rsidR="00000000" w:rsidRPr="00000000">
        <w:rPr>
          <w:rFonts w:ascii="Times New Roman" w:cs="Times New Roman" w:eastAsia="Times New Roman" w:hAnsi="Times New Roman"/>
          <w:sz w:val="24"/>
          <w:szCs w:val="24"/>
          <w:rtl w:val="0"/>
        </w:rPr>
        <w:t xml:space="preserve">  y la teoría fundamentada constructivista </w:t>
      </w:r>
      <w:hyperlink r:id="rId20">
        <w:r w:rsidDel="00000000" w:rsidR="00000000" w:rsidRPr="00000000">
          <w:rPr>
            <w:rFonts w:ascii="Times New Roman" w:cs="Times New Roman" w:eastAsia="Times New Roman" w:hAnsi="Times New Roman"/>
            <w:sz w:val="24"/>
            <w:szCs w:val="24"/>
            <w:rtl w:val="0"/>
          </w:rPr>
          <w:t xml:space="preserve">(Riekkola Carabante et al., 2018)</w:t>
        </w:r>
      </w:hyperlink>
      <w:r w:rsidDel="00000000" w:rsidR="00000000" w:rsidRPr="00000000">
        <w:rPr>
          <w:rFonts w:ascii="Times New Roman" w:cs="Times New Roman" w:eastAsia="Times New Roman" w:hAnsi="Times New Roman"/>
          <w:sz w:val="24"/>
          <w:szCs w:val="24"/>
          <w:rtl w:val="0"/>
        </w:rPr>
        <w:t xml:space="preserve">. Finalmente, algunos estudios adoptaron diseños mixtos donde se integran datos cualitativos y cuantitativos </w:t>
      </w:r>
      <w:hyperlink r:id="rId21">
        <w:r w:rsidDel="00000000" w:rsidR="00000000" w:rsidRPr="00000000">
          <w:rPr>
            <w:rFonts w:ascii="Times New Roman" w:cs="Times New Roman" w:eastAsia="Times New Roman" w:hAnsi="Times New Roman"/>
            <w:sz w:val="24"/>
            <w:szCs w:val="24"/>
            <w:rtl w:val="0"/>
          </w:rPr>
          <w:t xml:space="preserve">(Helvik et al., 2024)</w:t>
        </w:r>
      </w:hyperlink>
      <w:r w:rsidDel="00000000" w:rsidR="00000000" w:rsidRPr="00000000">
        <w:rPr>
          <w:rFonts w:ascii="Times New Roman" w:cs="Times New Roman" w:eastAsia="Times New Roman" w:hAnsi="Times New Roman"/>
          <w:sz w:val="24"/>
          <w:szCs w:val="24"/>
          <w:rtl w:val="0"/>
        </w:rPr>
        <w:t xml:space="preserve"> (Véase Tabla 2).</w:t>
      </w:r>
    </w:p>
    <w:p w:rsidR="00000000" w:rsidDel="00000000" w:rsidP="00000000" w:rsidRDefault="00000000" w:rsidRPr="00000000" w14:paraId="00000078">
      <w:pPr>
        <w:spacing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Tabla 2</w:t>
      </w:r>
    </w:p>
    <w:p w:rsidR="00000000" w:rsidDel="00000000" w:rsidP="00000000" w:rsidRDefault="00000000" w:rsidRPr="00000000" w14:paraId="00000079">
      <w:pPr>
        <w:spacing w:before="240"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Principales resultados de los estudios incluidos</w:t>
      </w:r>
    </w:p>
    <w:sdt>
      <w:sdtPr>
        <w:lock w:val="contentLocked"/>
        <w:id w:val="-63289047"/>
        <w:tag w:val="goog_rdk_0"/>
      </w:sdtPr>
      <w:sdtContent>
        <w:tbl>
          <w:tblPr>
            <w:tblStyle w:val="Table2"/>
            <w:tblW w:w="9360.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Autor, año, país</w:t>
                </w:r>
              </w:p>
            </w:tc>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Objetivo</w:t>
                </w:r>
              </w:p>
            </w:tc>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Método y participantes</w:t>
                </w:r>
              </w:p>
            </w:tc>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w:t>
                </w:r>
              </w:p>
            </w:tc>
          </w:tr>
          <w:tr>
            <w:trPr>
              <w:cantSplit w:val="0"/>
              <w:tblHeader w:val="0"/>
            </w:trPr>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Band-Winterstein &amp; Avieli (2019) </w:t>
                </w:r>
              </w:p>
              <w:p w:rsidR="00000000" w:rsidDel="00000000" w:rsidP="00000000" w:rsidRDefault="00000000" w:rsidRPr="00000000" w14:paraId="0000007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Israel</w:t>
                </w:r>
              </w:p>
              <w:p w:rsidR="00000000" w:rsidDel="00000000" w:rsidP="00000000" w:rsidRDefault="00000000" w:rsidRPr="00000000" w14:paraId="00000080">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Estudiar las diferencias entre las experiencias vividas de dos grupos de mujeres cuidadoras de su pareja con demencia. </w:t>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Grupo 1: violencia de pareja a lo largo de toda la vida. </w:t>
                </w:r>
              </w:p>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Grupo 2: violencia relacionada con la demencia.</w:t>
                </w:r>
              </w:p>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semiestructuradas. </w:t>
                </w:r>
              </w:p>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fenomenológico interpretativo.</w:t>
                </w:r>
              </w:p>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Mujeres casadas con hombres con demencia (n=16) de edades comprendidas entre los 63 y 84 años. </w:t>
                </w:r>
              </w:p>
            </w:tc>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revelan que las mujeres que experimentan violencia por parte de sus maridos a raíz de la demencia ven la agresión como un síntoma que aparece de manera abrupta. Utilizan los recuerdos conjuntos positivos como mecanismo de apoyo y mantienen un fuerte compromiso con su pareja pese a la enfermedad. </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9">
                <w:pPr>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Benbow et al. (2019)</w:t>
                </w:r>
              </w:p>
              <w:p w:rsidR="00000000" w:rsidDel="00000000" w:rsidP="00000000" w:rsidRDefault="00000000" w:rsidRPr="00000000" w14:paraId="0000008A">
                <w:pPr>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Reino Unido</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Profundizar y entender los cambios que sufren las relaciones familiares y de pareja relacionadas con la demencia desde la perspectiva de los cuidadores y de las personas con demencia y relacionarlos con los modelos teóricos. </w:t>
                </w: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semiestructuradas.</w:t>
                </w:r>
              </w:p>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cualitativo.</w:t>
                </w:r>
              </w:p>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Mujeres (n=9) y hombres (n=4) de edades comprendidas entre los 65 y 82 años.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revelan que se identificaron cambios en la relación como la pérdida de comunicación y cambios en los roles. Además esto tuvo impactos en la intimidad sexual de la pareja ya que las relaciones sexuales cesaron. No obstante, la mayoría de parejas sí mantuvieron las expresiones de afecto como los abrazos. </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Chan et al. (2019)</w:t>
                </w:r>
              </w:p>
              <w:p w:rsidR="00000000" w:rsidDel="00000000" w:rsidP="00000000" w:rsidRDefault="00000000" w:rsidRPr="00000000" w14:paraId="0000009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Singapur</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Explorar las experiencias vividas de familias asiáticas cuidadoras de personas con demencia.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semiestructuradas.</w:t>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técnica de Colaizzi. </w:t>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Enfoque fenomenológico descriptivo.</w:t>
                </w:r>
              </w:p>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Familias cuidadoras (n=16) con media de edad 57 años.</w:t>
                </w:r>
              </w:p>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revelan que el cuidado atravesaba tres etapas:</w:t>
                </w:r>
              </w:p>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Tomar conciencia de la enfermedad.</w:t>
                </w:r>
              </w:p>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Aprender a lidiar con las tareas del cuidado, manejar los síntomas y poder encontrar refugio en la fe religiosa. </w:t>
                </w:r>
              </w:p>
              <w:p w:rsidR="00000000" w:rsidDel="00000000" w:rsidP="00000000" w:rsidRDefault="00000000" w:rsidRPr="00000000" w14:paraId="000000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Enfrentarse a la nueva vida cotidiana y afrontar el deterioro inevitable.</w:t>
                </w:r>
              </w:p>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Clark et al. (2019)</w:t>
                </w:r>
              </w:p>
              <w:p w:rsidR="00000000" w:rsidDel="00000000" w:rsidP="00000000" w:rsidRDefault="00000000" w:rsidRPr="00000000" w14:paraId="0000009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Reino Unido</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Explorar la perspectiva diádica de la demencia dentro de las relaciones de pareja.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semiestructuradas.</w:t>
                </w:r>
              </w:p>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fenomenológico interpretativo. </w:t>
                </w:r>
              </w:p>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Parejas (n=6) de edades comprendidas entre los 74 y 80 años.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revelan que se ponen en manifiesto tres aspectos:</w:t>
                </w:r>
              </w:p>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Mantener la conexión de pareja gracias al compromiso derivado de la promesa matrimonial y la historia compartida. </w:t>
                </w:r>
              </w:p>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Manejar el cambio de rol en la pareja. Transicionar de pareja a cuidador y el ver al otro como inválido o un niño. </w:t>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uso del estoicismo o la negación para poder seguir adelante como estrategias para afrontar la situación.</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Hammar et al. (2021)</w:t>
                </w:r>
              </w:p>
              <w:p w:rsidR="00000000" w:rsidDel="00000000" w:rsidP="00000000" w:rsidRDefault="00000000" w:rsidRPr="00000000" w14:paraId="000000A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Suecia</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A">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 las experiencias de los cónyuges cuidadores a la hora de atender a su pareja con demencia, su vida cotidiana como pareja y sus necesidades de apoyo.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semiestructuradas.</w:t>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cualitativo del contenido. </w:t>
                </w:r>
              </w:p>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Parejas (n=9) de edades comprendidas entre los 65 y 94 años.</w:t>
                </w:r>
              </w:p>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revelan que el tema principal es la soledad frente a la pertenencia y la adaptación a la nueva realidad. Más concretamente, refieren que los participantes sienten una falta de conocimiento de la enfermedad y falta de apoyo sanitario. La comunicación se ve deteriorada dando lugar a una sensación de pérdida de la pareja.</w:t>
                </w:r>
              </w:p>
              <w:p w:rsidR="00000000" w:rsidDel="00000000" w:rsidP="00000000" w:rsidRDefault="00000000" w:rsidRPr="00000000" w14:paraId="000000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identidad queda diluida debido al rol del cuidador.</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Helvik et al. (2024)</w:t>
                </w:r>
              </w:p>
              <w:p w:rsidR="00000000" w:rsidDel="00000000" w:rsidP="00000000" w:rsidRDefault="00000000" w:rsidRPr="00000000" w14:paraId="000000C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Noruega</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 cómo perciben los cuidadores familiares seis aspectos predefinidos que influyen en la vida cotidiana y las necesidades de las personas con demencia de origen temprano.</w:t>
                </w:r>
              </w:p>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w:t>
                </w:r>
              </w:p>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Diseño mixto: análisis cuantitativo y cualitativo.</w:t>
                </w:r>
              </w:p>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Esposas (n=5), esposos (n=5) e hijas (n=3) de entre 36 y 73 años de edad.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derivados del análisis cualitativo revelan que las actividades del día a dia se vieron trastocadas por la enfermedad. Además, las parejas sufrieron pérdidas en los vínculos sociales y presentaron inquietudes respecto a la economía futura. </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Popok et al. (2022)</w:t>
                </w:r>
              </w:p>
              <w:p w:rsidR="00000000" w:rsidDel="00000000" w:rsidP="00000000" w:rsidRDefault="00000000" w:rsidRPr="00000000" w14:paraId="000000C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Estados Unidos de América</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Comprender los estresores y estrategias de afrontamiento de las personas con demencia de inicio temprano y sus parejas cuidadoras con el fin de orientar posibles intervenciones relacionadas.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individuales de final abierto. </w:t>
                </w:r>
              </w:p>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deductivo e inductivo. </w:t>
                </w:r>
              </w:p>
              <w:p w:rsidR="00000000" w:rsidDel="00000000" w:rsidP="00000000" w:rsidRDefault="00000000" w:rsidRPr="00000000" w14:paraId="000000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Personas diagnosticadas con demencia de inicio temprano (n=12) con media de edad de 62,5 años y sus respectivas parejas (n=17) con media de edad de 61, 47 años.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revelan que las personas diagnosticadas con demencia de inicio temprano padecen sobreprotección y miedo al futuro. Por otro lado, los cónyuges de estas personas padecen una fatiga extrema, reducción en la intimidad sexual y emocional de la pareja y una fuerte carga. </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Riekkola Carabante et al. (2018)</w:t>
                </w:r>
              </w:p>
              <w:p w:rsidR="00000000" w:rsidDel="00000000" w:rsidP="00000000" w:rsidRDefault="00000000" w:rsidRPr="00000000" w14:paraId="000000D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Suecia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Explorar y describir cómo las parejas cuidadoras de personas con demencia experimentan la participación en el día a día en contextos cambiantes.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en grupo.</w:t>
                </w:r>
              </w:p>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teoría fundamentada constructivista.</w:t>
                </w:r>
              </w:p>
              <w:p w:rsidR="00000000" w:rsidDel="00000000" w:rsidP="00000000" w:rsidRDefault="00000000" w:rsidRPr="00000000" w14:paraId="000000D5">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Parejas cuidadoras (n=12)  de edades entre 65 y 83 años.</w:t>
                </w: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manifiestan que la tarea del cuidado supone una gran carga emocional y pone en evidencia la necesidad de un espacio personal para las parejas. </w:t>
                </w:r>
              </w:p>
              <w:p w:rsidR="00000000" w:rsidDel="00000000" w:rsidP="00000000" w:rsidRDefault="00000000" w:rsidRPr="00000000" w14:paraId="000000D7">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poder hacer uso de centros de día genera sentimientos de culpabilidad y preocupación por la pareja con demencia. Las parejas utilizan como recurso el recuerdo de sus vidas comunes para poder seguir hacia delante. </w:t>
                </w:r>
              </w:p>
              <w:p w:rsidR="00000000" w:rsidDel="00000000" w:rsidP="00000000" w:rsidRDefault="00000000" w:rsidRPr="00000000" w14:paraId="000000D8">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Rokstad et al. (2021)</w:t>
                </w:r>
              </w:p>
              <w:p w:rsidR="00000000" w:rsidDel="00000000" w:rsidP="00000000" w:rsidRDefault="00000000" w:rsidRPr="00000000" w14:paraId="000000D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Noruega</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B">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 las consecuencias de la pandemia de COVID-19 tal y como las vivieron los cónyuges de personas con demencia que viven en su propio hogar en Noruega.</w:t>
                </w:r>
              </w:p>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telefónicas.</w:t>
                </w:r>
              </w:p>
              <w:p w:rsidR="00000000" w:rsidDel="00000000" w:rsidP="00000000" w:rsidRDefault="00000000" w:rsidRPr="00000000" w14:paraId="000000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cualitativo de contenido.</w:t>
                </w:r>
              </w:p>
              <w:p w:rsidR="00000000" w:rsidDel="00000000" w:rsidP="00000000" w:rsidRDefault="00000000" w:rsidRPr="00000000" w14:paraId="000000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Parejas (n=17) de edades comprendidas entre 52 y 82 años.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revelan que la pandemia del COVID-19 tuvo un impacto radical en las parejas. El cierre de los servicios sanitarios aumentó las responsabilidades de los cónyuges, provocando miedo profundo y agotamiento. También tuvo un impacto en la salud de los cuidadores ya que sufrieron de insomnio e irritabilidad. Para las parejas con demencia esto supuso un agravamiento de sus síntomas ya que el deterioro se vio acelerado por el confinamiento y la falta de estimulación cognitiva. </w:t>
                </w:r>
              </w:p>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Aspectos como las actividades físicas al aire libre y las llamadas de apoyo por parte de profesionales de la salud ayudaron a manejar las dificultades del día a día. </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Rykkje &amp; Tranvåg (2019)</w:t>
                </w:r>
              </w:p>
              <w:p w:rsidR="00000000" w:rsidDel="00000000" w:rsidP="00000000" w:rsidRDefault="00000000" w:rsidRPr="00000000" w14:paraId="000000E3">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Noruega</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 las experiencias de los maridos que se ocupan del cuidado de su cónyuge con demencia que vive en su propio hogar.</w:t>
                </w:r>
              </w:p>
              <w:p w:rsidR="00000000" w:rsidDel="00000000" w:rsidP="00000000" w:rsidRDefault="00000000" w:rsidRPr="00000000" w14:paraId="000000E5">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w:t>
                </w:r>
              </w:p>
              <w:p w:rsidR="00000000" w:rsidDel="00000000" w:rsidP="00000000" w:rsidRDefault="00000000" w:rsidRPr="00000000" w14:paraId="000000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Diseño exploratorio.</w:t>
                </w:r>
              </w:p>
              <w:p w:rsidR="00000000" w:rsidDel="00000000" w:rsidP="00000000" w:rsidRDefault="00000000" w:rsidRPr="00000000" w14:paraId="000000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Maridos de personas con demencia (n=5) de edades comprendidas entre 72 y 82 años.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ilustran que los maridos cuidadores pudieron adaptarse a la situación gracias a la honestidad frente a la enfermedad de sus mujeres ya que esto redujo los prejuicios de sus seres queridos aumentando su apoyo. También se vio que hubo una pérdida de autonomía por parte de los maridos para priorizar las necesidades de sus mujeres ya que veían las tareas del cuidado como muestras de su amor hacia ellas. Finalmente, fue relevante la asunción de responsabilidades de las que normalmente se encargaban sus mujeres como cocinar. </w:t>
                </w:r>
              </w:p>
            </w:tc>
          </w:tr>
          <w:tr>
            <w:trPr>
              <w:cantSplit w:val="0"/>
              <w:tblHeader w:val="0"/>
            </w:trPr>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Sinclair et al. (2018)</w:t>
                </w:r>
              </w:p>
              <w:p w:rsidR="00000000" w:rsidDel="00000000" w:rsidP="00000000" w:rsidRDefault="00000000" w:rsidRPr="00000000" w14:paraId="000000E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Australia</w:t>
                </w:r>
              </w:p>
            </w:tc>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Comprender las experiencias vividas por las parejas que conviven con la demencia en lo que respecta a la atención sanitaria, el estilo de vida y la toma de decisiones «cotidianas».</w:t>
                </w:r>
              </w:p>
            </w:tc>
            <w:tc>
              <w:tcPr>
                <w:tcBorders>
                  <w:top w:color="ffffff" w:space="0" w:sz="8" w:val="single"/>
                  <w:left w:color="ffffff" w:space="0" w:sz="8" w:val="single"/>
                  <w:bottom w:color="434343"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Entrevistas semiestructuradas.</w:t>
                </w:r>
              </w:p>
              <w:p w:rsidR="00000000" w:rsidDel="00000000" w:rsidP="00000000" w:rsidRDefault="00000000" w:rsidRPr="00000000" w14:paraId="000000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fenomenológico interpretativo.</w:t>
                </w:r>
              </w:p>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Veintiocho participantes declararon mantener una relación estrecha y duradera (n = 13 personas con demencia, n = 15 cónyuges) de edades comprendidas entre los 59 y 82 años. </w:t>
                </w:r>
              </w:p>
            </w:tc>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muestran que el vínculo en la pareja se mantiene gracias a la historia común de las parejas que forman una identidad conjunta. Asimismo, el proceso de toma de decisiones es posible gracias a una confianza mutua en el otro pudiendo delegar las responsabilidades. No obstante, se menciona que los servicios sanitarios suelen excluir a los cónyuges dificultando este proceso. </w:t>
                </w:r>
              </w:p>
            </w:tc>
          </w:tr>
        </w:tbl>
      </w:sdtContent>
    </w:sdt>
    <w:p w:rsidR="00000000" w:rsidDel="00000000" w:rsidP="00000000" w:rsidRDefault="00000000" w:rsidRPr="00000000" w14:paraId="000000F1">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del Análisis Temático de los Estudios Incluidos</w:t>
      </w:r>
    </w:p>
    <w:p w:rsidR="00000000" w:rsidDel="00000000" w:rsidP="00000000" w:rsidRDefault="00000000" w:rsidRPr="00000000" w14:paraId="000000F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Tras realizar un análisis temático de los resultados de los estudios incluidos en la revisión se observó que se agrupaban en cinco grandes temas 1) el impacto de la demencia en la relación de pareja en la vejez, 2) la transformación de la relación de pareja 3) la adaptación a la vida cotidiana con demencia, 4) recursos y estrategias de afrontamiento ante los cambios y 5) perspectiva de futuro ante la progresión de la demencia (Véase Tabla 3).</w:t>
      </w:r>
    </w:p>
    <w:p w:rsidR="00000000" w:rsidDel="00000000" w:rsidP="00000000" w:rsidRDefault="00000000" w:rsidRPr="00000000" w14:paraId="000000F4">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Tabla 3</w:t>
      </w:r>
    </w:p>
    <w:p w:rsidR="00000000" w:rsidDel="00000000" w:rsidP="00000000" w:rsidRDefault="00000000" w:rsidRPr="00000000" w14:paraId="000000F5">
      <w:pPr>
        <w:spacing w:after="240" w:before="240"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Análisis temático de los resultados</w:t>
      </w:r>
    </w:p>
    <w:sdt>
      <w:sdtPr>
        <w:lock w:val="contentLocked"/>
        <w:id w:val="-1678543222"/>
        <w:tag w:val="goog_rdk_1"/>
      </w:sdtPr>
      <w:sdtContent>
        <w:tbl>
          <w:tblPr>
            <w:tblStyle w:val="Table3"/>
            <w:tblW w:w="9360.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Temas</w:t>
                </w:r>
              </w:p>
            </w:tc>
            <w:tc>
              <w:tcPr>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Subtemas</w:t>
                </w:r>
              </w:p>
            </w:tc>
          </w:tr>
          <w:tr>
            <w:trPr>
              <w:cantSplit w:val="0"/>
              <w:tblHeader w:val="0"/>
            </w:trPr>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Tema (1) El impacto de la demencia en la relación de pareja en la vejez</w:t>
                </w:r>
              </w:p>
            </w:tc>
            <w:tc>
              <w:tcPr>
                <w:tcBorders>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enfermedad y el progreso de la demencia</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impacto emocional y psicológico de la demencia en la pareja</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impacto de las tareas de cuidado</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C">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Tema (2) La transformación de la relación de pareja</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Cambios en el vínculo de pareja</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Cambios en los roles de pareja</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Cambios en la intimidad sexual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0">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Tema (3) La adaptación ante la demencia de la pareja</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Cambios en la vida cotidiana</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2">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Tema (4) Recursos y estrategias de afrontamiento ante los cambios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Estrategias de afrontamiento</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Proceso de la toma de decisiones</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Redes de apoyo y aislamiento social</w:t>
                </w:r>
              </w:p>
            </w:tc>
          </w:tr>
          <w:tr>
            <w:trPr>
              <w:cantSplit w:val="0"/>
              <w:tblHeader w:val="0"/>
            </w:trPr>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6">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Tema (5) Perspectiva de futuro ante la progresión de la demencia</w:t>
                </w:r>
              </w:p>
            </w:tc>
            <w:tc>
              <w:tcPr>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Planificación y expectativas de futuro</w:t>
                </w:r>
              </w:p>
            </w:tc>
          </w:tr>
        </w:tbl>
      </w:sdtContent>
    </w:sdt>
    <w:p w:rsidR="00000000" w:rsidDel="00000000" w:rsidP="00000000" w:rsidRDefault="00000000" w:rsidRPr="00000000" w14:paraId="00000108">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 Impacto de la Demencia en la Relación de Pareja en la Vejez</w:t>
      </w:r>
    </w:p>
    <w:p w:rsidR="00000000" w:rsidDel="00000000" w:rsidP="00000000" w:rsidRDefault="00000000" w:rsidRPr="00000000" w14:paraId="0000010B">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La Enfermedad y el Progreso de la Demencia</w:t>
      </w:r>
    </w:p>
    <w:p w:rsidR="00000000" w:rsidDel="00000000" w:rsidP="00000000" w:rsidRDefault="00000000" w:rsidRPr="00000000" w14:paraId="0000010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Algunos participantes relataron cómo comenzaron </w:t>
      </w:r>
      <w:r w:rsidDel="00000000" w:rsidR="00000000" w:rsidRPr="00000000">
        <w:rPr>
          <w:rFonts w:ascii="Times New Roman" w:cs="Times New Roman" w:eastAsia="Times New Roman" w:hAnsi="Times New Roman"/>
          <w:sz w:val="24"/>
          <w:szCs w:val="24"/>
          <w:rtl w:val="0"/>
        </w:rPr>
        <w:t xml:space="preserve">a notar las complicaciones relacionadas con los síntomas y el progreso de la demencia. Las parejas de las personas con demencia de inicio temprano relatan que notaron varios síntomas que aparecieron de forma imprevisible como la agresividad, el miedo a estar a solas, la deambulación o una necesidad de cercanía constante. Por otro lado, refieren también que, según aumentaba la dependencia de su pareja, aumentaban los riesgos a la hora de, por ejemplo, conducir o ir a solas, por lo que los familiares debían de encargarse de la persona constantemente (Helvik et al., 2024). Debido a esto, las parejas de personas con demencia de inicio temprano relatan que era difícil encontrar el balance entre mantener la seguridad de su pareja y fomentar su independencia. Frecuentemente, había discrepancias que derivaban en desacuerdos con la pareja debido a que le restaban importancia a la gravedad de los síntomas (Popok et al., 2022). </w:t>
      </w:r>
    </w:p>
    <w:p w:rsidR="00000000" w:rsidDel="00000000" w:rsidP="00000000" w:rsidRDefault="00000000" w:rsidRPr="00000000" w14:paraId="0000010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 testigo del deterioro derivado de la demencia de sus esposas fue algo que resultó duro para los maridos. Comentan que la desorientación en el espacio y tiempo, la falta de autocuidado y la pérdida de memoria a corto plazo de sus esposas son aspectos que afectaron profundamente al desarrollo de la vida cotidiana (Rykkje &amp; Tranvåg, 2019).</w:t>
      </w:r>
      <w:r w:rsidDel="00000000" w:rsidR="00000000" w:rsidRPr="00000000">
        <w:rPr>
          <w:rtl w:val="0"/>
        </w:rPr>
      </w:r>
    </w:p>
    <w:p w:rsidR="00000000" w:rsidDel="00000000" w:rsidP="00000000" w:rsidRDefault="00000000" w:rsidRPr="00000000" w14:paraId="0000010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Asimismo, no todos los signos de la demencia se manifiestan de la misma manera debido a la gran variedad de síntomas que pueden acompañarla. Concretamente, el estudio de Band-Winterstein y Avieli (2019) explora la aparición de síntomas de violencia derivados de la demencia. Las mujeres entrevistadas comentan que perciben la violencia que reciben por parte de sus maridos como un síntoma que se desarrolla de manera natural debido a la enfermedad. Así pues, reconocían que el comportamiento violento no formaba parte de la personalidad de sus maridos pero esto marcaba una distancia significativa en la relación.</w:t>
      </w:r>
    </w:p>
    <w:p w:rsidR="00000000" w:rsidDel="00000000" w:rsidP="00000000" w:rsidRDefault="00000000" w:rsidRPr="00000000" w14:paraId="0000010F">
      <w:pPr>
        <w:spacing w:after="240" w:before="240"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Por otro lado, hubo factores externos que pudieron empeorar la situación de las parejas ya que durante la pandemia del COVID-19, algunas personas observaron que las capacidades funcionales y cognitivas de sus parejas habían cambiado. Algunos participantes observaron que su pareja comenzó a deteriorarse ya que, debido al confinamiento, la estimulación mental se redujo significativamente. Además, el cumplimiento de las restricciones fue un motivo de estrés para ellas ya que no terminaban de comprender completamente la situación que suponía la pandemia (Rokstad et al., 2021). </w:t>
      </w:r>
      <w:r w:rsidDel="00000000" w:rsidR="00000000" w:rsidRPr="00000000">
        <w:rPr>
          <w:rtl w:val="0"/>
        </w:rPr>
      </w:r>
    </w:p>
    <w:p w:rsidR="00000000" w:rsidDel="00000000" w:rsidP="00000000" w:rsidRDefault="00000000" w:rsidRPr="00000000" w14:paraId="00000110">
      <w:pPr>
        <w:spacing w:after="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El Impacto Emocional y Psicológico de la Demencia en la Pareja</w:t>
      </w:r>
    </w:p>
    <w:p w:rsidR="00000000" w:rsidDel="00000000" w:rsidP="00000000" w:rsidRDefault="00000000" w:rsidRPr="00000000" w14:paraId="00000111">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cambios que aparecen junto al diagnóstico de la demencia pueden provocar a su vez un impacto emocional y psicológico en las parejas. En primer lugar, las parejas refieren complicaciones relacionadas con su propia identidad. Clark et al. (2019) describen el impacto emocional como “una montaña rusa de emociones” (p. 7) que oscila entre la frustración, la preocupación, la tristeza y el miedo. Explican que el estrés es el protagonista de su situación actual. Al hablar de la demencia también aparecen sentimientos fuertes de ira y de sentirse atrapados. En este sentido, frente al diagnóstico muchas parejas se mostraron reacias a tomar conciencia de la enfermedad, negando los síntomas y sus consecuencias en un primer instante. No obstante, algunas parejas sí que aceptaron de una manera más rápida la enfermedad (Clark et al., 2019). </w:t>
      </w:r>
    </w:p>
    <w:p w:rsidR="00000000" w:rsidDel="00000000" w:rsidP="00000000" w:rsidRDefault="00000000" w:rsidRPr="00000000" w14:paraId="0000011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cónyuges refieren sentirse confusas, frustradas y tristes debido a la aparición de los síntomas de su pareja. Comentan que una de las cosas que más les afectó fueron los cambios de personalidad (Popok et al., 2022).  A raíz de esto, las parejas sienten que la pérdida y el duelo fueron procesos necesarios de aceptar para poder continuar de manera satisfactoria con sus vidas cotidianas </w:t>
      </w:r>
      <w:hyperlink r:id="rId22">
        <w:r w:rsidDel="00000000" w:rsidR="00000000" w:rsidRPr="00000000">
          <w:rPr>
            <w:rFonts w:ascii="Times New Roman" w:cs="Times New Roman" w:eastAsia="Times New Roman" w:hAnsi="Times New Roman"/>
            <w:sz w:val="24"/>
            <w:szCs w:val="24"/>
            <w:rtl w:val="0"/>
          </w:rPr>
          <w:t xml:space="preserve">(Rykkje </w:t>
        </w:r>
      </w:hyperlink>
      <w:r w:rsidDel="00000000" w:rsidR="00000000" w:rsidRPr="00000000">
        <w:rPr>
          <w:rFonts w:ascii="Times New Roman" w:cs="Times New Roman" w:eastAsia="Times New Roman" w:hAnsi="Times New Roman"/>
          <w:sz w:val="24"/>
          <w:szCs w:val="24"/>
          <w:rtl w:val="0"/>
        </w:rPr>
        <w:t xml:space="preserve">&amp;</w:t>
      </w:r>
      <w:hyperlink r:id="rId23">
        <w:r w:rsidDel="00000000" w:rsidR="00000000" w:rsidRPr="00000000">
          <w:rPr>
            <w:rFonts w:ascii="Times New Roman" w:cs="Times New Roman" w:eastAsia="Times New Roman" w:hAnsi="Times New Roman"/>
            <w:sz w:val="24"/>
            <w:szCs w:val="24"/>
            <w:rtl w:val="0"/>
          </w:rPr>
          <w:t xml:space="preserve"> Tranvåg, 2019)</w:t>
        </w:r>
      </w:hyperlink>
      <w:r w:rsidDel="00000000" w:rsidR="00000000" w:rsidRPr="00000000">
        <w:rPr>
          <w:rFonts w:ascii="Times New Roman" w:cs="Times New Roman" w:eastAsia="Times New Roman" w:hAnsi="Times New Roman"/>
          <w:sz w:val="24"/>
          <w:szCs w:val="24"/>
          <w:rtl w:val="0"/>
        </w:rPr>
        <w:t xml:space="preserve">. Esta sensación de pérdida se ejemplifica en el estudio de Rykkje y Tranvåg (2019) donde los maridos refieren sentimientos de tristeza al recordar cómo era su mujer antes del diagnóstico y la vida que formaron juntos, lo que les provoca una sensación de soledad. </w:t>
      </w:r>
    </w:p>
    <w:p w:rsidR="00000000" w:rsidDel="00000000" w:rsidP="00000000" w:rsidRDefault="00000000" w:rsidRPr="00000000" w14:paraId="0000011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realidad a menudo se manifiesta también en sentimientos de agotamiento y tristeza profunda o deseos de rendirse (Hammar et al., 2021). Las parejas sienten que su vida únicamente gira en torno al cuidado y describen cómo esto les provoca mucho sufrimiento (Chan et al., 2019). Un ejemplo que refleja estas situaciones es cuando las parejas mencionan que les deben asistir durante la noche, lo que causa en ocasiones que les toque acompañar al baño interrumpiendo su sueño. Un sueño trastocado tiene como consecuencia un agravamiento del estrés y la irritación del cuidador, lo que a su vez provoca más carga mental para el mismo (Riekkola Carabante et al., 2018). </w:t>
      </w:r>
    </w:p>
    <w:p w:rsidR="00000000" w:rsidDel="00000000" w:rsidP="00000000" w:rsidRDefault="00000000" w:rsidRPr="00000000" w14:paraId="0000011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consecuencia de esta fatiga, algunas personas sintieron que respondían con insistencia o agresividad a sus parejas llegando incluso a perder la paciencia alzando la voz (Rokstad et al., 2021). Finalmente, durante la pandemia las parejas se vieron agotadas, quemadas, llegando a manifestar complicaciones físicas. Asimismo, refieren padecer síntomas ansiosos y depresivos, estrés, insomnio e inestabilidad e irritabilidad emocional (Rokstad et al., 2021).</w:t>
      </w:r>
    </w:p>
    <w:p w:rsidR="00000000" w:rsidDel="00000000" w:rsidP="00000000" w:rsidRDefault="00000000" w:rsidRPr="00000000" w14:paraId="00000115">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El Impacto de las Tareas del Cuidado </w:t>
      </w:r>
    </w:p>
    <w:p w:rsidR="00000000" w:rsidDel="00000000" w:rsidP="00000000" w:rsidRDefault="00000000" w:rsidRPr="00000000" w14:paraId="00000116">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relación a las tareas de cuidado que desempeñan las parejas de personas con demencia, la demanda de responsabilidades es algo con lo que tuvieron que lidiar día a día pese a haber integrado de manera funcional los cambios que supuso la enfermedad (Clark et al., 2019). Durante el desarrollo de las actividades cotidianas, las parejas ayudan a sus seres queridos a comer, vestirse o asearse. Este apoyo se incrementa según la enfermedad va avanzando, lo que afecta considerablemente a la salud y bienestar de los cuidadores. Además de las tareas físicas, acompañar a su pareja también implica manejar inquietudes y preguntas constantes (Hammar et al., 2021). Como consecuencia, los cuidadores mencionan que se sienten cansados tanto física como mentalmente y que sus responsabilidades se volvieron cada vez más exigentes, dejándoles apenas sin tiempo libre (Popok et al., 2022). Ante la ausencia de descanso algunos llegaban a plantearse el ingreso de su pareja en una residencia o incluso, ideas más extremas como el deseo de que ellos mismos o sus parejas fallecieran (Hammar et al., 2021). </w:t>
      </w:r>
    </w:p>
    <w:p w:rsidR="00000000" w:rsidDel="00000000" w:rsidP="00000000" w:rsidRDefault="00000000" w:rsidRPr="00000000" w14:paraId="0000011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esta línea, el estudio de Hammar et al. (2021) refleja las realidades de los maridos cuidadores de sus esposas con demencia. Refieren que tienden a priorizar siempre las necesidades de sus parejas y que se sienten como si estuvieran de guardia. Es por esto que los cónyuges resaltan la importancia de ser vistos como personas y no meramente como cuidadores de sus parejas. Por otro lado, algunos esposos comentan que estar lejos de casa es un desafío permanente en la relación debido a que deben estar pendientes de sus esposas siempre, lo que deja poco margen para que puedan tener tiempo para ellos mismos. Esto lo viven como una gran presión y una tarea absorbente (Rykkje &amp; Tranvåg, 2019) Otros refieren sentirse culpables cuando sus parejas mencionan sentirse como una carga para ellos (Popok et al., 2022). </w:t>
      </w:r>
    </w:p>
    <w:p w:rsidR="00000000" w:rsidDel="00000000" w:rsidP="00000000" w:rsidRDefault="00000000" w:rsidRPr="00000000" w14:paraId="0000011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obstante, no todo lo que supone el cuidado es negativo. Algunas esposas llevan a cabo su función como cuidadora con amor e intentan priorizar y mantener la rutina de su pareja (Band-Winterstein &amp; Avieli, 2019). Asimismo, algunos esposos sienten sentimientos de orgullo al cuidar de su mujer (Rykkje &amp; Tranvåg, 2019). </w:t>
      </w:r>
    </w:p>
    <w:p w:rsidR="00000000" w:rsidDel="00000000" w:rsidP="00000000" w:rsidRDefault="00000000" w:rsidRPr="00000000" w14:paraId="00000119">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Simultáneamente, es importante señalar que esto no es fácil para el miembro de la pareja con demencia, ya que ellos mismos también sufren estrés al sentirse controlados todo el tiempo, no llegando a comprender del todo la razón de esta supervisión constante (Hammar et al., 2021). </w:t>
      </w:r>
    </w:p>
    <w:p w:rsidR="00000000" w:rsidDel="00000000" w:rsidP="00000000" w:rsidRDefault="00000000" w:rsidRPr="00000000" w14:paraId="0000011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Finalmente, cabe señalar que el impacto de la pandemia fue un cambio abrupto para las parejas de personas con demencia porque de un día para otro los participantes se vieron obligados a asumir en solitario el cuidado de su pareja. Todas las ayudas posibles estaban cerradas tanto centros residenciales, como visitas domiciliarias por parte de profesionales, médicos, etcétera. Los participantes mencionan que esto supuso la pérdida de los pequeños momentos de descanso que tenían gracias a estos servicios, además de la posibilidad de que a partir de entonces fueran los únicos responsables del cuidado de sus familiares. Todo ello, se sumaba al pánico ante la posibilidad de contagiarse (Rokstad et al., 2021). </w:t>
      </w:r>
    </w:p>
    <w:p w:rsidR="00000000" w:rsidDel="00000000" w:rsidP="00000000" w:rsidRDefault="00000000" w:rsidRPr="00000000" w14:paraId="0000011B">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 Transformación de la Relación de Pareja</w:t>
      </w:r>
    </w:p>
    <w:p w:rsidR="00000000" w:rsidDel="00000000" w:rsidP="00000000" w:rsidRDefault="00000000" w:rsidRPr="00000000" w14:paraId="0000011C">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Cambios en el Vínculo de Pareja</w:t>
      </w:r>
    </w:p>
    <w:p w:rsidR="00000000" w:rsidDel="00000000" w:rsidP="00000000" w:rsidRDefault="00000000" w:rsidRPr="00000000" w14:paraId="0000011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impacto de la demencia transforma de manera profunda la relación de pareja. Algunas mujeres refieren sentir una pérdida en el vínculo y en la conexión “adulto a adulto” que tenían anteriormente (Clark et al., 2019). Los cambios en el vínculo de pareja se manifiestan en la presencia de diferencias entre la cercanía que sentían en el pasado y un fuerte sentimiento de soledad en el presente debido a una falta de reciprocidad en la relación. Refieren que pese a que su pareja esté presente físicamente, de cierta manera la perciben como si estuviera ausente </w:t>
      </w:r>
      <w:hyperlink r:id="rId24">
        <w:r w:rsidDel="00000000" w:rsidR="00000000" w:rsidRPr="00000000">
          <w:rPr>
            <w:rFonts w:ascii="Times New Roman" w:cs="Times New Roman" w:eastAsia="Times New Roman" w:hAnsi="Times New Roman"/>
            <w:sz w:val="24"/>
            <w:szCs w:val="24"/>
            <w:rtl w:val="0"/>
          </w:rPr>
          <w:t xml:space="preserve">(Benbow et al., 2019)</w:t>
        </w:r>
      </w:hyperlink>
      <w:r w:rsidDel="00000000" w:rsidR="00000000" w:rsidRPr="00000000">
        <w:rPr>
          <w:rFonts w:ascii="Times New Roman" w:cs="Times New Roman" w:eastAsia="Times New Roman" w:hAnsi="Times New Roman"/>
          <w:sz w:val="24"/>
          <w:szCs w:val="24"/>
          <w:rtl w:val="0"/>
        </w:rPr>
        <w:t xml:space="preserve">. Es cierto que algunas parejas añoran la cercanía que tenían antes llegando a sentir pérdida o un incluso duelo </w:t>
      </w:r>
      <w:hyperlink r:id="rId25">
        <w:r w:rsidDel="00000000" w:rsidR="00000000" w:rsidRPr="00000000">
          <w:rPr>
            <w:rFonts w:ascii="Times New Roman" w:cs="Times New Roman" w:eastAsia="Times New Roman" w:hAnsi="Times New Roman"/>
            <w:sz w:val="24"/>
            <w:szCs w:val="24"/>
            <w:rtl w:val="0"/>
          </w:rPr>
          <w:t xml:space="preserve">(Clark et al., 2019)</w:t>
        </w:r>
      </w:hyperlink>
      <w:r w:rsidDel="00000000" w:rsidR="00000000" w:rsidRPr="00000000">
        <w:rPr>
          <w:rFonts w:ascii="Times New Roman" w:cs="Times New Roman" w:eastAsia="Times New Roman" w:hAnsi="Times New Roman"/>
          <w:sz w:val="24"/>
          <w:szCs w:val="24"/>
          <w:rtl w:val="0"/>
        </w:rPr>
        <w:t xml:space="preserve">. Algunos lo describen de manera que parece que ya han perdido a su pareja del todo ya que, al fin y al cabo, no logran intercambiar momentos importantes de su vida o planes de futuro como lo hacían antes </w:t>
      </w:r>
      <w:hyperlink r:id="rId26">
        <w:r w:rsidDel="00000000" w:rsidR="00000000" w:rsidRPr="00000000">
          <w:rPr>
            <w:rFonts w:ascii="Times New Roman" w:cs="Times New Roman" w:eastAsia="Times New Roman" w:hAnsi="Times New Roman"/>
            <w:sz w:val="24"/>
            <w:szCs w:val="24"/>
            <w:rtl w:val="0"/>
          </w:rPr>
          <w:t xml:space="preserve">(Hammar et al., 2021)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E">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en oposición a esta sensación de lejanía, muchas parejas comentan que lo que les mantiene tan unidos es el paso del tiempo, el compromiso y los momentos compartidos entre ellos. El hecho de haber construido una historia juntos hace que puedan mantenerse conectados a pesar de la enfermedad. Esto comentan que se basa en la promesa que se hicieron mutuamente cuando se casaron: “</w:t>
      </w:r>
      <w:r w:rsidDel="00000000" w:rsidR="00000000" w:rsidRPr="00000000">
        <w:rPr>
          <w:rFonts w:ascii="Times New Roman" w:cs="Times New Roman" w:eastAsia="Times New Roman" w:hAnsi="Times New Roman"/>
          <w:i w:val="1"/>
          <w:iCs w:val="1"/>
          <w:sz w:val="24"/>
          <w:szCs w:val="24"/>
          <w:rtl w:val="0"/>
        </w:rPr>
        <w:t xml:space="preserve">en la salud y en la enfermedad”</w:t>
      </w:r>
      <w:r w:rsidDel="00000000" w:rsidR="00000000" w:rsidRPr="00000000">
        <w:rPr>
          <w:rFonts w:ascii="Times New Roman" w:cs="Times New Roman" w:eastAsia="Times New Roman" w:hAnsi="Times New Roman"/>
          <w:sz w:val="24"/>
          <w:szCs w:val="24"/>
          <w:rtl w:val="0"/>
        </w:rPr>
        <w:t xml:space="preserve"> </w:t>
      </w:r>
      <w:hyperlink r:id="rId27">
        <w:r w:rsidDel="00000000" w:rsidR="00000000" w:rsidRPr="00000000">
          <w:rPr>
            <w:rFonts w:ascii="Times New Roman" w:cs="Times New Roman" w:eastAsia="Times New Roman" w:hAnsi="Times New Roman"/>
            <w:sz w:val="24"/>
            <w:szCs w:val="24"/>
            <w:rtl w:val="0"/>
          </w:rPr>
          <w:t xml:space="preserve">(Hammar et al., 2021)</w:t>
        </w:r>
      </w:hyperlink>
      <w:r w:rsidDel="00000000" w:rsidR="00000000" w:rsidRPr="00000000">
        <w:rPr>
          <w:rFonts w:ascii="Times New Roman" w:cs="Times New Roman" w:eastAsia="Times New Roman" w:hAnsi="Times New Roman"/>
          <w:sz w:val="24"/>
          <w:szCs w:val="24"/>
          <w:rtl w:val="0"/>
        </w:rPr>
        <w:t xml:space="preserve"> y que gracias a esto, son capaces de gestionar su vida </w:t>
      </w:r>
      <w:hyperlink r:id="rId28">
        <w:r w:rsidDel="00000000" w:rsidR="00000000" w:rsidRPr="00000000">
          <w:rPr>
            <w:rFonts w:ascii="Times New Roman" w:cs="Times New Roman" w:eastAsia="Times New Roman" w:hAnsi="Times New Roman"/>
            <w:sz w:val="24"/>
            <w:szCs w:val="24"/>
            <w:rtl w:val="0"/>
          </w:rPr>
          <w:t xml:space="preserve">(Riekkola Carabante et al., 2018)</w:t>
        </w:r>
      </w:hyperlink>
      <w:r w:rsidDel="00000000" w:rsidR="00000000" w:rsidRPr="00000000">
        <w:rPr>
          <w:rFonts w:ascii="Times New Roman" w:cs="Times New Roman" w:eastAsia="Times New Roman" w:hAnsi="Times New Roman"/>
          <w:i w:val="1"/>
          <w:iCs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Asimismo, mencionan que el haber afrontado complicaciones en el pasado hace que el vínculo se mantenga presente frente a situaciones adversas, hecho que no sucede en relaciones en las que nunca han vivido experiencias de esta índole.</w:t>
      </w:r>
      <w:r w:rsidDel="00000000" w:rsidR="00000000" w:rsidRPr="00000000">
        <w:rPr>
          <w:rFonts w:ascii="Times New Roman" w:cs="Times New Roman" w:eastAsia="Times New Roman" w:hAnsi="Times New Roman"/>
          <w:sz w:val="24"/>
          <w:szCs w:val="24"/>
          <w:rtl w:val="0"/>
        </w:rPr>
        <w:t xml:space="preserve"> Se puede ver que en algunas parejas el amor permanece y no se ve afectado por la enfermedad. </w:t>
      </w:r>
      <w:r w:rsidDel="00000000" w:rsidR="00000000" w:rsidRPr="00000000">
        <w:rPr>
          <w:rFonts w:ascii="Times New Roman" w:cs="Times New Roman" w:eastAsia="Times New Roman" w:hAnsi="Times New Roman"/>
          <w:sz w:val="24"/>
          <w:szCs w:val="24"/>
          <w:rtl w:val="0"/>
        </w:rPr>
        <w:t xml:space="preserve">Por el contrario, algunas mencionan que este vínculo se mantiene debido a la costumbre y al sentido del deber, más que por el amor en sí mismo  (Clark et al., 2019). </w:t>
      </w:r>
    </w:p>
    <w:p w:rsidR="00000000" w:rsidDel="00000000" w:rsidP="00000000" w:rsidRDefault="00000000" w:rsidRPr="00000000" w14:paraId="0000011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comunicación, algunos participantes describen que a rasgos generales se ha visto deteriorada debido a la falta de cercanía emocional (Benbow et al., 2019) No obstante, esto no excluye que hagan todo lo posible por incluir a sus parejas en sus planes. Asimismo, son precavidos a la hora de saber cuándo y cómo tener conversaciones con sus parejas. Es por eso que si se van a tratar conversaciones difíciles, sienten que es mejor no comunicarse en ese momento ya que puede dar lugar a conflictos o malentendidos </w:t>
      </w:r>
      <w:hyperlink r:id="rId29">
        <w:r w:rsidDel="00000000" w:rsidR="00000000" w:rsidRPr="00000000">
          <w:rPr>
            <w:rFonts w:ascii="Times New Roman" w:cs="Times New Roman" w:eastAsia="Times New Roman" w:hAnsi="Times New Roman"/>
            <w:sz w:val="24"/>
            <w:szCs w:val="24"/>
            <w:rtl w:val="0"/>
          </w:rPr>
          <w:t xml:space="preserve">(Hammar et al., 2021)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señalar que en el caso de personas con demencia que hayan estado casadas en más de una ocasión, se observa que la demencia puede provocar que la persona conecte con su anterior matrimonio (Benbow et al., 2019). </w:t>
      </w:r>
    </w:p>
    <w:p w:rsidR="00000000" w:rsidDel="00000000" w:rsidP="00000000" w:rsidRDefault="00000000" w:rsidRPr="00000000" w14:paraId="00000121">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las restricciones debidas al COVID-19 produjeron un impacto relevante en la relación de pareja. El confinamiento tuvo como consecuencia que, por ejemplo, una participante </w:t>
      </w:r>
      <w:r w:rsidDel="00000000" w:rsidR="00000000" w:rsidRPr="00000000">
        <w:rPr>
          <w:rFonts w:ascii="Times New Roman" w:cs="Times New Roman" w:eastAsia="Times New Roman" w:hAnsi="Times New Roman"/>
          <w:sz w:val="24"/>
          <w:szCs w:val="24"/>
          <w:rtl w:val="0"/>
        </w:rPr>
        <w:t xml:space="preserve">revelara</w:t>
      </w:r>
      <w:r w:rsidDel="00000000" w:rsidR="00000000" w:rsidRPr="00000000">
        <w:rPr>
          <w:rFonts w:ascii="Times New Roman" w:cs="Times New Roman" w:eastAsia="Times New Roman" w:hAnsi="Times New Roman"/>
          <w:sz w:val="24"/>
          <w:szCs w:val="24"/>
          <w:rtl w:val="0"/>
        </w:rPr>
        <w:t xml:space="preserve"> que el aumento de la dependencia de su marido hizo que su compasión por él </w:t>
      </w:r>
      <w:r w:rsidDel="00000000" w:rsidR="00000000" w:rsidRPr="00000000">
        <w:rPr>
          <w:rFonts w:ascii="Times New Roman" w:cs="Times New Roman" w:eastAsia="Times New Roman" w:hAnsi="Times New Roman"/>
          <w:sz w:val="24"/>
          <w:szCs w:val="24"/>
          <w:rtl w:val="0"/>
        </w:rPr>
        <w:t xml:space="preserve">aumentara</w:t>
      </w:r>
      <w:r w:rsidDel="00000000" w:rsidR="00000000" w:rsidRPr="00000000">
        <w:rPr>
          <w:rFonts w:ascii="Times New Roman" w:cs="Times New Roman" w:eastAsia="Times New Roman" w:hAnsi="Times New Roman"/>
          <w:sz w:val="24"/>
          <w:szCs w:val="24"/>
          <w:rtl w:val="0"/>
        </w:rPr>
        <w:t xml:space="preserve"> y se sintiera más cercana a él. No obstante, la mayoría de participantes resaltan que esta etapa fue muy complicada ya que, debido a la carga que supuso el cuidado de su pareja, tuvieron problemas a la hora de seguir con la relación (Rokstad et al., 2021). </w:t>
      </w:r>
    </w:p>
    <w:p w:rsidR="00000000" w:rsidDel="00000000" w:rsidP="00000000" w:rsidRDefault="00000000" w:rsidRPr="00000000" w14:paraId="00000122">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Cambios en los Roles de Pareja</w:t>
      </w:r>
    </w:p>
    <w:p w:rsidR="00000000" w:rsidDel="00000000" w:rsidP="00000000" w:rsidRDefault="00000000" w:rsidRPr="00000000" w14:paraId="00000123">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términos generales, los cónyuges refieren que, a raíz del diagnóstico de su pareja, sienten que su rol dentro de la relación ya no es el mismo. Algunos participantes refieren que sus parejas han adquirido un rol tan dependiente que parecen niños; por ejemplo, algunas mujeres comentan haber experimentado un cambio en su rol de esposas pasando a ser fundamentalmente cuidadoras </w:t>
      </w:r>
      <w:hyperlink r:id="rId30">
        <w:r w:rsidDel="00000000" w:rsidR="00000000" w:rsidRPr="00000000">
          <w:rPr>
            <w:rFonts w:ascii="Times New Roman" w:cs="Times New Roman" w:eastAsia="Times New Roman" w:hAnsi="Times New Roman"/>
            <w:sz w:val="24"/>
            <w:szCs w:val="24"/>
            <w:rtl w:val="0"/>
          </w:rPr>
          <w:t xml:space="preserve">(Hammar et al., 2021)</w:t>
        </w:r>
      </w:hyperlink>
      <w:r w:rsidDel="00000000" w:rsidR="00000000" w:rsidRPr="00000000">
        <w:rPr>
          <w:rFonts w:ascii="Times New Roman" w:cs="Times New Roman" w:eastAsia="Times New Roman" w:hAnsi="Times New Roman"/>
          <w:sz w:val="24"/>
          <w:szCs w:val="24"/>
          <w:rtl w:val="0"/>
        </w:rPr>
        <w:t xml:space="preserve">. Esta transformación en el rol puede afectar a las parejas de personas con demencia temprana ya que a menudo podían llegar a sentirse culpables debido a que en su intento de cuidar, debido a que en su intento de cuidar, sentían que </w:t>
      </w:r>
      <w:r w:rsidDel="00000000" w:rsidR="00000000" w:rsidRPr="00000000">
        <w:rPr>
          <w:rFonts w:ascii="Times New Roman" w:cs="Times New Roman" w:eastAsia="Times New Roman" w:hAnsi="Times New Roman"/>
          <w:sz w:val="24"/>
          <w:szCs w:val="24"/>
          <w:rtl w:val="0"/>
        </w:rPr>
        <w:t xml:space="preserve">sobreprotegían</w:t>
      </w:r>
      <w:r w:rsidDel="00000000" w:rsidR="00000000" w:rsidRPr="00000000">
        <w:rPr>
          <w:rFonts w:ascii="Times New Roman" w:cs="Times New Roman" w:eastAsia="Times New Roman" w:hAnsi="Times New Roman"/>
          <w:sz w:val="24"/>
          <w:szCs w:val="24"/>
          <w:rtl w:val="0"/>
        </w:rPr>
        <w:t xml:space="preserve"> a sus parejas (Popok et al., 2022). </w:t>
      </w:r>
    </w:p>
    <w:p w:rsidR="00000000" w:rsidDel="00000000" w:rsidP="00000000" w:rsidRDefault="00000000" w:rsidRPr="00000000" w14:paraId="0000012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parejas refieren que, pese a sentir que la intimidad de su relación había desaparecido, el vínculo había derivado a una amistad entre los dos (Helvik et al., 2024). Sin embargo, este cambio en los roles no fue percibida por los maridos que participaron en el estudio de Clark et al., (2019) ya que en este caso no sintieron que hubiera cambio alguno en este aspecto. </w:t>
      </w:r>
    </w:p>
    <w:p w:rsidR="00000000" w:rsidDel="00000000" w:rsidP="00000000" w:rsidRDefault="00000000" w:rsidRPr="00000000" w14:paraId="0000012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el estudio de Bembow et al. (2019) resalta que los participantes refieren haber experimentado cambios en la jerarquía de la pareja debido a la asunción de nuevas responsabilidades. Un ejemplo que refleja el impacto de los cambios en la jerarquía nos lo proporciona el estudio de estudio de Rykkje y Tranvåg (2019) que recoge que los maridos se han visto muy afectados la demencia de sus mujeres al notar el deterioro de la memoria en las mismas en tareas relacionadas con la cocina, por ejemplo. Los maridos comentan que era su mujer la que se encargaba de las tareas domésticas y, debido a estos cambios comenzaron a asumir este tipo de responsabilidades de las que no se habían encargado hasta ahora.</w:t>
      </w:r>
    </w:p>
    <w:p w:rsidR="00000000" w:rsidDel="00000000" w:rsidP="00000000" w:rsidRDefault="00000000" w:rsidRPr="00000000" w14:paraId="00000126">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Cambios en la Intimidad Sexual</w:t>
      </w:r>
    </w:p>
    <w:p w:rsidR="00000000" w:rsidDel="00000000" w:rsidP="00000000" w:rsidRDefault="00000000" w:rsidRPr="00000000" w14:paraId="00000127">
      <w:pPr>
        <w:spacing w:after="240"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Las parejas refieren que la intimidad y las relaciones sexuales ya no son como lo eran antes del diagnóstico teniendo distintos efectos. Por ejemplo, algunos comentan que el deterioro físico de su pareja afectaba negativamente al encuentro sexual. Otros en cambio afirman que sus parejas se veían sorprendidos porque sus parejas comenzaban los encuentros íntimos de una forma inesperada. Incluso, otros relatan cómo su pareja se quedaba dormida durante el acto sexual o que durante el mismo su atención disminuía </w:t>
      </w:r>
      <w:hyperlink r:id="rId31">
        <w:r w:rsidDel="00000000" w:rsidR="00000000" w:rsidRPr="00000000">
          <w:rPr>
            <w:rFonts w:ascii="Times New Roman" w:cs="Times New Roman" w:eastAsia="Times New Roman" w:hAnsi="Times New Roman"/>
            <w:sz w:val="24"/>
            <w:szCs w:val="24"/>
            <w:rtl w:val="0"/>
          </w:rPr>
          <w:t xml:space="preserve">(Benbow et al., 2019)</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28">
      <w:pPr>
        <w:spacing w:after="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Algunos cónyuges mencionan que añoran la intimidad, los abrazos, los besos y los mimos que había en la pareja anteriormente (Benbow et al., 2019). Por otra parte, comentan que los sentimientos de deseo habían cambiado debido a que percibían a su pareja de manera diferente. Algunos participantes mostraban inquietudes a la hora de mantener relaciones sexuales ya que, como en ocasiones no eran reconocidos por sus parejas, les preocupaba poder ser acusados de abuso sexual </w:t>
      </w:r>
      <w:hyperlink r:id="rId32">
        <w:r w:rsidDel="00000000" w:rsidR="00000000" w:rsidRPr="00000000">
          <w:rPr>
            <w:rFonts w:ascii="Times New Roman" w:cs="Times New Roman" w:eastAsia="Times New Roman" w:hAnsi="Times New Roman"/>
            <w:sz w:val="24"/>
            <w:szCs w:val="24"/>
            <w:rtl w:val="0"/>
          </w:rPr>
          <w:t xml:space="preserve">(Hammar et al., 2021)</w:t>
        </w:r>
      </w:hyperlink>
      <w:r w:rsidDel="00000000" w:rsidR="00000000" w:rsidRPr="00000000">
        <w:rPr>
          <w:rFonts w:ascii="Times New Roman" w:cs="Times New Roman" w:eastAsia="Times New Roman" w:hAnsi="Times New Roman"/>
          <w:sz w:val="24"/>
          <w:szCs w:val="24"/>
          <w:rtl w:val="0"/>
        </w:rPr>
        <w:t xml:space="preserve">. Asimismo, algunos refieren sentirse culpables ya que a veces dudaban si debían intentar iniciar algún acercamiento </w:t>
      </w:r>
      <w:hyperlink r:id="rId33">
        <w:r w:rsidDel="00000000" w:rsidR="00000000" w:rsidRPr="00000000">
          <w:rPr>
            <w:rFonts w:ascii="Times New Roman" w:cs="Times New Roman" w:eastAsia="Times New Roman" w:hAnsi="Times New Roman"/>
            <w:sz w:val="24"/>
            <w:szCs w:val="24"/>
            <w:rtl w:val="0"/>
          </w:rPr>
          <w:t xml:space="preserve">(Popok et al., 2022)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 Adaptación ante la Demencia de la Pareja</w:t>
      </w:r>
    </w:p>
    <w:p w:rsidR="00000000" w:rsidDel="00000000" w:rsidP="00000000" w:rsidRDefault="00000000" w:rsidRPr="00000000" w14:paraId="0000012A">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Cambios en la Vida Cotidiana</w:t>
      </w:r>
    </w:p>
    <w:p w:rsidR="00000000" w:rsidDel="00000000" w:rsidP="00000000" w:rsidRDefault="00000000" w:rsidRPr="00000000" w14:paraId="0000012B">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principal reto que viven las parejas en las que uno de los miembros sufre demencia es la adaptación a la nueva vida, lo que les lleva a tener que lidiar con nuevas dificultades día a día. En este sentido, algunos cuidadores de sus parejas refieren que viven el cuidado como si fuera un trabajo a jornada completa, lo cual tiene como consecuencia la alteración de la normalidad conocida hasta entonces </w:t>
      </w:r>
      <w:hyperlink r:id="rId34">
        <w:r w:rsidDel="00000000" w:rsidR="00000000" w:rsidRPr="00000000">
          <w:rPr>
            <w:rFonts w:ascii="Times New Roman" w:cs="Times New Roman" w:eastAsia="Times New Roman" w:hAnsi="Times New Roman"/>
            <w:sz w:val="24"/>
            <w:szCs w:val="24"/>
            <w:rtl w:val="0"/>
          </w:rPr>
          <w:t xml:space="preserve">(Chan et al., 2019)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cambio es tan profundo que las parejas relatan que la demencia es algo que les cambió totalmente la vida </w:t>
      </w:r>
      <w:hyperlink r:id="rId35">
        <w:r w:rsidDel="00000000" w:rsidR="00000000" w:rsidRPr="00000000">
          <w:rPr>
            <w:rFonts w:ascii="Times New Roman" w:cs="Times New Roman" w:eastAsia="Times New Roman" w:hAnsi="Times New Roman"/>
            <w:sz w:val="24"/>
            <w:szCs w:val="24"/>
            <w:rtl w:val="0"/>
          </w:rPr>
          <w:t xml:space="preserve">(Clark et al., 2019)</w:t>
        </w:r>
      </w:hyperlink>
      <w:r w:rsidDel="00000000" w:rsidR="00000000" w:rsidRPr="00000000">
        <w:rPr>
          <w:rFonts w:ascii="Times New Roman" w:cs="Times New Roman" w:eastAsia="Times New Roman" w:hAnsi="Times New Roman"/>
          <w:sz w:val="24"/>
          <w:szCs w:val="24"/>
          <w:rtl w:val="0"/>
        </w:rPr>
        <w:t xml:space="preserve">. Se sienten como turistas en un país nuevo al no tener los suficientes conocimientos sobre la enfermedad. A ello se suma la frustración que sienten al ver que son muchos los profesionales sanitarios carecen a veces de la suficiente información acerca de la demencia. Refieren que tienen la sensación de que los profesionales tratan a las personas con demencia como si todas tuvieran las mismas necesidades, percibiendo una falta de individualización en la atención sanitaria. Esto alimenta el temor de los familiares que creen que pueden llegar a agravar la situación cometiendo errores en el cuidado de sus parejas </w:t>
      </w:r>
      <w:hyperlink r:id="rId36">
        <w:r w:rsidDel="00000000" w:rsidR="00000000" w:rsidRPr="00000000">
          <w:rPr>
            <w:rFonts w:ascii="Times New Roman" w:cs="Times New Roman" w:eastAsia="Times New Roman" w:hAnsi="Times New Roman"/>
            <w:sz w:val="24"/>
            <w:szCs w:val="24"/>
            <w:rtl w:val="0"/>
          </w:rPr>
          <w:t xml:space="preserve">(Hammar et al., 2021)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D">
      <w:pPr>
        <w:spacing w:after="240" w:before="240" w:line="480" w:lineRule="auto"/>
        <w:ind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Con la intención de que los cónyuges con demencia continuasen sus actividades de la manera más habitual posible, sus parejas intentaban que mantuviesen sus habilidades en las rutinas diarias. Algunos promovieron que salieran de su hogar con frecuencia o favorecieron el contacto con otras personas. Sin embargo, esto resultaba muy difícil ya que intervenían factores como dificultades a la hora de usar el transporte público, el clima o el propio estado emocional o el cansancio ya fuera de la persona con demencia o del propio cuidador. Es por ello que generar la participación en actividades era una tarea muy demandante y complicada (Riekkola Carabante et al., 2018).</w:t>
      </w:r>
      <w:r w:rsidDel="00000000" w:rsidR="00000000" w:rsidRPr="00000000">
        <w:rPr>
          <w:rtl w:val="0"/>
        </w:rPr>
      </w:r>
    </w:p>
    <w:p w:rsidR="00000000" w:rsidDel="00000000" w:rsidP="00000000" w:rsidRDefault="00000000" w:rsidRPr="00000000" w14:paraId="0000012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pesar de esto, comentan que el apoyo de los profesionales, la familia y los amigos fueron imprescindibles para que los cuidadores pudieran encontrar momentos de descanso y ocio personal </w:t>
      </w:r>
      <w:hyperlink r:id="rId37">
        <w:r w:rsidDel="00000000" w:rsidR="00000000" w:rsidRPr="00000000">
          <w:rPr>
            <w:rFonts w:ascii="Times New Roman" w:cs="Times New Roman" w:eastAsia="Times New Roman" w:hAnsi="Times New Roman"/>
            <w:sz w:val="24"/>
            <w:szCs w:val="24"/>
            <w:rtl w:val="0"/>
          </w:rPr>
          <w:t xml:space="preserve">(Riekkola Carabante et al., 2018)</w:t>
        </w:r>
      </w:hyperlink>
      <w:r w:rsidDel="00000000" w:rsidR="00000000" w:rsidRPr="00000000">
        <w:rPr>
          <w:rFonts w:ascii="Times New Roman" w:cs="Times New Roman" w:eastAsia="Times New Roman" w:hAnsi="Times New Roman"/>
          <w:sz w:val="24"/>
          <w:szCs w:val="24"/>
          <w:rtl w:val="0"/>
        </w:rPr>
        <w:t xml:space="preserve">. Aún así, las parejas sentían que no podían dejar desatendida a la persona con demencia y, debido a las limitaciones de sus capacidades, debían asumir la responsabilidad total de su cuidado. Refieren que sus vidas se han visto paralizadas por el cuidado de sus parejas, hecho que les hizo plantearse incluso el ingreso de las mismas en una residencia </w:t>
      </w:r>
      <w:hyperlink r:id="rId38">
        <w:r w:rsidDel="00000000" w:rsidR="00000000" w:rsidRPr="00000000">
          <w:rPr>
            <w:rFonts w:ascii="Times New Roman" w:cs="Times New Roman" w:eastAsia="Times New Roman" w:hAnsi="Times New Roman"/>
            <w:sz w:val="24"/>
            <w:szCs w:val="24"/>
            <w:rtl w:val="0"/>
          </w:rPr>
          <w:t xml:space="preserve">(Helvik et al., 2024)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aspecto de la vida que se ve trastocado por la demencia es todo lo que respecta a la economía de las familias (Popok et al., 2022). Los cónyuges refieren que la demencia trajo consigo gastos como el mantenimiento de la casa y la necesidad de contratar servicios de limpieza y cuidado. Asimismo, en el caso de personas con demencia de inicio temprano, el desarrollo de la enfermedad anticipó la jubilación, hecho que afectó en los ingresos. Además, los cónyuges se vieron obligados a realizar la gestión de las facturas y la burocracia de sus parejas que ya no se podían encargar, aumentando así las responsabilidades de los mismos (Helvik et al., 2024). </w:t>
      </w:r>
    </w:p>
    <w:p w:rsidR="00000000" w:rsidDel="00000000" w:rsidP="00000000" w:rsidRDefault="00000000" w:rsidRPr="00000000" w14:paraId="00000130">
      <w:pPr>
        <w:spacing w:after="240" w:before="240" w:line="480" w:lineRule="auto"/>
        <w:ind w:firstLine="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Finalmente, cabe señalar que las parejas de personas con demencia se vieron obligadas a adaptarse a las limitaciones impuestas por la pandemia del COVID-19. Esto no les fue fácil ya que las restricciones como llevar mascarilla o mantener la distancia de seguridad con otras personas fueron difíciles de comprender para la persona con demencia (Rokstad et al., 2021). </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13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Recursos y estrategias de afrontamiento ante los cambios</w:t>
      </w:r>
    </w:p>
    <w:p w:rsidR="00000000" w:rsidDel="00000000" w:rsidP="00000000" w:rsidRDefault="00000000" w:rsidRPr="00000000" w14:paraId="00000132">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Estrategias de Afrontamiento</w:t>
      </w:r>
    </w:p>
    <w:p w:rsidR="00000000" w:rsidDel="00000000" w:rsidP="00000000" w:rsidRDefault="00000000" w:rsidRPr="00000000" w14:paraId="00000133">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estrategias de afrontamiento varían según las parejas. Frente a la aparición de los primeros síntomas que pueden llegar a provocar problemas cognitivos, algunas personas utilizan la negación de los mismos como mecanismo de defensa. Por otro lado, algunas parejas muestran un carácter estoico para afrontar la demencia, intentando mantener la calma. Asimismo, mientras que unos intentaban buscar la explicación e información de lo que les estaba sucediendo, otros en cambio trataban de culpar a algo o a alguien (Clark et al., 2019).</w:t>
      </w:r>
    </w:p>
    <w:p w:rsidR="00000000" w:rsidDel="00000000" w:rsidP="00000000" w:rsidRDefault="00000000" w:rsidRPr="00000000" w14:paraId="0000013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esta línea, Rykkje y Tranvåg, (2019) recogen que una posición de apertura y aceptación frente a la enfermedad ayuda a sobrellevar el proceso. Es importante tener en cuenta que el poder aceptar un futuro incierto ayuda a afrontar la enfermedad. Algunos maridos refieren que empezaron a ocuparse de la enfermedad de sus parejas mucho antes de ni siquiera aceptarla </w:t>
      </w:r>
      <w:hyperlink r:id="rId39">
        <w:r w:rsidDel="00000000" w:rsidR="00000000" w:rsidRPr="00000000">
          <w:rPr>
            <w:rFonts w:ascii="Times New Roman" w:cs="Times New Roman" w:eastAsia="Times New Roman" w:hAnsi="Times New Roman"/>
            <w:sz w:val="24"/>
            <w:szCs w:val="24"/>
            <w:rtl w:val="0"/>
          </w:rPr>
          <w:t xml:space="preserve">(Rykkje y Tranvåg, 2019)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hecho de poder aceptar la condición de sus parejas y valorar el momento presente compartiendo actividades hacía que fuera más sencillo convivir con la enfermedad. Por ejemplo, poder rescatar juntos vivencias compartidas en el pasado ayudó mucho a que las esposas con demencia pudieran recordarlas con más facilidad, lo que favorecía las conversaciones entre los cónyuges (Popok et al., 2022). Siguiendo con esta idea, ambos miembros de la pareja valoran mucho el tiempo que comparten juntos y pudiendo realizar actividades de ocio dejando a un lado las tareas de cuidado. Además, mediante el ensayo-error, pudieron aprender a separar los síntomas asociados a su enfermedad lo que les ayudaba a interactuar mejor con sus seres queridos, además de encontrar un equilibrio entre el cuidado y la aceptación (Popok et al., 2022). </w:t>
      </w:r>
    </w:p>
    <w:p w:rsidR="00000000" w:rsidDel="00000000" w:rsidP="00000000" w:rsidRDefault="00000000" w:rsidRPr="00000000" w14:paraId="0000013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cónyuges fueron capaces de desarrollar herramientas para manejar las dificultades cognitivas. Algunos cuidadores utilizaban fotografías para refrescar la memoria de sus parejas (Riekkola Carabante et al., 2018) o la comunicación mediante pequeñas notas escritas para lidiar con la confusión (Rykkje &amp; Tranvåg, 2019). </w:t>
      </w:r>
    </w:p>
    <w:p w:rsidR="00000000" w:rsidDel="00000000" w:rsidP="00000000" w:rsidRDefault="00000000" w:rsidRPr="00000000" w14:paraId="0000013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Paralelamente, se resalta la importancia del autocuidado de los esposos para evitar la sobrecarga. Mencionan que encontrar momentos de manera consciente para poder dar espacio a lo personal, realizar actividades deportivas o de ocio y acudir a terapia individual para explorar sus emociones les resulta muy beneficioso (Rykkje &amp; Tranvåg, 2019). </w:t>
      </w:r>
    </w:p>
    <w:p w:rsidR="00000000" w:rsidDel="00000000" w:rsidP="00000000" w:rsidRDefault="00000000" w:rsidRPr="00000000" w14:paraId="0000013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obtener información acerca de la enfermedad y mostrarse interesados fue determinante para obtener apoyo ya que, por el contrario, la falta de ese conocimiento les hacía sentirse inseguros a la hora de manejar las tareas de cuidado (Hammar et al., 2021). Los cuidadores señalan que el apoyo del personal sanitario es realmente útil, por ejemplo a la hora de comentar asuntos como el pronóstico de la enfermedad (Popok et al., 2022).</w:t>
      </w:r>
    </w:p>
    <w:p w:rsidR="00000000" w:rsidDel="00000000" w:rsidP="00000000" w:rsidRDefault="00000000" w:rsidRPr="00000000" w14:paraId="00000139">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desafíos extraordinarios como lo fue la pandemia, los participantes entrevistados en el estudio de  Rokstad et al. (2021) resaltan la importancia de salidas a la naturaleza, pasear al perro o llamadas telefónicas por parte de profesionales. </w:t>
      </w:r>
    </w:p>
    <w:p w:rsidR="00000000" w:rsidDel="00000000" w:rsidP="00000000" w:rsidRDefault="00000000" w:rsidRPr="00000000" w14:paraId="0000013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la fe y la espiritualidad es un recurso muy valorado por las familias. Refieren que recurren a la religión y a la espiritualidad ya que sienten que es un medio para poder afrontar todo el malestar y estrés sobrevenido por la enfermedad de su pareja y el cuidado. La fe es una forma de consuelo para ellos que les ayuda a afrontar las situaciones de una manera positiva (Chan et al., 2019).</w:t>
      </w:r>
    </w:p>
    <w:p w:rsidR="00000000" w:rsidDel="00000000" w:rsidP="00000000" w:rsidRDefault="00000000" w:rsidRPr="00000000" w14:paraId="0000013B">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Proceso de la Toma de Decisiones</w:t>
      </w:r>
    </w:p>
    <w:p w:rsidR="00000000" w:rsidDel="00000000" w:rsidP="00000000" w:rsidRDefault="00000000" w:rsidRPr="00000000" w14:paraId="0000013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Sinclair et al. (2018), el proceso de toma de decisiones abarca tres tipos de decisiones de salud (búsqueda de ayuda, diagnóstico, manejo de crisis y planificación), estilo de vida (vivienda, empleo y relaciones sociales) y vida cotidiana (actividades como salir a comprar, tareas de limpieza y la conducción). No obstante, el proceso de decisiones es complejo. Algunos maridos señalan que intentando encontrar la mejor solución para ambos acaban renunciando a sus propias necesidades  (Rykkje &amp; Tranvåg, 2019). Así pues, según el estudio de Sinclair et al. (2018) el proceso de toma de decisiones en parejas de personas con demencia está influido por múltiples factores: individuales, relacionales y contextuales:</w:t>
      </w:r>
    </w:p>
    <w:p w:rsidR="00000000" w:rsidDel="00000000" w:rsidP="00000000" w:rsidRDefault="00000000" w:rsidRPr="00000000" w14:paraId="0000013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los factores individuales que influyen son el grado en la evolución de la demencia, los cambios que ocurren a diario y el nivel de aceptación de la demencia. También influye cómo de partícipe quiere ser la persona o si por el contrario prefiere delegar las decisiones en su pareja. Asimismo, aunque los cuidadores intentan facilitar este proceso, la sobrecarga que tienen puede llegar a ser limitante. </w:t>
      </w:r>
    </w:p>
    <w:p w:rsidR="00000000" w:rsidDel="00000000" w:rsidP="00000000" w:rsidRDefault="00000000" w:rsidRPr="00000000" w14:paraId="0000013E">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segundo lugar, los factores relacionales son los que tienen que ver con la calidad del vínculo de pareja y su historia. Como se ha mencionado antes, el reajuste de los roles dentro de la pareja hace posible que las personas con demencia puedan confiar en su pareja a la hora de delegar sus decisiones en ellas. No obstante, el proceso se determina en base a una preocupación de las personas con demencia ante la posibilidad de sobrecargar a sus parejas con las tareas de cuidado. Un ejemplo que ilustra esta situación es el miedo que había ante la posibilidad de que la pareja abandonara su puesto de trabajo para cuidarla y que esto tuviera consecuencias a largo plazo.  </w:t>
      </w:r>
    </w:p>
    <w:p w:rsidR="00000000" w:rsidDel="00000000" w:rsidP="00000000" w:rsidRDefault="00000000" w:rsidRPr="00000000" w14:paraId="0000013F">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tercer lugar, los factores relacionados con las distintas decisiones que hay que tomar así como la complejidad o el impacto que puedan tener, condiciona que sea el cuidador sobre que recaiga la decisión ya que puede tratarse de algo urgente o de riesgo. Por ejemplo, al tratarse de algo tan determinante como la vivienda, el hecho de decidir si se permanece en el hogar o se ingresa en un centro residencial es un punto crítico que puede influir en la relación de pareja. Algunos consideran que lo más beneficioso para el vínculo sería permanecer juntos en el hogar mientras que otros consideran que ingresar en una residencia facilita mucho sus vidas. Siguiendo con esta idea, Benbow et al. (2019) señalan que normalmente suele ser el cuidador o la familia quien toma este tipo de decisiones. </w:t>
      </w:r>
    </w:p>
    <w:p w:rsidR="00000000" w:rsidDel="00000000" w:rsidP="00000000" w:rsidRDefault="00000000" w:rsidRPr="00000000" w14:paraId="0000014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hay factores externos como la familia o la opinión de los profesionales que influyen, ya que la falta de información puede ser una barrera a la hora de establecer decisiones (Sinclair et al., 2018). </w:t>
      </w:r>
    </w:p>
    <w:p w:rsidR="00000000" w:rsidDel="00000000" w:rsidP="00000000" w:rsidRDefault="00000000" w:rsidRPr="00000000" w14:paraId="00000141">
      <w:pPr>
        <w:spacing w:after="240" w:before="240" w:line="480" w:lineRule="auto"/>
        <w:ind w:firstLine="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Cabe señalar el papel de los profesionales de la salud en el proceso de toma de decisiones de las parejas. Algunas personas mencionan que el trato que se le proporcionaba no era individualizado ya que los profesionales parecían desconocer su verdadera situación. No obstante, eso no excluía que los profesionales siguieran tomando decisiones por ellos (Hammar et al., 2021). </w:t>
      </w:r>
      <w:r w:rsidDel="00000000" w:rsidR="00000000" w:rsidRPr="00000000">
        <w:rPr>
          <w:rtl w:val="0"/>
        </w:rPr>
      </w:r>
    </w:p>
    <w:p w:rsidR="00000000" w:rsidDel="00000000" w:rsidP="00000000" w:rsidRDefault="00000000" w:rsidRPr="00000000" w14:paraId="00000142">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Redes de Apoyo y Aislamiento Social</w:t>
      </w:r>
    </w:p>
    <w:p w:rsidR="00000000" w:rsidDel="00000000" w:rsidP="00000000" w:rsidRDefault="00000000" w:rsidRPr="00000000" w14:paraId="00000143">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diagnóstico de demencia en la diada produce una transformación de los vínculos sociales. Algunas parejas comentan que redujeron significativamente las actividades conjuntas lo que supuso pasar mucho más tiempo en el hogar. Este aspecto es debido a los cambios de comportamiento derivados de los síntomas de la demencia sumados a la falta de comunicación que tiene un impacto negativo en las relaciones sociales de la pareja. La disminución de visitas o la dificultad de organizar salidas aumentan los sentimientos de soledad en las parejas (Riekkola Carabante et al., 2018).</w:t>
      </w:r>
    </w:p>
    <w:p w:rsidR="00000000" w:rsidDel="00000000" w:rsidP="00000000" w:rsidRDefault="00000000" w:rsidRPr="00000000" w14:paraId="0000014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 esta realidad, recordamos nuevamente con Rykkje y Tranvåg, (2019) que una posición de apertura y aceptación frente a la enfermedad ayuda a sobrellevarla. Esto hace posible que los afectados reciban apoyo de sus seres queridos, sintiéndose acogidos por ellos, lo que aumenta los recursos y los apoyos externos de la pareja. Así pues, las parejas valoran mucho aceptar el apoyo social ya sea por parte de amigos, familiares, sanitarios o personas que entiendan la situación de la demencia. Esto último es de gran importancia ya que el hecho de que otras personas comprendan la situación hace que sea todo más sencillo (Popok et al., 2022). </w:t>
      </w:r>
    </w:p>
    <w:p w:rsidR="00000000" w:rsidDel="00000000" w:rsidP="00000000" w:rsidRDefault="00000000" w:rsidRPr="00000000" w14:paraId="0000014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Valoran también la iniciativa por parte de los seres queridos además del apoyo de los hijos y familia más cercana. A pesar del apoyo recibido, esto no excluye el miedo a molestar o convertirse en una carga para los seres queridos (Riekkola Carabante et al., 2018). </w:t>
      </w:r>
    </w:p>
    <w:p w:rsidR="00000000" w:rsidDel="00000000" w:rsidP="00000000" w:rsidRDefault="00000000" w:rsidRPr="00000000" w14:paraId="0000014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posible falta de comprensión por parte de su entorno cercano motivaba a las parejas a querer encontrar personas con situaciones similares para sentirse acompañados. El apoyo de sus seres queridos era muy valorado pero lo era más aún encontrar a alguien con quien intercambiar experiencias similares. Así pues, las redes sociales como </w:t>
      </w:r>
      <w:r w:rsidDel="00000000" w:rsidR="00000000" w:rsidRPr="00000000">
        <w:rPr>
          <w:rFonts w:ascii="Times New Roman" w:cs="Times New Roman" w:eastAsia="Times New Roman" w:hAnsi="Times New Roman"/>
          <w:i w:val="1"/>
          <w:iCs w:val="1"/>
          <w:sz w:val="24"/>
          <w:szCs w:val="24"/>
          <w:rtl w:val="0"/>
        </w:rPr>
        <w:t xml:space="preserve">Facebook</w:t>
      </w:r>
      <w:r w:rsidDel="00000000" w:rsidR="00000000" w:rsidRPr="00000000">
        <w:rPr>
          <w:rFonts w:ascii="Times New Roman" w:cs="Times New Roman" w:eastAsia="Times New Roman" w:hAnsi="Times New Roman"/>
          <w:sz w:val="24"/>
          <w:szCs w:val="24"/>
          <w:rtl w:val="0"/>
        </w:rPr>
        <w:t xml:space="preserve">, fueron útiles para contactar con personas en situaciones similares (Hammar et al., 2021). </w:t>
      </w:r>
    </w:p>
    <w:p w:rsidR="00000000" w:rsidDel="00000000" w:rsidP="00000000" w:rsidRDefault="00000000" w:rsidRPr="00000000" w14:paraId="0000014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personas con demencia de inicio </w:t>
      </w:r>
      <w:r w:rsidDel="00000000" w:rsidR="00000000" w:rsidRPr="00000000">
        <w:rPr>
          <w:rFonts w:ascii="Times New Roman" w:cs="Times New Roman" w:eastAsia="Times New Roman" w:hAnsi="Times New Roman"/>
          <w:sz w:val="24"/>
          <w:szCs w:val="24"/>
          <w:rtl w:val="0"/>
        </w:rPr>
        <w:t xml:space="preserve">temprano</w:t>
      </w:r>
      <w:r w:rsidDel="00000000" w:rsidR="00000000" w:rsidRPr="00000000">
        <w:rPr>
          <w:rFonts w:ascii="Times New Roman" w:cs="Times New Roman" w:eastAsia="Times New Roman" w:hAnsi="Times New Roman"/>
          <w:sz w:val="24"/>
          <w:szCs w:val="24"/>
          <w:rtl w:val="0"/>
        </w:rPr>
        <w:t xml:space="preserve">, los participantes comentan que fue difícil buscar ayuda de sus seres queridos. No obstante, la apertura respecto al tema hizo que fuera más sencillo buscar ayuda (Helvik et al., 2024). </w:t>
      </w:r>
    </w:p>
    <w:p w:rsidR="00000000" w:rsidDel="00000000" w:rsidP="00000000" w:rsidRDefault="00000000" w:rsidRPr="00000000" w14:paraId="0000014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pandemia tuvo un evidente impacto en los vínculos sociales de las parejas ya que, debido a la posibilidad de contagio, el contacto con la familia y los amigos se limitó a las llamadas telefónicas o mediante plataformas digitales (Rokstad et al., 2021).</w:t>
      </w:r>
    </w:p>
    <w:p w:rsidR="00000000" w:rsidDel="00000000" w:rsidP="00000000" w:rsidRDefault="00000000" w:rsidRPr="00000000" w14:paraId="0000014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Perspectiva de futuro ante la progresión de la demencia</w:t>
      </w:r>
    </w:p>
    <w:p w:rsidR="00000000" w:rsidDel="00000000" w:rsidP="00000000" w:rsidRDefault="00000000" w:rsidRPr="00000000" w14:paraId="0000014A">
      <w:pPr>
        <w:spacing w:after="240" w:before="240"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Planificación y Expectativas del Futuro </w:t>
      </w:r>
    </w:p>
    <w:p w:rsidR="00000000" w:rsidDel="00000000" w:rsidP="00000000" w:rsidRDefault="00000000" w:rsidRPr="00000000" w14:paraId="0000014B">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hora de contemplar el futuro, algunas personas con demencia reflexionaban acerca de su propia muerte y el miedo frente a la posibilidad de que en un futuro cercano necesitaran ingresar en una residencia. Por otro lado, algunas parejas perciben el futuro como estresante puesto que puede suponer la pérdida de su relación (Clark et al., 2019). </w:t>
      </w:r>
    </w:p>
    <w:p w:rsidR="00000000" w:rsidDel="00000000" w:rsidP="00000000" w:rsidRDefault="00000000" w:rsidRPr="00000000" w14:paraId="0000014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un futuro con mayor deterioro de las personas con demencia temprana, muchas de las parejas experimentan sentimientos de tristeza e incluso viven la situación como un duelo anticipado. Se han visto obligadas a modificar sus planes de futuro y muestran signos de angustia ya que no se sienten preparadas para manejar la demencia de su pareja (Popok et al., 2022). Sin embargo, contemplar el deterioro del cónyuge hizo que sus parejas tomaran conciencia de la necesidad de planificar un futuro mutuo. Por ello, es de suma importancia el hecho de que puedan contar el uno con el otro ya que de cara al futuro la toma de decisiones se percibe menos aterradora (Sinclair et al., 2018).</w:t>
      </w:r>
    </w:p>
    <w:p w:rsidR="00000000" w:rsidDel="00000000" w:rsidP="00000000" w:rsidRDefault="00000000" w:rsidRPr="00000000" w14:paraId="0000014D">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Discusión</w:t>
      </w:r>
    </w:p>
    <w:p w:rsidR="00000000" w:rsidDel="00000000" w:rsidP="00000000" w:rsidRDefault="00000000" w:rsidRPr="00000000" w14:paraId="0000014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 este trabajo, basado en la revisión sistemática de </w:t>
      </w:r>
      <w:r w:rsidDel="00000000" w:rsidR="00000000" w:rsidRPr="00000000">
        <w:rPr>
          <w:rFonts w:ascii="Times New Roman" w:cs="Times New Roman" w:eastAsia="Times New Roman" w:hAnsi="Times New Roman"/>
          <w:sz w:val="24"/>
          <w:szCs w:val="24"/>
          <w:rtl w:val="0"/>
        </w:rPr>
        <w:t xml:space="preserve">Egilstrod</w:t>
      </w:r>
      <w:r w:rsidDel="00000000" w:rsidR="00000000" w:rsidRPr="00000000">
        <w:rPr>
          <w:rFonts w:ascii="Times New Roman" w:cs="Times New Roman" w:eastAsia="Times New Roman" w:hAnsi="Times New Roman"/>
          <w:sz w:val="24"/>
          <w:szCs w:val="24"/>
          <w:rtl w:val="0"/>
        </w:rPr>
        <w:t xml:space="preserve"> et al. (2019), es profundizar y actualizar la investigación recogida hasta el momento sobre las experiencias en la vida cotidiana de las parejas de personas mayores en las que uno de los miembros tiene demencia. </w:t>
      </w:r>
    </w:p>
    <w:p w:rsidR="00000000" w:rsidDel="00000000" w:rsidP="00000000" w:rsidRDefault="00000000" w:rsidRPr="00000000" w14:paraId="0000014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 el análisis de los 11 artículos incluidos, los hallazgos en la presente revisión </w:t>
      </w:r>
      <w:r w:rsidDel="00000000" w:rsidR="00000000" w:rsidRPr="00000000">
        <w:rPr>
          <w:rFonts w:ascii="Times New Roman" w:cs="Times New Roman" w:eastAsia="Times New Roman" w:hAnsi="Times New Roman"/>
          <w:sz w:val="24"/>
          <w:szCs w:val="24"/>
          <w:rtl w:val="0"/>
        </w:rPr>
        <w:t xml:space="preserve">muestran</w:t>
      </w:r>
      <w:r w:rsidDel="00000000" w:rsidR="00000000" w:rsidRPr="00000000">
        <w:rPr>
          <w:rFonts w:ascii="Times New Roman" w:cs="Times New Roman" w:eastAsia="Times New Roman" w:hAnsi="Times New Roman"/>
          <w:sz w:val="24"/>
          <w:szCs w:val="24"/>
          <w:rtl w:val="0"/>
        </w:rPr>
        <w:t xml:space="preserve"> cómo la demencia impacta de manera significativa en la vida cotidiana de las parejas. Los resultados obtenidos confirman la evidencia encontrada por la revisión de </w:t>
      </w:r>
      <w:r w:rsidDel="00000000" w:rsidR="00000000" w:rsidRPr="00000000">
        <w:rPr>
          <w:rFonts w:ascii="Times New Roman" w:cs="Times New Roman" w:eastAsia="Times New Roman" w:hAnsi="Times New Roman"/>
          <w:sz w:val="24"/>
          <w:szCs w:val="24"/>
          <w:rtl w:val="0"/>
        </w:rPr>
        <w:t xml:space="preserve">Egilstrod</w:t>
      </w:r>
      <w:r w:rsidDel="00000000" w:rsidR="00000000" w:rsidRPr="00000000">
        <w:rPr>
          <w:rFonts w:ascii="Times New Roman" w:cs="Times New Roman" w:eastAsia="Times New Roman" w:hAnsi="Times New Roman"/>
          <w:sz w:val="24"/>
          <w:szCs w:val="24"/>
          <w:rtl w:val="0"/>
        </w:rPr>
        <w:t xml:space="preserve"> et al. (2019), quienes subrayan los cambios significativos que viven los cónyuges en sus vidas y que pueden llegar a desgastar la relación de pareja. Concretamente, Egilstrod et al. (2019) señalan tres grandes aspectos que suceden a raíz del diagnóstico: ser consciente de los cambios en la vida cotidiana, la transformación de la relación de pareja y la planificación del futuro.</w:t>
      </w:r>
    </w:p>
    <w:p w:rsidR="00000000" w:rsidDel="00000000" w:rsidP="00000000" w:rsidRDefault="00000000" w:rsidRPr="00000000" w14:paraId="0000015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 parejas experimentan un reajuste radical de su vida ya que el día a día se ve trastocado por los cambios que suceden a raíz de la demencia. Así pues, puede resultar complicado ir adaptándose poco a poco a las nuevas rutinas y más aún en los inicios de la demencia. De acuerdo con Egilstrod et al. (2019) los cónyuges resaltan la dificultad de reconocer los primeros síntomas derivados de la demencia. Ser conscientes de la realidad del deterioro cognitivo de sus parejas hace que aparezcan sentimientos ambivalentes que oscilan entre el alivio y la incertidumbre. La presente revisión profundiza en este aspecto ya que recoge las experiencias a las que las parejas se enfrentan debido a las transformaciones que ocurren en la propia identidad, cambios de personalidad o síntomas como las pérdidas de memoria (Rykkje &amp; Tranvåg, 2019; Popok et al., 2022). Además, aparecen síntomas de carácter imprevisible como la violencia o la deambulación que impiden el desarrollo de la independencia de la persona dificultando así la gestión diaria (Band-Winterstein &amp; Avieli, 2019; Helvik et al., 2024). </w:t>
      </w:r>
    </w:p>
    <w:p w:rsidR="00000000" w:rsidDel="00000000" w:rsidP="00000000" w:rsidRDefault="00000000" w:rsidRPr="00000000" w14:paraId="0000015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relación de pareja sufre transformaciones a lo largo del tiempo a raíz del diagnóstico de demencia en un miembro. Los hallazgos de </w:t>
      </w:r>
      <w:r w:rsidDel="00000000" w:rsidR="00000000" w:rsidRPr="00000000">
        <w:rPr>
          <w:rFonts w:ascii="Times New Roman" w:cs="Times New Roman" w:eastAsia="Times New Roman" w:hAnsi="Times New Roman"/>
          <w:sz w:val="24"/>
          <w:szCs w:val="24"/>
          <w:rtl w:val="0"/>
        </w:rPr>
        <w:t xml:space="preserve">Egilstrod</w:t>
      </w:r>
      <w:r w:rsidDel="00000000" w:rsidR="00000000" w:rsidRPr="00000000">
        <w:rPr>
          <w:rFonts w:ascii="Times New Roman" w:cs="Times New Roman" w:eastAsia="Times New Roman" w:hAnsi="Times New Roman"/>
          <w:sz w:val="24"/>
          <w:szCs w:val="24"/>
          <w:rtl w:val="0"/>
        </w:rPr>
        <w:t xml:space="preserve"> et al. (2019) evidencian los cambios en el vínculo, la reducción en la conexión emocional e intimidad física y sexual además de alteraciones de identidad que les definía como pareja. Así pues, la evidencia analizada en esta revisión amplía esto último. Alude al cambio de rol que ocurre dentro de la pareja que afecta significativamente a los miembros ya que la persona con demencia al volverse dependiente puede acabar asemejándose a un niño (Hammar et al., 2021). Es esperable que si aumentan los síntomas de la demencia y la persona se vuelve más dependiente, la manera en la que el cuidador percibe a su pareja cambie. Esto a su vez puede provocar una falta de reciprocidad en la diada que afecte a la manera en la que se relacionan, además de influir en su estado emocional y psicológico.  </w:t>
      </w:r>
    </w:p>
    <w:p w:rsidR="00000000" w:rsidDel="00000000" w:rsidP="00000000" w:rsidRDefault="00000000" w:rsidRPr="00000000" w14:paraId="0000015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estudio de Egilstrod et al. (2019) aborda el impacto emocional y psicológico que supone la responsabilidad del cuidado en la diada de la persona con demencia. No obstante, la presente revisión hace hincapié en la variedad de emociones que experimentan las parejas como el miedo, la ira, la tristeza y el estrés entre otras. Algunos hablan incluso de padecer un duelo anticipado y mucha soledad. El impacto emocional y psicológico es tal que puede llegar a manifestarse como una pérdida de identidad del cuidador (Clark et al., 2019; </w:t>
      </w:r>
      <w:r w:rsidDel="00000000" w:rsidR="00000000" w:rsidRPr="00000000">
        <w:rPr>
          <w:rFonts w:ascii="Times New Roman" w:cs="Times New Roman" w:eastAsia="Times New Roman" w:hAnsi="Times New Roman"/>
          <w:sz w:val="24"/>
          <w:szCs w:val="24"/>
          <w:highlight w:val="white"/>
          <w:rtl w:val="0"/>
        </w:rPr>
        <w:t xml:space="preserve">Popok et al., 2022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hallazgos de </w:t>
      </w:r>
      <w:r w:rsidDel="00000000" w:rsidR="00000000" w:rsidRPr="00000000">
        <w:rPr>
          <w:rFonts w:ascii="Times New Roman" w:cs="Times New Roman" w:eastAsia="Times New Roman" w:hAnsi="Times New Roman"/>
          <w:sz w:val="24"/>
          <w:szCs w:val="24"/>
          <w:rtl w:val="0"/>
        </w:rPr>
        <w:t xml:space="preserve">Egilstrod</w:t>
      </w:r>
      <w:r w:rsidDel="00000000" w:rsidR="00000000" w:rsidRPr="00000000">
        <w:rPr>
          <w:rFonts w:ascii="Times New Roman" w:cs="Times New Roman" w:eastAsia="Times New Roman" w:hAnsi="Times New Roman"/>
          <w:sz w:val="24"/>
          <w:szCs w:val="24"/>
          <w:rtl w:val="0"/>
        </w:rPr>
        <w:t xml:space="preserve"> et al. (2019) muestran cómo la demencia afecta a las parejas de manera que deben adaptar sus vidas en torno a la enfermedad. En consonancia con ello, la presente revisión expone las responsabilidades de cuidado que se asumen tras el diagnóstico donde suelen priorizarse las necesidades de la persona con demencia. Estas responsabilidades abarcan diversos aspectos desde el acompañamiento en tareas cotidianas como el aseo o la alimentación hasta la toma unilateral de decisiones por parte del cuidador, aspectos que pueden incrementar la sobrecarga emocional (Chan et al., 2019; Hammar et al., 2021; Sinclair et al., 2018). Sumado a lo anterior, también se contemplan aspectos como los nuevos gastos económicos asociados al cuidado y las dificultades relacionadas con la gestión burocrática de la pareja (Popok et al., 2022; Helvik et al., 2024). </w:t>
      </w:r>
    </w:p>
    <w:p w:rsidR="00000000" w:rsidDel="00000000" w:rsidP="00000000" w:rsidRDefault="00000000" w:rsidRPr="00000000" w14:paraId="0000015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obstante, la tarea del cuidado no siempre es una carga negativa para la pareja. El reciente trabajo señala cómo algunos hombres refieren que desempeñan el rol de cuidador de manera resolutiva y viven el cuidado de sus esposas con orgullo y satisfacción. Además, señalan que el cuidado fomenta su realización personal. Comentan que realizan las tareas domésticas y se aseguran de mantener las rutinas adaptándose a sus nuevas responsabilidades de forma </w:t>
      </w:r>
      <w:r w:rsidDel="00000000" w:rsidR="00000000" w:rsidRPr="00000000">
        <w:rPr>
          <w:rFonts w:ascii="Times New Roman" w:cs="Times New Roman" w:eastAsia="Times New Roman" w:hAnsi="Times New Roman"/>
          <w:sz w:val="24"/>
          <w:szCs w:val="24"/>
          <w:rtl w:val="0"/>
        </w:rPr>
        <w:t xml:space="preserve">satisfactoria</w:t>
      </w:r>
      <w:r w:rsidDel="00000000" w:rsidR="00000000" w:rsidRPr="00000000">
        <w:rPr>
          <w:rFonts w:ascii="Times New Roman" w:cs="Times New Roman" w:eastAsia="Times New Roman" w:hAnsi="Times New Roman"/>
          <w:sz w:val="24"/>
          <w:szCs w:val="24"/>
          <w:rtl w:val="0"/>
        </w:rPr>
        <w:t xml:space="preserve"> </w:t>
      </w:r>
      <w:hyperlink r:id="rId40">
        <w:r w:rsidDel="00000000" w:rsidR="00000000" w:rsidRPr="00000000">
          <w:rPr>
            <w:rFonts w:ascii="Times New Roman" w:cs="Times New Roman" w:eastAsia="Times New Roman" w:hAnsi="Times New Roman"/>
            <w:sz w:val="24"/>
            <w:szCs w:val="24"/>
            <w:rtl w:val="0"/>
          </w:rPr>
          <w:t xml:space="preserve">(Rykkje </w:t>
        </w:r>
      </w:hyperlink>
      <w:r w:rsidDel="00000000" w:rsidR="00000000" w:rsidRPr="00000000">
        <w:rPr>
          <w:rFonts w:ascii="Times New Roman" w:cs="Times New Roman" w:eastAsia="Times New Roman" w:hAnsi="Times New Roman"/>
          <w:sz w:val="24"/>
          <w:szCs w:val="24"/>
          <w:rtl w:val="0"/>
        </w:rPr>
        <w:t xml:space="preserve">&amp;</w:t>
      </w:r>
      <w:hyperlink r:id="rId41">
        <w:r w:rsidDel="00000000" w:rsidR="00000000" w:rsidRPr="00000000">
          <w:rPr>
            <w:rFonts w:ascii="Times New Roman" w:cs="Times New Roman" w:eastAsia="Times New Roman" w:hAnsi="Times New Roman"/>
            <w:sz w:val="24"/>
            <w:szCs w:val="24"/>
            <w:rtl w:val="0"/>
          </w:rPr>
          <w:t xml:space="preserve"> Tranvåg, 2019)</w:t>
        </w:r>
      </w:hyperlink>
      <w:r w:rsidDel="00000000" w:rsidR="00000000" w:rsidRPr="00000000">
        <w:rPr>
          <w:rFonts w:ascii="Times New Roman" w:cs="Times New Roman" w:eastAsia="Times New Roman" w:hAnsi="Times New Roman"/>
          <w:sz w:val="24"/>
          <w:szCs w:val="24"/>
          <w:rtl w:val="0"/>
        </w:rPr>
        <w:t xml:space="preserve">. Siguiendo esta línea, el estudio de Band-Winterstein y Avieli (2019) menciona que las mujeres participantes se sienten muy dedicadas frente a la labor del cuidado de sus maridos con demencia, aceptando su rol de cuidadoras con amor. </w:t>
      </w:r>
    </w:p>
    <w:p w:rsidR="00000000" w:rsidDel="00000000" w:rsidP="00000000" w:rsidRDefault="00000000" w:rsidRPr="00000000" w14:paraId="0000015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concuerda con investigaciones como la revisión de </w:t>
      </w:r>
      <w:r w:rsidDel="00000000" w:rsidR="00000000" w:rsidRPr="00000000">
        <w:rPr>
          <w:rFonts w:ascii="Times New Roman" w:cs="Times New Roman" w:eastAsia="Times New Roman" w:hAnsi="Times New Roman"/>
          <w:sz w:val="24"/>
          <w:szCs w:val="24"/>
          <w:highlight w:val="white"/>
          <w:rtl w:val="0"/>
        </w:rPr>
        <w:t xml:space="preserve">Lloyd et al. (2016)</w:t>
      </w:r>
      <w:r w:rsidDel="00000000" w:rsidR="00000000" w:rsidRPr="00000000">
        <w:rPr>
          <w:rFonts w:ascii="Times New Roman" w:cs="Times New Roman" w:eastAsia="Times New Roman" w:hAnsi="Times New Roman"/>
          <w:sz w:val="24"/>
          <w:szCs w:val="24"/>
          <w:rtl w:val="0"/>
        </w:rPr>
        <w:t xml:space="preserve"> donde se describen los aspectos positivos del cuidado. Muchos cuidadores que asumen las tareas de cuidado de sus seres queridos lo encuentran como una fuente de crecimiento personal y espiritual además de un fortalecimiento del vínculo afectivo. Sienten una gran gratificación al ver que de alguna forma pueden corresponder con el apoyo recibido anteriormente. </w:t>
      </w:r>
    </w:p>
    <w:p w:rsidR="00000000" w:rsidDel="00000000" w:rsidP="00000000" w:rsidRDefault="00000000" w:rsidRPr="00000000" w14:paraId="0000015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poder manejar estas situaciones, Egilstrod et al. (2019) concluyeron que los cónyuges desarrollan estrategias orientadas a mantener el vínculo y la rutina anterior. Las parejas intentan adoptar rutinas sencillas que simplifican la vida cotidiana, reajustan sus expectativas y recurren al humor o la paciencia para poder sobrellevar la situación. También es imprescindible el apoyo de los familiares, seres queridos o profesionales para evitar el aislamiento social. </w:t>
      </w:r>
    </w:p>
    <w:p w:rsidR="00000000" w:rsidDel="00000000" w:rsidP="00000000" w:rsidRDefault="00000000" w:rsidRPr="00000000" w14:paraId="0000015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esto, la presente revisión identifica otras estrategias de afrontamiento que van desde la negación de la situación y una postura estoica (Clark et al., 2019) hasta la búsqueda de información acerca de la enfermedad (Hammar et al., 2021). Se resalta la importancia del autocuidado, la aceptación, la fe religiosa </w:t>
      </w:r>
      <w:r w:rsidDel="00000000" w:rsidR="00000000" w:rsidRPr="00000000">
        <w:rPr>
          <w:rFonts w:ascii="Times New Roman" w:cs="Times New Roman" w:eastAsia="Times New Roman" w:hAnsi="Times New Roman"/>
          <w:sz w:val="24"/>
          <w:szCs w:val="24"/>
          <w:highlight w:val="white"/>
          <w:rtl w:val="0"/>
        </w:rPr>
        <w:t xml:space="preserve">(Chan et al., 2019)</w:t>
      </w:r>
      <w:r w:rsidDel="00000000" w:rsidR="00000000" w:rsidRPr="00000000">
        <w:rPr>
          <w:rFonts w:ascii="Times New Roman" w:cs="Times New Roman" w:eastAsia="Times New Roman" w:hAnsi="Times New Roman"/>
          <w:sz w:val="24"/>
          <w:szCs w:val="24"/>
          <w:rtl w:val="0"/>
        </w:rPr>
        <w:t xml:space="preserve"> y recursos como el uso de notas o fotografías para refrescar la memoria y manejar la confusión </w:t>
      </w:r>
      <w:r w:rsidDel="00000000" w:rsidR="00000000" w:rsidRPr="00000000">
        <w:rPr>
          <w:rFonts w:ascii="Times New Roman" w:cs="Times New Roman" w:eastAsia="Times New Roman" w:hAnsi="Times New Roman"/>
          <w:sz w:val="24"/>
          <w:szCs w:val="24"/>
          <w:highlight w:val="white"/>
          <w:rtl w:val="0"/>
        </w:rPr>
        <w:t xml:space="preserve">(Riekkola Carabante et al., 2018)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8">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Finalmente, Egilstrod et al.  (2019) indican que el hecho de planificar un futuro teniendo en cuenta el inevitable progreso de la demencia resulta complicado. El futuro es concebido como algo imprevisible y difícil a largo plazo, lo que aumenta la carga emocional ya que no poder planificar un futuro compartido supone una gran incertidumbre para las parejas. Así pues, muchas optan por no centrarse en este futuro incierto, valorando el día a día y el presente (Egilstrod et al., 2019). En la reciente revisión se describe la sensación de pérdida frente a la posible muerte del cónyuge </w:t>
      </w:r>
      <w:r w:rsidDel="00000000" w:rsidR="00000000" w:rsidRPr="00000000">
        <w:rPr>
          <w:rFonts w:ascii="Times New Roman" w:cs="Times New Roman" w:eastAsia="Times New Roman" w:hAnsi="Times New Roman"/>
          <w:sz w:val="24"/>
          <w:szCs w:val="24"/>
          <w:highlight w:val="white"/>
          <w:rtl w:val="0"/>
        </w:rPr>
        <w:t xml:space="preserve">(Popok et al., 2022).</w:t>
      </w:r>
    </w:p>
    <w:p w:rsidR="00000000" w:rsidDel="00000000" w:rsidP="00000000" w:rsidRDefault="00000000" w:rsidRPr="00000000" w14:paraId="0000015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presente revisión incluye aportaciones que no se habían contemplado hasta el momento. Una de ellas es el estudio de </w:t>
      </w:r>
      <w:r w:rsidDel="00000000" w:rsidR="00000000" w:rsidRPr="00000000">
        <w:rPr>
          <w:rFonts w:ascii="Times New Roman" w:cs="Times New Roman" w:eastAsia="Times New Roman" w:hAnsi="Times New Roman"/>
          <w:sz w:val="24"/>
          <w:szCs w:val="24"/>
          <w:rtl w:val="0"/>
        </w:rPr>
        <w:t xml:space="preserve">Band-Winterstein y Avieli (2019) que describe la violencia como un síntoma derivado de la demencia y que puede parecer de manera abrupta. Así pues, es importante entender las experiencias de mujeres que sufren este tipo de violencia. Por otro lado, también se destaca el impacto que tuvo la pandemia del COVID-19 en esta población  (Rokstad et al., 2021). </w:t>
      </w:r>
    </w:p>
    <w:p w:rsidR="00000000" w:rsidDel="00000000" w:rsidP="00000000" w:rsidRDefault="00000000" w:rsidRPr="00000000" w14:paraId="0000015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la presente revisión integra la perspectiva de género ya que el estudio de Rykkje y Tranvåg (2019) pone en evidencia la situación de los maridos cuidadores que, a raíz de la enfermedad de su mujer, tuvieron que asumir las tareas domésticas. </w:t>
      </w:r>
    </w:p>
    <w:p w:rsidR="00000000" w:rsidDel="00000000" w:rsidP="00000000" w:rsidRDefault="00000000" w:rsidRPr="00000000" w14:paraId="0000015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la presente revisión presenta ciertas limitaciones. Todos los estudios recogidos ilustran la realidad de parejas heterosexuales. Sería relevante poder haber amplificado la revisión a parejas pertenecientes al colectivo LGTBQ+. También sucede que la mayoría de estudios están basados en población occidental, lo que no termina de reflejar la heterogeneidad de la población mundial y las diferentes realidades culturales. Asimismo, pese a que se explora mínimamente la perspectiva de género sería importante hacer hincapié en la transformación de los roles dentro de la pareja. Finalmente, de cara al método de la investigación se realizó la búsqueda en únicamente dos bases de datos (PubMed y Web of Science) además de que se incluyeron relativamente pocos estudios. </w:t>
      </w:r>
    </w:p>
    <w:p w:rsidR="00000000" w:rsidDel="00000000" w:rsidP="00000000" w:rsidRDefault="00000000" w:rsidRPr="00000000" w14:paraId="0000015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puede ayudar a desarrollar intervenciones psicológicas y sanitarias centradas en población mayor con demencia. Es un hecho que la población está cada vez más envejecida y poder implementar intervenciones específicas que tengan como objetivo mejorar y ayudar la calidad de vida de estas personas aumentará los recursos de las parejas. Asimismo, es fundamental poder enfocarlo en términos diádicos y de pareja ya que se trata de un pilar imprescindible para las personas con demencia. También queda reflejada la importancia del aporte de información específica a las familias que atraviesan la enfermedad mediante programas psicoeducativos, por ejemplo, para poder reducir el estigma y la incertidumbre. Por último, sería relevante que las intervenciones se desarrollaran de manera temprana centrándose en la primera aparición de los síntomas para que las parejas tuvieran más tiempo para adaptarse a esta nueva realidad. </w:t>
      </w:r>
    </w:p>
    <w:p w:rsidR="00000000" w:rsidDel="00000000" w:rsidP="00000000" w:rsidRDefault="00000000" w:rsidRPr="00000000" w14:paraId="0000015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los hallazgos y limitaciones de la presente revisión, se proponen diversas líneas para futuras investigaciones. En primer lugar, es importante explorar las realidades de parejas del colectivo LGTBQ+ y pertenecientes a contextos culturales no occidentales mediante estudios cualitativos con el objetivo de ejemplificar cómo varía la experiencia de cuidado en otros contextos. En segundo lugar, sería relevante profundizar en cómo se negocian las responsabilidades y cómo influyen los roles de género en la pareja ya que esto puede influir en el posterior manejo de la demencia. Por último, debido al impacto del Coronavirus se podrían explorar intervenciones telemáticas que podrían servir como una asistencia para las parejas que no puedan desplazarse o les resulte complicado ir a los centros sanitarios.</w:t>
      </w:r>
    </w:p>
    <w:p w:rsidR="00000000" w:rsidDel="00000000" w:rsidP="00000000" w:rsidRDefault="00000000" w:rsidRPr="00000000" w14:paraId="0000015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este trabajo amplía la perspectiva conocida hasta el momento de la realidad de la vida en pareja ante la demencia y proporciona información actualizada acerca de la temática. Los resultados confirman que, pese al gran impacto que supone la demencia para las parejas, una perspectiva centrada en la diada y un continuo apoyo tanto social como sanitario pueden paliar las consecuencias negativas de la enfermedad. </w:t>
      </w:r>
    </w:p>
    <w:p w:rsidR="00000000" w:rsidDel="00000000" w:rsidP="00000000" w:rsidRDefault="00000000" w:rsidRPr="00000000" w14:paraId="0000015F">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0">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1">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2">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3">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4">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5">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6">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7">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8">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9">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A">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B">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C">
      <w:pPr>
        <w:spacing w:line="480" w:lineRule="auto"/>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16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Referencias </w:t>
      </w:r>
      <w:r w:rsidDel="00000000" w:rsidR="00000000" w:rsidRPr="00000000">
        <w:rPr>
          <w:rtl w:val="0"/>
        </w:rPr>
      </w:r>
    </w:p>
    <w:p w:rsidR="00000000" w:rsidDel="00000000" w:rsidP="00000000" w:rsidRDefault="00000000" w:rsidRPr="00000000" w14:paraId="0000016E">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Abades Porcel, M., &amp; Rayón Valpuesta, E. (2012). Ageing in Spain: It’s a challenge or social problem? </w:t>
      </w:r>
      <w:r w:rsidDel="00000000" w:rsidR="00000000" w:rsidRPr="00000000">
        <w:rPr>
          <w:rFonts w:ascii="Times New Roman" w:cs="Times New Roman" w:eastAsia="Times New Roman" w:hAnsi="Times New Roman"/>
          <w:i w:val="1"/>
          <w:iCs w:val="1"/>
          <w:sz w:val="24"/>
          <w:szCs w:val="24"/>
          <w:rtl w:val="0"/>
        </w:rPr>
        <w:t xml:space="preserve">Gerokomos, 23</w:t>
      </w:r>
      <w:r w:rsidDel="00000000" w:rsidR="00000000" w:rsidRPr="00000000">
        <w:rPr>
          <w:rFonts w:ascii="Times New Roman" w:cs="Times New Roman" w:eastAsia="Times New Roman" w:hAnsi="Times New Roman"/>
          <w:sz w:val="24"/>
          <w:szCs w:val="24"/>
          <w:rtl w:val="0"/>
        </w:rPr>
        <w:t xml:space="preserve">(4), 151–155.</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https://doi.org/10.4321/S1134-928X2012000400002</w:t>
        </w:r>
      </w:hyperlink>
      <w:r w:rsidDel="00000000" w:rsidR="00000000" w:rsidRPr="00000000">
        <w:rPr>
          <w:rtl w:val="0"/>
        </w:rPr>
      </w:r>
    </w:p>
    <w:p w:rsidR="00000000" w:rsidDel="00000000" w:rsidP="00000000" w:rsidRDefault="00000000" w:rsidRPr="00000000" w14:paraId="0000016F">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Abyad, A. (2025). Dementia: Definition, overview, and global epidemiology. </w:t>
      </w:r>
      <w:r w:rsidDel="00000000" w:rsidR="00000000" w:rsidRPr="00000000">
        <w:rPr>
          <w:rFonts w:ascii="Times New Roman" w:cs="Times New Roman" w:eastAsia="Times New Roman" w:hAnsi="Times New Roman"/>
          <w:i w:val="1"/>
          <w:iCs w:val="1"/>
          <w:sz w:val="24"/>
          <w:szCs w:val="24"/>
          <w:rtl w:val="0"/>
        </w:rPr>
        <w:t xml:space="preserve">World Family Medicine Journal / Middle East Journal of Family Medicine, 23</w:t>
      </w:r>
      <w:r w:rsidDel="00000000" w:rsidR="00000000" w:rsidRPr="00000000">
        <w:rPr>
          <w:rFonts w:ascii="Times New Roman" w:cs="Times New Roman" w:eastAsia="Times New Roman" w:hAnsi="Times New Roman"/>
          <w:sz w:val="24"/>
          <w:szCs w:val="24"/>
          <w:rtl w:val="0"/>
        </w:rPr>
        <w:t xml:space="preserve">(6).</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1155cc"/>
            <w:sz w:val="24"/>
            <w:szCs w:val="24"/>
            <w:u w:val="single"/>
            <w:rtl w:val="0"/>
          </w:rPr>
          <w:t xml:space="preserve">https://doi.org/10.5742/mewfm.2025.805257889</w:t>
        </w:r>
      </w:hyperlink>
      <w:r w:rsidDel="00000000" w:rsidR="00000000" w:rsidRPr="00000000">
        <w:rPr>
          <w:rtl w:val="0"/>
        </w:rPr>
      </w:r>
    </w:p>
    <w:p w:rsidR="00000000" w:rsidDel="00000000" w:rsidP="00000000" w:rsidRDefault="00000000" w:rsidRPr="00000000" w14:paraId="00000170">
      <w:pPr>
        <w:spacing w:after="240" w:before="240" w:line="48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Arias, C. (2009). La red de apoyo social en la vejez. Aportes para su evaluación. </w:t>
      </w:r>
      <w:r w:rsidDel="00000000" w:rsidR="00000000" w:rsidRPr="00000000">
        <w:rPr>
          <w:rFonts w:ascii="Times New Roman" w:cs="Times New Roman" w:eastAsia="Times New Roman" w:hAnsi="Times New Roman"/>
          <w:i w:val="1"/>
          <w:iCs w:val="1"/>
          <w:sz w:val="24"/>
          <w:szCs w:val="24"/>
          <w:rtl w:val="0"/>
        </w:rPr>
        <w:t xml:space="preserve">Revista de Psicologia da IMED, 1</w:t>
      </w:r>
      <w:r w:rsidDel="00000000" w:rsidR="00000000" w:rsidRPr="00000000">
        <w:rPr>
          <w:rFonts w:ascii="Times New Roman" w:cs="Times New Roman" w:eastAsia="Times New Roman" w:hAnsi="Times New Roman"/>
          <w:sz w:val="24"/>
          <w:szCs w:val="24"/>
          <w:rtl w:val="0"/>
        </w:rPr>
        <w:t xml:space="preserve">, 147–158. https://doi.org/10.18256/2175-5027/psico-imed.v1n1p147-158</w:t>
      </w:r>
    </w:p>
    <w:p w:rsidR="00000000" w:rsidDel="00000000" w:rsidP="00000000" w:rsidRDefault="00000000" w:rsidRPr="00000000" w14:paraId="00000171">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Arias, C. J., Bozzi Favro, N., Sabatini, M. B., &amp; Casasola, L. (2023). La red de apoyo social de personas mayores: Características estructurales y funcionales según dispositivo de apoyo formal. </w:t>
      </w:r>
      <w:r w:rsidDel="00000000" w:rsidR="00000000" w:rsidRPr="00000000">
        <w:rPr>
          <w:rFonts w:ascii="Times New Roman" w:cs="Times New Roman" w:eastAsia="Times New Roman" w:hAnsi="Times New Roman"/>
          <w:i w:val="1"/>
          <w:iCs w:val="1"/>
          <w:sz w:val="24"/>
          <w:szCs w:val="24"/>
          <w:rtl w:val="0"/>
        </w:rPr>
        <w:t xml:space="preserve">Revista Kairós-Gerontologia, 26</w:t>
      </w:r>
      <w:r w:rsidDel="00000000" w:rsidR="00000000" w:rsidRPr="00000000">
        <w:rPr>
          <w:rFonts w:ascii="Times New Roman" w:cs="Times New Roman" w:eastAsia="Times New Roman" w:hAnsi="Times New Roman"/>
          <w:sz w:val="24"/>
          <w:szCs w:val="24"/>
          <w:rtl w:val="0"/>
        </w:rPr>
        <w:t xml:space="preserve">(32), 124–155.</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color w:val="1155cc"/>
            <w:sz w:val="24"/>
            <w:szCs w:val="24"/>
            <w:u w:val="single"/>
            <w:rtl w:val="0"/>
          </w:rPr>
          <w:t xml:space="preserve">https://doi.org/10.23925/2176-901X.2023v26n32e62243</w:t>
        </w:r>
      </w:hyperlink>
      <w:r w:rsidDel="00000000" w:rsidR="00000000" w:rsidRPr="00000000">
        <w:rPr>
          <w:rtl w:val="0"/>
        </w:rPr>
      </w:r>
    </w:p>
    <w:p w:rsidR="00000000" w:rsidDel="00000000" w:rsidP="00000000" w:rsidRDefault="00000000" w:rsidRPr="00000000" w14:paraId="00000172">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Arias, C. J., &amp; Polizzi, L. (2011). La relación de pareja: Funciones de apoyo y sexualidad en la vejez. </w:t>
      </w:r>
      <w:r w:rsidDel="00000000" w:rsidR="00000000" w:rsidRPr="00000000">
        <w:rPr>
          <w:rFonts w:ascii="Times New Roman" w:cs="Times New Roman" w:eastAsia="Times New Roman" w:hAnsi="Times New Roman"/>
          <w:i w:val="1"/>
          <w:iCs w:val="1"/>
          <w:sz w:val="24"/>
          <w:szCs w:val="24"/>
          <w:rtl w:val="0"/>
        </w:rPr>
        <w:t xml:space="preserve">Revista Kairós-Gerontologia, 14</w:t>
      </w:r>
      <w:r w:rsidDel="00000000" w:rsidR="00000000" w:rsidRPr="00000000">
        <w:rPr>
          <w:rFonts w:ascii="Times New Roman" w:cs="Times New Roman" w:eastAsia="Times New Roman" w:hAnsi="Times New Roman"/>
          <w:sz w:val="24"/>
          <w:szCs w:val="24"/>
          <w:rtl w:val="0"/>
        </w:rPr>
        <w:t xml:space="preserve">(Especial 10), 49–71.</w:t>
      </w:r>
      <w:hyperlink r:id="rId48">
        <w:r w:rsidDel="00000000" w:rsidR="00000000" w:rsidRPr="00000000">
          <w:rPr>
            <w:rFonts w:ascii="Times New Roman" w:cs="Times New Roman" w:eastAsia="Times New Roman" w:hAnsi="Times New Roman"/>
            <w:sz w:val="24"/>
            <w:szCs w:val="24"/>
            <w:rtl w:val="0"/>
          </w:rPr>
          <w:t xml:space="preserve"> </w:t>
        </w:r>
      </w:hyperlink>
      <w:hyperlink r:id="rId49">
        <w:r w:rsidDel="00000000" w:rsidR="00000000" w:rsidRPr="00000000">
          <w:rPr>
            <w:rFonts w:ascii="Times New Roman" w:cs="Times New Roman" w:eastAsia="Times New Roman" w:hAnsi="Times New Roman"/>
            <w:color w:val="1155cc"/>
            <w:sz w:val="24"/>
            <w:szCs w:val="24"/>
            <w:u w:val="single"/>
            <w:rtl w:val="0"/>
          </w:rPr>
          <w:t xml:space="preserve">https://doi.org/10.23925/2176-901X.2011v14iEspecial10p49-71</w:t>
        </w:r>
      </w:hyperlink>
      <w:r w:rsidDel="00000000" w:rsidR="00000000" w:rsidRPr="00000000">
        <w:rPr>
          <w:rtl w:val="0"/>
        </w:rPr>
      </w:r>
    </w:p>
    <w:p w:rsidR="00000000" w:rsidDel="00000000" w:rsidP="00000000" w:rsidRDefault="00000000" w:rsidRPr="00000000" w14:paraId="00000173">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Band-Winterstein, T., &amp; Avieli, H. (2019). Women coping with a partner’s dementia-related violence: A qualitative study. </w:t>
      </w:r>
      <w:r w:rsidDel="00000000" w:rsidR="00000000" w:rsidRPr="00000000">
        <w:rPr>
          <w:rFonts w:ascii="Times New Roman" w:cs="Times New Roman" w:eastAsia="Times New Roman" w:hAnsi="Times New Roman"/>
          <w:i w:val="1"/>
          <w:iCs w:val="1"/>
          <w:sz w:val="24"/>
          <w:szCs w:val="24"/>
          <w:rtl w:val="0"/>
        </w:rPr>
        <w:t xml:space="preserve">Journal of Nursing Scholarship, 51</w:t>
      </w:r>
      <w:r w:rsidDel="00000000" w:rsidR="00000000" w:rsidRPr="00000000">
        <w:rPr>
          <w:rFonts w:ascii="Times New Roman" w:cs="Times New Roman" w:eastAsia="Times New Roman" w:hAnsi="Times New Roman"/>
          <w:sz w:val="24"/>
          <w:szCs w:val="24"/>
          <w:rtl w:val="0"/>
        </w:rPr>
        <w:t xml:space="preserve">(4), 368–379.</w:t>
      </w:r>
      <w:hyperlink r:id="rId50">
        <w:r w:rsidDel="00000000" w:rsidR="00000000" w:rsidRPr="00000000">
          <w:rPr>
            <w:rFonts w:ascii="Times New Roman" w:cs="Times New Roman" w:eastAsia="Times New Roman" w:hAnsi="Times New Roman"/>
            <w:sz w:val="24"/>
            <w:szCs w:val="24"/>
            <w:rtl w:val="0"/>
          </w:rPr>
          <w:t xml:space="preserve"> </w:t>
        </w:r>
      </w:hyperlink>
      <w:hyperlink r:id="rId51">
        <w:r w:rsidDel="00000000" w:rsidR="00000000" w:rsidRPr="00000000">
          <w:rPr>
            <w:rFonts w:ascii="Times New Roman" w:cs="Times New Roman" w:eastAsia="Times New Roman" w:hAnsi="Times New Roman"/>
            <w:color w:val="1155cc"/>
            <w:sz w:val="24"/>
            <w:szCs w:val="24"/>
            <w:u w:val="single"/>
            <w:rtl w:val="0"/>
          </w:rPr>
          <w:t xml:space="preserve">https://doi.org/10.1111/jnu.12485</w:t>
        </w:r>
      </w:hyperlink>
      <w:r w:rsidDel="00000000" w:rsidR="00000000" w:rsidRPr="00000000">
        <w:rPr>
          <w:rtl w:val="0"/>
        </w:rPr>
      </w:r>
    </w:p>
    <w:p w:rsidR="00000000" w:rsidDel="00000000" w:rsidP="00000000" w:rsidRDefault="00000000" w:rsidRPr="00000000" w14:paraId="00000174">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Becker, C., Kirchmaier, I., &amp; Trautmann, S. T. (2019). Marriage, parenthood and social network: Subjective well-being and mental health in old age. </w:t>
      </w:r>
      <w:r w:rsidDel="00000000" w:rsidR="00000000" w:rsidRPr="00000000">
        <w:rPr>
          <w:rFonts w:ascii="Times New Roman" w:cs="Times New Roman" w:eastAsia="Times New Roman" w:hAnsi="Times New Roman"/>
          <w:i w:val="1"/>
          <w:iCs w:val="1"/>
          <w:sz w:val="24"/>
          <w:szCs w:val="24"/>
          <w:rtl w:val="0"/>
        </w:rPr>
        <w:t xml:space="preserve">PLOS ONE, 14</w:t>
      </w:r>
      <w:r w:rsidDel="00000000" w:rsidR="00000000" w:rsidRPr="00000000">
        <w:rPr>
          <w:rFonts w:ascii="Times New Roman" w:cs="Times New Roman" w:eastAsia="Times New Roman" w:hAnsi="Times New Roman"/>
          <w:sz w:val="24"/>
          <w:szCs w:val="24"/>
          <w:rtl w:val="0"/>
        </w:rPr>
        <w:t xml:space="preserve">(7), e0218704.</w:t>
      </w:r>
      <w:hyperlink r:id="rId52">
        <w:r w:rsidDel="00000000" w:rsidR="00000000" w:rsidRPr="00000000">
          <w:rPr>
            <w:rFonts w:ascii="Times New Roman" w:cs="Times New Roman" w:eastAsia="Times New Roman" w:hAnsi="Times New Roman"/>
            <w:sz w:val="24"/>
            <w:szCs w:val="24"/>
            <w:rtl w:val="0"/>
          </w:rPr>
          <w:t xml:space="preserve"> </w:t>
        </w:r>
      </w:hyperlink>
      <w:hyperlink r:id="rId53">
        <w:r w:rsidDel="00000000" w:rsidR="00000000" w:rsidRPr="00000000">
          <w:rPr>
            <w:rFonts w:ascii="Times New Roman" w:cs="Times New Roman" w:eastAsia="Times New Roman" w:hAnsi="Times New Roman"/>
            <w:color w:val="1155cc"/>
            <w:sz w:val="24"/>
            <w:szCs w:val="24"/>
            <w:u w:val="single"/>
            <w:rtl w:val="0"/>
          </w:rPr>
          <w:t xml:space="preserve">https://doi.org/10.1371/journal.pone.0218704</w:t>
        </w:r>
      </w:hyperlink>
      <w:r w:rsidDel="00000000" w:rsidR="00000000" w:rsidRPr="00000000">
        <w:rPr>
          <w:rtl w:val="0"/>
        </w:rPr>
      </w:r>
    </w:p>
    <w:p w:rsidR="00000000" w:rsidDel="00000000" w:rsidP="00000000" w:rsidRDefault="00000000" w:rsidRPr="00000000" w14:paraId="00000175">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Benbow, S. M., Tsaroucha, A., &amp; Sharman, V. (2019). “It is not the same”: Relationships and dementia. </w:t>
      </w:r>
      <w:r w:rsidDel="00000000" w:rsidR="00000000" w:rsidRPr="00000000">
        <w:rPr>
          <w:rFonts w:ascii="Times New Roman" w:cs="Times New Roman" w:eastAsia="Times New Roman" w:hAnsi="Times New Roman"/>
          <w:i w:val="1"/>
          <w:iCs w:val="1"/>
          <w:sz w:val="24"/>
          <w:szCs w:val="24"/>
          <w:rtl w:val="0"/>
        </w:rPr>
        <w:t xml:space="preserve">Educational Gerontology, 45</w:t>
      </w:r>
      <w:r w:rsidDel="00000000" w:rsidR="00000000" w:rsidRPr="00000000">
        <w:rPr>
          <w:rFonts w:ascii="Times New Roman" w:cs="Times New Roman" w:eastAsia="Times New Roman" w:hAnsi="Times New Roman"/>
          <w:sz w:val="24"/>
          <w:szCs w:val="24"/>
          <w:rtl w:val="0"/>
        </w:rPr>
        <w:t xml:space="preserve">(7), 454–468.</w:t>
      </w:r>
      <w:hyperlink r:id="rId54">
        <w:r w:rsidDel="00000000" w:rsidR="00000000" w:rsidRPr="00000000">
          <w:rPr>
            <w:rFonts w:ascii="Times New Roman" w:cs="Times New Roman" w:eastAsia="Times New Roman" w:hAnsi="Times New Roman"/>
            <w:sz w:val="24"/>
            <w:szCs w:val="24"/>
            <w:rtl w:val="0"/>
          </w:rPr>
          <w:t xml:space="preserve"> </w:t>
        </w:r>
      </w:hyperlink>
      <w:hyperlink r:id="rId55">
        <w:r w:rsidDel="00000000" w:rsidR="00000000" w:rsidRPr="00000000">
          <w:rPr>
            <w:rFonts w:ascii="Times New Roman" w:cs="Times New Roman" w:eastAsia="Times New Roman" w:hAnsi="Times New Roman"/>
            <w:color w:val="1155cc"/>
            <w:sz w:val="24"/>
            <w:szCs w:val="24"/>
            <w:u w:val="single"/>
            <w:rtl w:val="0"/>
          </w:rPr>
          <w:t xml:space="preserve">https://doi.org/10.1080/03601277.2019.1656892</w:t>
        </w:r>
      </w:hyperlink>
      <w:r w:rsidDel="00000000" w:rsidR="00000000" w:rsidRPr="00000000">
        <w:rPr>
          <w:rtl w:val="0"/>
        </w:rPr>
      </w:r>
    </w:p>
    <w:p w:rsidR="00000000" w:rsidDel="00000000" w:rsidP="00000000" w:rsidRDefault="00000000" w:rsidRPr="00000000" w14:paraId="00000176">
      <w:pPr>
        <w:spacing w:after="240" w:before="240" w:line="48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CASP checklist qualitative 2024. (s. f.).</w:t>
      </w:r>
    </w:p>
    <w:p w:rsidR="00000000" w:rsidDel="00000000" w:rsidP="00000000" w:rsidRDefault="00000000" w:rsidRPr="00000000" w14:paraId="00000177">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Chan, E.-Y., Phang, K. N., Glass Jr, G. F., &amp; Lim, W.-S. (2019). Crossing, trudging and settling: A phenomenological inquiry into lived experience of Asian family caregivers of older persons with dementia. </w:t>
      </w:r>
      <w:r w:rsidDel="00000000" w:rsidR="00000000" w:rsidRPr="00000000">
        <w:rPr>
          <w:rFonts w:ascii="Times New Roman" w:cs="Times New Roman" w:eastAsia="Times New Roman" w:hAnsi="Times New Roman"/>
          <w:i w:val="1"/>
          <w:iCs w:val="1"/>
          <w:sz w:val="24"/>
          <w:szCs w:val="24"/>
          <w:rtl w:val="0"/>
        </w:rPr>
        <w:t xml:space="preserve">Geriatric Nursing, 40</w:t>
      </w:r>
      <w:r w:rsidDel="00000000" w:rsidR="00000000" w:rsidRPr="00000000">
        <w:rPr>
          <w:rFonts w:ascii="Times New Roman" w:cs="Times New Roman" w:eastAsia="Times New Roman" w:hAnsi="Times New Roman"/>
          <w:sz w:val="24"/>
          <w:szCs w:val="24"/>
          <w:rtl w:val="0"/>
        </w:rPr>
        <w:t xml:space="preserve">(5), 502–509.</w:t>
      </w:r>
      <w:hyperlink r:id="rId56">
        <w:r w:rsidDel="00000000" w:rsidR="00000000" w:rsidRPr="00000000">
          <w:rPr>
            <w:rFonts w:ascii="Times New Roman" w:cs="Times New Roman" w:eastAsia="Times New Roman" w:hAnsi="Times New Roman"/>
            <w:sz w:val="24"/>
            <w:szCs w:val="24"/>
            <w:rtl w:val="0"/>
          </w:rPr>
          <w:t xml:space="preserve"> </w:t>
        </w:r>
      </w:hyperlink>
      <w:hyperlink r:id="rId57">
        <w:r w:rsidDel="00000000" w:rsidR="00000000" w:rsidRPr="00000000">
          <w:rPr>
            <w:rFonts w:ascii="Times New Roman" w:cs="Times New Roman" w:eastAsia="Times New Roman" w:hAnsi="Times New Roman"/>
            <w:color w:val="1155cc"/>
            <w:sz w:val="24"/>
            <w:szCs w:val="24"/>
            <w:u w:val="single"/>
            <w:rtl w:val="0"/>
          </w:rPr>
          <w:t xml:space="preserve">https://doi.org/10.1016/j.gerinurse.2019.03.015</w:t>
        </w:r>
      </w:hyperlink>
      <w:r w:rsidDel="00000000" w:rsidR="00000000" w:rsidRPr="00000000">
        <w:rPr>
          <w:rtl w:val="0"/>
        </w:rPr>
      </w:r>
    </w:p>
    <w:p w:rsidR="00000000" w:rsidDel="00000000" w:rsidP="00000000" w:rsidRDefault="00000000" w:rsidRPr="00000000" w14:paraId="00000178">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Cheung, D. S. K., Ho, G. W. K., Chan, A. C. Y., et al. (2022). A “good dyadic relationship” between older couples with one having mild cognitive impairment: A Q-methodology. </w:t>
      </w:r>
      <w:r w:rsidDel="00000000" w:rsidR="00000000" w:rsidRPr="00000000">
        <w:rPr>
          <w:rFonts w:ascii="Times New Roman" w:cs="Times New Roman" w:eastAsia="Times New Roman" w:hAnsi="Times New Roman"/>
          <w:i w:val="1"/>
          <w:iCs w:val="1"/>
          <w:sz w:val="24"/>
          <w:szCs w:val="24"/>
          <w:rtl w:val="0"/>
        </w:rPr>
        <w:t xml:space="preserve">BMC Geriatrics, 22</w:t>
      </w:r>
      <w:r w:rsidDel="00000000" w:rsidR="00000000" w:rsidRPr="00000000">
        <w:rPr>
          <w:rFonts w:ascii="Times New Roman" w:cs="Times New Roman" w:eastAsia="Times New Roman" w:hAnsi="Times New Roman"/>
          <w:sz w:val="24"/>
          <w:szCs w:val="24"/>
          <w:rtl w:val="0"/>
        </w:rPr>
        <w:t xml:space="preserve">, 764.</w:t>
      </w:r>
      <w:hyperlink r:id="rId58">
        <w:r w:rsidDel="00000000" w:rsidR="00000000" w:rsidRPr="00000000">
          <w:rPr>
            <w:rFonts w:ascii="Times New Roman" w:cs="Times New Roman" w:eastAsia="Times New Roman" w:hAnsi="Times New Roman"/>
            <w:sz w:val="24"/>
            <w:szCs w:val="24"/>
            <w:rtl w:val="0"/>
          </w:rPr>
          <w:t xml:space="preserve"> </w:t>
        </w:r>
      </w:hyperlink>
      <w:hyperlink r:id="rId59">
        <w:r w:rsidDel="00000000" w:rsidR="00000000" w:rsidRPr="00000000">
          <w:rPr>
            <w:rFonts w:ascii="Times New Roman" w:cs="Times New Roman" w:eastAsia="Times New Roman" w:hAnsi="Times New Roman"/>
            <w:color w:val="1155cc"/>
            <w:sz w:val="24"/>
            <w:szCs w:val="24"/>
            <w:u w:val="single"/>
            <w:rtl w:val="0"/>
          </w:rPr>
          <w:t xml:space="preserve">https://doi.org/10.1186/s12877-022-03449-x</w:t>
        </w:r>
      </w:hyperlink>
      <w:r w:rsidDel="00000000" w:rsidR="00000000" w:rsidRPr="00000000">
        <w:rPr>
          <w:rtl w:val="0"/>
        </w:rPr>
      </w:r>
    </w:p>
    <w:p w:rsidR="00000000" w:rsidDel="00000000" w:rsidP="00000000" w:rsidRDefault="00000000" w:rsidRPr="00000000" w14:paraId="00000179">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Clark, S., Prescott, T., &amp; Murphy, G. (2019). The lived experiences of dementia in married couple relationships. </w:t>
      </w:r>
      <w:r w:rsidDel="00000000" w:rsidR="00000000" w:rsidRPr="00000000">
        <w:rPr>
          <w:rFonts w:ascii="Times New Roman" w:cs="Times New Roman" w:eastAsia="Times New Roman" w:hAnsi="Times New Roman"/>
          <w:i w:val="1"/>
          <w:iCs w:val="1"/>
          <w:sz w:val="24"/>
          <w:szCs w:val="24"/>
          <w:rtl w:val="0"/>
        </w:rPr>
        <w:t xml:space="preserve">Dementia, 18</w:t>
      </w:r>
      <w:r w:rsidDel="00000000" w:rsidR="00000000" w:rsidRPr="00000000">
        <w:rPr>
          <w:rFonts w:ascii="Times New Roman" w:cs="Times New Roman" w:eastAsia="Times New Roman" w:hAnsi="Times New Roman"/>
          <w:sz w:val="24"/>
          <w:szCs w:val="24"/>
          <w:rtl w:val="0"/>
        </w:rPr>
        <w:t xml:space="preserve">(5), 1727–1739.</w:t>
      </w:r>
      <w:hyperlink r:id="rId60">
        <w:r w:rsidDel="00000000" w:rsidR="00000000" w:rsidRPr="00000000">
          <w:rPr>
            <w:rFonts w:ascii="Times New Roman" w:cs="Times New Roman" w:eastAsia="Times New Roman" w:hAnsi="Times New Roman"/>
            <w:sz w:val="24"/>
            <w:szCs w:val="24"/>
            <w:rtl w:val="0"/>
          </w:rPr>
          <w:t xml:space="preserve"> </w:t>
        </w:r>
      </w:hyperlink>
      <w:hyperlink r:id="rId61">
        <w:r w:rsidDel="00000000" w:rsidR="00000000" w:rsidRPr="00000000">
          <w:rPr>
            <w:rFonts w:ascii="Times New Roman" w:cs="Times New Roman" w:eastAsia="Times New Roman" w:hAnsi="Times New Roman"/>
            <w:color w:val="1155cc"/>
            <w:sz w:val="24"/>
            <w:szCs w:val="24"/>
            <w:u w:val="single"/>
            <w:rtl w:val="0"/>
          </w:rPr>
          <w:t xml:space="preserve">https://doi.org/10.1177/1471301217722034</w:t>
        </w:r>
      </w:hyperlink>
      <w:r w:rsidDel="00000000" w:rsidR="00000000" w:rsidRPr="00000000">
        <w:rPr>
          <w:rtl w:val="0"/>
        </w:rPr>
      </w:r>
    </w:p>
    <w:p w:rsidR="00000000" w:rsidDel="00000000" w:rsidP="00000000" w:rsidRDefault="00000000" w:rsidRPr="00000000" w14:paraId="0000017A">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Egilstrod, B., Ravn, M. B., &amp; Petersen, K. S. (2019). Living with a partner with dementia: A systematic review and thematic synthesis of spouses’ lived experiences of changes in their everyday lives. </w:t>
      </w:r>
      <w:r w:rsidDel="00000000" w:rsidR="00000000" w:rsidRPr="00000000">
        <w:rPr>
          <w:rFonts w:ascii="Times New Roman" w:cs="Times New Roman" w:eastAsia="Times New Roman" w:hAnsi="Times New Roman"/>
          <w:i w:val="1"/>
          <w:iCs w:val="1"/>
          <w:sz w:val="24"/>
          <w:szCs w:val="24"/>
          <w:rtl w:val="0"/>
        </w:rPr>
        <w:t xml:space="preserve">Aging &amp; Mental Health, 23</w:t>
      </w:r>
      <w:r w:rsidDel="00000000" w:rsidR="00000000" w:rsidRPr="00000000">
        <w:rPr>
          <w:rFonts w:ascii="Times New Roman" w:cs="Times New Roman" w:eastAsia="Times New Roman" w:hAnsi="Times New Roman"/>
          <w:sz w:val="24"/>
          <w:szCs w:val="24"/>
          <w:rtl w:val="0"/>
        </w:rPr>
        <w:t xml:space="preserve">(5), 541–550.</w:t>
      </w:r>
      <w:hyperlink r:id="rId62">
        <w:r w:rsidDel="00000000" w:rsidR="00000000" w:rsidRPr="00000000">
          <w:rPr>
            <w:rFonts w:ascii="Times New Roman" w:cs="Times New Roman" w:eastAsia="Times New Roman" w:hAnsi="Times New Roman"/>
            <w:sz w:val="24"/>
            <w:szCs w:val="24"/>
            <w:rtl w:val="0"/>
          </w:rPr>
          <w:t xml:space="preserve"> </w:t>
        </w:r>
      </w:hyperlink>
      <w:hyperlink r:id="rId63">
        <w:r w:rsidDel="00000000" w:rsidR="00000000" w:rsidRPr="00000000">
          <w:rPr>
            <w:rFonts w:ascii="Times New Roman" w:cs="Times New Roman" w:eastAsia="Times New Roman" w:hAnsi="Times New Roman"/>
            <w:color w:val="1155cc"/>
            <w:sz w:val="24"/>
            <w:szCs w:val="24"/>
            <w:u w:val="single"/>
            <w:rtl w:val="0"/>
          </w:rPr>
          <w:t xml:space="preserve">https://doi.org/10.1080/13607863.2018.1433634</w:t>
        </w:r>
      </w:hyperlink>
      <w:r w:rsidDel="00000000" w:rsidR="00000000" w:rsidRPr="00000000">
        <w:rPr>
          <w:rtl w:val="0"/>
        </w:rPr>
      </w:r>
    </w:p>
    <w:p w:rsidR="00000000" w:rsidDel="00000000" w:rsidP="00000000" w:rsidRDefault="00000000" w:rsidRPr="00000000" w14:paraId="0000017B">
      <w:pPr>
        <w:spacing w:after="240" w:before="240" w:line="48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Gallardo-Peralta, L. P., Sánchez-Moreno, E., Rodríguez Rodríguez, V., &amp; García Martín, M. (2023). La investigación sobre soledad y redes de apoyo social en las personas mayores: Una revisión sistemática en Europa. </w:t>
      </w:r>
      <w:r w:rsidDel="00000000" w:rsidR="00000000" w:rsidRPr="00000000">
        <w:rPr>
          <w:rFonts w:ascii="Times New Roman" w:cs="Times New Roman" w:eastAsia="Times New Roman" w:hAnsi="Times New Roman"/>
          <w:i w:val="1"/>
          <w:iCs w:val="1"/>
          <w:sz w:val="24"/>
          <w:szCs w:val="24"/>
          <w:rtl w:val="0"/>
        </w:rPr>
        <w:t xml:space="preserve">Revista Española de Salud Pública, 97</w:t>
      </w:r>
      <w:r w:rsidDel="00000000" w:rsidR="00000000" w:rsidRPr="00000000">
        <w:rPr>
          <w:rFonts w:ascii="Times New Roman" w:cs="Times New Roman" w:eastAsia="Times New Roman" w:hAnsi="Times New Roman"/>
          <w:sz w:val="24"/>
          <w:szCs w:val="24"/>
          <w:rtl w:val="0"/>
        </w:rPr>
        <w:t xml:space="preserve">, e202301006.</w:t>
      </w:r>
    </w:p>
    <w:p w:rsidR="00000000" w:rsidDel="00000000" w:rsidP="00000000" w:rsidRDefault="00000000" w:rsidRPr="00000000" w14:paraId="0000017C">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Gracia, J., Martín, E., &amp; Trujillo, M. M. (2021). </w:t>
      </w:r>
      <w:r w:rsidDel="00000000" w:rsidR="00000000" w:rsidRPr="00000000">
        <w:rPr>
          <w:rFonts w:ascii="Times New Roman" w:cs="Times New Roman" w:eastAsia="Times New Roman" w:hAnsi="Times New Roman"/>
          <w:i w:val="1"/>
          <w:iCs w:val="1"/>
          <w:sz w:val="24"/>
          <w:szCs w:val="24"/>
          <w:rtl w:val="0"/>
        </w:rPr>
        <w:t xml:space="preserve">Manual metodológico: Formulación de preguntas clínicas en formato PICO</w:t>
      </w:r>
      <w:r w:rsidDel="00000000" w:rsidR="00000000" w:rsidRPr="00000000">
        <w:rPr>
          <w:rFonts w:ascii="Times New Roman" w:cs="Times New Roman" w:eastAsia="Times New Roman" w:hAnsi="Times New Roman"/>
          <w:sz w:val="24"/>
          <w:szCs w:val="24"/>
          <w:rtl w:val="0"/>
        </w:rPr>
        <w:t xml:space="preserve">. GuíaSalud.</w:t>
      </w:r>
      <w:hyperlink r:id="rId64">
        <w:r w:rsidDel="00000000" w:rsidR="00000000" w:rsidRPr="00000000">
          <w:rPr>
            <w:rFonts w:ascii="Times New Roman" w:cs="Times New Roman" w:eastAsia="Times New Roman" w:hAnsi="Times New Roman"/>
            <w:sz w:val="24"/>
            <w:szCs w:val="24"/>
            <w:rtl w:val="0"/>
          </w:rPr>
          <w:t xml:space="preserve"> </w:t>
        </w:r>
      </w:hyperlink>
      <w:hyperlink r:id="rId65">
        <w:r w:rsidDel="00000000" w:rsidR="00000000" w:rsidRPr="00000000">
          <w:rPr>
            <w:rFonts w:ascii="Times New Roman" w:cs="Times New Roman" w:eastAsia="Times New Roman" w:hAnsi="Times New Roman"/>
            <w:color w:val="1155cc"/>
            <w:sz w:val="24"/>
            <w:szCs w:val="24"/>
            <w:u w:val="single"/>
            <w:rtl w:val="0"/>
          </w:rPr>
          <w:t xml:space="preserve">https://portal.guiasalud.es/egpc/manual-elaboracion-formulacion-preguntas/</w:t>
        </w:r>
      </w:hyperlink>
      <w:r w:rsidDel="00000000" w:rsidR="00000000" w:rsidRPr="00000000">
        <w:rPr>
          <w:rtl w:val="0"/>
        </w:rPr>
      </w:r>
    </w:p>
    <w:p w:rsidR="00000000" w:rsidDel="00000000" w:rsidP="00000000" w:rsidRDefault="00000000" w:rsidRPr="00000000" w14:paraId="0000017D">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Hammar, L. M., Williams, C. L., Meranius, M. S., &amp; McKee, K. (2021). Being ‘alone’: Striving for belonging and adaptation in a new reality – The experiences of spouse carers of persons with dementia. </w:t>
      </w:r>
      <w:r w:rsidDel="00000000" w:rsidR="00000000" w:rsidRPr="00000000">
        <w:rPr>
          <w:rFonts w:ascii="Times New Roman" w:cs="Times New Roman" w:eastAsia="Times New Roman" w:hAnsi="Times New Roman"/>
          <w:i w:val="1"/>
          <w:iCs w:val="1"/>
          <w:sz w:val="24"/>
          <w:szCs w:val="24"/>
          <w:rtl w:val="0"/>
        </w:rPr>
        <w:t xml:space="preserve">Dementia, 20</w:t>
      </w:r>
      <w:r w:rsidDel="00000000" w:rsidR="00000000" w:rsidRPr="00000000">
        <w:rPr>
          <w:rFonts w:ascii="Times New Roman" w:cs="Times New Roman" w:eastAsia="Times New Roman" w:hAnsi="Times New Roman"/>
          <w:sz w:val="24"/>
          <w:szCs w:val="24"/>
          <w:rtl w:val="0"/>
        </w:rPr>
        <w:t xml:space="preserve">(1), 273–290.</w:t>
      </w:r>
      <w:hyperlink r:id="rId66">
        <w:r w:rsidDel="00000000" w:rsidR="00000000" w:rsidRPr="00000000">
          <w:rPr>
            <w:rFonts w:ascii="Times New Roman" w:cs="Times New Roman" w:eastAsia="Times New Roman" w:hAnsi="Times New Roman"/>
            <w:sz w:val="24"/>
            <w:szCs w:val="24"/>
            <w:rtl w:val="0"/>
          </w:rPr>
          <w:t xml:space="preserve"> </w:t>
        </w:r>
      </w:hyperlink>
      <w:hyperlink r:id="rId67">
        <w:r w:rsidDel="00000000" w:rsidR="00000000" w:rsidRPr="00000000">
          <w:rPr>
            <w:rFonts w:ascii="Times New Roman" w:cs="Times New Roman" w:eastAsia="Times New Roman" w:hAnsi="Times New Roman"/>
            <w:color w:val="1155cc"/>
            <w:sz w:val="24"/>
            <w:szCs w:val="24"/>
            <w:u w:val="single"/>
            <w:rtl w:val="0"/>
          </w:rPr>
          <w:t xml:space="preserve">https://doi.org/10.1177/1471301219879343</w:t>
        </w:r>
      </w:hyperlink>
      <w:r w:rsidDel="00000000" w:rsidR="00000000" w:rsidRPr="00000000">
        <w:rPr>
          <w:rtl w:val="0"/>
        </w:rPr>
      </w:r>
    </w:p>
    <w:p w:rsidR="00000000" w:rsidDel="00000000" w:rsidP="00000000" w:rsidRDefault="00000000" w:rsidRPr="00000000" w14:paraId="0000017E">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Helvik, A.-S., Hvidsten, L., Engedal, K., Kersten, H., Dourado, M. C. N., &amp; Johannessen, A. (2024). Living with young-onset dementia in the family – A mixed method study. </w:t>
      </w:r>
      <w:r w:rsidDel="00000000" w:rsidR="00000000" w:rsidRPr="00000000">
        <w:rPr>
          <w:rFonts w:ascii="Times New Roman" w:cs="Times New Roman" w:eastAsia="Times New Roman" w:hAnsi="Times New Roman"/>
          <w:i w:val="1"/>
          <w:iCs w:val="1"/>
          <w:sz w:val="24"/>
          <w:szCs w:val="24"/>
          <w:rtl w:val="0"/>
        </w:rPr>
        <w:t xml:space="preserve">Aging &amp; Mental Health, 28</w:t>
      </w:r>
      <w:r w:rsidDel="00000000" w:rsidR="00000000" w:rsidRPr="00000000">
        <w:rPr>
          <w:rFonts w:ascii="Times New Roman" w:cs="Times New Roman" w:eastAsia="Times New Roman" w:hAnsi="Times New Roman"/>
          <w:sz w:val="24"/>
          <w:szCs w:val="24"/>
          <w:rtl w:val="0"/>
        </w:rPr>
        <w:t xml:space="preserve">(2), 254–261.</w:t>
      </w:r>
      <w:hyperlink r:id="rId68">
        <w:r w:rsidDel="00000000" w:rsidR="00000000" w:rsidRPr="00000000">
          <w:rPr>
            <w:rFonts w:ascii="Times New Roman" w:cs="Times New Roman" w:eastAsia="Times New Roman" w:hAnsi="Times New Roman"/>
            <w:sz w:val="24"/>
            <w:szCs w:val="24"/>
            <w:rtl w:val="0"/>
          </w:rPr>
          <w:t xml:space="preserve"> </w:t>
        </w:r>
      </w:hyperlink>
      <w:hyperlink r:id="rId69">
        <w:r w:rsidDel="00000000" w:rsidR="00000000" w:rsidRPr="00000000">
          <w:rPr>
            <w:rFonts w:ascii="Times New Roman" w:cs="Times New Roman" w:eastAsia="Times New Roman" w:hAnsi="Times New Roman"/>
            <w:color w:val="1155cc"/>
            <w:sz w:val="24"/>
            <w:szCs w:val="24"/>
            <w:u w:val="single"/>
            <w:rtl w:val="0"/>
          </w:rPr>
          <w:t xml:space="preserve">https://doi.org/10.1080/13607863.2023.2243585</w:t>
        </w:r>
      </w:hyperlink>
      <w:r w:rsidDel="00000000" w:rsidR="00000000" w:rsidRPr="00000000">
        <w:rPr>
          <w:rtl w:val="0"/>
        </w:rPr>
      </w:r>
    </w:p>
    <w:p w:rsidR="00000000" w:rsidDel="00000000" w:rsidP="00000000" w:rsidRDefault="00000000" w:rsidRPr="00000000" w14:paraId="0000017F">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Huo, M., Mroz, E. L., Monin, J. K., &amp; Hinton, L. (2025). Support that people living with Alzheimer’s disease provide to their spousal caregivers: A qualitative study on dyadic perspectives. </w:t>
      </w:r>
      <w:r w:rsidDel="00000000" w:rsidR="00000000" w:rsidRPr="00000000">
        <w:rPr>
          <w:rFonts w:ascii="Times New Roman" w:cs="Times New Roman" w:eastAsia="Times New Roman" w:hAnsi="Times New Roman"/>
          <w:i w:val="1"/>
          <w:iCs w:val="1"/>
          <w:sz w:val="24"/>
          <w:szCs w:val="24"/>
          <w:rtl w:val="0"/>
        </w:rPr>
        <w:t xml:space="preserve">Aging &amp; Mental Health, 30</w:t>
      </w:r>
      <w:r w:rsidDel="00000000" w:rsidR="00000000" w:rsidRPr="00000000">
        <w:rPr>
          <w:rFonts w:ascii="Times New Roman" w:cs="Times New Roman" w:eastAsia="Times New Roman" w:hAnsi="Times New Roman"/>
          <w:sz w:val="24"/>
          <w:szCs w:val="24"/>
          <w:rtl w:val="0"/>
        </w:rPr>
        <w:t xml:space="preserve">(2), 300–310.</w:t>
      </w:r>
      <w:hyperlink r:id="rId70">
        <w:r w:rsidDel="00000000" w:rsidR="00000000" w:rsidRPr="00000000">
          <w:rPr>
            <w:rFonts w:ascii="Times New Roman" w:cs="Times New Roman" w:eastAsia="Times New Roman" w:hAnsi="Times New Roman"/>
            <w:sz w:val="24"/>
            <w:szCs w:val="24"/>
            <w:rtl w:val="0"/>
          </w:rPr>
          <w:t xml:space="preserve"> </w:t>
        </w:r>
      </w:hyperlink>
      <w:hyperlink r:id="rId71">
        <w:r w:rsidDel="00000000" w:rsidR="00000000" w:rsidRPr="00000000">
          <w:rPr>
            <w:rFonts w:ascii="Times New Roman" w:cs="Times New Roman" w:eastAsia="Times New Roman" w:hAnsi="Times New Roman"/>
            <w:color w:val="1155cc"/>
            <w:sz w:val="24"/>
            <w:szCs w:val="24"/>
            <w:u w:val="single"/>
            <w:rtl w:val="0"/>
          </w:rPr>
          <w:t xml:space="preserve">https://doi.org/10.1080/13607863.2025.2569657</w:t>
        </w:r>
      </w:hyperlink>
      <w:r w:rsidDel="00000000" w:rsidR="00000000" w:rsidRPr="00000000">
        <w:rPr>
          <w:rtl w:val="0"/>
        </w:rPr>
      </w:r>
    </w:p>
    <w:p w:rsidR="00000000" w:rsidDel="00000000" w:rsidP="00000000" w:rsidRDefault="00000000" w:rsidRPr="00000000" w14:paraId="00000180">
      <w:pPr>
        <w:spacing w:after="240" w:before="240" w:line="48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Nacional de Estadística. (2009). </w:t>
      </w:r>
      <w:r w:rsidDel="00000000" w:rsidR="00000000" w:rsidRPr="00000000">
        <w:rPr>
          <w:rFonts w:ascii="Times New Roman" w:cs="Times New Roman" w:eastAsia="Times New Roman" w:hAnsi="Times New Roman"/>
          <w:i w:val="1"/>
          <w:iCs w:val="1"/>
          <w:sz w:val="24"/>
          <w:szCs w:val="24"/>
          <w:rtl w:val="0"/>
        </w:rPr>
        <w:t xml:space="preserve">Proyección de la población de España a largo plazo (2009–2049): Metodología</w:t>
      </w:r>
      <w:r w:rsidDel="00000000" w:rsidR="00000000" w:rsidRPr="00000000">
        <w:rPr>
          <w:rFonts w:ascii="Times New Roman" w:cs="Times New Roman" w:eastAsia="Times New Roman" w:hAnsi="Times New Roman"/>
          <w:sz w:val="24"/>
          <w:szCs w:val="24"/>
          <w:rtl w:val="0"/>
        </w:rPr>
        <w:t xml:space="preserve">. Instituto Nacional de Estadística.</w:t>
      </w:r>
    </w:p>
    <w:p w:rsidR="00000000" w:rsidDel="00000000" w:rsidP="00000000" w:rsidRDefault="00000000" w:rsidRPr="00000000" w14:paraId="00000181">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Instituto Nacional de Estadística. (2024, 24 de junio). </w:t>
      </w:r>
      <w:r w:rsidDel="00000000" w:rsidR="00000000" w:rsidRPr="00000000">
        <w:rPr>
          <w:rFonts w:ascii="Times New Roman" w:cs="Times New Roman" w:eastAsia="Times New Roman" w:hAnsi="Times New Roman"/>
          <w:i w:val="1"/>
          <w:iCs w:val="1"/>
          <w:sz w:val="24"/>
          <w:szCs w:val="24"/>
          <w:rtl w:val="0"/>
        </w:rPr>
        <w:t xml:space="preserve">Proyecciones de población 2024–2074</w:t>
      </w:r>
      <w:r w:rsidDel="00000000" w:rsidR="00000000" w:rsidRPr="00000000">
        <w:rPr>
          <w:rFonts w:ascii="Times New Roman" w:cs="Times New Roman" w:eastAsia="Times New Roman" w:hAnsi="Times New Roman"/>
          <w:sz w:val="24"/>
          <w:szCs w:val="24"/>
          <w:rtl w:val="0"/>
        </w:rPr>
        <w:t xml:space="preserve">.</w:t>
      </w:r>
      <w:hyperlink r:id="rId72">
        <w:r w:rsidDel="00000000" w:rsidR="00000000" w:rsidRPr="00000000">
          <w:rPr>
            <w:rFonts w:ascii="Times New Roman" w:cs="Times New Roman" w:eastAsia="Times New Roman" w:hAnsi="Times New Roman"/>
            <w:sz w:val="24"/>
            <w:szCs w:val="24"/>
            <w:rtl w:val="0"/>
          </w:rPr>
          <w:t xml:space="preserve"> </w:t>
        </w:r>
      </w:hyperlink>
      <w:hyperlink r:id="rId73">
        <w:r w:rsidDel="00000000" w:rsidR="00000000" w:rsidRPr="00000000">
          <w:rPr>
            <w:rFonts w:ascii="Times New Roman" w:cs="Times New Roman" w:eastAsia="Times New Roman" w:hAnsi="Times New Roman"/>
            <w:color w:val="1155cc"/>
            <w:sz w:val="24"/>
            <w:szCs w:val="24"/>
            <w:u w:val="single"/>
            <w:rtl w:val="0"/>
          </w:rPr>
          <w:t xml:space="preserve">https://www.ine.es/dyngs/Prensa/PROP20242074.htm</w:t>
        </w:r>
      </w:hyperlink>
      <w:r w:rsidDel="00000000" w:rsidR="00000000" w:rsidRPr="00000000">
        <w:rPr>
          <w:rtl w:val="0"/>
        </w:rPr>
      </w:r>
    </w:p>
    <w:p w:rsidR="00000000" w:rsidDel="00000000" w:rsidP="00000000" w:rsidRDefault="00000000" w:rsidRPr="00000000" w14:paraId="00000182">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Instituto Valenciano de Investigaciones Económicas. (2025, 26 de noviembre). </w:t>
      </w:r>
      <w:r w:rsidDel="00000000" w:rsidR="00000000" w:rsidRPr="00000000">
        <w:rPr>
          <w:rFonts w:ascii="Times New Roman" w:cs="Times New Roman" w:eastAsia="Times New Roman" w:hAnsi="Times New Roman"/>
          <w:i w:val="1"/>
          <w:iCs w:val="1"/>
          <w:sz w:val="24"/>
          <w:szCs w:val="24"/>
          <w:rtl w:val="0"/>
        </w:rPr>
        <w:t xml:space="preserve">España se sitúa a la cabeza de Europa en esperanza de vida...</w:t>
      </w:r>
      <w:hyperlink r:id="rId74">
        <w:r w:rsidDel="00000000" w:rsidR="00000000" w:rsidRPr="00000000">
          <w:rPr>
            <w:rFonts w:ascii="Times New Roman" w:cs="Times New Roman" w:eastAsia="Times New Roman" w:hAnsi="Times New Roman"/>
            <w:sz w:val="24"/>
            <w:szCs w:val="24"/>
            <w:rtl w:val="0"/>
          </w:rPr>
          <w:t xml:space="preserve"> </w:t>
        </w:r>
      </w:hyperlink>
      <w:hyperlink r:id="rId75">
        <w:r w:rsidDel="00000000" w:rsidR="00000000" w:rsidRPr="00000000">
          <w:rPr>
            <w:rFonts w:ascii="Times New Roman" w:cs="Times New Roman" w:eastAsia="Times New Roman" w:hAnsi="Times New Roman"/>
            <w:color w:val="1155cc"/>
            <w:sz w:val="24"/>
            <w:szCs w:val="24"/>
            <w:u w:val="single"/>
            <w:rtl w:val="0"/>
          </w:rPr>
          <w:t xml:space="preserve">https://www.ivie.es/es_ES/espana-se-situa-la-cabeza-europa-esperanza-vida-partir-los-65-mas-la-mitad-los-anos-se-vive-discapacidad-especialmente-las-mujeres/</w:t>
        </w:r>
      </w:hyperlink>
      <w:r w:rsidDel="00000000" w:rsidR="00000000" w:rsidRPr="00000000">
        <w:rPr>
          <w:rtl w:val="0"/>
        </w:rPr>
      </w:r>
    </w:p>
    <w:p w:rsidR="00000000" w:rsidDel="00000000" w:rsidP="00000000" w:rsidRDefault="00000000" w:rsidRPr="00000000" w14:paraId="00000183">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López, R. M., Fernández, L. G., &amp; Garrido, N. M. A. (2023). Abordaje de la sobrecarga del cuidador principal de pacientes con demencia desde su prevalencia, factores de protección y de riesgo. </w:t>
      </w:r>
      <w:r w:rsidDel="00000000" w:rsidR="00000000" w:rsidRPr="00000000">
        <w:rPr>
          <w:rFonts w:ascii="Times New Roman" w:cs="Times New Roman" w:eastAsia="Times New Roman" w:hAnsi="Times New Roman"/>
          <w:i w:val="1"/>
          <w:iCs w:val="1"/>
          <w:sz w:val="24"/>
          <w:szCs w:val="24"/>
          <w:rtl w:val="0"/>
        </w:rPr>
        <w:t xml:space="preserve">European Journal of Health Research, 9</w:t>
      </w:r>
      <w:r w:rsidDel="00000000" w:rsidR="00000000" w:rsidRPr="00000000">
        <w:rPr>
          <w:rFonts w:ascii="Times New Roman" w:cs="Times New Roman" w:eastAsia="Times New Roman" w:hAnsi="Times New Roman"/>
          <w:sz w:val="24"/>
          <w:szCs w:val="24"/>
          <w:rtl w:val="0"/>
        </w:rPr>
        <w:t xml:space="preserve">(1), 1–18.</w:t>
      </w:r>
      <w:hyperlink r:id="rId76">
        <w:r w:rsidDel="00000000" w:rsidR="00000000" w:rsidRPr="00000000">
          <w:rPr>
            <w:rFonts w:ascii="Times New Roman" w:cs="Times New Roman" w:eastAsia="Times New Roman" w:hAnsi="Times New Roman"/>
            <w:sz w:val="24"/>
            <w:szCs w:val="24"/>
            <w:rtl w:val="0"/>
          </w:rPr>
          <w:t xml:space="preserve"> </w:t>
        </w:r>
      </w:hyperlink>
      <w:hyperlink r:id="rId77">
        <w:r w:rsidDel="00000000" w:rsidR="00000000" w:rsidRPr="00000000">
          <w:rPr>
            <w:rFonts w:ascii="Times New Roman" w:cs="Times New Roman" w:eastAsia="Times New Roman" w:hAnsi="Times New Roman"/>
            <w:color w:val="1155cc"/>
            <w:sz w:val="24"/>
            <w:szCs w:val="24"/>
            <w:u w:val="single"/>
            <w:rtl w:val="0"/>
          </w:rPr>
          <w:t xml:space="preserve">https://doi.org/10.32457/ejhr.v9i1.2232</w:t>
        </w:r>
      </w:hyperlink>
      <w:r w:rsidDel="00000000" w:rsidR="00000000" w:rsidRPr="00000000">
        <w:rPr>
          <w:rtl w:val="0"/>
        </w:rPr>
      </w:r>
    </w:p>
    <w:p w:rsidR="00000000" w:rsidDel="00000000" w:rsidP="00000000" w:rsidRDefault="00000000" w:rsidRPr="00000000" w14:paraId="00000184">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Lloyd, J., Patterson, T., &amp; Muers, J. (2016). The positive aspects of caregiving in dementia: A critical review of the qualitative literature. </w:t>
      </w:r>
      <w:r w:rsidDel="00000000" w:rsidR="00000000" w:rsidRPr="00000000">
        <w:rPr>
          <w:rFonts w:ascii="Times New Roman" w:cs="Times New Roman" w:eastAsia="Times New Roman" w:hAnsi="Times New Roman"/>
          <w:i w:val="1"/>
          <w:iCs w:val="1"/>
          <w:sz w:val="24"/>
          <w:szCs w:val="24"/>
          <w:rtl w:val="0"/>
        </w:rPr>
        <w:t xml:space="preserve">Dementia, 15</w:t>
      </w:r>
      <w:r w:rsidDel="00000000" w:rsidR="00000000" w:rsidRPr="00000000">
        <w:rPr>
          <w:rFonts w:ascii="Times New Roman" w:cs="Times New Roman" w:eastAsia="Times New Roman" w:hAnsi="Times New Roman"/>
          <w:sz w:val="24"/>
          <w:szCs w:val="24"/>
          <w:rtl w:val="0"/>
        </w:rPr>
        <w:t xml:space="preserve">(6), 1534–1561.</w:t>
      </w:r>
      <w:hyperlink r:id="rId78">
        <w:r w:rsidDel="00000000" w:rsidR="00000000" w:rsidRPr="00000000">
          <w:rPr>
            <w:rFonts w:ascii="Times New Roman" w:cs="Times New Roman" w:eastAsia="Times New Roman" w:hAnsi="Times New Roman"/>
            <w:sz w:val="24"/>
            <w:szCs w:val="24"/>
            <w:rtl w:val="0"/>
          </w:rPr>
          <w:t xml:space="preserve"> </w:t>
        </w:r>
      </w:hyperlink>
      <w:hyperlink r:id="rId79">
        <w:r w:rsidDel="00000000" w:rsidR="00000000" w:rsidRPr="00000000">
          <w:rPr>
            <w:rFonts w:ascii="Times New Roman" w:cs="Times New Roman" w:eastAsia="Times New Roman" w:hAnsi="Times New Roman"/>
            <w:color w:val="1155cc"/>
            <w:sz w:val="24"/>
            <w:szCs w:val="24"/>
            <w:u w:val="single"/>
            <w:rtl w:val="0"/>
          </w:rPr>
          <w:t xml:space="preserve">https://doi.org/10.1177/1471301214564792</w:t>
        </w:r>
      </w:hyperlink>
      <w:r w:rsidDel="00000000" w:rsidR="00000000" w:rsidRPr="00000000">
        <w:rPr>
          <w:rtl w:val="0"/>
        </w:rPr>
      </w:r>
    </w:p>
    <w:p w:rsidR="00000000" w:rsidDel="00000000" w:rsidP="00000000" w:rsidRDefault="00000000" w:rsidRPr="00000000" w14:paraId="00000185">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Miller, M., Neiterman, E., Keller, H., &amp; McAiney, C. (2025). Being a husband and caregiver: The adjustment of roles when caring for a wife who has dementia. </w:t>
      </w:r>
      <w:r w:rsidDel="00000000" w:rsidR="00000000" w:rsidRPr="00000000">
        <w:rPr>
          <w:rFonts w:ascii="Times New Roman" w:cs="Times New Roman" w:eastAsia="Times New Roman" w:hAnsi="Times New Roman"/>
          <w:i w:val="1"/>
          <w:iCs w:val="1"/>
          <w:sz w:val="24"/>
          <w:szCs w:val="24"/>
          <w:rtl w:val="0"/>
        </w:rPr>
        <w:t xml:space="preserve">Canadian Journal on Aging / La Revue canadienne du vieillissement, 44</w:t>
      </w:r>
      <w:r w:rsidDel="00000000" w:rsidR="00000000" w:rsidRPr="00000000">
        <w:rPr>
          <w:rFonts w:ascii="Times New Roman" w:cs="Times New Roman" w:eastAsia="Times New Roman" w:hAnsi="Times New Roman"/>
          <w:sz w:val="24"/>
          <w:szCs w:val="24"/>
          <w:rtl w:val="0"/>
        </w:rPr>
        <w:t xml:space="preserve">(1), 68–77.</w:t>
      </w:r>
      <w:hyperlink r:id="rId80">
        <w:r w:rsidDel="00000000" w:rsidR="00000000" w:rsidRPr="00000000">
          <w:rPr>
            <w:rFonts w:ascii="Times New Roman" w:cs="Times New Roman" w:eastAsia="Times New Roman" w:hAnsi="Times New Roman"/>
            <w:sz w:val="24"/>
            <w:szCs w:val="24"/>
            <w:rtl w:val="0"/>
          </w:rPr>
          <w:t xml:space="preserve"> </w:t>
        </w:r>
      </w:hyperlink>
      <w:hyperlink r:id="rId81">
        <w:r w:rsidDel="00000000" w:rsidR="00000000" w:rsidRPr="00000000">
          <w:rPr>
            <w:rFonts w:ascii="Times New Roman" w:cs="Times New Roman" w:eastAsia="Times New Roman" w:hAnsi="Times New Roman"/>
            <w:color w:val="1155cc"/>
            <w:sz w:val="24"/>
            <w:szCs w:val="24"/>
            <w:u w:val="single"/>
            <w:rtl w:val="0"/>
          </w:rPr>
          <w:t xml:space="preserve">https://doi.org/10.1017/S0714980824000291</w:t>
        </w:r>
      </w:hyperlink>
      <w:r w:rsidDel="00000000" w:rsidR="00000000" w:rsidRPr="00000000">
        <w:rPr>
          <w:rtl w:val="0"/>
        </w:rPr>
      </w:r>
    </w:p>
    <w:p w:rsidR="00000000" w:rsidDel="00000000" w:rsidP="00000000" w:rsidRDefault="00000000" w:rsidRPr="00000000" w14:paraId="00000186">
      <w:pPr>
        <w:spacing w:after="240" w:before="240" w:line="48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Ministerio de Sanidad. (2023). </w:t>
      </w:r>
      <w:r w:rsidDel="00000000" w:rsidR="00000000" w:rsidRPr="00000000">
        <w:rPr>
          <w:rFonts w:ascii="Times New Roman" w:cs="Times New Roman" w:eastAsia="Times New Roman" w:hAnsi="Times New Roman"/>
          <w:i w:val="1"/>
          <w:iCs w:val="1"/>
          <w:sz w:val="24"/>
          <w:szCs w:val="24"/>
          <w:rtl w:val="0"/>
        </w:rPr>
        <w:t xml:space="preserve">Esperanzas de vida en España, 2021</w:t>
      </w:r>
      <w:r w:rsidDel="00000000" w:rsidR="00000000" w:rsidRPr="00000000">
        <w:rPr>
          <w:rFonts w:ascii="Times New Roman" w:cs="Times New Roman" w:eastAsia="Times New Roman" w:hAnsi="Times New Roman"/>
          <w:sz w:val="24"/>
          <w:szCs w:val="24"/>
          <w:rtl w:val="0"/>
        </w:rPr>
        <w:t xml:space="preserve">. Gobierno de España.</w:t>
      </w:r>
    </w:p>
    <w:p w:rsidR="00000000" w:rsidDel="00000000" w:rsidP="00000000" w:rsidRDefault="00000000" w:rsidRPr="00000000" w14:paraId="00000187">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Newmyer, L., Verdery, A. M., Margolis, R., &amp; Pessin, L. (2021). Measuring older adult loneliness across countries. </w:t>
      </w:r>
      <w:r w:rsidDel="00000000" w:rsidR="00000000" w:rsidRPr="00000000">
        <w:rPr>
          <w:rFonts w:ascii="Times New Roman" w:cs="Times New Roman" w:eastAsia="Times New Roman" w:hAnsi="Times New Roman"/>
          <w:i w:val="1"/>
          <w:iCs w:val="1"/>
          <w:sz w:val="24"/>
          <w:szCs w:val="24"/>
          <w:rtl w:val="0"/>
        </w:rPr>
        <w:t xml:space="preserve">The Journals of Gerontology: Series B, 76</w:t>
      </w:r>
      <w:r w:rsidDel="00000000" w:rsidR="00000000" w:rsidRPr="00000000">
        <w:rPr>
          <w:rFonts w:ascii="Times New Roman" w:cs="Times New Roman" w:eastAsia="Times New Roman" w:hAnsi="Times New Roman"/>
          <w:sz w:val="24"/>
          <w:szCs w:val="24"/>
          <w:rtl w:val="0"/>
        </w:rPr>
        <w:t xml:space="preserve">(7), 1408–1414.</w:t>
      </w:r>
      <w:hyperlink r:id="rId82">
        <w:r w:rsidDel="00000000" w:rsidR="00000000" w:rsidRPr="00000000">
          <w:rPr>
            <w:rFonts w:ascii="Times New Roman" w:cs="Times New Roman" w:eastAsia="Times New Roman" w:hAnsi="Times New Roman"/>
            <w:sz w:val="24"/>
            <w:szCs w:val="24"/>
            <w:rtl w:val="0"/>
          </w:rPr>
          <w:t xml:space="preserve"> </w:t>
        </w:r>
      </w:hyperlink>
      <w:hyperlink r:id="rId83">
        <w:r w:rsidDel="00000000" w:rsidR="00000000" w:rsidRPr="00000000">
          <w:rPr>
            <w:rFonts w:ascii="Times New Roman" w:cs="Times New Roman" w:eastAsia="Times New Roman" w:hAnsi="Times New Roman"/>
            <w:color w:val="1155cc"/>
            <w:sz w:val="24"/>
            <w:szCs w:val="24"/>
            <w:u w:val="single"/>
            <w:rtl w:val="0"/>
          </w:rPr>
          <w:t xml:space="preserve">https://doi.org/10.1093/geronb/gbaa109</w:t>
        </w:r>
      </w:hyperlink>
      <w:r w:rsidDel="00000000" w:rsidR="00000000" w:rsidRPr="00000000">
        <w:rPr>
          <w:rtl w:val="0"/>
        </w:rPr>
      </w:r>
    </w:p>
    <w:p w:rsidR="00000000" w:rsidDel="00000000" w:rsidP="00000000" w:rsidRDefault="00000000" w:rsidRPr="00000000" w14:paraId="00000188">
      <w:pPr>
        <w:spacing w:after="240" w:before="240" w:line="480" w:lineRule="auto"/>
        <w:ind w:left="720.0000000000001" w:hanging="720.0000000000001"/>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Nguyen, T. T. (2022). Spousal caregiver resilience in a nutshell: A directed content analysis in the context of dementia caregiving in Vietnam. </w:t>
      </w:r>
      <w:r w:rsidDel="00000000" w:rsidR="00000000" w:rsidRPr="00000000">
        <w:rPr>
          <w:rFonts w:ascii="Times New Roman" w:cs="Times New Roman" w:eastAsia="Times New Roman" w:hAnsi="Times New Roman"/>
          <w:i w:val="1"/>
          <w:iCs w:val="1"/>
          <w:sz w:val="24"/>
          <w:szCs w:val="24"/>
          <w:rtl w:val="0"/>
        </w:rPr>
        <w:t xml:space="preserve">Dementia, 21</w:t>
      </w:r>
      <w:r w:rsidDel="00000000" w:rsidR="00000000" w:rsidRPr="00000000">
        <w:rPr>
          <w:rFonts w:ascii="Times New Roman" w:cs="Times New Roman" w:eastAsia="Times New Roman" w:hAnsi="Times New Roman"/>
          <w:sz w:val="24"/>
          <w:szCs w:val="24"/>
          <w:rtl w:val="0"/>
        </w:rPr>
        <w:t xml:space="preserve">(6), 1955–1970.</w:t>
      </w:r>
      <w:hyperlink r:id="rId84">
        <w:r w:rsidDel="00000000" w:rsidR="00000000" w:rsidRPr="00000000">
          <w:rPr>
            <w:rFonts w:ascii="Times New Roman" w:cs="Times New Roman" w:eastAsia="Times New Roman" w:hAnsi="Times New Roman"/>
            <w:sz w:val="24"/>
            <w:szCs w:val="24"/>
            <w:rtl w:val="0"/>
          </w:rPr>
          <w:t xml:space="preserve"> </w:t>
        </w:r>
      </w:hyperlink>
      <w:hyperlink r:id="rId85">
        <w:r w:rsidDel="00000000" w:rsidR="00000000" w:rsidRPr="00000000">
          <w:rPr>
            <w:rFonts w:ascii="Times New Roman" w:cs="Times New Roman" w:eastAsia="Times New Roman" w:hAnsi="Times New Roman"/>
            <w:color w:val="1155cc"/>
            <w:sz w:val="24"/>
            <w:szCs w:val="24"/>
            <w:rtl w:val="0"/>
          </w:rPr>
          <w:t xml:space="preserve">https://doi.org/10.1177/14713012221101866</w:t>
        </w:r>
      </w:hyperlink>
      <w:r w:rsidDel="00000000" w:rsidR="00000000" w:rsidRPr="00000000">
        <w:rPr>
          <w:rtl w:val="0"/>
        </w:rPr>
      </w:r>
    </w:p>
    <w:p w:rsidR="00000000" w:rsidDel="00000000" w:rsidP="00000000" w:rsidRDefault="00000000" w:rsidRPr="00000000" w14:paraId="00000189">
      <w:pPr>
        <w:spacing w:after="240" w:before="240" w:line="480" w:lineRule="auto"/>
        <w:ind w:left="720.0000000000001" w:hanging="720.0000000000001"/>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Page, M. J., McKenzie, J. E., Bossuyt, P. M., Boutron, I., Hoffmann, T. C., Mulrow, C. D., ... &amp; Moher, D. (2021). The PRISMA 2020 statement: an updated guideline for reporting systematic reviews. </w:t>
      </w:r>
      <w:r w:rsidDel="00000000" w:rsidR="00000000" w:rsidRPr="00000000">
        <w:rPr>
          <w:rFonts w:ascii="Times New Roman" w:cs="Times New Roman" w:eastAsia="Times New Roman" w:hAnsi="Times New Roman"/>
          <w:i w:val="1"/>
          <w:iCs w:val="1"/>
          <w:color w:val="222222"/>
          <w:sz w:val="24"/>
          <w:szCs w:val="24"/>
          <w:highlight w:val="white"/>
          <w:rtl w:val="0"/>
        </w:rPr>
        <w:t xml:space="preserve">bmj</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iCs w:val="1"/>
          <w:color w:val="222222"/>
          <w:sz w:val="24"/>
          <w:szCs w:val="24"/>
          <w:highlight w:val="white"/>
          <w:rtl w:val="0"/>
        </w:rPr>
        <w:t xml:space="preserve">372</w:t>
      </w:r>
      <w:r w:rsidDel="00000000" w:rsidR="00000000" w:rsidRPr="00000000">
        <w:rPr>
          <w:rFonts w:ascii="Times New Roman" w:cs="Times New Roman" w:eastAsia="Times New Roman" w:hAnsi="Times New Roman"/>
          <w:color w:val="222222"/>
          <w:sz w:val="24"/>
          <w:szCs w:val="24"/>
          <w:highlight w:val="white"/>
          <w:rtl w:val="0"/>
        </w:rPr>
        <w:t xml:space="preserve">. </w:t>
      </w:r>
      <w:hyperlink r:id="rId8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https://doi.org/10.1136/bmj.n71</w:t>
        </w:r>
      </w:hyperlink>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18A">
      <w:pPr>
        <w:spacing w:after="240" w:before="240" w:line="48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Díaz, J. (1998). La demografía y el envejecimiento de las poblaciones. En A. S. Staab &amp; L. C. Hodges (Eds.), </w:t>
      </w:r>
      <w:r w:rsidDel="00000000" w:rsidR="00000000" w:rsidRPr="00000000">
        <w:rPr>
          <w:rFonts w:ascii="Times New Roman" w:cs="Times New Roman" w:eastAsia="Times New Roman" w:hAnsi="Times New Roman"/>
          <w:i w:val="1"/>
          <w:iCs w:val="1"/>
          <w:sz w:val="24"/>
          <w:szCs w:val="24"/>
          <w:rtl w:val="0"/>
        </w:rPr>
        <w:t xml:space="preserve">Enfermería gerontológica</w:t>
      </w:r>
      <w:r w:rsidDel="00000000" w:rsidR="00000000" w:rsidRPr="00000000">
        <w:rPr>
          <w:rFonts w:ascii="Times New Roman" w:cs="Times New Roman" w:eastAsia="Times New Roman" w:hAnsi="Times New Roman"/>
          <w:sz w:val="24"/>
          <w:szCs w:val="24"/>
          <w:rtl w:val="0"/>
        </w:rPr>
        <w:t xml:space="preserve"> (pp. 451–463). McGraw-Hill.</w:t>
      </w:r>
    </w:p>
    <w:p w:rsidR="00000000" w:rsidDel="00000000" w:rsidP="00000000" w:rsidRDefault="00000000" w:rsidRPr="00000000" w14:paraId="0000018B">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Popok, P. J., Reichman, M., LeFeber, L., Grunberg, V. A., Bannon, S. M., &amp; Vranceanu, A.-M. (2022). One diagnosis, two perspectives: Lived experiences of persons with young-onset dementia and their care-partners. </w:t>
      </w:r>
      <w:r w:rsidDel="00000000" w:rsidR="00000000" w:rsidRPr="00000000">
        <w:rPr>
          <w:rFonts w:ascii="Times New Roman" w:cs="Times New Roman" w:eastAsia="Times New Roman" w:hAnsi="Times New Roman"/>
          <w:i w:val="1"/>
          <w:iCs w:val="1"/>
          <w:sz w:val="24"/>
          <w:szCs w:val="24"/>
          <w:rtl w:val="0"/>
        </w:rPr>
        <w:t xml:space="preserve">The Gerontologist, 62</w:t>
      </w:r>
      <w:r w:rsidDel="00000000" w:rsidR="00000000" w:rsidRPr="00000000">
        <w:rPr>
          <w:rFonts w:ascii="Times New Roman" w:cs="Times New Roman" w:eastAsia="Times New Roman" w:hAnsi="Times New Roman"/>
          <w:sz w:val="24"/>
          <w:szCs w:val="24"/>
          <w:rtl w:val="0"/>
        </w:rPr>
        <w:t xml:space="preserve">(9), 1311–1323.</w:t>
      </w:r>
      <w:hyperlink r:id="rId87">
        <w:r w:rsidDel="00000000" w:rsidR="00000000" w:rsidRPr="00000000">
          <w:rPr>
            <w:rFonts w:ascii="Times New Roman" w:cs="Times New Roman" w:eastAsia="Times New Roman" w:hAnsi="Times New Roman"/>
            <w:sz w:val="24"/>
            <w:szCs w:val="24"/>
            <w:rtl w:val="0"/>
          </w:rPr>
          <w:t xml:space="preserve"> </w:t>
        </w:r>
      </w:hyperlink>
      <w:hyperlink r:id="rId88">
        <w:r w:rsidDel="00000000" w:rsidR="00000000" w:rsidRPr="00000000">
          <w:rPr>
            <w:rFonts w:ascii="Times New Roman" w:cs="Times New Roman" w:eastAsia="Times New Roman" w:hAnsi="Times New Roman"/>
            <w:color w:val="1155cc"/>
            <w:sz w:val="24"/>
            <w:szCs w:val="24"/>
            <w:u w:val="single"/>
            <w:rtl w:val="0"/>
          </w:rPr>
          <w:t xml:space="preserve">https://doi.org/10.1093/geront/gnac050</w:t>
        </w:r>
      </w:hyperlink>
      <w:r w:rsidDel="00000000" w:rsidR="00000000" w:rsidRPr="00000000">
        <w:rPr>
          <w:rtl w:val="0"/>
        </w:rPr>
      </w:r>
    </w:p>
    <w:p w:rsidR="00000000" w:rsidDel="00000000" w:rsidP="00000000" w:rsidRDefault="00000000" w:rsidRPr="00000000" w14:paraId="0000018C">
      <w:pPr>
        <w:spacing w:after="240" w:before="240" w:line="48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Rexach, J. A. S., García, Á. B., Martínez, D. P., et al. (2024). Deterioro cognitivo y demencia en mayores: Situación en España. </w:t>
      </w:r>
      <w:r w:rsidDel="00000000" w:rsidR="00000000" w:rsidRPr="00000000">
        <w:rPr>
          <w:rFonts w:ascii="Times New Roman" w:cs="Times New Roman" w:eastAsia="Times New Roman" w:hAnsi="Times New Roman"/>
          <w:i w:val="1"/>
          <w:iCs w:val="1"/>
          <w:sz w:val="24"/>
          <w:szCs w:val="24"/>
          <w:rtl w:val="0"/>
        </w:rPr>
        <w:t xml:space="preserve">Eidon: Revista de la Fundación de Ciencias de la Salud, 62</w:t>
      </w:r>
      <w:r w:rsidDel="00000000" w:rsidR="00000000" w:rsidRPr="00000000">
        <w:rPr>
          <w:rFonts w:ascii="Times New Roman" w:cs="Times New Roman" w:eastAsia="Times New Roman" w:hAnsi="Times New Roman"/>
          <w:sz w:val="24"/>
          <w:szCs w:val="24"/>
          <w:rtl w:val="0"/>
        </w:rPr>
        <w:t xml:space="preserve">, 80–137.</w:t>
      </w:r>
    </w:p>
    <w:p w:rsidR="00000000" w:rsidDel="00000000" w:rsidP="00000000" w:rsidRDefault="00000000" w:rsidRPr="00000000" w14:paraId="0000018D">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Riekkola Carabante, J., Rutberg, S., Lilja, M., &amp; Isaksson, G. (2018). Spousal caregivers’ experiences of participation in everyday life when living in shifting contexts. </w:t>
      </w:r>
      <w:r w:rsidDel="00000000" w:rsidR="00000000" w:rsidRPr="00000000">
        <w:rPr>
          <w:rFonts w:ascii="Times New Roman" w:cs="Times New Roman" w:eastAsia="Times New Roman" w:hAnsi="Times New Roman"/>
          <w:i w:val="1"/>
          <w:iCs w:val="1"/>
          <w:sz w:val="24"/>
          <w:szCs w:val="24"/>
          <w:rtl w:val="0"/>
        </w:rPr>
        <w:t xml:space="preserve">Scandinavian Journal of Occupational Therapy, 25</w:t>
      </w:r>
      <w:r w:rsidDel="00000000" w:rsidR="00000000" w:rsidRPr="00000000">
        <w:rPr>
          <w:rFonts w:ascii="Times New Roman" w:cs="Times New Roman" w:eastAsia="Times New Roman" w:hAnsi="Times New Roman"/>
          <w:sz w:val="24"/>
          <w:szCs w:val="24"/>
          <w:rtl w:val="0"/>
        </w:rPr>
        <w:t xml:space="preserve">(6), 457–465.</w:t>
      </w:r>
      <w:hyperlink r:id="rId89">
        <w:r w:rsidDel="00000000" w:rsidR="00000000" w:rsidRPr="00000000">
          <w:rPr>
            <w:rFonts w:ascii="Times New Roman" w:cs="Times New Roman" w:eastAsia="Times New Roman" w:hAnsi="Times New Roman"/>
            <w:sz w:val="24"/>
            <w:szCs w:val="24"/>
            <w:rtl w:val="0"/>
          </w:rPr>
          <w:t xml:space="preserve"> </w:t>
        </w:r>
      </w:hyperlink>
      <w:hyperlink r:id="rId90">
        <w:r w:rsidDel="00000000" w:rsidR="00000000" w:rsidRPr="00000000">
          <w:rPr>
            <w:rFonts w:ascii="Times New Roman" w:cs="Times New Roman" w:eastAsia="Times New Roman" w:hAnsi="Times New Roman"/>
            <w:color w:val="1155cc"/>
            <w:sz w:val="24"/>
            <w:szCs w:val="24"/>
            <w:u w:val="single"/>
            <w:rtl w:val="0"/>
          </w:rPr>
          <w:t xml:space="preserve">https://doi.org/10.1080/11038128.2017.1337810</w:t>
        </w:r>
      </w:hyperlink>
      <w:r w:rsidDel="00000000" w:rsidR="00000000" w:rsidRPr="00000000">
        <w:rPr>
          <w:rtl w:val="0"/>
        </w:rPr>
      </w:r>
    </w:p>
    <w:p w:rsidR="00000000" w:rsidDel="00000000" w:rsidP="00000000" w:rsidRDefault="00000000" w:rsidRPr="00000000" w14:paraId="0000018E">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Rokstad, A. M. M., Røsvik, J., Fossberg, M., &amp; Eriksen, S. (2021). The COVID-19 pandemic as experienced by the spouses of home-dwelling people with dementia – A qualitative study. </w:t>
      </w:r>
      <w:r w:rsidDel="00000000" w:rsidR="00000000" w:rsidRPr="00000000">
        <w:rPr>
          <w:rFonts w:ascii="Times New Roman" w:cs="Times New Roman" w:eastAsia="Times New Roman" w:hAnsi="Times New Roman"/>
          <w:i w:val="1"/>
          <w:iCs w:val="1"/>
          <w:sz w:val="24"/>
          <w:szCs w:val="24"/>
          <w:rtl w:val="0"/>
        </w:rPr>
        <w:t xml:space="preserve">BMC Geriatrics, 21</w:t>
      </w:r>
      <w:r w:rsidDel="00000000" w:rsidR="00000000" w:rsidRPr="00000000">
        <w:rPr>
          <w:rFonts w:ascii="Times New Roman" w:cs="Times New Roman" w:eastAsia="Times New Roman" w:hAnsi="Times New Roman"/>
          <w:sz w:val="24"/>
          <w:szCs w:val="24"/>
          <w:rtl w:val="0"/>
        </w:rPr>
        <w:t xml:space="preserve">, 583.</w:t>
      </w:r>
      <w:hyperlink r:id="rId91">
        <w:r w:rsidDel="00000000" w:rsidR="00000000" w:rsidRPr="00000000">
          <w:rPr>
            <w:rFonts w:ascii="Times New Roman" w:cs="Times New Roman" w:eastAsia="Times New Roman" w:hAnsi="Times New Roman"/>
            <w:sz w:val="24"/>
            <w:szCs w:val="24"/>
            <w:rtl w:val="0"/>
          </w:rPr>
          <w:t xml:space="preserve"> </w:t>
        </w:r>
      </w:hyperlink>
      <w:hyperlink r:id="rId92">
        <w:r w:rsidDel="00000000" w:rsidR="00000000" w:rsidRPr="00000000">
          <w:rPr>
            <w:rFonts w:ascii="Times New Roman" w:cs="Times New Roman" w:eastAsia="Times New Roman" w:hAnsi="Times New Roman"/>
            <w:color w:val="1155cc"/>
            <w:sz w:val="24"/>
            <w:szCs w:val="24"/>
            <w:u w:val="single"/>
            <w:rtl w:val="0"/>
          </w:rPr>
          <w:t xml:space="preserve">https://doi.org/10.1186/s12877-021-02551-w</w:t>
        </w:r>
      </w:hyperlink>
      <w:r w:rsidDel="00000000" w:rsidR="00000000" w:rsidRPr="00000000">
        <w:rPr>
          <w:rtl w:val="0"/>
        </w:rPr>
      </w:r>
    </w:p>
    <w:p w:rsidR="00000000" w:rsidDel="00000000" w:rsidP="00000000" w:rsidRDefault="00000000" w:rsidRPr="00000000" w14:paraId="0000018F">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Rykkje, L., &amp; Tranvåg, O. (2019). Caring for one’s wife with dementia—at home: Older husbands’ experiences with managing challenges of everyday life. </w:t>
      </w:r>
      <w:r w:rsidDel="00000000" w:rsidR="00000000" w:rsidRPr="00000000">
        <w:rPr>
          <w:rFonts w:ascii="Times New Roman" w:cs="Times New Roman" w:eastAsia="Times New Roman" w:hAnsi="Times New Roman"/>
          <w:i w:val="1"/>
          <w:iCs w:val="1"/>
          <w:sz w:val="24"/>
          <w:szCs w:val="24"/>
          <w:rtl w:val="0"/>
        </w:rPr>
        <w:t xml:space="preserve">SAGE Open, 9</w:t>
      </w:r>
      <w:r w:rsidDel="00000000" w:rsidR="00000000" w:rsidRPr="00000000">
        <w:rPr>
          <w:rFonts w:ascii="Times New Roman" w:cs="Times New Roman" w:eastAsia="Times New Roman" w:hAnsi="Times New Roman"/>
          <w:sz w:val="24"/>
          <w:szCs w:val="24"/>
          <w:rtl w:val="0"/>
        </w:rPr>
        <w:t xml:space="preserve">(1), 2158244019834453.</w:t>
      </w:r>
      <w:hyperlink r:id="rId93">
        <w:r w:rsidDel="00000000" w:rsidR="00000000" w:rsidRPr="00000000">
          <w:rPr>
            <w:rFonts w:ascii="Times New Roman" w:cs="Times New Roman" w:eastAsia="Times New Roman" w:hAnsi="Times New Roman"/>
            <w:sz w:val="24"/>
            <w:szCs w:val="24"/>
            <w:rtl w:val="0"/>
          </w:rPr>
          <w:t xml:space="preserve"> </w:t>
        </w:r>
      </w:hyperlink>
      <w:hyperlink r:id="rId94">
        <w:r w:rsidDel="00000000" w:rsidR="00000000" w:rsidRPr="00000000">
          <w:rPr>
            <w:rFonts w:ascii="Times New Roman" w:cs="Times New Roman" w:eastAsia="Times New Roman" w:hAnsi="Times New Roman"/>
            <w:color w:val="1155cc"/>
            <w:sz w:val="24"/>
            <w:szCs w:val="24"/>
            <w:u w:val="single"/>
            <w:rtl w:val="0"/>
          </w:rPr>
          <w:t xml:space="preserve">https://doi.org/10.1177/2158244019834453</w:t>
        </w:r>
      </w:hyperlink>
      <w:r w:rsidDel="00000000" w:rsidR="00000000" w:rsidRPr="00000000">
        <w:rPr>
          <w:rtl w:val="0"/>
        </w:rPr>
      </w:r>
    </w:p>
    <w:p w:rsidR="00000000" w:rsidDel="00000000" w:rsidP="00000000" w:rsidRDefault="00000000" w:rsidRPr="00000000" w14:paraId="00000190">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Sinclair, C., Gersbach, K., Hogan, M., et al. (2018). How couples with dementia experience healthcare, lifestyle, and everyday decision-making. </w:t>
      </w:r>
      <w:r w:rsidDel="00000000" w:rsidR="00000000" w:rsidRPr="00000000">
        <w:rPr>
          <w:rFonts w:ascii="Times New Roman" w:cs="Times New Roman" w:eastAsia="Times New Roman" w:hAnsi="Times New Roman"/>
          <w:i w:val="1"/>
          <w:iCs w:val="1"/>
          <w:sz w:val="24"/>
          <w:szCs w:val="24"/>
          <w:rtl w:val="0"/>
        </w:rPr>
        <w:t xml:space="preserve">International Psychogeriatrics, 30</w:t>
      </w:r>
      <w:r w:rsidDel="00000000" w:rsidR="00000000" w:rsidRPr="00000000">
        <w:rPr>
          <w:rFonts w:ascii="Times New Roman" w:cs="Times New Roman" w:eastAsia="Times New Roman" w:hAnsi="Times New Roman"/>
          <w:sz w:val="24"/>
          <w:szCs w:val="24"/>
          <w:rtl w:val="0"/>
        </w:rPr>
        <w:t xml:space="preserve">(11), 1639–1647.</w:t>
      </w:r>
      <w:hyperlink r:id="rId95">
        <w:r w:rsidDel="00000000" w:rsidR="00000000" w:rsidRPr="00000000">
          <w:rPr>
            <w:rFonts w:ascii="Times New Roman" w:cs="Times New Roman" w:eastAsia="Times New Roman" w:hAnsi="Times New Roman"/>
            <w:sz w:val="24"/>
            <w:szCs w:val="24"/>
            <w:rtl w:val="0"/>
          </w:rPr>
          <w:t xml:space="preserve"> </w:t>
        </w:r>
      </w:hyperlink>
      <w:hyperlink r:id="rId96">
        <w:r w:rsidDel="00000000" w:rsidR="00000000" w:rsidRPr="00000000">
          <w:rPr>
            <w:rFonts w:ascii="Times New Roman" w:cs="Times New Roman" w:eastAsia="Times New Roman" w:hAnsi="Times New Roman"/>
            <w:color w:val="1155cc"/>
            <w:sz w:val="24"/>
            <w:szCs w:val="24"/>
            <w:u w:val="single"/>
            <w:rtl w:val="0"/>
          </w:rPr>
          <w:t xml:space="preserve">https://doi.org/10.1017/S1041610218000741</w:t>
        </w:r>
      </w:hyperlink>
      <w:r w:rsidDel="00000000" w:rsidR="00000000" w:rsidRPr="00000000">
        <w:rPr>
          <w:rtl w:val="0"/>
        </w:rPr>
      </w:r>
    </w:p>
    <w:p w:rsidR="00000000" w:rsidDel="00000000" w:rsidP="00000000" w:rsidRDefault="00000000" w:rsidRPr="00000000" w14:paraId="00000191">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Sweeney, M. M., &amp; Replogle, E. M. (2002). Marital relationships. En </w:t>
      </w:r>
      <w:r w:rsidDel="00000000" w:rsidR="00000000" w:rsidRPr="00000000">
        <w:rPr>
          <w:rFonts w:ascii="Times New Roman" w:cs="Times New Roman" w:eastAsia="Times New Roman" w:hAnsi="Times New Roman"/>
          <w:i w:val="1"/>
          <w:iCs w:val="1"/>
          <w:sz w:val="24"/>
          <w:szCs w:val="24"/>
          <w:rtl w:val="0"/>
        </w:rPr>
        <w:t xml:space="preserve">Encyclopedia of Aging</w:t>
      </w:r>
      <w:r w:rsidDel="00000000" w:rsidR="00000000" w:rsidRPr="00000000">
        <w:rPr>
          <w:rFonts w:ascii="Times New Roman" w:cs="Times New Roman" w:eastAsia="Times New Roman" w:hAnsi="Times New Roman"/>
          <w:sz w:val="24"/>
          <w:szCs w:val="24"/>
          <w:rtl w:val="0"/>
        </w:rPr>
        <w:t xml:space="preserve">.</w:t>
      </w:r>
      <w:hyperlink r:id="rId97">
        <w:r w:rsidDel="00000000" w:rsidR="00000000" w:rsidRPr="00000000">
          <w:rPr>
            <w:rFonts w:ascii="Times New Roman" w:cs="Times New Roman" w:eastAsia="Times New Roman" w:hAnsi="Times New Roman"/>
            <w:sz w:val="24"/>
            <w:szCs w:val="24"/>
            <w:rtl w:val="0"/>
          </w:rPr>
          <w:t xml:space="preserve"> </w:t>
        </w:r>
      </w:hyperlink>
      <w:hyperlink r:id="rId98">
        <w:r w:rsidDel="00000000" w:rsidR="00000000" w:rsidRPr="00000000">
          <w:rPr>
            <w:rFonts w:ascii="Times New Roman" w:cs="Times New Roman" w:eastAsia="Times New Roman" w:hAnsi="Times New Roman"/>
            <w:color w:val="1155cc"/>
            <w:sz w:val="24"/>
            <w:szCs w:val="24"/>
            <w:u w:val="single"/>
            <w:rtl w:val="0"/>
          </w:rPr>
          <w:t xml:space="preserve">https://www.encyclopedia.com/education/encyclopedias-almanacs-transcripts-and-maps/marital-relationships</w:t>
        </w:r>
      </w:hyperlink>
      <w:r w:rsidDel="00000000" w:rsidR="00000000" w:rsidRPr="00000000">
        <w:rPr>
          <w:rtl w:val="0"/>
        </w:rPr>
      </w:r>
    </w:p>
    <w:p w:rsidR="00000000" w:rsidDel="00000000" w:rsidP="00000000" w:rsidRDefault="00000000" w:rsidRPr="00000000" w14:paraId="00000192">
      <w:pPr>
        <w:spacing w:after="240" w:before="240" w:line="48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Tapia Villanueva, L. (2014). Terapia de pareja y sexualidad: Entre el cuidado y el deseo. En </w:t>
      </w:r>
      <w:r w:rsidDel="00000000" w:rsidR="00000000" w:rsidRPr="00000000">
        <w:rPr>
          <w:rFonts w:ascii="Times New Roman" w:cs="Times New Roman" w:eastAsia="Times New Roman" w:hAnsi="Times New Roman"/>
          <w:i w:val="1"/>
          <w:iCs w:val="1"/>
          <w:sz w:val="24"/>
          <w:szCs w:val="24"/>
          <w:rtl w:val="0"/>
        </w:rPr>
        <w:t xml:space="preserve">Entendiendo a la pareja: Marcos teóricos para el trabajo terapéutico</w:t>
      </w:r>
      <w:r w:rsidDel="00000000" w:rsidR="00000000" w:rsidRPr="00000000">
        <w:rPr>
          <w:rFonts w:ascii="Times New Roman" w:cs="Times New Roman" w:eastAsia="Times New Roman" w:hAnsi="Times New Roman"/>
          <w:sz w:val="24"/>
          <w:szCs w:val="24"/>
          <w:rtl w:val="0"/>
        </w:rPr>
        <w:t xml:space="preserve"> (p. 110). Editorial Pax México.</w:t>
      </w:r>
    </w:p>
    <w:p w:rsidR="00000000" w:rsidDel="00000000" w:rsidP="00000000" w:rsidRDefault="00000000" w:rsidRPr="00000000" w14:paraId="00000193">
      <w:pPr>
        <w:spacing w:after="240" w:before="240" w:line="480" w:lineRule="auto"/>
        <w:ind w:left="720.0000000000001" w:hanging="720.0000000000001"/>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Villarejo Galende, A., Eimil Ortiz, M., Llamas Velasco, S., Llanero Luque, M., López de Silanes de Miguel, C., &amp; Prieto Jurczynska, C. (2021). Informe de la Fundación del Cerebro: Impacto social de la enfermedad de Alzheimer y otras demencias. </w:t>
      </w:r>
      <w:r w:rsidDel="00000000" w:rsidR="00000000" w:rsidRPr="00000000">
        <w:rPr>
          <w:rFonts w:ascii="Times New Roman" w:cs="Times New Roman" w:eastAsia="Times New Roman" w:hAnsi="Times New Roman"/>
          <w:i w:val="1"/>
          <w:iCs w:val="1"/>
          <w:sz w:val="24"/>
          <w:szCs w:val="24"/>
          <w:rtl w:val="0"/>
        </w:rPr>
        <w:t xml:space="preserve">Neurología, 36</w:t>
      </w:r>
      <w:r w:rsidDel="00000000" w:rsidR="00000000" w:rsidRPr="00000000">
        <w:rPr>
          <w:rFonts w:ascii="Times New Roman" w:cs="Times New Roman" w:eastAsia="Times New Roman" w:hAnsi="Times New Roman"/>
          <w:sz w:val="24"/>
          <w:szCs w:val="24"/>
          <w:rtl w:val="0"/>
        </w:rPr>
        <w:t xml:space="preserve">(1), 39–49.</w:t>
      </w:r>
      <w:hyperlink r:id="rId99">
        <w:r w:rsidDel="00000000" w:rsidR="00000000" w:rsidRPr="00000000">
          <w:rPr>
            <w:rFonts w:ascii="Times New Roman" w:cs="Times New Roman" w:eastAsia="Times New Roman" w:hAnsi="Times New Roman"/>
            <w:sz w:val="24"/>
            <w:szCs w:val="24"/>
            <w:rtl w:val="0"/>
          </w:rPr>
          <w:t xml:space="preserve"> </w:t>
        </w:r>
      </w:hyperlink>
      <w:hyperlink r:id="rId100">
        <w:r w:rsidDel="00000000" w:rsidR="00000000" w:rsidRPr="00000000">
          <w:rPr>
            <w:rFonts w:ascii="Times New Roman" w:cs="Times New Roman" w:eastAsia="Times New Roman" w:hAnsi="Times New Roman"/>
            <w:color w:val="1155cc"/>
            <w:sz w:val="24"/>
            <w:szCs w:val="24"/>
            <w:u w:val="single"/>
            <w:rtl w:val="0"/>
          </w:rPr>
          <w:t xml:space="preserve">https://doi.org/10.1016/j.nrl.2017.10.005</w:t>
        </w:r>
      </w:hyperlink>
      <w:r w:rsidDel="00000000" w:rsidR="00000000" w:rsidRPr="00000000">
        <w:rPr>
          <w:rtl w:val="0"/>
        </w:rPr>
      </w:r>
    </w:p>
    <w:p w:rsidR="00000000" w:rsidDel="00000000" w:rsidP="00000000" w:rsidRDefault="00000000" w:rsidRPr="00000000" w14:paraId="00000194">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5">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6">
      <w:pPr>
        <w:spacing w:after="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Anexos</w:t>
      </w:r>
    </w:p>
    <w:p w:rsidR="00000000" w:rsidDel="00000000" w:rsidP="00000000" w:rsidRDefault="00000000" w:rsidRPr="00000000" w14:paraId="00000197">
      <w:pPr>
        <w:spacing w:after="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A</w:t>
      </w:r>
    </w:p>
    <w:p w:rsidR="00000000" w:rsidDel="00000000" w:rsidP="00000000" w:rsidRDefault="00000000" w:rsidRPr="00000000" w14:paraId="00000198">
      <w:pPr>
        <w:spacing w:after="240" w:before="240"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Evaluación de la calidad de los estudios incluidos</w:t>
      </w:r>
    </w:p>
    <w:tbl>
      <w:tblPr>
        <w:tblStyle w:val="Table4"/>
        <w:tblpPr w:leftFromText="180" w:rightFromText="180" w:topFromText="180" w:bottomFromText="180" w:vertAnchor="text" w:horzAnchor="text" w:tblpX="0" w:tblpY="0"/>
        <w:tblW w:w="7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420"/>
        <w:gridCol w:w="435"/>
        <w:gridCol w:w="420"/>
        <w:gridCol w:w="390"/>
        <w:gridCol w:w="435"/>
        <w:gridCol w:w="1380"/>
        <w:gridCol w:w="645"/>
        <w:gridCol w:w="540"/>
        <w:gridCol w:w="510"/>
        <w:gridCol w:w="570"/>
        <w:tblGridChange w:id="0">
          <w:tblGrid>
            <w:gridCol w:w="1860"/>
            <w:gridCol w:w="420"/>
            <w:gridCol w:w="435"/>
            <w:gridCol w:w="420"/>
            <w:gridCol w:w="390"/>
            <w:gridCol w:w="435"/>
            <w:gridCol w:w="1380"/>
            <w:gridCol w:w="645"/>
            <w:gridCol w:w="540"/>
            <w:gridCol w:w="510"/>
            <w:gridCol w:w="570"/>
          </w:tblGrid>
        </w:tblGridChange>
      </w:tblGrid>
      <w:tr>
        <w:trPr>
          <w:cantSplit w:val="0"/>
          <w:trHeight w:val="403.9804687500873" w:hRule="atLeast"/>
          <w:tblHeader w:val="0"/>
        </w:trPr>
        <w:tc>
          <w:tcPr>
            <w:tcBorders>
              <w:left w:color="ffffff" w:space="0" w:sz="8" w:val="single"/>
              <w:right w:color="ffffff" w:space="0" w:sz="8" w:val="single"/>
            </w:tcBorders>
          </w:tcPr>
          <w:p w:rsidR="00000000" w:rsidDel="00000000" w:rsidP="00000000" w:rsidRDefault="00000000" w:rsidRPr="00000000" w14:paraId="00000199">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Estudio</w:t>
            </w:r>
          </w:p>
        </w:tc>
        <w:tc>
          <w:tcPr>
            <w:tcBorders>
              <w:left w:color="ffffff" w:space="0" w:sz="8" w:val="single"/>
              <w:right w:color="ffffff" w:space="0" w:sz="8" w:val="single"/>
            </w:tcBorders>
          </w:tcPr>
          <w:p w:rsidR="00000000" w:rsidDel="00000000" w:rsidP="00000000" w:rsidRDefault="00000000" w:rsidRPr="00000000" w14:paraId="0000019A">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tcBorders>
              <w:left w:color="ffffff" w:space="0" w:sz="8" w:val="single"/>
              <w:right w:color="ffffff" w:space="0" w:sz="8" w:val="single"/>
            </w:tcBorders>
          </w:tcPr>
          <w:p w:rsidR="00000000" w:rsidDel="00000000" w:rsidP="00000000" w:rsidRDefault="00000000" w:rsidRPr="00000000" w14:paraId="0000019B">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tcBorders>
              <w:left w:color="ffffff" w:space="0" w:sz="8" w:val="single"/>
              <w:right w:color="ffffff" w:space="0" w:sz="8" w:val="single"/>
            </w:tcBorders>
          </w:tcPr>
          <w:p w:rsidR="00000000" w:rsidDel="00000000" w:rsidP="00000000" w:rsidRDefault="00000000" w:rsidRPr="00000000" w14:paraId="0000019C">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tcBorders>
              <w:left w:color="ffffff" w:space="0" w:sz="8" w:val="single"/>
              <w:right w:color="ffffff" w:space="0" w:sz="8" w:val="single"/>
            </w:tcBorders>
          </w:tcPr>
          <w:p w:rsidR="00000000" w:rsidDel="00000000" w:rsidP="00000000" w:rsidRDefault="00000000" w:rsidRPr="00000000" w14:paraId="0000019D">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tcBorders>
              <w:left w:color="ffffff" w:space="0" w:sz="8" w:val="single"/>
              <w:right w:color="ffffff" w:space="0" w:sz="8" w:val="single"/>
            </w:tcBorders>
          </w:tcPr>
          <w:p w:rsidR="00000000" w:rsidDel="00000000" w:rsidP="00000000" w:rsidRDefault="00000000" w:rsidRPr="00000000" w14:paraId="0000019E">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tcBorders>
              <w:left w:color="ffffff" w:space="0" w:sz="8" w:val="single"/>
              <w:right w:color="ffffff" w:space="0" w:sz="8" w:val="single"/>
            </w:tcBorders>
          </w:tcPr>
          <w:p w:rsidR="00000000" w:rsidDel="00000000" w:rsidP="00000000" w:rsidRDefault="00000000" w:rsidRPr="00000000" w14:paraId="0000019F">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w:t>
            </w:r>
          </w:p>
        </w:tc>
        <w:tc>
          <w:tcPr>
            <w:tcBorders>
              <w:left w:color="ffffff" w:space="0" w:sz="8" w:val="single"/>
              <w:right w:color="ffffff" w:space="0" w:sz="8" w:val="single"/>
            </w:tcBorders>
          </w:tcPr>
          <w:p w:rsidR="00000000" w:rsidDel="00000000" w:rsidP="00000000" w:rsidRDefault="00000000" w:rsidRPr="00000000" w14:paraId="000001A0">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7.</w:t>
            </w:r>
          </w:p>
        </w:tc>
        <w:tc>
          <w:tcPr>
            <w:tcBorders>
              <w:left w:color="ffffff" w:space="0" w:sz="8" w:val="single"/>
              <w:right w:color="ffffff" w:space="0" w:sz="8" w:val="single"/>
            </w:tcBorders>
          </w:tcPr>
          <w:p w:rsidR="00000000" w:rsidDel="00000000" w:rsidP="00000000" w:rsidRDefault="00000000" w:rsidRPr="00000000" w14:paraId="000001A1">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8.</w:t>
            </w:r>
          </w:p>
        </w:tc>
        <w:tc>
          <w:tcPr>
            <w:tcBorders>
              <w:left w:color="ffffff" w:space="0" w:sz="8" w:val="single"/>
              <w:right w:color="ffffff" w:space="0" w:sz="8" w:val="single"/>
            </w:tcBorders>
          </w:tcPr>
          <w:p w:rsidR="00000000" w:rsidDel="00000000" w:rsidP="00000000" w:rsidRDefault="00000000" w:rsidRPr="00000000" w14:paraId="000001A2">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w:t>
            </w:r>
          </w:p>
        </w:tc>
        <w:tc>
          <w:tcPr>
            <w:tcBorders>
              <w:left w:color="ffffff" w:space="0" w:sz="8" w:val="single"/>
              <w:right w:color="ffffff" w:space="0" w:sz="8" w:val="single"/>
            </w:tcBorders>
          </w:tcPr>
          <w:p w:rsidR="00000000" w:rsidDel="00000000" w:rsidP="00000000" w:rsidRDefault="00000000" w:rsidRPr="00000000" w14:paraId="000001A3">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w:t>
            </w:r>
          </w:p>
        </w:tc>
      </w:tr>
      <w:tr>
        <w:trPr>
          <w:cantSplit w:val="0"/>
          <w:tblHeader w:val="0"/>
        </w:trPr>
        <w:tc>
          <w:tcPr>
            <w:tcBorders>
              <w:left w:color="fafafa" w:space="0" w:sz="8" w:val="single"/>
              <w:bottom w:color="ffffff" w:space="0" w:sz="8" w:val="single"/>
              <w:right w:color="fafafa" w:space="0" w:sz="8" w:val="single"/>
            </w:tcBorders>
          </w:tcPr>
          <w:p w:rsidR="00000000" w:rsidDel="00000000" w:rsidP="00000000" w:rsidRDefault="00000000" w:rsidRPr="00000000" w14:paraId="000001A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Chan et al. (2019)</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afafa" w:space="0" w:sz="8" w:val="single"/>
            </w:tcBorders>
          </w:tcPr>
          <w:p w:rsidR="00000000" w:rsidDel="00000000" w:rsidP="00000000" w:rsidRDefault="00000000" w:rsidRPr="00000000" w14:paraId="000001A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left w:color="fafafa" w:space="0" w:sz="8" w:val="single"/>
              <w:bottom w:color="ffffff" w:space="0" w:sz="8" w:val="single"/>
              <w:right w:color="ffffff" w:space="0" w:sz="8" w:val="single"/>
            </w:tcBorders>
          </w:tcPr>
          <w:p w:rsidR="00000000" w:rsidDel="00000000" w:rsidP="00000000" w:rsidRDefault="00000000" w:rsidRPr="00000000" w14:paraId="000001A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A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Rokstad et al. (2021)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Band-Winterstein, T., &amp; Avieli, H. (2019)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B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Sinclair et al. (2018)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C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Benbow et al. (2019)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p w:rsidR="00000000" w:rsidDel="00000000" w:rsidP="00000000" w:rsidRDefault="00000000" w:rsidRPr="00000000" w14:paraId="000001D9">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Clark et al. (2019)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D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rHeight w:val="184"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Hammar et al. (2021)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E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Popok et al. (2022)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Rykkje &amp; Tranvåg (2019)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F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Riekkola Carabante et al. (2018)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0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1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1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21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r>
        <w:trPr>
          <w:cantSplit w:val="0"/>
          <w:tblHeader w:val="0"/>
        </w:trPr>
        <w:tc>
          <w:tcPr>
            <w:tcBorders>
              <w:top w:color="ffffff" w:space="0" w:sz="8" w:val="single"/>
              <w:left w:color="ffffff" w:space="0" w:sz="8" w:val="single"/>
              <w:right w:color="ffffff" w:space="0" w:sz="8" w:val="single"/>
            </w:tcBorders>
          </w:tcPr>
          <w:p w:rsidR="00000000" w:rsidDel="00000000" w:rsidP="00000000" w:rsidRDefault="00000000" w:rsidRPr="00000000" w14:paraId="0000021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Helvik et al (2024)</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se puede determinar</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c>
          <w:tcPr>
            <w:tcBorders>
              <w:top w:color="ffffff" w:space="0" w:sz="8" w:val="single"/>
              <w:left w:color="ffffff" w:space="0" w:sz="8" w:val="single"/>
              <w:right w:color="ffffff" w:space="0" w:sz="8" w:val="single"/>
            </w:tcBorders>
          </w:tcPr>
          <w:p w:rsidR="00000000" w:rsidDel="00000000" w:rsidP="00000000" w:rsidRDefault="00000000" w:rsidRPr="00000000" w14:paraId="0000021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w:t>
            </w:r>
          </w:p>
        </w:tc>
      </w:tr>
    </w:tbl>
    <w:p w:rsidR="00000000" w:rsidDel="00000000" w:rsidP="00000000" w:rsidRDefault="00000000" w:rsidRPr="00000000" w14:paraId="000002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1">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2">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3">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4">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5">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6">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7">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8">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9">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A">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B">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C">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B</w:t>
      </w:r>
    </w:p>
    <w:p w:rsidR="00000000" w:rsidDel="00000000" w:rsidP="00000000" w:rsidRDefault="00000000" w:rsidRPr="00000000" w14:paraId="0000022D">
      <w:pPr>
        <w:spacing w:after="240" w:before="240"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Declaración del uso de herramientas de inteligencia artificial generativa</w:t>
      </w:r>
    </w:p>
    <w:p w:rsidR="00000000" w:rsidDel="00000000" w:rsidP="00000000" w:rsidRDefault="00000000" w:rsidRPr="00000000" w14:paraId="0000022E">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del trabajo: La vida en pareja ante la demencia, cambios en la experiencia cotidiana: una revisión sistemática.</w:t>
      </w:r>
    </w:p>
    <w:p w:rsidR="00000000" w:rsidDel="00000000" w:rsidP="00000000" w:rsidRDefault="00000000" w:rsidRPr="00000000" w14:paraId="0000022F">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Claudia Martínez Castrillo</w:t>
      </w:r>
    </w:p>
    <w:p w:rsidR="00000000" w:rsidDel="00000000" w:rsidP="00000000" w:rsidRDefault="00000000" w:rsidRPr="00000000" w14:paraId="00000230">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DNI/Alumno/a: 05456367P</w:t>
      </w:r>
    </w:p>
    <w:p w:rsidR="00000000" w:rsidDel="00000000" w:rsidP="00000000" w:rsidRDefault="00000000" w:rsidRPr="00000000" w14:paraId="00000231">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del Director/a de TFM: José Adrián Fernandes Pires</w:t>
      </w:r>
    </w:p>
    <w:p w:rsidR="00000000" w:rsidDel="00000000" w:rsidP="00000000" w:rsidRDefault="00000000" w:rsidRPr="00000000" w14:paraId="00000232">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del Máster: Máster en Psicología General Sanitaria </w:t>
      </w:r>
    </w:p>
    <w:p w:rsidR="00000000" w:rsidDel="00000000" w:rsidP="00000000" w:rsidRDefault="00000000" w:rsidRPr="00000000" w14:paraId="00000233">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Coordinador/a de TFM:  Pablo Fernández Cáncer</w:t>
      </w:r>
    </w:p>
    <w:p w:rsidR="00000000" w:rsidDel="00000000" w:rsidP="00000000" w:rsidRDefault="00000000" w:rsidRPr="00000000" w14:paraId="00000234">
      <w:pPr>
        <w:shd w:fill="ffffff" w:val="clea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Mediante la presente, declaro que en la elaboración del trabajo arriba indicado he utilizado herramientas de Inteligencia Artificial Generativa en las siguientes fases (</w:t>
      </w:r>
      <w:r w:rsidDel="00000000" w:rsidR="00000000" w:rsidRPr="00000000">
        <w:rPr>
          <w:rFonts w:ascii="Times New Roman" w:cs="Times New Roman" w:eastAsia="Times New Roman" w:hAnsi="Times New Roman"/>
          <w:b w:val="1"/>
          <w:bCs w:val="1"/>
          <w:sz w:val="24"/>
          <w:szCs w:val="24"/>
          <w:rtl w:val="0"/>
        </w:rPr>
        <w:t xml:space="preserve">marcar y describir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5">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Búsqueda y localización de bibliografía: [indicar herramienta(s) y breve descripción del uso y prompts]. </w:t>
      </w:r>
    </w:p>
    <w:p w:rsidR="00000000" w:rsidDel="00000000" w:rsidP="00000000" w:rsidRDefault="00000000" w:rsidRPr="00000000" w14:paraId="00000236">
      <w:pPr>
        <w:numPr>
          <w:ilvl w:val="0"/>
          <w:numId w:val="1"/>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 GPT, Notebook LM. </w:t>
      </w:r>
    </w:p>
    <w:p w:rsidR="00000000" w:rsidDel="00000000" w:rsidP="00000000" w:rsidRDefault="00000000" w:rsidRPr="00000000" w14:paraId="00000237">
      <w:pPr>
        <w:numPr>
          <w:ilvl w:val="0"/>
          <w:numId w:val="1"/>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para ampliar la búsqueda bibliográfica además de la realizada en las bases de datos. </w:t>
      </w:r>
      <w:r w:rsidDel="00000000" w:rsidR="00000000" w:rsidRPr="00000000">
        <w:rPr>
          <w:rFonts w:ascii="Times New Roman" w:cs="Times New Roman" w:eastAsia="Times New Roman" w:hAnsi="Times New Roman"/>
          <w:i w:val="1"/>
          <w:iCs w:val="1"/>
          <w:sz w:val="24"/>
          <w:szCs w:val="24"/>
          <w:rtl w:val="0"/>
        </w:rPr>
        <w:t xml:space="preserve">Busca artículos en bases de datos científicas relacionados con…</w:t>
      </w:r>
      <w:r w:rsidDel="00000000" w:rsidR="00000000" w:rsidRPr="00000000">
        <w:rPr>
          <w:rtl w:val="0"/>
        </w:rPr>
      </w:r>
    </w:p>
    <w:p w:rsidR="00000000" w:rsidDel="00000000" w:rsidP="00000000" w:rsidRDefault="00000000" w:rsidRPr="00000000" w14:paraId="00000238">
      <w:pPr>
        <w:numPr>
          <w:ilvl w:val="0"/>
          <w:numId w:val="1"/>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para rectificar la ecuación de búsqueda. </w:t>
      </w:r>
      <w:r w:rsidDel="00000000" w:rsidR="00000000" w:rsidRPr="00000000">
        <w:rPr>
          <w:rFonts w:ascii="Times New Roman" w:cs="Times New Roman" w:eastAsia="Times New Roman" w:hAnsi="Times New Roman"/>
          <w:i w:val="1"/>
          <w:iCs w:val="1"/>
          <w:sz w:val="24"/>
          <w:szCs w:val="24"/>
          <w:rtl w:val="0"/>
        </w:rPr>
        <w:t xml:space="preserve">Ajusta la ecuación de búsqueda para x base de datos</w:t>
      </w:r>
      <w:r w:rsidDel="00000000" w:rsidR="00000000" w:rsidRPr="00000000">
        <w:rPr>
          <w:rtl w:val="0"/>
        </w:rPr>
      </w:r>
    </w:p>
    <w:p w:rsidR="00000000" w:rsidDel="00000000" w:rsidP="00000000" w:rsidRDefault="00000000" w:rsidRPr="00000000" w14:paraId="00000239">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Resumen/ayuda para comprensión de textos: [indicar herramienta(s) y breve descripción del uso y prompts]. </w:t>
      </w:r>
    </w:p>
    <w:p w:rsidR="00000000" w:rsidDel="00000000" w:rsidP="00000000" w:rsidRDefault="00000000" w:rsidRPr="00000000" w14:paraId="0000023A">
      <w:pPr>
        <w:numPr>
          <w:ilvl w:val="0"/>
          <w:numId w:val="3"/>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 GPT y Notebook LM.</w:t>
      </w:r>
    </w:p>
    <w:p w:rsidR="00000000" w:rsidDel="00000000" w:rsidP="00000000" w:rsidRDefault="00000000" w:rsidRPr="00000000" w14:paraId="0000023B">
      <w:pPr>
        <w:numPr>
          <w:ilvl w:val="0"/>
          <w:numId w:val="3"/>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para resumir información. </w:t>
      </w:r>
      <w:r w:rsidDel="00000000" w:rsidR="00000000" w:rsidRPr="00000000">
        <w:rPr>
          <w:rFonts w:ascii="Times New Roman" w:cs="Times New Roman" w:eastAsia="Times New Roman" w:hAnsi="Times New Roman"/>
          <w:i w:val="1"/>
          <w:iCs w:val="1"/>
          <w:sz w:val="24"/>
          <w:szCs w:val="24"/>
          <w:rtl w:val="0"/>
        </w:rPr>
        <w:t xml:space="preserve">Resume este texto en ideas clave.</w:t>
      </w:r>
      <w:r w:rsidDel="00000000" w:rsidR="00000000" w:rsidRPr="00000000">
        <w:rPr>
          <w:rtl w:val="0"/>
        </w:rPr>
      </w:r>
    </w:p>
    <w:p w:rsidR="00000000" w:rsidDel="00000000" w:rsidP="00000000" w:rsidRDefault="00000000" w:rsidRPr="00000000" w14:paraId="0000023C">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Organización/estructura del trabajo: [indicar herramienta(s) y breve descripción del uso y prompts]. </w:t>
      </w:r>
    </w:p>
    <w:p w:rsidR="00000000" w:rsidDel="00000000" w:rsidP="00000000" w:rsidRDefault="00000000" w:rsidRPr="00000000" w14:paraId="0000023D">
      <w:pPr>
        <w:numPr>
          <w:ilvl w:val="0"/>
          <w:numId w:val="3"/>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 GPT, Gemini, Notebook LM.</w:t>
      </w:r>
    </w:p>
    <w:p w:rsidR="00000000" w:rsidDel="00000000" w:rsidP="00000000" w:rsidRDefault="00000000" w:rsidRPr="00000000" w14:paraId="0000023E">
      <w:pPr>
        <w:numPr>
          <w:ilvl w:val="0"/>
          <w:numId w:val="3"/>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para corregir la cohesión del texto. </w:t>
      </w:r>
      <w:r w:rsidDel="00000000" w:rsidR="00000000" w:rsidRPr="00000000">
        <w:rPr>
          <w:rFonts w:ascii="Times New Roman" w:cs="Times New Roman" w:eastAsia="Times New Roman" w:hAnsi="Times New Roman"/>
          <w:i w:val="1"/>
          <w:iCs w:val="1"/>
          <w:sz w:val="24"/>
          <w:szCs w:val="24"/>
          <w:rtl w:val="0"/>
        </w:rPr>
        <w:t xml:space="preserve">Comprueba si la cohesión del texto es correcta.</w:t>
      </w:r>
      <w:r w:rsidDel="00000000" w:rsidR="00000000" w:rsidRPr="00000000">
        <w:rPr>
          <w:rtl w:val="0"/>
        </w:rPr>
      </w:r>
    </w:p>
    <w:p w:rsidR="00000000" w:rsidDel="00000000" w:rsidP="00000000" w:rsidRDefault="00000000" w:rsidRPr="00000000" w14:paraId="0000023F">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Revisión ortográfica/estilo: [indicar herramienta(s)]. </w:t>
      </w:r>
    </w:p>
    <w:p w:rsidR="00000000" w:rsidDel="00000000" w:rsidP="00000000" w:rsidRDefault="00000000" w:rsidRPr="00000000" w14:paraId="00000240">
      <w:pPr>
        <w:numPr>
          <w:ilvl w:val="0"/>
          <w:numId w:val="2"/>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 GPT y Notebook LM.</w:t>
      </w:r>
    </w:p>
    <w:p w:rsidR="00000000" w:rsidDel="00000000" w:rsidP="00000000" w:rsidRDefault="00000000" w:rsidRPr="00000000" w14:paraId="00000241">
      <w:pPr>
        <w:numPr>
          <w:ilvl w:val="0"/>
          <w:numId w:val="2"/>
        </w:numP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para comprobar y corregir la redacción del texto. </w:t>
      </w:r>
      <w:r w:rsidDel="00000000" w:rsidR="00000000" w:rsidRPr="00000000">
        <w:rPr>
          <w:rFonts w:ascii="Times New Roman" w:cs="Times New Roman" w:eastAsia="Times New Roman" w:hAnsi="Times New Roman"/>
          <w:i w:val="1"/>
          <w:iCs w:val="1"/>
          <w:sz w:val="24"/>
          <w:szCs w:val="24"/>
          <w:rtl w:val="0"/>
        </w:rPr>
        <w:t xml:space="preserve">Busca sinónimos de… / Señala si hay errores de redacción en este texto. </w:t>
      </w:r>
      <w:r w:rsidDel="00000000" w:rsidR="00000000" w:rsidRPr="00000000">
        <w:rPr>
          <w:rtl w:val="0"/>
        </w:rPr>
      </w:r>
    </w:p>
    <w:p w:rsidR="00000000" w:rsidDel="00000000" w:rsidP="00000000" w:rsidRDefault="00000000" w:rsidRPr="00000000" w14:paraId="00000242">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Generación de texto (fragmentos): [indicar herramienta(s) y especificar exactamente qué se generó y cómo fue editado por el autor del TFM]. </w:t>
      </w:r>
    </w:p>
    <w:p w:rsidR="00000000" w:rsidDel="00000000" w:rsidP="00000000" w:rsidRDefault="00000000" w:rsidRPr="00000000" w14:paraId="00000243">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Otros (especificar): [__________] </w:t>
      </w:r>
    </w:p>
    <w:p w:rsidR="00000000" w:rsidDel="00000000" w:rsidP="00000000" w:rsidRDefault="00000000" w:rsidRPr="00000000" w14:paraId="00000244">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 </w:t>
      </w:r>
      <w:r w:rsidDel="00000000" w:rsidR="00000000" w:rsidRPr="00000000">
        <w:rPr>
          <w:rFonts w:ascii="Times New Roman" w:cs="Times New Roman" w:eastAsia="Times New Roman" w:hAnsi="Times New Roman"/>
          <w:i w:val="1"/>
          <w:iCs w:val="1"/>
          <w:sz w:val="24"/>
          <w:szCs w:val="24"/>
          <w:rtl w:val="0"/>
        </w:rPr>
        <w:t xml:space="preserve">qué hiciste para comprobar y garantizar que la información proporcionada por la IA era correcta.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5">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confirmar si la información proporcionada por la IA era correcta, cuando me proporcionaba algún artículo lo comprobaba en la base de datos correspondiente para ver si era adecuado para mi trabajo o si la búsqueda era correcta. </w:t>
      </w:r>
    </w:p>
    <w:p w:rsidR="00000000" w:rsidDel="00000000" w:rsidP="00000000" w:rsidRDefault="00000000" w:rsidRPr="00000000" w14:paraId="00000246">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Declaración de veracidad: </w:t>
      </w:r>
    </w:p>
    <w:p w:rsidR="00000000" w:rsidDel="00000000" w:rsidP="00000000" w:rsidRDefault="00000000" w:rsidRPr="00000000" w14:paraId="00000247">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Firmo y certifico que la información procedente de herramientas de IA ha sido verificada por mí mediante consulta de fuentes académicas primarias y que el texto final incorpora un trabajo de redacción, síntesis y reflexión personal.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1613535</wp:posOffset>
                </wp:positionH>
                <wp:positionV relativeFrom="paragraph">
                  <wp:posOffset>1017270</wp:posOffset>
                </wp:positionV>
                <wp:extent cx="838200" cy="383500"/>
                <wp:effectExtent b="0" l="0" r="0" t="0"/>
                <wp:wrapSquare wrapText="bothSides" distB="114300" distT="114300" distL="114300" distR="114300"/>
                <wp:docPr id="1" name=""/>
                <a:graphic>
                  <a:graphicData uri="http://schemas.microsoft.com/office/word/2010/wordprocessingGroup">
                    <wpg:wgp>
                      <wpg:cNvGrpSpPr/>
                      <wpg:grpSpPr>
                        <a:xfrm>
                          <a:off x="4261225" y="3234125"/>
                          <a:ext cx="838200" cy="383500"/>
                          <a:chOff x="4261225" y="3234125"/>
                          <a:chExt cx="2169550" cy="1091725"/>
                        </a:xfrm>
                      </wpg:grpSpPr>
                      <wpg:grpSp>
                        <wpg:cNvGrpSpPr/>
                        <wpg:grpSpPr>
                          <a:xfrm>
                            <a:off x="4261241" y="3234231"/>
                            <a:ext cx="2726661" cy="1091539"/>
                            <a:chOff x="4258275" y="3214350"/>
                            <a:chExt cx="2731853" cy="1114550"/>
                          </a:xfrm>
                        </wpg:grpSpPr>
                        <wps:wsp>
                          <wps:cNvSpPr/>
                          <wps:cNvPr id="3" name="Shape 3"/>
                          <wps:spPr>
                            <a:xfrm>
                              <a:off x="4258275" y="3214350"/>
                              <a:ext cx="2173650" cy="1114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61241" y="3218910"/>
                              <a:ext cx="2728887" cy="1106860"/>
                              <a:chOff x="548475" y="-44504"/>
                              <a:chExt cx="7162337" cy="3215154"/>
                            </a:xfrm>
                          </wpg:grpSpPr>
                          <wps:wsp>
                            <wps:cNvSpPr/>
                            <wps:cNvPr id="5" name="Shape 5"/>
                            <wps:spPr>
                              <a:xfrm>
                                <a:off x="548475" y="0"/>
                                <a:ext cx="5694200" cy="3170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204346" y="555175"/>
                                <a:ext cx="4484150" cy="2612125"/>
                              </a:xfrm>
                              <a:custGeom>
                                <a:rect b="b" l="l" r="r" t="t"/>
                                <a:pathLst>
                                  <a:path extrusionOk="0" h="104485" w="179366">
                                    <a:moveTo>
                                      <a:pt x="107780" y="0"/>
                                    </a:moveTo>
                                    <a:cubicBezTo>
                                      <a:pt x="95159" y="7011"/>
                                      <a:pt x="85331" y="18162"/>
                                      <a:pt x="74240" y="27405"/>
                                    </a:cubicBezTo>
                                    <a:cubicBezTo>
                                      <a:pt x="60288" y="39032"/>
                                      <a:pt x="46304" y="50682"/>
                                      <a:pt x="33337" y="63399"/>
                                    </a:cubicBezTo>
                                    <a:cubicBezTo>
                                      <a:pt x="23837" y="72716"/>
                                      <a:pt x="13153" y="81130"/>
                                      <a:pt x="5523" y="92031"/>
                                    </a:cubicBezTo>
                                    <a:cubicBezTo>
                                      <a:pt x="3355" y="95128"/>
                                      <a:pt x="-1482" y="99110"/>
                                      <a:pt x="615" y="102256"/>
                                    </a:cubicBezTo>
                                    <a:cubicBezTo>
                                      <a:pt x="3338" y="106340"/>
                                      <a:pt x="10641" y="103674"/>
                                      <a:pt x="15340" y="102256"/>
                                    </a:cubicBezTo>
                                    <a:cubicBezTo>
                                      <a:pt x="32932" y="96946"/>
                                      <a:pt x="18823" y="100411"/>
                                      <a:pt x="43154" y="92440"/>
                                    </a:cubicBezTo>
                                    <a:cubicBezTo>
                                      <a:pt x="65724" y="85046"/>
                                      <a:pt x="89248" y="80724"/>
                                      <a:pt x="112688" y="76897"/>
                                    </a:cubicBezTo>
                                    <a:cubicBezTo>
                                      <a:pt x="127094" y="74545"/>
                                      <a:pt x="141492" y="71880"/>
                                      <a:pt x="156045" y="70761"/>
                                    </a:cubicBezTo>
                                    <a:cubicBezTo>
                                      <a:pt x="162164" y="70290"/>
                                      <a:pt x="168318" y="70125"/>
                                      <a:pt x="174451" y="70352"/>
                                    </a:cubicBezTo>
                                    <a:cubicBezTo>
                                      <a:pt x="175685" y="70398"/>
                                      <a:pt x="179367" y="70761"/>
                                      <a:pt x="178132" y="70761"/>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550337" y="-44504"/>
                                <a:ext cx="7160475" cy="3104250"/>
                              </a:xfrm>
                              <a:custGeom>
                                <a:rect b="b" l="l" r="r" t="t"/>
                                <a:pathLst>
                                  <a:path extrusionOk="0" h="124170" w="286419">
                                    <a:moveTo>
                                      <a:pt x="52545" y="117654"/>
                                    </a:moveTo>
                                    <a:cubicBezTo>
                                      <a:pt x="50909" y="118268"/>
                                      <a:pt x="50930" y="119433"/>
                                      <a:pt x="49272" y="118881"/>
                                    </a:cubicBezTo>
                                    <a:cubicBezTo>
                                      <a:pt x="47585" y="118319"/>
                                      <a:pt x="50951" y="115707"/>
                                      <a:pt x="52136" y="114382"/>
                                    </a:cubicBezTo>
                                    <a:cubicBezTo>
                                      <a:pt x="59877" y="105730"/>
                                      <a:pt x="67380" y="96860"/>
                                      <a:pt x="74632" y="87795"/>
                                    </a:cubicBezTo>
                                    <a:cubicBezTo>
                                      <a:pt x="76804" y="85081"/>
                                      <a:pt x="82023" y="80315"/>
                                      <a:pt x="79131" y="78387"/>
                                    </a:cubicBezTo>
                                    <a:cubicBezTo>
                                      <a:pt x="76136" y="76390"/>
                                      <a:pt x="71860" y="80342"/>
                                      <a:pt x="69315" y="82887"/>
                                    </a:cubicBezTo>
                                    <a:cubicBezTo>
                                      <a:pt x="60618" y="91584"/>
                                      <a:pt x="52631" y="101505"/>
                                      <a:pt x="47636" y="112745"/>
                                    </a:cubicBezTo>
                                    <a:cubicBezTo>
                                      <a:pt x="46615" y="115043"/>
                                      <a:pt x="43615" y="119313"/>
                                      <a:pt x="46000" y="120108"/>
                                    </a:cubicBezTo>
                                    <a:cubicBezTo>
                                      <a:pt x="50018" y="121447"/>
                                      <a:pt x="53542" y="116048"/>
                                      <a:pt x="56635" y="113154"/>
                                    </a:cubicBezTo>
                                    <a:cubicBezTo>
                                      <a:pt x="63323" y="106897"/>
                                      <a:pt x="72172" y="102122"/>
                                      <a:pt x="76268" y="93930"/>
                                    </a:cubicBezTo>
                                    <a:cubicBezTo>
                                      <a:pt x="77251" y="91964"/>
                                      <a:pt x="72206" y="95765"/>
                                      <a:pt x="70542" y="97202"/>
                                    </a:cubicBezTo>
                                    <a:cubicBezTo>
                                      <a:pt x="65876" y="101232"/>
                                      <a:pt x="58893" y="106254"/>
                                      <a:pt x="59907" y="112336"/>
                                    </a:cubicBezTo>
                                    <a:cubicBezTo>
                                      <a:pt x="60088" y="113420"/>
                                      <a:pt x="62166" y="113171"/>
                                      <a:pt x="63179" y="112745"/>
                                    </a:cubicBezTo>
                                    <a:cubicBezTo>
                                      <a:pt x="68345" y="110570"/>
                                      <a:pt x="72325" y="106052"/>
                                      <a:pt x="75859" y="101702"/>
                                    </a:cubicBezTo>
                                    <a:cubicBezTo>
                                      <a:pt x="77511" y="99669"/>
                                      <a:pt x="77609" y="99743"/>
                                      <a:pt x="79131" y="97611"/>
                                    </a:cubicBezTo>
                                    <a:cubicBezTo>
                                      <a:pt x="79663" y="96867"/>
                                      <a:pt x="80595" y="95328"/>
                                      <a:pt x="79949" y="95975"/>
                                    </a:cubicBezTo>
                                    <a:cubicBezTo>
                                      <a:pt x="76758" y="99170"/>
                                      <a:pt x="69533" y="105514"/>
                                      <a:pt x="73405" y="107837"/>
                                    </a:cubicBezTo>
                                    <a:cubicBezTo>
                                      <a:pt x="78779" y="111062"/>
                                      <a:pt x="82471" y="99180"/>
                                      <a:pt x="86903" y="94748"/>
                                    </a:cubicBezTo>
                                    <a:cubicBezTo>
                                      <a:pt x="88802" y="92849"/>
                                      <a:pt x="83251" y="99452"/>
                                      <a:pt x="83631" y="102111"/>
                                    </a:cubicBezTo>
                                    <a:cubicBezTo>
                                      <a:pt x="83814" y="103391"/>
                                      <a:pt x="86051" y="103625"/>
                                      <a:pt x="87312" y="103338"/>
                                    </a:cubicBezTo>
                                    <a:cubicBezTo>
                                      <a:pt x="93332" y="101970"/>
                                      <a:pt x="98599" y="97973"/>
                                      <a:pt x="103264" y="93930"/>
                                    </a:cubicBezTo>
                                    <a:cubicBezTo>
                                      <a:pt x="105012" y="92415"/>
                                      <a:pt x="106536" y="90658"/>
                                      <a:pt x="108172" y="89022"/>
                                    </a:cubicBezTo>
                                    <a:cubicBezTo>
                                      <a:pt x="108786" y="88409"/>
                                      <a:pt x="110255" y="87652"/>
                                      <a:pt x="109399" y="87795"/>
                                    </a:cubicBezTo>
                                    <a:cubicBezTo>
                                      <a:pt x="103503" y="88778"/>
                                      <a:pt x="92491" y="96249"/>
                                      <a:pt x="96719" y="100475"/>
                                    </a:cubicBezTo>
                                    <a:cubicBezTo>
                                      <a:pt x="98497" y="102252"/>
                                      <a:pt x="102052" y="100323"/>
                                      <a:pt x="104082" y="98839"/>
                                    </a:cubicBezTo>
                                    <a:cubicBezTo>
                                      <a:pt x="112404" y="92757"/>
                                      <a:pt x="117825" y="83271"/>
                                      <a:pt x="122897" y="74297"/>
                                    </a:cubicBezTo>
                                    <a:cubicBezTo>
                                      <a:pt x="124397" y="71643"/>
                                      <a:pt x="125815" y="68930"/>
                                      <a:pt x="126987" y="66116"/>
                                    </a:cubicBezTo>
                                    <a:cubicBezTo>
                                      <a:pt x="127254" y="65474"/>
                                      <a:pt x="128047" y="63827"/>
                                      <a:pt x="127396" y="64071"/>
                                    </a:cubicBezTo>
                                    <a:cubicBezTo>
                                      <a:pt x="120039" y="66830"/>
                                      <a:pt x="116260" y="75488"/>
                                      <a:pt x="112671" y="82477"/>
                                    </a:cubicBezTo>
                                    <a:cubicBezTo>
                                      <a:pt x="109975" y="87728"/>
                                      <a:pt x="105099" y="97993"/>
                                      <a:pt x="110626" y="100066"/>
                                    </a:cubicBezTo>
                                    <a:cubicBezTo>
                                      <a:pt x="116109" y="102123"/>
                                      <a:pt x="121893" y="96217"/>
                                      <a:pt x="126578" y="92703"/>
                                    </a:cubicBezTo>
                                    <a:cubicBezTo>
                                      <a:pt x="129051" y="90848"/>
                                      <a:pt x="136465" y="85590"/>
                                      <a:pt x="133532" y="86568"/>
                                    </a:cubicBezTo>
                                    <a:cubicBezTo>
                                      <a:pt x="130764" y="87491"/>
                                      <a:pt x="127130" y="90812"/>
                                      <a:pt x="128214" y="93521"/>
                                    </a:cubicBezTo>
                                    <a:cubicBezTo>
                                      <a:pt x="128872" y="95167"/>
                                      <a:pt x="131908" y="94231"/>
                                      <a:pt x="133532" y="93521"/>
                                    </a:cubicBezTo>
                                    <a:cubicBezTo>
                                      <a:pt x="138658" y="91279"/>
                                      <a:pt x="141402" y="85548"/>
                                      <a:pt x="144984" y="81250"/>
                                    </a:cubicBezTo>
                                    <a:cubicBezTo>
                                      <a:pt x="145912" y="80136"/>
                                      <a:pt x="147232" y="77362"/>
                                      <a:pt x="148257" y="78387"/>
                                    </a:cubicBezTo>
                                    <a:cubicBezTo>
                                      <a:pt x="149621" y="79751"/>
                                      <a:pt x="148820" y="82203"/>
                                      <a:pt x="149075" y="84114"/>
                                    </a:cubicBezTo>
                                    <a:cubicBezTo>
                                      <a:pt x="149206" y="85098"/>
                                      <a:pt x="149893" y="87970"/>
                                      <a:pt x="149893" y="86977"/>
                                    </a:cubicBezTo>
                                    <a:cubicBezTo>
                                      <a:pt x="149893" y="68822"/>
                                      <a:pt x="143255" y="51021"/>
                                      <a:pt x="136395" y="34212"/>
                                    </a:cubicBezTo>
                                    <a:cubicBezTo>
                                      <a:pt x="131740" y="22806"/>
                                      <a:pt x="127571" y="10543"/>
                                      <a:pt x="119216" y="1490"/>
                                    </a:cubicBezTo>
                                    <a:cubicBezTo>
                                      <a:pt x="111169" y="-7229"/>
                                      <a:pt x="117354" y="25518"/>
                                      <a:pt x="120034" y="37076"/>
                                    </a:cubicBezTo>
                                    <a:cubicBezTo>
                                      <a:pt x="124180" y="54957"/>
                                      <a:pt x="128934" y="72711"/>
                                      <a:pt x="134350" y="90249"/>
                                    </a:cubicBezTo>
                                    <a:cubicBezTo>
                                      <a:pt x="136157" y="96101"/>
                                      <a:pt x="137559" y="102087"/>
                                      <a:pt x="139667" y="107837"/>
                                    </a:cubicBezTo>
                                    <a:cubicBezTo>
                                      <a:pt x="141306" y="112308"/>
                                      <a:pt x="146306" y="118377"/>
                                      <a:pt x="142939" y="121744"/>
                                    </a:cubicBezTo>
                                    <a:cubicBezTo>
                                      <a:pt x="136187" y="128496"/>
                                      <a:pt x="123980" y="119152"/>
                                      <a:pt x="114717" y="116836"/>
                                    </a:cubicBezTo>
                                    <a:cubicBezTo>
                                      <a:pt x="95972" y="112149"/>
                                      <a:pt x="76615" y="110317"/>
                                      <a:pt x="57453" y="107837"/>
                                    </a:cubicBezTo>
                                    <a:cubicBezTo>
                                      <a:pt x="46702" y="106446"/>
                                      <a:pt x="35937" y="105123"/>
                                      <a:pt x="25140" y="104156"/>
                                    </a:cubicBezTo>
                                    <a:cubicBezTo>
                                      <a:pt x="17357" y="103459"/>
                                      <a:pt x="9561" y="102807"/>
                                      <a:pt x="1825" y="101702"/>
                                    </a:cubicBezTo>
                                    <a:cubicBezTo>
                                      <a:pt x="990" y="101583"/>
                                      <a:pt x="-188" y="102047"/>
                                      <a:pt x="189" y="101293"/>
                                    </a:cubicBezTo>
                                    <a:cubicBezTo>
                                      <a:pt x="1231" y="99209"/>
                                      <a:pt x="4445" y="99275"/>
                                      <a:pt x="6734" y="98839"/>
                                    </a:cubicBezTo>
                                    <a:cubicBezTo>
                                      <a:pt x="16187" y="97038"/>
                                      <a:pt x="25777" y="95956"/>
                                      <a:pt x="35366" y="95157"/>
                                    </a:cubicBezTo>
                                    <a:cubicBezTo>
                                      <a:pt x="53037" y="93684"/>
                                      <a:pt x="70807" y="93324"/>
                                      <a:pt x="88539" y="93521"/>
                                    </a:cubicBezTo>
                                    <a:cubicBezTo>
                                      <a:pt x="117185" y="93839"/>
                                      <a:pt x="145847" y="94528"/>
                                      <a:pt x="174434" y="96384"/>
                                    </a:cubicBezTo>
                                    <a:cubicBezTo>
                                      <a:pt x="286419" y="103655"/>
                                      <a:pt x="121956" y="93316"/>
                                      <a:pt x="211656" y="98839"/>
                                    </a:cubicBezTo>
                                    <a:cubicBezTo>
                                      <a:pt x="216979" y="99167"/>
                                      <a:pt x="222838" y="97681"/>
                                      <a:pt x="227608" y="100066"/>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1613535</wp:posOffset>
                </wp:positionH>
                <wp:positionV relativeFrom="paragraph">
                  <wp:posOffset>1017270</wp:posOffset>
                </wp:positionV>
                <wp:extent cx="838200" cy="383500"/>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101"/>
                        <a:srcRect/>
                        <a:stretch>
                          <a:fillRect/>
                        </a:stretch>
                      </pic:blipFill>
                      <pic:spPr>
                        <a:xfrm>
                          <a:off x="0" y="0"/>
                          <a:ext cx="838200" cy="383500"/>
                        </a:xfrm>
                        <a:prstGeom prst="rect"/>
                        <a:ln/>
                      </pic:spPr>
                    </pic:pic>
                  </a:graphicData>
                </a:graphic>
              </wp:anchor>
            </w:drawing>
          </mc:Fallback>
        </mc:AlternateContent>
      </w:r>
    </w:p>
    <w:p w:rsidR="00000000" w:rsidDel="00000000" w:rsidP="00000000" w:rsidRDefault="00000000" w:rsidRPr="00000000" w14:paraId="00000248">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Firma del/a alumno/a: </w:t>
      </w:r>
    </w:p>
    <w:p w:rsidR="00000000" w:rsidDel="00000000" w:rsidP="00000000" w:rsidRDefault="00000000" w:rsidRPr="00000000" w14:paraId="00000249">
      <w:pPr>
        <w:shd w:fill="ffffff" w:val="clea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hd w:fill="ffffff"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5 de mayo de 2026</w:t>
      </w:r>
    </w:p>
    <w:sectPr>
      <w:headerReference r:id="rId102" w:type="default"/>
      <w:headerReference r:id="rId103" w:type="first"/>
      <w:footerReference r:id="rId104" w:type="default"/>
      <w:footerReference r:id="rId10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jc w:val="right"/>
      <w:rPr>
        <w:rFonts w:ascii="Times New Roman" w:cs="Times New Roman" w:eastAsia="Times New Roman" w:hAnsi="Times New Roman"/>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uqXHFH" TargetMode="External"/><Relationship Id="rId42" Type="http://schemas.openxmlformats.org/officeDocument/2006/relationships/hyperlink" Target="https://doi.org/10.4321/S1134-928X2012000400002" TargetMode="External"/><Relationship Id="rId41" Type="http://schemas.openxmlformats.org/officeDocument/2006/relationships/hyperlink" Target="https://www.zotero.org/google-docs/?uqXHFH" TargetMode="External"/><Relationship Id="rId44" Type="http://schemas.openxmlformats.org/officeDocument/2006/relationships/hyperlink" Target="https://doi.org/10.5742/mewfm.2025.805257889" TargetMode="External"/><Relationship Id="rId43" Type="http://schemas.openxmlformats.org/officeDocument/2006/relationships/hyperlink" Target="https://doi.org/10.4321/S1134-928X2012000400002" TargetMode="External"/><Relationship Id="rId46" Type="http://schemas.openxmlformats.org/officeDocument/2006/relationships/hyperlink" Target="https://doi.org/10.23925/2176-901X.2023v26n32e62243" TargetMode="External"/><Relationship Id="rId45" Type="http://schemas.openxmlformats.org/officeDocument/2006/relationships/hyperlink" Target="https://doi.org/10.5742/mewfm.2025.805257889" TargetMode="External"/><Relationship Id="rId105" Type="http://schemas.openxmlformats.org/officeDocument/2006/relationships/footer" Target="footer2.xml"/><Relationship Id="rId104" Type="http://schemas.openxmlformats.org/officeDocument/2006/relationships/footer" Target="footer1.xml"/><Relationship Id="rId48" Type="http://schemas.openxmlformats.org/officeDocument/2006/relationships/hyperlink" Target="https://doi.org/10.23925/2176-901X.2011v14iEspecial10p49-71" TargetMode="External"/><Relationship Id="rId47" Type="http://schemas.openxmlformats.org/officeDocument/2006/relationships/hyperlink" Target="https://doi.org/10.23925/2176-901X.2023v26n32e62243" TargetMode="External"/><Relationship Id="rId49" Type="http://schemas.openxmlformats.org/officeDocument/2006/relationships/hyperlink" Target="https://doi.org/10.23925/2176-901X.2011v14iEspecial10p49-71" TargetMode="External"/><Relationship Id="rId103" Type="http://schemas.openxmlformats.org/officeDocument/2006/relationships/header" Target="header2.xml"/><Relationship Id="rId102" Type="http://schemas.openxmlformats.org/officeDocument/2006/relationships/header" Target="header1.xml"/><Relationship Id="rId101" Type="http://schemas.openxmlformats.org/officeDocument/2006/relationships/image" Target="media/image4.png"/><Relationship Id="rId100" Type="http://schemas.openxmlformats.org/officeDocument/2006/relationships/hyperlink" Target="https://doi.org/10.1016/j.nrl.2017.10.005" TargetMode="External"/><Relationship Id="rId31" Type="http://schemas.openxmlformats.org/officeDocument/2006/relationships/hyperlink" Target="https://www.zotero.org/google-docs/?DTUFbS" TargetMode="External"/><Relationship Id="rId30" Type="http://schemas.openxmlformats.org/officeDocument/2006/relationships/hyperlink" Target="https://www.zotero.org/google-docs/?MJB1ot" TargetMode="External"/><Relationship Id="rId33" Type="http://schemas.openxmlformats.org/officeDocument/2006/relationships/hyperlink" Target="https://www.zotero.org/google-docs/?VjqJJ8" TargetMode="External"/><Relationship Id="rId32" Type="http://schemas.openxmlformats.org/officeDocument/2006/relationships/hyperlink" Target="https://www.zotero.org/google-docs/?ldXusu" TargetMode="External"/><Relationship Id="rId35" Type="http://schemas.openxmlformats.org/officeDocument/2006/relationships/hyperlink" Target="https://www.zotero.org/google-docs/?bNotqB" TargetMode="External"/><Relationship Id="rId34" Type="http://schemas.openxmlformats.org/officeDocument/2006/relationships/hyperlink" Target="https://www.zotero.org/google-docs/?yBmM2u" TargetMode="External"/><Relationship Id="rId37" Type="http://schemas.openxmlformats.org/officeDocument/2006/relationships/hyperlink" Target="https://www.zotero.org/google-docs/?HGhYKx" TargetMode="External"/><Relationship Id="rId36" Type="http://schemas.openxmlformats.org/officeDocument/2006/relationships/hyperlink" Target="https://www.zotero.org/google-docs/?OJcMwD" TargetMode="External"/><Relationship Id="rId39" Type="http://schemas.openxmlformats.org/officeDocument/2006/relationships/hyperlink" Target="https://www.zotero.org/google-docs/?uqXHFH" TargetMode="External"/><Relationship Id="rId38" Type="http://schemas.openxmlformats.org/officeDocument/2006/relationships/hyperlink" Target="https://www.zotero.org/google-docs/?6pskyF" TargetMode="External"/><Relationship Id="rId20" Type="http://schemas.openxmlformats.org/officeDocument/2006/relationships/hyperlink" Target="https://www.zotero.org/google-docs/?j760JT" TargetMode="External"/><Relationship Id="rId22" Type="http://schemas.openxmlformats.org/officeDocument/2006/relationships/hyperlink" Target="https://www.zotero.org/google-docs/?uqXHFH" TargetMode="External"/><Relationship Id="rId21" Type="http://schemas.openxmlformats.org/officeDocument/2006/relationships/hyperlink" Target="https://www.zotero.org/google-docs/?TNT8oH" TargetMode="External"/><Relationship Id="rId24" Type="http://schemas.openxmlformats.org/officeDocument/2006/relationships/hyperlink" Target="https://www.zotero.org/google-docs/?adoaKU" TargetMode="External"/><Relationship Id="rId23" Type="http://schemas.openxmlformats.org/officeDocument/2006/relationships/hyperlink" Target="https://www.zotero.org/google-docs/?uqXHFH" TargetMode="External"/><Relationship Id="rId26" Type="http://schemas.openxmlformats.org/officeDocument/2006/relationships/hyperlink" Target="https://www.zotero.org/google-docs/?DbL63H" TargetMode="External"/><Relationship Id="rId25" Type="http://schemas.openxmlformats.org/officeDocument/2006/relationships/hyperlink" Target="https://www.zotero.org/google-docs/?TVxrGd" TargetMode="External"/><Relationship Id="rId28" Type="http://schemas.openxmlformats.org/officeDocument/2006/relationships/hyperlink" Target="https://www.zotero.org/google-docs/?cdmHwo" TargetMode="External"/><Relationship Id="rId27" Type="http://schemas.openxmlformats.org/officeDocument/2006/relationships/hyperlink" Target="https://www.zotero.org/google-docs/?pRyVvj" TargetMode="External"/><Relationship Id="rId29" Type="http://schemas.openxmlformats.org/officeDocument/2006/relationships/hyperlink" Target="https://www.zotero.org/google-docs/?TwGTD2" TargetMode="External"/><Relationship Id="rId95" Type="http://schemas.openxmlformats.org/officeDocument/2006/relationships/hyperlink" Target="https://doi.org/10.1017/S1041610218000741" TargetMode="External"/><Relationship Id="rId94" Type="http://schemas.openxmlformats.org/officeDocument/2006/relationships/hyperlink" Target="https://doi.org/10.1177/2158244019834453" TargetMode="External"/><Relationship Id="rId97" Type="http://schemas.openxmlformats.org/officeDocument/2006/relationships/hyperlink" Target="https://www.encyclopedia.com/education/encyclopedias-almanacs-transcripts-and-maps/marital-relationships" TargetMode="External"/><Relationship Id="rId96" Type="http://schemas.openxmlformats.org/officeDocument/2006/relationships/hyperlink" Target="https://doi.org/10.1017/S1041610218000741" TargetMode="External"/><Relationship Id="rId11" Type="http://schemas.openxmlformats.org/officeDocument/2006/relationships/hyperlink" Target="https://www.zotero.org/google-docs/?ZEkHDF" TargetMode="External"/><Relationship Id="rId99" Type="http://schemas.openxmlformats.org/officeDocument/2006/relationships/hyperlink" Target="https://doi.org/10.1016/j.nrl.2017.10.005" TargetMode="External"/><Relationship Id="rId10" Type="http://schemas.openxmlformats.org/officeDocument/2006/relationships/hyperlink" Target="https://www.zotero.org/google-docs/?VhZ7Ga" TargetMode="External"/><Relationship Id="rId98" Type="http://schemas.openxmlformats.org/officeDocument/2006/relationships/hyperlink" Target="https://www.encyclopedia.com/education/encyclopedias-almanacs-transcripts-and-maps/marital-relationships" TargetMode="External"/><Relationship Id="rId13" Type="http://schemas.openxmlformats.org/officeDocument/2006/relationships/hyperlink" Target="https://www.zotero.org/google-docs/?LMXTiT" TargetMode="External"/><Relationship Id="rId12" Type="http://schemas.openxmlformats.org/officeDocument/2006/relationships/hyperlink" Target="https://www.zotero.org/google-docs/?JW15QO" TargetMode="External"/><Relationship Id="rId91" Type="http://schemas.openxmlformats.org/officeDocument/2006/relationships/hyperlink" Target="https://doi.org/10.1186/s12877-021-02551-w" TargetMode="External"/><Relationship Id="rId90" Type="http://schemas.openxmlformats.org/officeDocument/2006/relationships/hyperlink" Target="https://doi.org/10.1080/11038128.2017.1337810" TargetMode="External"/><Relationship Id="rId93" Type="http://schemas.openxmlformats.org/officeDocument/2006/relationships/hyperlink" Target="https://doi.org/10.1177/2158244019834453" TargetMode="External"/><Relationship Id="rId92" Type="http://schemas.openxmlformats.org/officeDocument/2006/relationships/hyperlink" Target="https://doi.org/10.1186/s12877-021-02551-w" TargetMode="External"/><Relationship Id="rId15" Type="http://schemas.openxmlformats.org/officeDocument/2006/relationships/hyperlink" Target="https://www.zotero.org/google-docs/?PJyPTl" TargetMode="External"/><Relationship Id="rId14" Type="http://schemas.openxmlformats.org/officeDocument/2006/relationships/hyperlink" Target="https://www.zotero.org/google-docs/?LMXTiT" TargetMode="External"/><Relationship Id="rId17" Type="http://schemas.openxmlformats.org/officeDocument/2006/relationships/hyperlink" Target="https://www.zotero.org/google-docs/?KHMBNh" TargetMode="External"/><Relationship Id="rId16" Type="http://schemas.openxmlformats.org/officeDocument/2006/relationships/hyperlink" Target="https://www.zotero.org/google-docs/?I7kl3S" TargetMode="External"/><Relationship Id="rId19" Type="http://schemas.openxmlformats.org/officeDocument/2006/relationships/hyperlink" Target="https://www.zotero.org/google-docs/?9b4kf7" TargetMode="External"/><Relationship Id="rId18" Type="http://schemas.openxmlformats.org/officeDocument/2006/relationships/hyperlink" Target="https://www.zotero.org/google-docs/?9b4kf7" TargetMode="External"/><Relationship Id="rId84" Type="http://schemas.openxmlformats.org/officeDocument/2006/relationships/hyperlink" Target="https://doi.org/10.1177/14713012221101866" TargetMode="External"/><Relationship Id="rId83" Type="http://schemas.openxmlformats.org/officeDocument/2006/relationships/hyperlink" Target="https://doi.org/10.1093/geronb/gbaa109" TargetMode="External"/><Relationship Id="rId86" Type="http://schemas.openxmlformats.org/officeDocument/2006/relationships/hyperlink" Target="https://doi.org/10.1136/bmj.n71" TargetMode="External"/><Relationship Id="rId85" Type="http://schemas.openxmlformats.org/officeDocument/2006/relationships/hyperlink" Target="https://doi.org/10.1177/14713012221101866" TargetMode="External"/><Relationship Id="rId88" Type="http://schemas.openxmlformats.org/officeDocument/2006/relationships/hyperlink" Target="https://doi.org/10.1093/geront/gnac050" TargetMode="External"/><Relationship Id="rId87" Type="http://schemas.openxmlformats.org/officeDocument/2006/relationships/hyperlink" Target="https://doi.org/10.1093/geront/gnac050" TargetMode="External"/><Relationship Id="rId89" Type="http://schemas.openxmlformats.org/officeDocument/2006/relationships/hyperlink" Target="https://doi.org/10.1080/11038128.2017.1337810" TargetMode="External"/><Relationship Id="rId80" Type="http://schemas.openxmlformats.org/officeDocument/2006/relationships/hyperlink" Target="https://doi.org/10.1017/S0714980824000291" TargetMode="External"/><Relationship Id="rId82" Type="http://schemas.openxmlformats.org/officeDocument/2006/relationships/hyperlink" Target="https://doi.org/10.1093/geronb/gbaa109" TargetMode="External"/><Relationship Id="rId81" Type="http://schemas.openxmlformats.org/officeDocument/2006/relationships/hyperlink" Target="https://doi.org/10.1017/S071498082400029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 Id="rId73" Type="http://schemas.openxmlformats.org/officeDocument/2006/relationships/hyperlink" Target="https://www.ine.es/dyngs/Prensa/PROP20242074.htm" TargetMode="External"/><Relationship Id="rId72" Type="http://schemas.openxmlformats.org/officeDocument/2006/relationships/hyperlink" Target="https://www.ine.es/dyngs/Prensa/PROP20242074.htm" TargetMode="External"/><Relationship Id="rId75" Type="http://schemas.openxmlformats.org/officeDocument/2006/relationships/hyperlink" Target="https://www.ivie.es/es_ES/espana-se-situa-la-cabeza-europa-esperanza-vida-partir-los-65-mas-la-mitad-los-anos-se-vive-discapacidad-especialmente-las-mujeres/" TargetMode="External"/><Relationship Id="rId74" Type="http://schemas.openxmlformats.org/officeDocument/2006/relationships/hyperlink" Target="https://www.ivie.es/es_ES/espana-se-situa-la-cabeza-europa-esperanza-vida-partir-los-65-mas-la-mitad-los-anos-se-vive-discapacidad-especialmente-las-mujeres/" TargetMode="External"/><Relationship Id="rId77" Type="http://schemas.openxmlformats.org/officeDocument/2006/relationships/hyperlink" Target="https://doi.org/10.32457/ejhr.v9i1.2232" TargetMode="External"/><Relationship Id="rId76" Type="http://schemas.openxmlformats.org/officeDocument/2006/relationships/hyperlink" Target="https://doi.org/10.32457/ejhr.v9i1.2232" TargetMode="External"/><Relationship Id="rId79" Type="http://schemas.openxmlformats.org/officeDocument/2006/relationships/hyperlink" Target="https://doi.org/10.1177/1471301214564792" TargetMode="External"/><Relationship Id="rId78" Type="http://schemas.openxmlformats.org/officeDocument/2006/relationships/hyperlink" Target="https://doi.org/10.1177/1471301214564792" TargetMode="External"/><Relationship Id="rId71" Type="http://schemas.openxmlformats.org/officeDocument/2006/relationships/hyperlink" Target="https://doi.org/10.1080/13607863.2025.2569657" TargetMode="External"/><Relationship Id="rId70" Type="http://schemas.openxmlformats.org/officeDocument/2006/relationships/hyperlink" Target="https://doi.org/10.1080/13607863.2025.2569657" TargetMode="External"/><Relationship Id="rId62" Type="http://schemas.openxmlformats.org/officeDocument/2006/relationships/hyperlink" Target="https://doi.org/10.1080/13607863.2018.1433634" TargetMode="External"/><Relationship Id="rId61" Type="http://schemas.openxmlformats.org/officeDocument/2006/relationships/hyperlink" Target="https://doi.org/10.1177/1471301217722034" TargetMode="External"/><Relationship Id="rId64" Type="http://schemas.openxmlformats.org/officeDocument/2006/relationships/hyperlink" Target="https://portal.guiasalud.es/egpc/manual-elaboracion-formulacion-preguntas/" TargetMode="External"/><Relationship Id="rId63" Type="http://schemas.openxmlformats.org/officeDocument/2006/relationships/hyperlink" Target="https://doi.org/10.1080/13607863.2018.1433634" TargetMode="External"/><Relationship Id="rId66" Type="http://schemas.openxmlformats.org/officeDocument/2006/relationships/hyperlink" Target="https://doi.org/10.1177/1471301219879343" TargetMode="External"/><Relationship Id="rId65" Type="http://schemas.openxmlformats.org/officeDocument/2006/relationships/hyperlink" Target="https://portal.guiasalud.es/egpc/manual-elaboracion-formulacion-preguntas/" TargetMode="External"/><Relationship Id="rId68" Type="http://schemas.openxmlformats.org/officeDocument/2006/relationships/hyperlink" Target="https://doi.org/10.1080/13607863.2023.2243585" TargetMode="External"/><Relationship Id="rId67" Type="http://schemas.openxmlformats.org/officeDocument/2006/relationships/hyperlink" Target="https://doi.org/10.1177/1471301219879343" TargetMode="External"/><Relationship Id="rId60" Type="http://schemas.openxmlformats.org/officeDocument/2006/relationships/hyperlink" Target="https://doi.org/10.1177/1471301217722034" TargetMode="External"/><Relationship Id="rId69" Type="http://schemas.openxmlformats.org/officeDocument/2006/relationships/hyperlink" Target="https://doi.org/10.1080/13607863.2023.2243585" TargetMode="External"/><Relationship Id="rId51" Type="http://schemas.openxmlformats.org/officeDocument/2006/relationships/hyperlink" Target="https://doi.org/10.1111/jnu.12485" TargetMode="External"/><Relationship Id="rId50" Type="http://schemas.openxmlformats.org/officeDocument/2006/relationships/hyperlink" Target="https://doi.org/10.1111/jnu.12485" TargetMode="External"/><Relationship Id="rId53" Type="http://schemas.openxmlformats.org/officeDocument/2006/relationships/hyperlink" Target="https://doi.org/10.1371/journal.pone.0218704" TargetMode="External"/><Relationship Id="rId52" Type="http://schemas.openxmlformats.org/officeDocument/2006/relationships/hyperlink" Target="https://doi.org/10.1371/journal.pone.0218704" TargetMode="External"/><Relationship Id="rId55" Type="http://schemas.openxmlformats.org/officeDocument/2006/relationships/hyperlink" Target="https://doi.org/10.1080/03601277.2019.1656892" TargetMode="External"/><Relationship Id="rId54" Type="http://schemas.openxmlformats.org/officeDocument/2006/relationships/hyperlink" Target="https://doi.org/10.1080/03601277.2019.1656892" TargetMode="External"/><Relationship Id="rId57" Type="http://schemas.openxmlformats.org/officeDocument/2006/relationships/hyperlink" Target="https://doi.org/10.1016/j.gerinurse.2019.03.015" TargetMode="External"/><Relationship Id="rId56" Type="http://schemas.openxmlformats.org/officeDocument/2006/relationships/hyperlink" Target="https://doi.org/10.1016/j.gerinurse.2019.03.015" TargetMode="External"/><Relationship Id="rId59" Type="http://schemas.openxmlformats.org/officeDocument/2006/relationships/hyperlink" Target="https://doi.org/10.1186/s12877-022-03449-x" TargetMode="External"/><Relationship Id="rId58" Type="http://schemas.openxmlformats.org/officeDocument/2006/relationships/hyperlink" Target="https://doi.org/10.1186/s12877-022-03449-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wXd33W4ww/+4f8In0l/FFdd0Q==">CgMxLjAaHwoBMBIaChgICVIUChJ0YWJsZS5wMzNncWdrNng2YWsaHwoBMRIaChgICVIUChJ0YWJsZS55bTlpaTdveGpyOXE4AHIhMWZQVFgzaUlDaHJRZmNfb2EzNVV5QUVaLUNaSmxOZzNl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1f425125-e70a-4222-93c2-64385f5446e8</vt:lpwstr>
  </property>
</Properties>
</file>