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39E9AD" w14:textId="77777777" w:rsidR="00C15848" w:rsidRPr="00981791" w:rsidRDefault="00C15848" w:rsidP="00C15848">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b/>
          <w:bCs/>
        </w:rPr>
        <w:t>Finalidad y motivos</w:t>
      </w:r>
    </w:p>
    <w:p w14:paraId="35C6762D" w14:textId="159EB049" w:rsidR="00C15848" w:rsidRDefault="00C15848" w:rsidP="00C15848">
      <w:pPr>
        <w:pStyle w:val="NormalWeb"/>
        <w:spacing w:line="360" w:lineRule="auto"/>
        <w:jc w:val="both"/>
      </w:pPr>
      <w:r>
        <w:t xml:space="preserve">El presente trabajo se centra en la interpretación entre lenguas tipológicamente próximas, concretamente entre el catalán y el español, en contextos institucionales donde se dispone tanto del discurso original como de su interpretación, como es el caso del Comité Europeo de las Regiones y, de manera complementaria, del Congreso de los Diputados. La investigación busca analizar los problemas específicos que surgen al interpretar entre estas dos lenguas, prestando especial atención a fenómenos como calcos, interferencias léxicas o sintácticas, desviaciones pragmáticas y dificultades de reformulación que pueden aparecer dada su proximidad lingüística, así como su impacto en la calidad del producto terminado. </w:t>
      </w:r>
    </w:p>
    <w:p w14:paraId="19B07E82" w14:textId="77777777" w:rsidR="00C15848" w:rsidRDefault="00C15848" w:rsidP="00C15848">
      <w:pPr>
        <w:pStyle w:val="NormalWeb"/>
        <w:spacing w:line="360" w:lineRule="auto"/>
        <w:jc w:val="both"/>
      </w:pPr>
      <w:r>
        <w:t>A diferencia de otras combinaciones lingüísticas, la interpretación entre el catalán y el español suele percibirse como menos exigente desde el punto de vista comunicativo, debido al alto grado de comprensión mutua entre ambas lenguas. Analizar estos fenómenos permite evaluar si la aparente facilidad de la combinación conduce a una menor atención técnica, cómo se manifiestan estos problemas en interpretaciones reales y qué estrategias podrían aplicarse para mejorar la claridad y precisión del discurso interpretado.</w:t>
      </w:r>
    </w:p>
    <w:p w14:paraId="22F1F2C2" w14:textId="77777777" w:rsidR="00C15848" w:rsidRDefault="00C15848" w:rsidP="00C15848">
      <w:pPr>
        <w:pStyle w:val="NormalWeb"/>
        <w:spacing w:line="360" w:lineRule="auto"/>
        <w:jc w:val="both"/>
      </w:pPr>
      <w:r>
        <w:t>Se pretende evaluar la calidad de las interpretaciones reales a partir de fragmentos seleccionados, identificando los errores o desviaciones más frecuentes y proponiendo posibles estrategias de reformulación que podrían mejorar la precisión y claridad del discurso interpretado.</w:t>
      </w:r>
    </w:p>
    <w:p w14:paraId="36FAB26D" w14:textId="77777777" w:rsidR="00C15848" w:rsidRDefault="00C15848" w:rsidP="00C15848">
      <w:pPr>
        <w:pStyle w:val="NormalWeb"/>
        <w:spacing w:line="360" w:lineRule="auto"/>
        <w:jc w:val="both"/>
      </w:pPr>
      <w:r>
        <w:t>De manera complementaria, la investigación se sitúa en un contexto institucional y social más amplio. En el ámbito nacional, donde el español actúa como lengua común, la implementación de servicios de interpretación de lenguas cooficiales plantea interrogantes sobre su utilidad real. Se pretende examinar hasta qué punto estos servicios responden a necesidades comunicativas reales y hasta qué punto cumplen una función simbólica o representativa, vinculada a la cohesión nacional, al reconocimiento institucional de las lenguas cooficiales y a la percepción de inclusión de sus hablantes en la vida política.</w:t>
      </w:r>
    </w:p>
    <w:p w14:paraId="4A9BD10B" w14:textId="77777777" w:rsidR="00C15848" w:rsidRDefault="00C15848" w:rsidP="00C15848">
      <w:pPr>
        <w:pStyle w:val="NormalWeb"/>
        <w:spacing w:line="360" w:lineRule="auto"/>
        <w:jc w:val="both"/>
      </w:pPr>
      <w:r>
        <w:lastRenderedPageBreak/>
        <w:t>Asimismo, se situará el estudio en un marco institucional más amplio, considerando la normativa europea sobre lenguas oficiales y las limitaciones que esta impone a la inclusión de lenguas cooficiales como el catalán en determinados organismos. Este contexto permite comprender mejor los límites y posibilidades del servicio de interpretación en España y su relación con los criterios establecidos por la Unión Europea.</w:t>
      </w:r>
    </w:p>
    <w:p w14:paraId="57D97C7A" w14:textId="77777777" w:rsidR="00C42AB9" w:rsidRDefault="00C42AB9" w:rsidP="00C15848">
      <w:pPr>
        <w:pStyle w:val="NormalWeb"/>
        <w:spacing w:line="360" w:lineRule="auto"/>
        <w:jc w:val="both"/>
      </w:pPr>
    </w:p>
    <w:p w14:paraId="7782F5B5" w14:textId="77777777" w:rsidR="00C42AB9" w:rsidRDefault="00C42AB9" w:rsidP="00C42AB9">
      <w:pPr>
        <w:pStyle w:val="NormalWeb"/>
        <w:spacing w:line="360" w:lineRule="auto"/>
        <w:jc w:val="both"/>
      </w:pPr>
      <w:r>
        <w:t xml:space="preserve">Las preguntas de investigación son las siguientes: </w:t>
      </w:r>
    </w:p>
    <w:p w14:paraId="76192201" w14:textId="77777777" w:rsidR="00C42AB9" w:rsidRDefault="00C42AB9" w:rsidP="00C42AB9">
      <w:pPr>
        <w:pStyle w:val="NormalWeb"/>
        <w:numPr>
          <w:ilvl w:val="0"/>
          <w:numId w:val="3"/>
        </w:numPr>
      </w:pPr>
      <w:r>
        <w:t>¿Qué tipos de interferencias, calcos o dificultades de reformulación se observan en interpretaciones catalán–español realizadas en instituciones como el Comité Europeo de las Regiones o el Congreso de los Diputados?</w:t>
      </w:r>
    </w:p>
    <w:p w14:paraId="3D3A66F1" w14:textId="77777777" w:rsidR="00C42AB9" w:rsidRDefault="00C42AB9" w:rsidP="00C42AB9">
      <w:pPr>
        <w:pStyle w:val="NormalWeb"/>
        <w:ind w:left="720"/>
      </w:pPr>
    </w:p>
    <w:p w14:paraId="048BF8A8" w14:textId="77777777" w:rsidR="00C42AB9" w:rsidRDefault="00C42AB9" w:rsidP="00C42AB9">
      <w:pPr>
        <w:pStyle w:val="NormalWeb"/>
        <w:numPr>
          <w:ilvl w:val="0"/>
          <w:numId w:val="3"/>
        </w:numPr>
      </w:pPr>
      <w:r>
        <w:t>¿Hasta qué punto la proximidad lingüística entre ambas lenguas reduce el esfuerzo de comprensión del discurso original y desplaza la dificultad hacia la reformulación en la lengua meta?</w:t>
      </w:r>
    </w:p>
    <w:p w14:paraId="08CEF4FD" w14:textId="77777777" w:rsidR="00C42AB9" w:rsidRDefault="00C42AB9" w:rsidP="00C42AB9">
      <w:pPr>
        <w:pStyle w:val="Prrafodelista"/>
      </w:pPr>
    </w:p>
    <w:p w14:paraId="06994AFB" w14:textId="77777777" w:rsidR="00C42AB9" w:rsidRDefault="00C42AB9" w:rsidP="00C42AB9">
      <w:pPr>
        <w:pStyle w:val="NormalWeb"/>
        <w:ind w:left="720"/>
      </w:pPr>
    </w:p>
    <w:p w14:paraId="41DE3415" w14:textId="77777777" w:rsidR="00C42AB9" w:rsidRDefault="00C42AB9" w:rsidP="00C42AB9">
      <w:pPr>
        <w:pStyle w:val="NormalWeb"/>
        <w:numPr>
          <w:ilvl w:val="0"/>
          <w:numId w:val="3"/>
        </w:numPr>
      </w:pPr>
      <w:r>
        <w:t>¿Qué estrategias interpretativas podrían aplicarse para mejorar la calidad de la interpretación, basándose en los fragmentos analizados?</w:t>
      </w:r>
    </w:p>
    <w:p w14:paraId="243DF23E" w14:textId="77777777" w:rsidR="00C42AB9" w:rsidRDefault="00C42AB9" w:rsidP="00C15848">
      <w:pPr>
        <w:pStyle w:val="NormalWeb"/>
        <w:spacing w:line="360" w:lineRule="auto"/>
        <w:jc w:val="both"/>
      </w:pPr>
    </w:p>
    <w:p w14:paraId="7E4CB11F" w14:textId="5B90932E" w:rsidR="00C15848" w:rsidRDefault="00C15848">
      <w:pPr>
        <w:rPr>
          <w:rFonts w:ascii="Times New Roman" w:hAnsi="Times New Roman" w:cs="Times New Roman"/>
          <w:lang w:val="es-ES_tradnl"/>
        </w:rPr>
      </w:pPr>
      <w:r>
        <w:rPr>
          <w:rFonts w:ascii="Times New Roman" w:hAnsi="Times New Roman" w:cs="Times New Roman"/>
          <w:lang w:val="es-ES_tradnl"/>
        </w:rPr>
        <w:br w:type="page"/>
      </w:r>
    </w:p>
    <w:p w14:paraId="15F20CB9" w14:textId="7D639074" w:rsidR="00C15848" w:rsidRPr="00C15848" w:rsidRDefault="00AE40C0" w:rsidP="00C15848">
      <w:pPr>
        <w:pStyle w:val="Prrafodelista"/>
        <w:numPr>
          <w:ilvl w:val="0"/>
          <w:numId w:val="1"/>
        </w:numPr>
        <w:spacing w:line="360" w:lineRule="auto"/>
        <w:jc w:val="both"/>
        <w:rPr>
          <w:rFonts w:ascii="Times New Roman" w:hAnsi="Times New Roman" w:cs="Times New Roman"/>
        </w:rPr>
      </w:pPr>
      <w:r w:rsidRPr="00C15848">
        <w:rPr>
          <w:rFonts w:ascii="Times New Roman" w:hAnsi="Times New Roman" w:cs="Times New Roman"/>
          <w:lang w:val="es-ES_tradnl"/>
        </w:rPr>
        <w:lastRenderedPageBreak/>
        <w:t xml:space="preserve"> </w:t>
      </w:r>
      <w:r w:rsidR="00C15848" w:rsidRPr="00C15848">
        <w:rPr>
          <w:rFonts w:ascii="Times New Roman" w:hAnsi="Times New Roman" w:cs="Times New Roman"/>
          <w:b/>
          <w:bCs/>
        </w:rPr>
        <w:t>Estado de la cuestión y marco teórico</w:t>
      </w:r>
    </w:p>
    <w:p w14:paraId="644DC100" w14:textId="01DEC205" w:rsidR="00C15848" w:rsidRDefault="00C15848" w:rsidP="00AE40C0">
      <w:pPr>
        <w:spacing w:line="360" w:lineRule="auto"/>
        <w:jc w:val="both"/>
        <w:rPr>
          <w:rFonts w:ascii="Times New Roman" w:hAnsi="Times New Roman" w:cs="Times New Roman"/>
          <w:lang w:val="es-ES_tradnl"/>
        </w:rPr>
      </w:pPr>
    </w:p>
    <w:p w14:paraId="0B4B1C64" w14:textId="2D670594" w:rsidR="00AE40C0" w:rsidRDefault="00C15848" w:rsidP="00AE40C0">
      <w:pPr>
        <w:spacing w:line="360" w:lineRule="auto"/>
        <w:jc w:val="both"/>
        <w:rPr>
          <w:rFonts w:ascii="Times New Roman" w:hAnsi="Times New Roman" w:cs="Times New Roman"/>
        </w:rPr>
      </w:pPr>
      <w:r>
        <w:rPr>
          <w:rFonts w:ascii="Times New Roman" w:hAnsi="Times New Roman" w:cs="Times New Roman"/>
          <w:lang w:val="es-ES_tradnl"/>
        </w:rPr>
        <w:t xml:space="preserve">La </w:t>
      </w:r>
      <w:r w:rsidR="00AE40C0">
        <w:rPr>
          <w:rFonts w:ascii="Times New Roman" w:hAnsi="Times New Roman" w:cs="Times New Roman"/>
          <w:lang w:val="es-ES_tradnl"/>
        </w:rPr>
        <w:t xml:space="preserve">investigación sobre la calidad en la interpretación ha evolucionado considerablemente desde los primeros intentos de sistematización ya en la década de los ochenta </w:t>
      </w:r>
      <w:sdt>
        <w:sdtPr>
          <w:rPr>
            <w:rFonts w:ascii="Times New Roman" w:hAnsi="Times New Roman" w:cs="Times New Roman"/>
          </w:rPr>
          <w:id w:val="1156347975"/>
          <w:citation/>
        </w:sdtPr>
        <w:sdtContent>
          <w:r w:rsidR="00AE40C0">
            <w:rPr>
              <w:rFonts w:ascii="Times New Roman" w:hAnsi="Times New Roman" w:cs="Times New Roman"/>
            </w:rPr>
            <w:fldChar w:fldCharType="begin"/>
          </w:r>
          <w:r w:rsidR="00AE40C0">
            <w:rPr>
              <w:rFonts w:ascii="Times New Roman" w:hAnsi="Times New Roman" w:cs="Times New Roman"/>
              <w:lang w:val="es-ES_tradnl"/>
            </w:rPr>
            <w:instrText xml:space="preserve"> CITATION Pöc04 \l 1034 </w:instrText>
          </w:r>
          <w:r w:rsidR="00AE40C0">
            <w:rPr>
              <w:rFonts w:ascii="Times New Roman" w:hAnsi="Times New Roman" w:cs="Times New Roman"/>
            </w:rPr>
            <w:fldChar w:fldCharType="separate"/>
          </w:r>
          <w:r w:rsidR="00AE40C0" w:rsidRPr="00C06E9D">
            <w:rPr>
              <w:rFonts w:ascii="Times New Roman" w:hAnsi="Times New Roman" w:cs="Times New Roman"/>
              <w:noProof/>
              <w:lang w:val="es-ES_tradnl"/>
            </w:rPr>
            <w:t>(Pöchhacker, 2004)</w:t>
          </w:r>
          <w:r w:rsidR="00AE40C0">
            <w:rPr>
              <w:rFonts w:ascii="Times New Roman" w:hAnsi="Times New Roman" w:cs="Times New Roman"/>
            </w:rPr>
            <w:fldChar w:fldCharType="end"/>
          </w:r>
        </w:sdtContent>
      </w:sdt>
      <w:r w:rsidR="00AE40C0">
        <w:rPr>
          <w:rFonts w:ascii="Times New Roman" w:hAnsi="Times New Roman" w:cs="Times New Roman"/>
        </w:rPr>
        <w:t xml:space="preserve">. Analizar este fenómeno resulta fundamental para esta profesión, ya que permite superar evaluaciones que se basan únicamente en impresiones subjetivas y permiten avanzar hacia criterios de medición más objetivos y transparentes. Esto contribuye a reforzar el reconocimiento y la credibilidad del trabajo de los intérpretes </w:t>
      </w:r>
      <w:sdt>
        <w:sdtPr>
          <w:rPr>
            <w:rFonts w:ascii="Times New Roman" w:hAnsi="Times New Roman" w:cs="Times New Roman"/>
          </w:rPr>
          <w:id w:val="-1826270275"/>
          <w:citation/>
        </w:sdtPr>
        <w:sdtContent>
          <w:r w:rsidR="00AE40C0">
            <w:rPr>
              <w:rFonts w:ascii="Times New Roman" w:hAnsi="Times New Roman" w:cs="Times New Roman"/>
            </w:rPr>
            <w:fldChar w:fldCharType="begin"/>
          </w:r>
          <w:r w:rsidR="00AE40C0">
            <w:rPr>
              <w:rFonts w:ascii="Times New Roman" w:hAnsi="Times New Roman" w:cs="Times New Roman"/>
              <w:lang w:val="es-ES_tradnl"/>
            </w:rPr>
            <w:instrText xml:space="preserve"> CITATION Kal05 \l 1034 </w:instrText>
          </w:r>
          <w:r w:rsidR="00AE40C0">
            <w:rPr>
              <w:rFonts w:ascii="Times New Roman" w:hAnsi="Times New Roman" w:cs="Times New Roman"/>
            </w:rPr>
            <w:fldChar w:fldCharType="separate"/>
          </w:r>
          <w:r w:rsidR="00AE40C0">
            <w:rPr>
              <w:rFonts w:ascii="Times New Roman" w:hAnsi="Times New Roman" w:cs="Times New Roman"/>
              <w:noProof/>
              <w:lang w:val="es-ES_tradnl"/>
            </w:rPr>
            <w:t xml:space="preserve"> </w:t>
          </w:r>
          <w:r w:rsidR="00AE40C0" w:rsidRPr="00C06E9D">
            <w:rPr>
              <w:rFonts w:ascii="Times New Roman" w:hAnsi="Times New Roman" w:cs="Times New Roman"/>
              <w:noProof/>
              <w:lang w:val="es-ES_tradnl"/>
            </w:rPr>
            <w:t>(Kalina, 2005)</w:t>
          </w:r>
          <w:r w:rsidR="00AE40C0">
            <w:rPr>
              <w:rFonts w:ascii="Times New Roman" w:hAnsi="Times New Roman" w:cs="Times New Roman"/>
            </w:rPr>
            <w:fldChar w:fldCharType="end"/>
          </w:r>
        </w:sdtContent>
      </w:sdt>
      <w:r w:rsidR="00AE40C0">
        <w:rPr>
          <w:rFonts w:ascii="Times New Roman" w:hAnsi="Times New Roman" w:cs="Times New Roman"/>
        </w:rPr>
        <w:t xml:space="preserve">. En el caso de la interpretación simultánea (SI), esta cuestión adquiere una relevancia especial. El profesional trabaja bajo una presión temporal muy elevada, lo que hace la gestión de la calidad se convierta en un auténtico “acto de equilibrio” constante </w:t>
      </w:r>
      <w:sdt>
        <w:sdtPr>
          <w:rPr>
            <w:rFonts w:ascii="Times New Roman" w:hAnsi="Times New Roman" w:cs="Times New Roman"/>
          </w:rPr>
          <w:id w:val="-1790051214"/>
          <w:citation/>
        </w:sdtPr>
        <w:sdtContent>
          <w:r w:rsidR="00AE40C0">
            <w:rPr>
              <w:rFonts w:ascii="Times New Roman" w:hAnsi="Times New Roman" w:cs="Times New Roman"/>
            </w:rPr>
            <w:fldChar w:fldCharType="begin"/>
          </w:r>
          <w:r w:rsidR="00AE40C0">
            <w:rPr>
              <w:rFonts w:ascii="Times New Roman" w:hAnsi="Times New Roman" w:cs="Times New Roman"/>
              <w:lang w:val="es-ES_tradnl"/>
            </w:rPr>
            <w:instrText xml:space="preserve"> CITATION Kal05 \l 1034 </w:instrText>
          </w:r>
          <w:r w:rsidR="00AE40C0">
            <w:rPr>
              <w:rFonts w:ascii="Times New Roman" w:hAnsi="Times New Roman" w:cs="Times New Roman"/>
            </w:rPr>
            <w:fldChar w:fldCharType="separate"/>
          </w:r>
          <w:r w:rsidR="00AE40C0">
            <w:rPr>
              <w:rFonts w:ascii="Times New Roman" w:hAnsi="Times New Roman" w:cs="Times New Roman"/>
              <w:noProof/>
              <w:lang w:val="es-ES_tradnl"/>
            </w:rPr>
            <w:t xml:space="preserve"> </w:t>
          </w:r>
          <w:r w:rsidR="00AE40C0" w:rsidRPr="00C06E9D">
            <w:rPr>
              <w:rFonts w:ascii="Times New Roman" w:hAnsi="Times New Roman" w:cs="Times New Roman"/>
              <w:noProof/>
              <w:lang w:val="es-ES_tradnl"/>
            </w:rPr>
            <w:t>(Kalina, 2005)</w:t>
          </w:r>
          <w:r w:rsidR="00AE40C0">
            <w:rPr>
              <w:rFonts w:ascii="Times New Roman" w:hAnsi="Times New Roman" w:cs="Times New Roman"/>
            </w:rPr>
            <w:fldChar w:fldCharType="end"/>
          </w:r>
        </w:sdtContent>
      </w:sdt>
      <w:r w:rsidR="00AE40C0">
        <w:rPr>
          <w:rFonts w:ascii="Times New Roman" w:hAnsi="Times New Roman" w:cs="Times New Roman"/>
        </w:rPr>
        <w:t xml:space="preserve">. </w:t>
      </w:r>
    </w:p>
    <w:p w14:paraId="5C052628" w14:textId="77777777" w:rsidR="00A33340" w:rsidRDefault="00A33340" w:rsidP="00AE40C0">
      <w:pPr>
        <w:spacing w:line="360" w:lineRule="auto"/>
        <w:jc w:val="both"/>
        <w:rPr>
          <w:rFonts w:ascii="Times New Roman" w:hAnsi="Times New Roman" w:cs="Times New Roman"/>
        </w:rPr>
      </w:pPr>
    </w:p>
    <w:p w14:paraId="2521F06B" w14:textId="77777777" w:rsidR="00A33340" w:rsidRDefault="00EB38BD" w:rsidP="00AE40C0">
      <w:pPr>
        <w:spacing w:line="360" w:lineRule="auto"/>
        <w:jc w:val="both"/>
        <w:rPr>
          <w:rFonts w:ascii="Times New Roman" w:hAnsi="Times New Roman" w:cs="Times New Roman"/>
        </w:rPr>
      </w:pPr>
      <w:r>
        <w:rPr>
          <w:rFonts w:ascii="Times New Roman" w:hAnsi="Times New Roman" w:cs="Times New Roman"/>
        </w:rPr>
        <w:t xml:space="preserve">La calidad se entiende hoy como un constructo multidimensional que depende de la interacción entre el resultado final de la interpretación, el contexto comunicativo y las expectativas de los destinatarios </w:t>
      </w:r>
      <w:sdt>
        <w:sdtPr>
          <w:rPr>
            <w:rFonts w:ascii="Times New Roman" w:hAnsi="Times New Roman" w:cs="Times New Roman"/>
          </w:rPr>
          <w:id w:val="-2020153869"/>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Pöc04 \l 1034 </w:instrText>
          </w:r>
          <w:r>
            <w:rPr>
              <w:rFonts w:ascii="Times New Roman" w:hAnsi="Times New Roman" w:cs="Times New Roman"/>
            </w:rPr>
            <w:fldChar w:fldCharType="separate"/>
          </w:r>
          <w:r w:rsidRPr="00EB38BD">
            <w:rPr>
              <w:rFonts w:ascii="Times New Roman" w:hAnsi="Times New Roman" w:cs="Times New Roman"/>
              <w:noProof/>
              <w:lang w:val="es-ES_tradnl"/>
            </w:rPr>
            <w:t>(Pöchhacker F. , 2004)</w:t>
          </w:r>
          <w:r>
            <w:rPr>
              <w:rFonts w:ascii="Times New Roman" w:hAnsi="Times New Roman" w:cs="Times New Roman"/>
            </w:rPr>
            <w:fldChar w:fldCharType="end"/>
          </w:r>
        </w:sdtContent>
      </w:sdt>
      <w:r>
        <w:rPr>
          <w:rFonts w:ascii="Times New Roman" w:hAnsi="Times New Roman" w:cs="Times New Roman"/>
        </w:rPr>
        <w:t xml:space="preserve">. </w:t>
      </w:r>
    </w:p>
    <w:p w14:paraId="2EBB2B93" w14:textId="03DD993F" w:rsidR="008A4017" w:rsidRDefault="00EB38BD" w:rsidP="00AE40C0">
      <w:pPr>
        <w:spacing w:line="360" w:lineRule="auto"/>
        <w:jc w:val="both"/>
        <w:rPr>
          <w:rFonts w:ascii="Times New Roman" w:hAnsi="Times New Roman" w:cs="Times New Roman"/>
        </w:rPr>
      </w:pPr>
      <w:r>
        <w:rPr>
          <w:rFonts w:ascii="Times New Roman" w:hAnsi="Times New Roman" w:cs="Times New Roman"/>
        </w:rPr>
        <w:t>I</w:t>
      </w:r>
      <w:r w:rsidR="00AE40C0">
        <w:rPr>
          <w:rFonts w:ascii="Times New Roman" w:hAnsi="Times New Roman" w:cs="Times New Roman"/>
        </w:rPr>
        <w:t>nicialmente, la literatura intentó definir</w:t>
      </w:r>
      <w:r>
        <w:rPr>
          <w:rFonts w:ascii="Times New Roman" w:hAnsi="Times New Roman" w:cs="Times New Roman"/>
        </w:rPr>
        <w:t xml:space="preserve">la mediante </w:t>
      </w:r>
      <w:r w:rsidR="00AE40C0">
        <w:rPr>
          <w:rFonts w:ascii="Times New Roman" w:hAnsi="Times New Roman" w:cs="Times New Roman"/>
        </w:rPr>
        <w:t xml:space="preserve">criterios explícitos a través de encuestas a profesionales, identificando parámetros como la cohesión lógica, la consistencia del sentido y la </w:t>
      </w:r>
      <w:r w:rsidR="00A568B0">
        <w:rPr>
          <w:rFonts w:ascii="Times New Roman" w:hAnsi="Times New Roman" w:cs="Times New Roman"/>
        </w:rPr>
        <w:t>corrección terminológica</w:t>
      </w:r>
      <w:r w:rsidR="00AE40C0">
        <w:rPr>
          <w:rFonts w:ascii="Times New Roman" w:hAnsi="Times New Roman" w:cs="Times New Roman"/>
        </w:rPr>
        <w:t xml:space="preserve"> </w:t>
      </w:r>
      <w:sdt>
        <w:sdtPr>
          <w:rPr>
            <w:rFonts w:ascii="Times New Roman" w:hAnsi="Times New Roman" w:cs="Times New Roman"/>
          </w:rPr>
          <w:id w:val="1376741765"/>
          <w:citation/>
        </w:sdtPr>
        <w:sdtContent>
          <w:r w:rsidR="00AE40C0">
            <w:rPr>
              <w:rFonts w:ascii="Times New Roman" w:hAnsi="Times New Roman" w:cs="Times New Roman"/>
            </w:rPr>
            <w:fldChar w:fldCharType="begin"/>
          </w:r>
          <w:r w:rsidR="00AE40C0">
            <w:rPr>
              <w:rFonts w:ascii="Times New Roman" w:hAnsi="Times New Roman" w:cs="Times New Roman"/>
              <w:lang w:val="es-ES_tradnl"/>
            </w:rPr>
            <w:instrText xml:space="preserve"> CITATION Büh86 \l 1034 </w:instrText>
          </w:r>
          <w:r w:rsidR="00AE40C0">
            <w:rPr>
              <w:rFonts w:ascii="Times New Roman" w:hAnsi="Times New Roman" w:cs="Times New Roman"/>
            </w:rPr>
            <w:fldChar w:fldCharType="separate"/>
          </w:r>
          <w:r w:rsidR="00AE40C0" w:rsidRPr="00C06E9D">
            <w:rPr>
              <w:rFonts w:ascii="Times New Roman" w:hAnsi="Times New Roman" w:cs="Times New Roman"/>
              <w:noProof/>
              <w:lang w:val="es-ES_tradnl"/>
            </w:rPr>
            <w:t>(Bühler, 1986)</w:t>
          </w:r>
          <w:r w:rsidR="00AE40C0">
            <w:rPr>
              <w:rFonts w:ascii="Times New Roman" w:hAnsi="Times New Roman" w:cs="Times New Roman"/>
            </w:rPr>
            <w:fldChar w:fldCharType="end"/>
          </w:r>
        </w:sdtContent>
      </w:sdt>
      <w:r w:rsidR="00A568B0">
        <w:rPr>
          <w:rFonts w:ascii="Times New Roman" w:hAnsi="Times New Roman" w:cs="Times New Roman"/>
        </w:rPr>
        <w:t xml:space="preserve">. </w:t>
      </w:r>
    </w:p>
    <w:p w14:paraId="75EE7958" w14:textId="20C0F5DC" w:rsidR="00DC0825" w:rsidRDefault="00DC0825" w:rsidP="00AE40C0">
      <w:pPr>
        <w:spacing w:line="360" w:lineRule="auto"/>
        <w:jc w:val="both"/>
        <w:rPr>
          <w:rFonts w:ascii="Times New Roman" w:hAnsi="Times New Roman" w:cs="Times New Roman"/>
        </w:rPr>
      </w:pPr>
      <w:r>
        <w:rPr>
          <w:rFonts w:ascii="Times New Roman" w:hAnsi="Times New Roman" w:cs="Times New Roman"/>
        </w:rPr>
        <w:t xml:space="preserve">Posteriormente, desde la teoría de las normas en traducción, </w:t>
      </w:r>
      <w:proofErr w:type="spellStart"/>
      <w:r w:rsidR="001C037A">
        <w:rPr>
          <w:rFonts w:ascii="Times New Roman" w:hAnsi="Times New Roman" w:cs="Times New Roman"/>
        </w:rPr>
        <w:t>Chesterman</w:t>
      </w:r>
      <w:proofErr w:type="spellEnd"/>
      <w:r w:rsidR="001C037A">
        <w:rPr>
          <w:rFonts w:ascii="Times New Roman" w:hAnsi="Times New Roman" w:cs="Times New Roman"/>
        </w:rPr>
        <w:t xml:space="preserve"> </w:t>
      </w:r>
      <w:r>
        <w:rPr>
          <w:rFonts w:ascii="Times New Roman" w:hAnsi="Times New Roman" w:cs="Times New Roman"/>
        </w:rPr>
        <w:t xml:space="preserve">introdujo el concepto de </w:t>
      </w:r>
      <w:r>
        <w:rPr>
          <w:rFonts w:ascii="comillas" w:hAnsi="comillas" w:cs="Times New Roman"/>
        </w:rPr>
        <w:t>«</w:t>
      </w:r>
      <w:r>
        <w:rPr>
          <w:rFonts w:ascii="Times New Roman" w:hAnsi="Times New Roman" w:cs="Times New Roman"/>
        </w:rPr>
        <w:t>normas de expectativa</w:t>
      </w:r>
      <w:r>
        <w:rPr>
          <w:rFonts w:ascii="comillas" w:hAnsi="comillas" w:cs="Times New Roman"/>
        </w:rPr>
        <w:t>»</w:t>
      </w:r>
      <w:r>
        <w:rPr>
          <w:rFonts w:ascii="Times New Roman" w:hAnsi="Times New Roman" w:cs="Times New Roman"/>
        </w:rPr>
        <w:t xml:space="preserve"> (</w:t>
      </w:r>
      <w:proofErr w:type="spellStart"/>
      <w:r>
        <w:rPr>
          <w:rFonts w:ascii="Times New Roman" w:hAnsi="Times New Roman" w:cs="Times New Roman"/>
          <w:i/>
          <w:iCs/>
        </w:rPr>
        <w:t>expectancy</w:t>
      </w:r>
      <w:proofErr w:type="spellEnd"/>
      <w:r>
        <w:rPr>
          <w:rFonts w:ascii="Times New Roman" w:hAnsi="Times New Roman" w:cs="Times New Roman"/>
          <w:i/>
          <w:iCs/>
        </w:rPr>
        <w:t xml:space="preserve"> </w:t>
      </w:r>
      <w:proofErr w:type="spellStart"/>
      <w:r>
        <w:rPr>
          <w:rFonts w:ascii="Times New Roman" w:hAnsi="Times New Roman" w:cs="Times New Roman"/>
          <w:i/>
          <w:iCs/>
        </w:rPr>
        <w:t>norms</w:t>
      </w:r>
      <w:proofErr w:type="spellEnd"/>
      <w:r>
        <w:rPr>
          <w:rFonts w:ascii="Times New Roman" w:hAnsi="Times New Roman" w:cs="Times New Roman"/>
          <w:i/>
          <w:iCs/>
        </w:rPr>
        <w:t>)</w:t>
      </w:r>
      <w:r>
        <w:rPr>
          <w:rFonts w:ascii="Times New Roman" w:hAnsi="Times New Roman" w:cs="Times New Roman"/>
        </w:rPr>
        <w:t>, según el cual la calidad no responde a un estándar absoluto, sino que depende de las expectativas que los usuarios tienen sobre el servicio en un contexto determinado</w:t>
      </w:r>
      <w:r w:rsidR="001C037A" w:rsidRPr="001C037A">
        <w:rPr>
          <w:rFonts w:ascii="Times New Roman" w:hAnsi="Times New Roman" w:cs="Times New Roman"/>
        </w:rPr>
        <w:t xml:space="preserve"> </w:t>
      </w:r>
      <w:sdt>
        <w:sdtPr>
          <w:rPr>
            <w:rFonts w:ascii="Times New Roman" w:hAnsi="Times New Roman" w:cs="Times New Roman"/>
          </w:rPr>
          <w:id w:val="-443075603"/>
          <w:citation/>
        </w:sdtPr>
        <w:sdtContent>
          <w:r w:rsidR="001C037A">
            <w:rPr>
              <w:rFonts w:ascii="Times New Roman" w:hAnsi="Times New Roman" w:cs="Times New Roman"/>
            </w:rPr>
            <w:fldChar w:fldCharType="begin"/>
          </w:r>
          <w:r w:rsidR="001C037A">
            <w:rPr>
              <w:rFonts w:ascii="Times New Roman" w:hAnsi="Times New Roman" w:cs="Times New Roman"/>
              <w:lang w:val="es-ES_tradnl"/>
            </w:rPr>
            <w:instrText xml:space="preserve"> CITATION Che93 \l 1034 </w:instrText>
          </w:r>
          <w:r w:rsidR="001C037A">
            <w:rPr>
              <w:rFonts w:ascii="Times New Roman" w:hAnsi="Times New Roman" w:cs="Times New Roman"/>
            </w:rPr>
            <w:fldChar w:fldCharType="separate"/>
          </w:r>
          <w:r w:rsidR="001C037A" w:rsidRPr="00DC0825">
            <w:rPr>
              <w:rFonts w:ascii="Times New Roman" w:hAnsi="Times New Roman" w:cs="Times New Roman"/>
              <w:noProof/>
              <w:lang w:val="es-ES_tradnl"/>
            </w:rPr>
            <w:t>(Chesterman, 1993)</w:t>
          </w:r>
          <w:r w:rsidR="001C037A">
            <w:rPr>
              <w:rFonts w:ascii="Times New Roman" w:hAnsi="Times New Roman" w:cs="Times New Roman"/>
            </w:rPr>
            <w:fldChar w:fldCharType="end"/>
          </w:r>
        </w:sdtContent>
      </w:sdt>
      <w:r w:rsidR="00A568B0">
        <w:rPr>
          <w:rFonts w:ascii="Times New Roman" w:hAnsi="Times New Roman" w:cs="Times New Roman"/>
        </w:rPr>
        <w:t>.</w:t>
      </w:r>
      <w:r>
        <w:rPr>
          <w:rFonts w:ascii="Times New Roman" w:hAnsi="Times New Roman" w:cs="Times New Roman"/>
        </w:rPr>
        <w:t xml:space="preserve"> En esta línea se ha observado que los usuarios suelen priorizar aspectos como la claridad del mensaje y la coherencia del contenido por encima de rasgos puramente teóricos</w:t>
      </w:r>
      <w:r w:rsidR="00A33340">
        <w:rPr>
          <w:rFonts w:ascii="Times New Roman" w:hAnsi="Times New Roman" w:cs="Times New Roman"/>
        </w:rPr>
        <w:t xml:space="preserve"> o formales</w:t>
      </w:r>
      <w:r w:rsidRPr="00DC0825">
        <w:rPr>
          <w:rFonts w:ascii="Times New Roman" w:hAnsi="Times New Roman" w:cs="Times New Roman"/>
        </w:rPr>
        <w:t xml:space="preserve"> </w:t>
      </w:r>
      <w:sdt>
        <w:sdtPr>
          <w:rPr>
            <w:rFonts w:ascii="Times New Roman" w:hAnsi="Times New Roman" w:cs="Times New Roman"/>
          </w:rPr>
          <w:id w:val="-1247722589"/>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Pöc02 \l 1034 </w:instrText>
          </w:r>
          <w:r>
            <w:rPr>
              <w:rFonts w:ascii="Times New Roman" w:hAnsi="Times New Roman" w:cs="Times New Roman"/>
            </w:rPr>
            <w:fldChar w:fldCharType="separate"/>
          </w:r>
          <w:r w:rsidRPr="003045A3">
            <w:rPr>
              <w:rFonts w:ascii="Times New Roman" w:hAnsi="Times New Roman" w:cs="Times New Roman"/>
              <w:noProof/>
              <w:lang w:val="es-ES_tradnl"/>
            </w:rPr>
            <w:t>(Pöchhacker F. S., 2002)</w:t>
          </w:r>
          <w:r>
            <w:rPr>
              <w:rFonts w:ascii="Times New Roman" w:hAnsi="Times New Roman" w:cs="Times New Roman"/>
            </w:rPr>
            <w:fldChar w:fldCharType="end"/>
          </w:r>
        </w:sdtContent>
      </w:sdt>
      <w:r>
        <w:rPr>
          <w:rFonts w:ascii="Times New Roman" w:hAnsi="Times New Roman" w:cs="Times New Roman"/>
        </w:rPr>
        <w:t xml:space="preserve">. </w:t>
      </w:r>
    </w:p>
    <w:p w14:paraId="4C7BCBBB" w14:textId="77777777" w:rsidR="007C1A66" w:rsidRDefault="007C1A66" w:rsidP="00AE40C0">
      <w:pPr>
        <w:spacing w:line="360" w:lineRule="auto"/>
        <w:jc w:val="both"/>
        <w:rPr>
          <w:rFonts w:ascii="Times New Roman" w:hAnsi="Times New Roman" w:cs="Times New Roman"/>
        </w:rPr>
      </w:pPr>
    </w:p>
    <w:p w14:paraId="33894636" w14:textId="77777777" w:rsidR="001C037A" w:rsidRDefault="001C037A" w:rsidP="003A7F1D">
      <w:pPr>
        <w:spacing w:line="360" w:lineRule="auto"/>
        <w:jc w:val="both"/>
        <w:rPr>
          <w:rFonts w:ascii="Times New Roman" w:hAnsi="Times New Roman" w:cs="Times New Roman"/>
        </w:rPr>
      </w:pPr>
    </w:p>
    <w:p w14:paraId="4D92B3D2" w14:textId="6ED94E87" w:rsidR="00DC0825" w:rsidRDefault="003A7F1D" w:rsidP="00AE40C0">
      <w:pPr>
        <w:spacing w:line="360" w:lineRule="auto"/>
        <w:jc w:val="both"/>
        <w:rPr>
          <w:rFonts w:ascii="Times New Roman" w:hAnsi="Times New Roman" w:cs="Times New Roman"/>
        </w:rPr>
      </w:pPr>
      <w:r>
        <w:rPr>
          <w:rFonts w:ascii="Times New Roman" w:hAnsi="Times New Roman" w:cs="Times New Roman"/>
        </w:rPr>
        <w:t xml:space="preserve">Uno de los retos metodológicos más complejos, es la discrepancia entre las mediciones lingüísticas objetivas y el juicio subjetivo de la audiencia </w:t>
      </w:r>
      <w:sdt>
        <w:sdtPr>
          <w:rPr>
            <w:rFonts w:ascii="Times New Roman" w:hAnsi="Times New Roman" w:cs="Times New Roman"/>
          </w:rPr>
          <w:id w:val="512578331"/>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Pöc04 \l 1034 </w:instrText>
          </w:r>
          <w:r>
            <w:rPr>
              <w:rFonts w:ascii="Times New Roman" w:hAnsi="Times New Roman" w:cs="Times New Roman"/>
            </w:rPr>
            <w:fldChar w:fldCharType="separate"/>
          </w:r>
          <w:r w:rsidRPr="00141310">
            <w:rPr>
              <w:rFonts w:ascii="Times New Roman" w:hAnsi="Times New Roman" w:cs="Times New Roman"/>
              <w:noProof/>
              <w:lang w:val="es-ES_tradnl"/>
            </w:rPr>
            <w:t>(Pöchhacker F. , 2004)</w:t>
          </w:r>
          <w:r>
            <w:rPr>
              <w:rFonts w:ascii="Times New Roman" w:hAnsi="Times New Roman" w:cs="Times New Roman"/>
            </w:rPr>
            <w:fldChar w:fldCharType="end"/>
          </w:r>
        </w:sdtContent>
      </w:sdt>
      <w:r>
        <w:rPr>
          <w:rFonts w:ascii="Times New Roman" w:hAnsi="Times New Roman" w:cs="Times New Roman"/>
        </w:rPr>
        <w:t xml:space="preserve">. Las investigaciones han demostrado que la fiabilidad de las calificaciones subjetivas de los usuarios es considerablemente menor que la de los instrumentos basados en el análisis proposicional de precisión </w:t>
      </w:r>
      <w:sdt>
        <w:sdtPr>
          <w:rPr>
            <w:rFonts w:ascii="Times New Roman" w:hAnsi="Times New Roman" w:cs="Times New Roman"/>
          </w:rPr>
          <w:id w:val="-1336137887"/>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Str92 \l 1034 </w:instrText>
          </w:r>
          <w:r>
            <w:rPr>
              <w:rFonts w:ascii="Times New Roman" w:hAnsi="Times New Roman" w:cs="Times New Roman"/>
            </w:rPr>
            <w:fldChar w:fldCharType="separate"/>
          </w:r>
          <w:r w:rsidRPr="00141310">
            <w:rPr>
              <w:rFonts w:ascii="Times New Roman" w:hAnsi="Times New Roman" w:cs="Times New Roman"/>
              <w:noProof/>
              <w:lang w:val="es-ES_tradnl"/>
            </w:rPr>
            <w:t>(Strong, 1992)</w:t>
          </w:r>
          <w:r>
            <w:rPr>
              <w:rFonts w:ascii="Times New Roman" w:hAnsi="Times New Roman" w:cs="Times New Roman"/>
            </w:rPr>
            <w:fldChar w:fldCharType="end"/>
          </w:r>
        </w:sdtContent>
      </w:sdt>
      <w:r>
        <w:rPr>
          <w:rFonts w:ascii="Times New Roman" w:hAnsi="Times New Roman" w:cs="Times New Roman"/>
        </w:rPr>
        <w:t xml:space="preserve">. Esto se debe a que el usuario final, por lo general, no es sensible a omisiones o errores de sentido siempre que la interpretación se </w:t>
      </w:r>
      <w:r>
        <w:rPr>
          <w:rFonts w:ascii="Times New Roman" w:hAnsi="Times New Roman" w:cs="Times New Roman"/>
        </w:rPr>
        <w:lastRenderedPageBreak/>
        <w:t xml:space="preserve">presente con una entonación </w:t>
      </w:r>
      <w:r w:rsidRPr="00BC7D04">
        <w:rPr>
          <w:rFonts w:ascii="Times New Roman" w:hAnsi="Times New Roman" w:cs="Times New Roman"/>
        </w:rPr>
        <w:t>«</w:t>
      </w:r>
      <w:r>
        <w:rPr>
          <w:rFonts w:ascii="Times New Roman" w:hAnsi="Times New Roman" w:cs="Times New Roman"/>
        </w:rPr>
        <w:t>viva</w:t>
      </w:r>
      <w:r w:rsidRPr="00BC7D04">
        <w:rPr>
          <w:rFonts w:ascii="Times New Roman" w:hAnsi="Times New Roman" w:cs="Times New Roman"/>
        </w:rPr>
        <w:t>»</w:t>
      </w:r>
      <w:r>
        <w:rPr>
          <w:rFonts w:ascii="Times New Roman" w:hAnsi="Times New Roman" w:cs="Times New Roman"/>
        </w:rPr>
        <w:t xml:space="preserve"> y segura </w:t>
      </w:r>
      <w:sdt>
        <w:sdtPr>
          <w:rPr>
            <w:rFonts w:ascii="Times New Roman" w:hAnsi="Times New Roman" w:cs="Times New Roman"/>
          </w:rPr>
          <w:id w:val="-1084837489"/>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Col02 \l 1034 </w:instrText>
          </w:r>
          <w:r>
            <w:rPr>
              <w:rFonts w:ascii="Times New Roman" w:hAnsi="Times New Roman" w:cs="Times New Roman"/>
            </w:rPr>
            <w:fldChar w:fldCharType="separate"/>
          </w:r>
          <w:r w:rsidRPr="00141310">
            <w:rPr>
              <w:rFonts w:ascii="Times New Roman" w:hAnsi="Times New Roman" w:cs="Times New Roman"/>
              <w:noProof/>
              <w:lang w:val="es-ES_tradnl"/>
            </w:rPr>
            <w:t>(Collado Aís, 1998/2002)</w:t>
          </w:r>
          <w:r>
            <w:rPr>
              <w:rFonts w:ascii="Times New Roman" w:hAnsi="Times New Roman" w:cs="Times New Roman"/>
            </w:rPr>
            <w:fldChar w:fldCharType="end"/>
          </w:r>
        </w:sdtContent>
      </w:sdt>
      <w:r>
        <w:rPr>
          <w:rFonts w:ascii="Times New Roman" w:hAnsi="Times New Roman" w:cs="Times New Roman"/>
        </w:rPr>
        <w:t xml:space="preserve">. Por el contrario, una entrega deficiente, caracterizada por vacilaciones, prosodia errática o un acento marcado, degrada la evaluación del usuario en criterios que técnicamente no deberían estar relacionados, como la fidelidad o la coherencia </w:t>
      </w:r>
      <w:sdt>
        <w:sdtPr>
          <w:rPr>
            <w:rFonts w:ascii="Times New Roman" w:hAnsi="Times New Roman" w:cs="Times New Roman"/>
          </w:rPr>
          <w:id w:val="1749233128"/>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Gar03 \l 1034 </w:instrText>
          </w:r>
          <w:r>
            <w:rPr>
              <w:rFonts w:ascii="Times New Roman" w:hAnsi="Times New Roman" w:cs="Times New Roman"/>
            </w:rPr>
            <w:fldChar w:fldCharType="separate"/>
          </w:r>
          <w:r w:rsidRPr="00FD14B9">
            <w:rPr>
              <w:rFonts w:ascii="Times New Roman" w:hAnsi="Times New Roman" w:cs="Times New Roman"/>
              <w:noProof/>
              <w:lang w:val="es-ES_tradnl"/>
            </w:rPr>
            <w:t>(Garzone, 2003)</w:t>
          </w:r>
          <w:r>
            <w:rPr>
              <w:rFonts w:ascii="Times New Roman" w:hAnsi="Times New Roman" w:cs="Times New Roman"/>
            </w:rPr>
            <w:fldChar w:fldCharType="end"/>
          </w:r>
        </w:sdtContent>
      </w:sdt>
      <w:r>
        <w:rPr>
          <w:rFonts w:ascii="Times New Roman" w:hAnsi="Times New Roman" w:cs="Times New Roman"/>
        </w:rPr>
        <w:t xml:space="preserve">. Por tanto, la evaluación del rendimiento profesional exige un enfoque metodológico mixto que incluya el análisis del discurso y la descripción de variables situacionales e interaccionales </w:t>
      </w:r>
      <w:sdt>
        <w:sdtPr>
          <w:rPr>
            <w:rFonts w:ascii="Times New Roman" w:hAnsi="Times New Roman" w:cs="Times New Roman"/>
          </w:rPr>
          <w:id w:val="459388345"/>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Pöc04 \l 1034 </w:instrText>
          </w:r>
          <w:r>
            <w:rPr>
              <w:rFonts w:ascii="Times New Roman" w:hAnsi="Times New Roman" w:cs="Times New Roman"/>
            </w:rPr>
            <w:fldChar w:fldCharType="separate"/>
          </w:r>
          <w:r w:rsidRPr="00FD14B9">
            <w:rPr>
              <w:rFonts w:ascii="Times New Roman" w:hAnsi="Times New Roman" w:cs="Times New Roman"/>
              <w:noProof/>
              <w:lang w:val="es-ES_tradnl"/>
            </w:rPr>
            <w:t>(Pöchhacker F. , 2004)</w:t>
          </w:r>
          <w:r>
            <w:rPr>
              <w:rFonts w:ascii="Times New Roman" w:hAnsi="Times New Roman" w:cs="Times New Roman"/>
            </w:rPr>
            <w:fldChar w:fldCharType="end"/>
          </w:r>
        </w:sdtContent>
      </w:sdt>
      <w:r w:rsidR="00A33340">
        <w:rPr>
          <w:rFonts w:ascii="Times New Roman" w:hAnsi="Times New Roman" w:cs="Times New Roman"/>
        </w:rPr>
        <w:t xml:space="preserve"> </w:t>
      </w:r>
      <w:r w:rsidR="00DC0825">
        <w:rPr>
          <w:rFonts w:ascii="Times New Roman" w:hAnsi="Times New Roman" w:cs="Times New Roman"/>
        </w:rPr>
        <w:t xml:space="preserve">De forma complementaria, </w:t>
      </w:r>
      <w:sdt>
        <w:sdtPr>
          <w:rPr>
            <w:rFonts w:ascii="Times New Roman" w:hAnsi="Times New Roman" w:cs="Times New Roman"/>
          </w:rPr>
          <w:id w:val="1241985771"/>
          <w:citation/>
        </w:sdtPr>
        <w:sdtContent>
          <w:r w:rsidR="00DC0825">
            <w:rPr>
              <w:rFonts w:ascii="Times New Roman" w:hAnsi="Times New Roman" w:cs="Times New Roman"/>
            </w:rPr>
            <w:fldChar w:fldCharType="begin"/>
          </w:r>
          <w:r w:rsidR="00DC0825">
            <w:rPr>
              <w:rFonts w:ascii="Times New Roman" w:hAnsi="Times New Roman" w:cs="Times New Roman"/>
              <w:lang w:val="es-ES_tradnl"/>
            </w:rPr>
            <w:instrText xml:space="preserve"> CITATION Mos96 \l 1034 </w:instrText>
          </w:r>
          <w:r w:rsidR="00DC0825">
            <w:rPr>
              <w:rFonts w:ascii="Times New Roman" w:hAnsi="Times New Roman" w:cs="Times New Roman"/>
            </w:rPr>
            <w:fldChar w:fldCharType="separate"/>
          </w:r>
          <w:r w:rsidR="00DC0825" w:rsidRPr="00335FD3">
            <w:rPr>
              <w:rFonts w:ascii="Times New Roman" w:hAnsi="Times New Roman" w:cs="Times New Roman"/>
              <w:noProof/>
              <w:lang w:val="es-ES_tradnl"/>
            </w:rPr>
            <w:t>(Moser-Mercer, 1996)</w:t>
          </w:r>
          <w:r w:rsidR="00DC0825">
            <w:rPr>
              <w:rFonts w:ascii="Times New Roman" w:hAnsi="Times New Roman" w:cs="Times New Roman"/>
            </w:rPr>
            <w:fldChar w:fldCharType="end"/>
          </w:r>
        </w:sdtContent>
      </w:sdt>
      <w:r w:rsidR="00DC0825">
        <w:rPr>
          <w:rFonts w:ascii="Times New Roman" w:hAnsi="Times New Roman" w:cs="Times New Roman"/>
        </w:rPr>
        <w:t xml:space="preserve"> subraya que la calidad de la interpretación no depende únicamente del rendimiento del intérprete, sino también de las condiciones externas en las que desempeña su trabajo. Por ello, sostiene que la evaluación debe realizarse siempre teniendo en cuenta el marco de las circunstancias profesionales en las que tiene lugar la interpretación </w:t>
      </w:r>
      <w:sdt>
        <w:sdtPr>
          <w:rPr>
            <w:rFonts w:ascii="Times New Roman" w:hAnsi="Times New Roman" w:cs="Times New Roman"/>
          </w:rPr>
          <w:id w:val="-817501628"/>
          <w:citation/>
        </w:sdtPr>
        <w:sdtContent>
          <w:r w:rsidR="00DC0825">
            <w:rPr>
              <w:rFonts w:ascii="Times New Roman" w:hAnsi="Times New Roman" w:cs="Times New Roman"/>
            </w:rPr>
            <w:fldChar w:fldCharType="begin"/>
          </w:r>
          <w:r w:rsidR="00DC0825">
            <w:rPr>
              <w:rFonts w:ascii="Times New Roman" w:hAnsi="Times New Roman" w:cs="Times New Roman"/>
              <w:lang w:val="es-ES_tradnl"/>
            </w:rPr>
            <w:instrText xml:space="preserve"> CITATION Pöc04 \l 1034 </w:instrText>
          </w:r>
          <w:r w:rsidR="00DC0825">
            <w:rPr>
              <w:rFonts w:ascii="Times New Roman" w:hAnsi="Times New Roman" w:cs="Times New Roman"/>
            </w:rPr>
            <w:fldChar w:fldCharType="separate"/>
          </w:r>
          <w:r w:rsidR="00DC0825" w:rsidRPr="00DC0825">
            <w:rPr>
              <w:rFonts w:ascii="Times New Roman" w:hAnsi="Times New Roman" w:cs="Times New Roman"/>
              <w:noProof/>
              <w:lang w:val="es-ES_tradnl"/>
            </w:rPr>
            <w:t>(Pöchhacker, 2004)</w:t>
          </w:r>
          <w:r w:rsidR="00DC0825">
            <w:rPr>
              <w:rFonts w:ascii="Times New Roman" w:hAnsi="Times New Roman" w:cs="Times New Roman"/>
            </w:rPr>
            <w:fldChar w:fldCharType="end"/>
          </w:r>
        </w:sdtContent>
      </w:sdt>
      <w:r w:rsidR="00DC0825">
        <w:rPr>
          <w:rFonts w:ascii="Times New Roman" w:hAnsi="Times New Roman" w:cs="Times New Roman"/>
        </w:rPr>
        <w:t>.</w:t>
      </w:r>
    </w:p>
    <w:p w14:paraId="0BA3AC4B" w14:textId="77777777" w:rsidR="00A33340" w:rsidRDefault="00A568B0" w:rsidP="00AE40C0">
      <w:pPr>
        <w:spacing w:line="360" w:lineRule="auto"/>
        <w:jc w:val="both"/>
        <w:rPr>
          <w:rFonts w:ascii="Times New Roman" w:hAnsi="Times New Roman" w:cs="Times New Roman"/>
        </w:rPr>
      </w:pPr>
      <w:r>
        <w:rPr>
          <w:rFonts w:ascii="Times New Roman" w:hAnsi="Times New Roman" w:cs="Times New Roman"/>
        </w:rPr>
        <w:t xml:space="preserve"> </w:t>
      </w:r>
    </w:p>
    <w:p w14:paraId="12EC39C6" w14:textId="21A680B0" w:rsidR="00AE40C0" w:rsidRDefault="00A568B0" w:rsidP="00AE40C0">
      <w:pPr>
        <w:spacing w:line="360" w:lineRule="auto"/>
        <w:jc w:val="both"/>
        <w:rPr>
          <w:rFonts w:ascii="Times New Roman" w:hAnsi="Times New Roman" w:cs="Times New Roman"/>
        </w:rPr>
      </w:pPr>
      <w:r>
        <w:rPr>
          <w:rFonts w:ascii="Times New Roman" w:hAnsi="Times New Roman" w:cs="Times New Roman"/>
        </w:rPr>
        <w:t xml:space="preserve">Desde una perspectiva cognitiva, Gile (1998) utiliza su modelo de los esfuerzos para plantear que la calidad depende del equilibrio entre los distintos esfuerzos de procesamiento implicados en la interpretación – escucha y análisis, memoria y producción–. Según este enfoque, cuando la </w:t>
      </w:r>
      <w:r w:rsidR="00DC0825">
        <w:rPr>
          <w:rFonts w:ascii="Times New Roman" w:hAnsi="Times New Roman" w:cs="Times New Roman"/>
        </w:rPr>
        <w:t>carga</w:t>
      </w:r>
      <w:r>
        <w:rPr>
          <w:rFonts w:ascii="Times New Roman" w:hAnsi="Times New Roman" w:cs="Times New Roman"/>
        </w:rPr>
        <w:t xml:space="preserve"> cognitiva supera la capacidad disponible del intérprete, es inevitable que se produzca una degradación del discurso, ya sea en la forma lingüística o en la transmisión del sentido</w:t>
      </w:r>
      <w:r w:rsidR="00AA4907">
        <w:rPr>
          <w:rFonts w:ascii="Times New Roman" w:hAnsi="Times New Roman" w:cs="Times New Roman"/>
        </w:rPr>
        <w:t xml:space="preserve"> </w:t>
      </w:r>
      <w:sdt>
        <w:sdtPr>
          <w:rPr>
            <w:rFonts w:ascii="Times New Roman" w:hAnsi="Times New Roman" w:cs="Times New Roman"/>
          </w:rPr>
          <w:id w:val="-156997767"/>
          <w:citation/>
        </w:sdtPr>
        <w:sdtContent>
          <w:r w:rsidR="00AA4907">
            <w:rPr>
              <w:rFonts w:ascii="Times New Roman" w:hAnsi="Times New Roman" w:cs="Times New Roman"/>
            </w:rPr>
            <w:fldChar w:fldCharType="begin"/>
          </w:r>
          <w:r w:rsidR="00AA4907">
            <w:rPr>
              <w:rFonts w:ascii="Times New Roman" w:hAnsi="Times New Roman" w:cs="Times New Roman"/>
              <w:lang w:val="es-ES_tradnl"/>
            </w:rPr>
            <w:instrText xml:space="preserve"> CITATION Gil88 \l 1034 </w:instrText>
          </w:r>
          <w:r w:rsidR="00AA4907">
            <w:rPr>
              <w:rFonts w:ascii="Times New Roman" w:hAnsi="Times New Roman" w:cs="Times New Roman"/>
            </w:rPr>
            <w:fldChar w:fldCharType="separate"/>
          </w:r>
          <w:r w:rsidR="00AA4907" w:rsidRPr="00AA4907">
            <w:rPr>
              <w:rFonts w:ascii="Times New Roman" w:hAnsi="Times New Roman" w:cs="Times New Roman"/>
              <w:noProof/>
              <w:lang w:val="es-ES_tradnl"/>
            </w:rPr>
            <w:t>(Gile, 1988)</w:t>
          </w:r>
          <w:r w:rsidR="00AA4907">
            <w:rPr>
              <w:rFonts w:ascii="Times New Roman" w:hAnsi="Times New Roman" w:cs="Times New Roman"/>
            </w:rPr>
            <w:fldChar w:fldCharType="end"/>
          </w:r>
        </w:sdtContent>
      </w:sdt>
      <w:r>
        <w:rPr>
          <w:rFonts w:ascii="Times New Roman" w:hAnsi="Times New Roman" w:cs="Times New Roman"/>
        </w:rPr>
        <w:t>.</w:t>
      </w:r>
      <w:r w:rsidR="003A7F1D">
        <w:rPr>
          <w:rFonts w:ascii="Times New Roman" w:hAnsi="Times New Roman" w:cs="Times New Roman"/>
        </w:rPr>
        <w:t xml:space="preserve"> </w:t>
      </w:r>
    </w:p>
    <w:p w14:paraId="651F19FA" w14:textId="77777777" w:rsidR="001C037A" w:rsidRDefault="001C037A" w:rsidP="00AE40C0">
      <w:pPr>
        <w:spacing w:line="360" w:lineRule="auto"/>
        <w:jc w:val="both"/>
        <w:rPr>
          <w:rFonts w:ascii="Times New Roman" w:hAnsi="Times New Roman" w:cs="Times New Roman"/>
        </w:rPr>
      </w:pPr>
    </w:p>
    <w:p w14:paraId="52882B4D" w14:textId="0C353CC6" w:rsidR="003A7F1D" w:rsidRDefault="003A7F1D" w:rsidP="00AE40C0">
      <w:pPr>
        <w:spacing w:line="360" w:lineRule="auto"/>
        <w:jc w:val="both"/>
        <w:rPr>
          <w:rFonts w:ascii="Times New Roman" w:hAnsi="Times New Roman" w:cs="Times New Roman"/>
        </w:rPr>
      </w:pPr>
      <w:r>
        <w:rPr>
          <w:rFonts w:ascii="Times New Roman" w:hAnsi="Times New Roman" w:cs="Times New Roman"/>
        </w:rPr>
        <w:t xml:space="preserve">Estas consideraciones han llevado a ampliar </w:t>
      </w:r>
      <w:r w:rsidR="00703815">
        <w:rPr>
          <w:rFonts w:ascii="Times New Roman" w:hAnsi="Times New Roman" w:cs="Times New Roman"/>
        </w:rPr>
        <w:t xml:space="preserve">el concepto </w:t>
      </w:r>
      <w:r>
        <w:rPr>
          <w:rFonts w:ascii="Times New Roman" w:hAnsi="Times New Roman" w:cs="Times New Roman"/>
        </w:rPr>
        <w:t xml:space="preserve">de calidad más allá del rendimiento individual del intérprete. Mientras que algunos autores sostienen que la responsabilidad de garantizar la calidad recae principalmente en el intérprete como autor del producto final </w:t>
      </w:r>
      <w:sdt>
        <w:sdtPr>
          <w:rPr>
            <w:rFonts w:ascii="Times New Roman" w:hAnsi="Times New Roman" w:cs="Times New Roman"/>
          </w:rPr>
          <w:id w:val="-883567557"/>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Gar03 \l 1034 </w:instrText>
          </w:r>
          <w:r>
            <w:rPr>
              <w:rFonts w:ascii="Times New Roman" w:hAnsi="Times New Roman" w:cs="Times New Roman"/>
            </w:rPr>
            <w:fldChar w:fldCharType="separate"/>
          </w:r>
          <w:r w:rsidRPr="008408BA">
            <w:rPr>
              <w:rFonts w:ascii="Times New Roman" w:hAnsi="Times New Roman" w:cs="Times New Roman"/>
              <w:noProof/>
              <w:lang w:val="es-ES_tradnl"/>
            </w:rPr>
            <w:t>(Garzone, 2003)</w:t>
          </w:r>
          <w:r>
            <w:rPr>
              <w:rFonts w:ascii="Times New Roman" w:hAnsi="Times New Roman" w:cs="Times New Roman"/>
            </w:rPr>
            <w:fldChar w:fldCharType="end"/>
          </w:r>
        </w:sdtContent>
      </w:sdt>
      <w:r>
        <w:rPr>
          <w:rFonts w:ascii="Times New Roman" w:hAnsi="Times New Roman" w:cs="Times New Roman"/>
        </w:rPr>
        <w:t xml:space="preserve">, otros subrayan la importancia de entender la interpretación como un proceso cooperativo en el que intervienen distintos agentes, incluido el  propio orador </w:t>
      </w:r>
      <w:sdt>
        <w:sdtPr>
          <w:rPr>
            <w:rFonts w:ascii="Times New Roman" w:hAnsi="Times New Roman" w:cs="Times New Roman"/>
          </w:rPr>
          <w:id w:val="-1004587938"/>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Vuo04 \l 1034 </w:instrText>
          </w:r>
          <w:r>
            <w:rPr>
              <w:rFonts w:ascii="Times New Roman" w:hAnsi="Times New Roman" w:cs="Times New Roman"/>
            </w:rPr>
            <w:fldChar w:fldCharType="separate"/>
          </w:r>
          <w:r w:rsidRPr="00335FD3">
            <w:rPr>
              <w:rFonts w:ascii="Times New Roman" w:hAnsi="Times New Roman" w:cs="Times New Roman"/>
              <w:noProof/>
              <w:lang w:val="es-ES_tradnl"/>
            </w:rPr>
            <w:t>(Vuorikoski, 2004)</w:t>
          </w:r>
          <w:r>
            <w:rPr>
              <w:rFonts w:ascii="Times New Roman" w:hAnsi="Times New Roman" w:cs="Times New Roman"/>
            </w:rPr>
            <w:fldChar w:fldCharType="end"/>
          </w:r>
        </w:sdtContent>
      </w:sdt>
      <w:sdt>
        <w:sdtPr>
          <w:rPr>
            <w:rFonts w:ascii="Times New Roman" w:hAnsi="Times New Roman" w:cs="Times New Roman"/>
          </w:rPr>
          <w:id w:val="-869520286"/>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Kal05 \l 1034 </w:instrText>
          </w:r>
          <w:r>
            <w:rPr>
              <w:rFonts w:ascii="Times New Roman" w:hAnsi="Times New Roman" w:cs="Times New Roman"/>
            </w:rPr>
            <w:fldChar w:fldCharType="separate"/>
          </w:r>
          <w:r>
            <w:rPr>
              <w:rFonts w:ascii="Times New Roman" w:hAnsi="Times New Roman" w:cs="Times New Roman"/>
              <w:noProof/>
              <w:lang w:val="es-ES_tradnl"/>
            </w:rPr>
            <w:t xml:space="preserve"> </w:t>
          </w:r>
          <w:r w:rsidRPr="003A7F1D">
            <w:rPr>
              <w:rFonts w:ascii="Times New Roman" w:hAnsi="Times New Roman" w:cs="Times New Roman"/>
              <w:noProof/>
              <w:lang w:val="es-ES_tradnl"/>
            </w:rPr>
            <w:t>(Kalina, 2005)</w:t>
          </w:r>
          <w:r>
            <w:rPr>
              <w:rFonts w:ascii="Times New Roman" w:hAnsi="Times New Roman" w:cs="Times New Roman"/>
            </w:rPr>
            <w:fldChar w:fldCharType="end"/>
          </w:r>
        </w:sdtContent>
      </w:sdt>
      <w:r>
        <w:rPr>
          <w:rFonts w:ascii="Times New Roman" w:hAnsi="Times New Roman" w:cs="Times New Roman"/>
        </w:rPr>
        <w:t xml:space="preserve">. En este contexto, surge la propuesta de Sylvia </w:t>
      </w:r>
      <w:proofErr w:type="spellStart"/>
      <w:r>
        <w:rPr>
          <w:rFonts w:ascii="Times New Roman" w:hAnsi="Times New Roman" w:cs="Times New Roman"/>
        </w:rPr>
        <w:t>Kalina</w:t>
      </w:r>
      <w:proofErr w:type="spellEnd"/>
      <w:r>
        <w:rPr>
          <w:rFonts w:ascii="Times New Roman" w:hAnsi="Times New Roman" w:cs="Times New Roman"/>
        </w:rPr>
        <w:t xml:space="preserve"> de aplicar modelos de Garantía de Calidad (</w:t>
      </w:r>
      <w:proofErr w:type="spellStart"/>
      <w:r>
        <w:rPr>
          <w:rFonts w:ascii="Times New Roman" w:hAnsi="Times New Roman" w:cs="Times New Roman"/>
          <w:i/>
          <w:iCs/>
        </w:rPr>
        <w:t>Quality</w:t>
      </w:r>
      <w:proofErr w:type="spellEnd"/>
      <w:r>
        <w:rPr>
          <w:rFonts w:ascii="Times New Roman" w:hAnsi="Times New Roman" w:cs="Times New Roman"/>
          <w:i/>
          <w:iCs/>
        </w:rPr>
        <w:t xml:space="preserve"> </w:t>
      </w:r>
      <w:proofErr w:type="spellStart"/>
      <w:r>
        <w:rPr>
          <w:rFonts w:ascii="Times New Roman" w:hAnsi="Times New Roman" w:cs="Times New Roman"/>
          <w:i/>
          <w:iCs/>
        </w:rPr>
        <w:t>Assurance</w:t>
      </w:r>
      <w:proofErr w:type="spellEnd"/>
      <w:r>
        <w:rPr>
          <w:rFonts w:ascii="Times New Roman" w:hAnsi="Times New Roman" w:cs="Times New Roman"/>
          <w:i/>
          <w:iCs/>
        </w:rPr>
        <w:t>, QA)</w:t>
      </w:r>
      <w:r>
        <w:rPr>
          <w:rFonts w:ascii="comillas" w:hAnsi="comillas" w:cs="Times New Roman"/>
        </w:rPr>
        <w:t xml:space="preserve"> </w:t>
      </w:r>
      <w:r w:rsidRPr="003A7F1D">
        <w:rPr>
          <w:rFonts w:ascii="Times New Roman" w:hAnsi="Times New Roman" w:cs="Times New Roman"/>
        </w:rPr>
        <w:t>similares a los utilizados en la traducción escrita</w:t>
      </w:r>
      <w:r w:rsidR="00AA4907">
        <w:rPr>
          <w:rFonts w:ascii="Times New Roman" w:hAnsi="Times New Roman" w:cs="Times New Roman"/>
        </w:rPr>
        <w:t xml:space="preserve">. Este enfoque concibe la calidad como una variable multidimensional que no puede evaluarse únicamente a partir de lo que ocurre durante la ejecución en cabina </w:t>
      </w:r>
      <w:sdt>
        <w:sdtPr>
          <w:rPr>
            <w:rFonts w:ascii="Times New Roman" w:hAnsi="Times New Roman" w:cs="Times New Roman"/>
          </w:rPr>
          <w:id w:val="-1887719987"/>
          <w:citation/>
        </w:sdtPr>
        <w:sdtContent>
          <w:r w:rsidR="00703815">
            <w:rPr>
              <w:rFonts w:ascii="Times New Roman" w:hAnsi="Times New Roman" w:cs="Times New Roman"/>
            </w:rPr>
            <w:fldChar w:fldCharType="begin"/>
          </w:r>
          <w:r w:rsidR="00703815">
            <w:rPr>
              <w:rFonts w:ascii="Times New Roman" w:hAnsi="Times New Roman" w:cs="Times New Roman"/>
              <w:lang w:val="es-ES_tradnl"/>
            </w:rPr>
            <w:instrText xml:space="preserve"> CITATION Kal05 \l 1034 </w:instrText>
          </w:r>
          <w:r w:rsidR="00703815">
            <w:rPr>
              <w:rFonts w:ascii="Times New Roman" w:hAnsi="Times New Roman" w:cs="Times New Roman"/>
            </w:rPr>
            <w:fldChar w:fldCharType="separate"/>
          </w:r>
          <w:r w:rsidR="00703815" w:rsidRPr="00AA4907">
            <w:rPr>
              <w:rFonts w:ascii="Times New Roman" w:hAnsi="Times New Roman" w:cs="Times New Roman"/>
              <w:noProof/>
              <w:lang w:val="es-ES_tradnl"/>
            </w:rPr>
            <w:t>(Kalina, 2005)</w:t>
          </w:r>
          <w:r w:rsidR="00703815">
            <w:rPr>
              <w:rFonts w:ascii="Times New Roman" w:hAnsi="Times New Roman" w:cs="Times New Roman"/>
            </w:rPr>
            <w:fldChar w:fldCharType="end"/>
          </w:r>
        </w:sdtContent>
      </w:sdt>
      <w:r w:rsidR="00703815">
        <w:rPr>
          <w:rFonts w:ascii="Times New Roman" w:hAnsi="Times New Roman" w:cs="Times New Roman"/>
        </w:rPr>
        <w:t>.</w:t>
      </w:r>
    </w:p>
    <w:p w14:paraId="1129D6DE" w14:textId="77777777" w:rsidR="00AA4907" w:rsidRDefault="00AA4907" w:rsidP="00AE40C0">
      <w:pPr>
        <w:spacing w:line="360" w:lineRule="auto"/>
        <w:jc w:val="both"/>
        <w:rPr>
          <w:rFonts w:ascii="Times New Roman" w:hAnsi="Times New Roman" w:cs="Times New Roman"/>
        </w:rPr>
      </w:pPr>
    </w:p>
    <w:p w14:paraId="54E755BC" w14:textId="71691D18" w:rsidR="00AA4907" w:rsidRDefault="00AA4907" w:rsidP="00AE40C0">
      <w:pPr>
        <w:spacing w:line="360" w:lineRule="auto"/>
        <w:jc w:val="both"/>
        <w:rPr>
          <w:rFonts w:ascii="Times New Roman" w:hAnsi="Times New Roman" w:cs="Times New Roman"/>
        </w:rPr>
      </w:pPr>
      <w:r>
        <w:rPr>
          <w:rFonts w:ascii="Times New Roman" w:hAnsi="Times New Roman" w:cs="Times New Roman"/>
        </w:rPr>
        <w:t xml:space="preserve">En consecuencia, </w:t>
      </w:r>
      <w:proofErr w:type="spellStart"/>
      <w:r>
        <w:rPr>
          <w:rFonts w:ascii="Times New Roman" w:hAnsi="Times New Roman" w:cs="Times New Roman"/>
        </w:rPr>
        <w:t>Kalina</w:t>
      </w:r>
      <w:proofErr w:type="spellEnd"/>
      <w:r>
        <w:rPr>
          <w:rFonts w:ascii="Times New Roman" w:hAnsi="Times New Roman" w:cs="Times New Roman"/>
        </w:rPr>
        <w:t xml:space="preserve"> propone un modelo de gestión de procesos que divide la actividad interpretativa en cuatro fases: el preprocesamiento, centrada en la preparación terminológica y desarrollo de subcompetencias; el marco del peri-procesamiento, relativo a las condiciones técnicas y del entorno; los requisitos in-proceso, que incluyen la </w:t>
      </w:r>
      <w:r>
        <w:rPr>
          <w:rFonts w:ascii="Times New Roman" w:hAnsi="Times New Roman" w:cs="Times New Roman"/>
        </w:rPr>
        <w:lastRenderedPageBreak/>
        <w:t>cooperación orador-intérprete; y las actividades de post-procesamiento para la autoevaluación. Bajo esta premisa, se asume que el orador también comparte la responsabilidad sobre la calidad final, ya que factores externos</w:t>
      </w:r>
      <w:r w:rsidR="001C037A">
        <w:rPr>
          <w:rFonts w:ascii="Times New Roman" w:hAnsi="Times New Roman" w:cs="Times New Roman"/>
        </w:rPr>
        <w:t xml:space="preserve"> como la velocidad excesiva del orador, los acentos no nativos o la falta de claridad en el discurso de origen pueden incrementar significativamente el esfuerzo de comprensión del intérprete y afectar a la calidad final del producto interpretado </w:t>
      </w:r>
      <w:sdt>
        <w:sdtPr>
          <w:rPr>
            <w:rFonts w:ascii="Times New Roman" w:hAnsi="Times New Roman" w:cs="Times New Roman"/>
          </w:rPr>
          <w:id w:val="-747348131"/>
          <w:citation/>
        </w:sdtPr>
        <w:sdtContent>
          <w:r w:rsidR="001C037A">
            <w:rPr>
              <w:rFonts w:ascii="Times New Roman" w:hAnsi="Times New Roman" w:cs="Times New Roman"/>
            </w:rPr>
            <w:fldChar w:fldCharType="begin"/>
          </w:r>
          <w:r w:rsidR="001C037A">
            <w:rPr>
              <w:rFonts w:ascii="Times New Roman" w:hAnsi="Times New Roman" w:cs="Times New Roman"/>
              <w:lang w:val="es-ES_tradnl"/>
            </w:rPr>
            <w:instrText xml:space="preserve"> CITATION Gil88 \l 1034 </w:instrText>
          </w:r>
          <w:r w:rsidR="001C037A">
            <w:rPr>
              <w:rFonts w:ascii="Times New Roman" w:hAnsi="Times New Roman" w:cs="Times New Roman"/>
            </w:rPr>
            <w:fldChar w:fldCharType="separate"/>
          </w:r>
          <w:r w:rsidR="001C037A" w:rsidRPr="00141310">
            <w:rPr>
              <w:rFonts w:ascii="Times New Roman" w:hAnsi="Times New Roman" w:cs="Times New Roman"/>
              <w:noProof/>
              <w:lang w:val="es-ES_tradnl"/>
            </w:rPr>
            <w:t>(Gile, 1988)</w:t>
          </w:r>
          <w:r w:rsidR="001C037A">
            <w:rPr>
              <w:rFonts w:ascii="Times New Roman" w:hAnsi="Times New Roman" w:cs="Times New Roman"/>
            </w:rPr>
            <w:fldChar w:fldCharType="end"/>
          </w:r>
        </w:sdtContent>
      </w:sdt>
      <w:r w:rsidR="001C037A">
        <w:rPr>
          <w:rFonts w:ascii="Times New Roman" w:hAnsi="Times New Roman" w:cs="Times New Roman"/>
        </w:rPr>
        <w:t>.</w:t>
      </w:r>
    </w:p>
    <w:p w14:paraId="21E1261F" w14:textId="77777777" w:rsidR="001C037A" w:rsidRDefault="001C037A" w:rsidP="00AE40C0">
      <w:pPr>
        <w:spacing w:line="360" w:lineRule="auto"/>
        <w:jc w:val="both"/>
        <w:rPr>
          <w:rFonts w:ascii="Times New Roman" w:hAnsi="Times New Roman" w:cs="Times New Roman"/>
        </w:rPr>
      </w:pPr>
    </w:p>
    <w:p w14:paraId="1A3A3C84" w14:textId="4DF3F76C" w:rsidR="00EB38BD" w:rsidRDefault="009C63FF" w:rsidP="00AE40C0">
      <w:pPr>
        <w:spacing w:line="360" w:lineRule="auto"/>
        <w:jc w:val="both"/>
        <w:rPr>
          <w:rFonts w:ascii="Times New Roman" w:hAnsi="Times New Roman" w:cs="Times New Roman"/>
        </w:rPr>
      </w:pPr>
      <w:r>
        <w:rPr>
          <w:rFonts w:ascii="Times New Roman" w:hAnsi="Times New Roman" w:cs="Times New Roman"/>
        </w:rPr>
        <w:t xml:space="preserve">Aunque los modelos de Garantía de Calidad y los enfoques </w:t>
      </w:r>
      <w:r w:rsidR="00703815">
        <w:rPr>
          <w:rFonts w:ascii="Times New Roman" w:hAnsi="Times New Roman" w:cs="Times New Roman"/>
        </w:rPr>
        <w:t>ba</w:t>
      </w:r>
      <w:r>
        <w:rPr>
          <w:rFonts w:ascii="Times New Roman" w:hAnsi="Times New Roman" w:cs="Times New Roman"/>
        </w:rPr>
        <w:t>sados en los esfuerzos cognitivos permiten evaluar la interpretación de manera integral, las características específicas de las lenguas implicadas añaden un factor decisivo. En particular, la mediación entre lenguas tipológicamente cercanas plantea una paradoja técnica que condiciona de manera significativa la actuación del intérprete</w:t>
      </w:r>
      <w:r w:rsidR="00A33340">
        <w:rPr>
          <w:rFonts w:ascii="Times New Roman" w:hAnsi="Times New Roman" w:cs="Times New Roman"/>
        </w:rPr>
        <w:t xml:space="preserve"> </w:t>
      </w:r>
      <w:sdt>
        <w:sdtPr>
          <w:rPr>
            <w:rFonts w:ascii="Times New Roman" w:hAnsi="Times New Roman" w:cs="Times New Roman"/>
          </w:rPr>
          <w:id w:val="1563520097"/>
          <w:citation/>
        </w:sdtPr>
        <w:sdtContent>
          <w:r w:rsidR="00A33340">
            <w:rPr>
              <w:rFonts w:ascii="Times New Roman" w:hAnsi="Times New Roman" w:cs="Times New Roman"/>
            </w:rPr>
            <w:fldChar w:fldCharType="begin"/>
          </w:r>
          <w:r w:rsidR="00A33340">
            <w:rPr>
              <w:rFonts w:ascii="Times New Roman" w:hAnsi="Times New Roman" w:cs="Times New Roman"/>
              <w:lang w:val="es-ES_tradnl"/>
            </w:rPr>
            <w:instrText xml:space="preserve"> CITATION Agu16 \l 1034 </w:instrText>
          </w:r>
          <w:r w:rsidR="00A33340">
            <w:rPr>
              <w:rFonts w:ascii="Times New Roman" w:hAnsi="Times New Roman" w:cs="Times New Roman"/>
            </w:rPr>
            <w:fldChar w:fldCharType="separate"/>
          </w:r>
          <w:r w:rsidR="00A33340">
            <w:rPr>
              <w:rFonts w:ascii="Times New Roman" w:hAnsi="Times New Roman" w:cs="Times New Roman"/>
              <w:noProof/>
              <w:lang w:val="es-ES_tradnl"/>
            </w:rPr>
            <w:t xml:space="preserve"> </w:t>
          </w:r>
          <w:r w:rsidR="00A33340" w:rsidRPr="002D3990">
            <w:rPr>
              <w:rFonts w:ascii="Times New Roman" w:hAnsi="Times New Roman" w:cs="Times New Roman"/>
              <w:noProof/>
              <w:lang w:val="es-ES_tradnl"/>
            </w:rPr>
            <w:t>(Aguado Bru, 2016)</w:t>
          </w:r>
          <w:r w:rsidR="00A33340">
            <w:rPr>
              <w:rFonts w:ascii="Times New Roman" w:hAnsi="Times New Roman" w:cs="Times New Roman"/>
            </w:rPr>
            <w:fldChar w:fldCharType="end"/>
          </w:r>
        </w:sdtContent>
      </w:sdt>
      <w:r w:rsidR="00A33340">
        <w:rPr>
          <w:rFonts w:ascii="Times New Roman" w:hAnsi="Times New Roman" w:cs="Times New Roman"/>
        </w:rPr>
        <w:t xml:space="preserve">. Por un lado, la proximidad estructural y genética </w:t>
      </w:r>
      <w:r>
        <w:rPr>
          <w:rFonts w:ascii="Times New Roman" w:hAnsi="Times New Roman" w:cs="Times New Roman"/>
        </w:rPr>
        <w:t xml:space="preserve">facilita la intercomprensión, acelerando la descodificación inicial y reduciendo los retos derivados del desconocimiento del código ajeno </w:t>
      </w:r>
      <w:sdt>
        <w:sdtPr>
          <w:rPr>
            <w:rFonts w:ascii="Times New Roman" w:hAnsi="Times New Roman" w:cs="Times New Roman"/>
          </w:rPr>
          <w:id w:val="1869881120"/>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Gar09 \l 1034 </w:instrText>
          </w:r>
          <w:r>
            <w:rPr>
              <w:rFonts w:ascii="Times New Roman" w:hAnsi="Times New Roman" w:cs="Times New Roman"/>
            </w:rPr>
            <w:fldChar w:fldCharType="separate"/>
          </w:r>
          <w:r w:rsidRPr="00FD14B9">
            <w:rPr>
              <w:rFonts w:ascii="Times New Roman" w:hAnsi="Times New Roman" w:cs="Times New Roman"/>
              <w:noProof/>
              <w:lang w:val="es-ES_tradnl"/>
            </w:rPr>
            <w:t>(García de Toro, 2009)</w:t>
          </w:r>
          <w:r>
            <w:rPr>
              <w:rFonts w:ascii="Times New Roman" w:hAnsi="Times New Roman" w:cs="Times New Roman"/>
            </w:rPr>
            <w:fldChar w:fldCharType="end"/>
          </w:r>
        </w:sdtContent>
      </w:sdt>
      <w:r>
        <w:rPr>
          <w:rFonts w:ascii="Times New Roman" w:hAnsi="Times New Roman" w:cs="Times New Roman"/>
        </w:rPr>
        <w:t>. Sin embargo, esta cercaní</w:t>
      </w:r>
      <w:r w:rsidR="00C15848">
        <w:rPr>
          <w:rFonts w:ascii="Times New Roman" w:hAnsi="Times New Roman" w:cs="Times New Roman"/>
        </w:rPr>
        <w:t xml:space="preserve">a también puede generar lo que se conoce como </w:t>
      </w:r>
      <w:r w:rsidR="00C15848">
        <w:rPr>
          <w:rFonts w:ascii="comillas" w:hAnsi="comillas" w:cs="Times New Roman"/>
        </w:rPr>
        <w:t>«</w:t>
      </w:r>
      <w:r w:rsidR="00C15848">
        <w:rPr>
          <w:rFonts w:ascii="Times New Roman" w:hAnsi="Times New Roman" w:cs="Times New Roman"/>
        </w:rPr>
        <w:t>insidiosa proximidad</w:t>
      </w:r>
      <w:r w:rsidR="00C15848">
        <w:rPr>
          <w:rFonts w:ascii="comillas" w:hAnsi="comillas" w:cs="Times New Roman"/>
        </w:rPr>
        <w:t>»</w:t>
      </w:r>
      <w:r w:rsidR="00C15848">
        <w:rPr>
          <w:rFonts w:ascii="Times New Roman" w:hAnsi="Times New Roman" w:cs="Times New Roman"/>
        </w:rPr>
        <w:t xml:space="preserve">, </w:t>
      </w:r>
      <w:r w:rsidR="00C15848" w:rsidRPr="00C15848">
        <w:rPr>
          <w:rFonts w:ascii="Times New Roman" w:hAnsi="Times New Roman" w:cs="Times New Roman"/>
        </w:rPr>
        <w:t xml:space="preserve">fenómeno en el que el intérprete tiende a percibir la segunda lengua (L2) como una simple variante de su lengua materna (L1) </w:t>
      </w:r>
      <w:sdt>
        <w:sdtPr>
          <w:rPr>
            <w:rFonts w:ascii="Times New Roman" w:hAnsi="Times New Roman" w:cs="Times New Roman"/>
          </w:rPr>
          <w:id w:val="1654103801"/>
          <w:citation/>
        </w:sdtPr>
        <w:sdtContent>
          <w:r w:rsidR="00C15848" w:rsidRPr="00C15848">
            <w:rPr>
              <w:rFonts w:ascii="Times New Roman" w:hAnsi="Times New Roman" w:cs="Times New Roman"/>
            </w:rPr>
            <w:fldChar w:fldCharType="begin"/>
          </w:r>
          <w:r w:rsidR="00C15848" w:rsidRPr="00C15848">
            <w:rPr>
              <w:rFonts w:ascii="Times New Roman" w:hAnsi="Times New Roman" w:cs="Times New Roman"/>
              <w:lang w:val="es-ES_tradnl"/>
            </w:rPr>
            <w:instrText xml:space="preserve"> CITATION Cal04 \l 1034 </w:instrText>
          </w:r>
          <w:r w:rsidR="00C15848" w:rsidRPr="00C15848">
            <w:rPr>
              <w:rFonts w:ascii="Times New Roman" w:hAnsi="Times New Roman" w:cs="Times New Roman"/>
            </w:rPr>
            <w:fldChar w:fldCharType="separate"/>
          </w:r>
          <w:r w:rsidR="00C15848" w:rsidRPr="00C15848">
            <w:rPr>
              <w:rFonts w:ascii="Times New Roman" w:hAnsi="Times New Roman" w:cs="Times New Roman"/>
              <w:noProof/>
              <w:lang w:val="es-ES_tradnl"/>
            </w:rPr>
            <w:t>(Calvi, 2004)</w:t>
          </w:r>
          <w:r w:rsidR="00C15848" w:rsidRPr="00C15848">
            <w:rPr>
              <w:rFonts w:ascii="Times New Roman" w:hAnsi="Times New Roman" w:cs="Times New Roman"/>
            </w:rPr>
            <w:fldChar w:fldCharType="end"/>
          </w:r>
        </w:sdtContent>
      </w:sdt>
      <w:r w:rsidR="00C15848" w:rsidRPr="00C15848">
        <w:rPr>
          <w:rFonts w:ascii="Times New Roman" w:hAnsi="Times New Roman" w:cs="Times New Roman"/>
        </w:rPr>
        <w:t xml:space="preserve">. Esta realidad sociolingüística genera una «falsa facilidad» comunicativa: </w:t>
      </w:r>
      <w:r w:rsidR="00C15848">
        <w:rPr>
          <w:rFonts w:ascii="Times New Roman" w:hAnsi="Times New Roman" w:cs="Times New Roman"/>
        </w:rPr>
        <w:t xml:space="preserve">aunque el alto grado de comprensión mutua agiliza la descodificación inicial, a su vez puede provocar que el intérprete relaje su atención técnica y caiga en automatismos involuntarios </w:t>
      </w:r>
      <w:sdt>
        <w:sdtPr>
          <w:rPr>
            <w:rFonts w:ascii="Times New Roman" w:hAnsi="Times New Roman" w:cs="Times New Roman"/>
          </w:rPr>
          <w:id w:val="-1740240918"/>
          <w:citation/>
        </w:sdtPr>
        <w:sdtContent>
          <w:r w:rsidR="00C15848">
            <w:rPr>
              <w:rFonts w:ascii="Times New Roman" w:hAnsi="Times New Roman" w:cs="Times New Roman"/>
            </w:rPr>
            <w:fldChar w:fldCharType="begin"/>
          </w:r>
          <w:r w:rsidR="00C15848">
            <w:rPr>
              <w:rFonts w:ascii="Times New Roman" w:hAnsi="Times New Roman" w:cs="Times New Roman"/>
              <w:lang w:val="es-ES_tradnl"/>
            </w:rPr>
            <w:instrText xml:space="preserve"> CITATION Min14 \l 1034 </w:instrText>
          </w:r>
          <w:r w:rsidR="00C15848">
            <w:rPr>
              <w:rFonts w:ascii="Times New Roman" w:hAnsi="Times New Roman" w:cs="Times New Roman"/>
            </w:rPr>
            <w:fldChar w:fldCharType="separate"/>
          </w:r>
          <w:r w:rsidR="00C15848" w:rsidRPr="00FD14B9">
            <w:rPr>
              <w:rFonts w:ascii="Times New Roman" w:hAnsi="Times New Roman" w:cs="Times New Roman"/>
              <w:noProof/>
              <w:lang w:val="es-ES_tradnl"/>
            </w:rPr>
            <w:t>(Mininni, 2014)</w:t>
          </w:r>
          <w:r w:rsidR="00C15848">
            <w:rPr>
              <w:rFonts w:ascii="Times New Roman" w:hAnsi="Times New Roman" w:cs="Times New Roman"/>
            </w:rPr>
            <w:fldChar w:fldCharType="end"/>
          </w:r>
        </w:sdtContent>
      </w:sdt>
      <w:r w:rsidR="00C15848">
        <w:rPr>
          <w:rFonts w:ascii="Times New Roman" w:hAnsi="Times New Roman" w:cs="Times New Roman"/>
        </w:rPr>
        <w:t xml:space="preserve">. </w:t>
      </w:r>
    </w:p>
    <w:p w14:paraId="407602C1" w14:textId="77777777" w:rsidR="00C15848" w:rsidRDefault="00C15848" w:rsidP="00AE40C0">
      <w:pPr>
        <w:spacing w:line="360" w:lineRule="auto"/>
        <w:jc w:val="both"/>
        <w:rPr>
          <w:rFonts w:ascii="Times New Roman" w:hAnsi="Times New Roman" w:cs="Times New Roman"/>
        </w:rPr>
      </w:pPr>
    </w:p>
    <w:p w14:paraId="7A0C1DFB" w14:textId="180C453B" w:rsidR="00846E82" w:rsidRDefault="00846E82" w:rsidP="00C15848">
      <w:pPr>
        <w:spacing w:line="360" w:lineRule="auto"/>
        <w:jc w:val="both"/>
        <w:rPr>
          <w:rFonts w:ascii="Times New Roman" w:hAnsi="Times New Roman" w:cs="Times New Roman"/>
        </w:rPr>
      </w:pPr>
      <w:r>
        <w:rPr>
          <w:rFonts w:ascii="Times New Roman" w:hAnsi="Times New Roman" w:cs="Times New Roman"/>
        </w:rPr>
        <w:t xml:space="preserve">Los problemas recurrentes es estas combinaciones lingüísticas próximas se manifiestan especialmente a través de calcos sintácticos, donde se reproducen estructuras gramaticales de la LO adaptadas al sistema receptor </w:t>
      </w:r>
      <w:sdt>
        <w:sdtPr>
          <w:rPr>
            <w:rFonts w:ascii="Times New Roman" w:hAnsi="Times New Roman" w:cs="Times New Roman"/>
          </w:rPr>
          <w:id w:val="487293720"/>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Agu16 \l 1034 </w:instrText>
          </w:r>
          <w:r>
            <w:rPr>
              <w:rFonts w:ascii="Times New Roman" w:hAnsi="Times New Roman" w:cs="Times New Roman"/>
            </w:rPr>
            <w:fldChar w:fldCharType="separate"/>
          </w:r>
          <w:r w:rsidRPr="00846E82">
            <w:rPr>
              <w:rFonts w:ascii="Times New Roman" w:hAnsi="Times New Roman" w:cs="Times New Roman"/>
              <w:noProof/>
              <w:lang w:val="es-ES_tradnl"/>
            </w:rPr>
            <w:t>(Aguado Bru, 2016)</w:t>
          </w:r>
          <w:r>
            <w:rPr>
              <w:rFonts w:ascii="Times New Roman" w:hAnsi="Times New Roman" w:cs="Times New Roman"/>
            </w:rPr>
            <w:fldChar w:fldCharType="end"/>
          </w:r>
        </w:sdtContent>
      </w:sdt>
      <w:r>
        <w:rPr>
          <w:rFonts w:ascii="Times New Roman" w:hAnsi="Times New Roman" w:cs="Times New Roman"/>
        </w:rPr>
        <w:t>. Este fenómeno se ve potenciado por automatismos que llevan a traducir sistemáticamente elementos formales por su equivalente más cercano, en lugar de buscar soluciones más adecuadas al contexto.</w:t>
      </w:r>
      <w:sdt>
        <w:sdtPr>
          <w:rPr>
            <w:rFonts w:ascii="Times New Roman" w:hAnsi="Times New Roman" w:cs="Times New Roman"/>
          </w:rPr>
          <w:id w:val="-1863117512"/>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Gar09 \l 1034 </w:instrText>
          </w:r>
          <w:r>
            <w:rPr>
              <w:rFonts w:ascii="Times New Roman" w:hAnsi="Times New Roman" w:cs="Times New Roman"/>
            </w:rPr>
            <w:fldChar w:fldCharType="separate"/>
          </w:r>
          <w:r>
            <w:rPr>
              <w:rFonts w:ascii="Times New Roman" w:hAnsi="Times New Roman" w:cs="Times New Roman"/>
              <w:noProof/>
              <w:lang w:val="es-ES_tradnl"/>
            </w:rPr>
            <w:t xml:space="preserve"> </w:t>
          </w:r>
          <w:r w:rsidRPr="00846E82">
            <w:rPr>
              <w:rFonts w:ascii="Times New Roman" w:hAnsi="Times New Roman" w:cs="Times New Roman"/>
              <w:noProof/>
              <w:lang w:val="es-ES_tradnl"/>
            </w:rPr>
            <w:t>(García de Toro, 2009)</w:t>
          </w:r>
          <w:r>
            <w:rPr>
              <w:rFonts w:ascii="Times New Roman" w:hAnsi="Times New Roman" w:cs="Times New Roman"/>
            </w:rPr>
            <w:fldChar w:fldCharType="end"/>
          </w:r>
        </w:sdtContent>
      </w:sdt>
      <w:r>
        <w:rPr>
          <w:rFonts w:ascii="Times New Roman" w:hAnsi="Times New Roman" w:cs="Times New Roman"/>
        </w:rPr>
        <w:t xml:space="preserve">. En lenguas afines, la transparencia del sistema original reduce considerablemente el esfuerzo de escucha y análisis (L), pero esta liberación de carga cognitiva desplaza la dificultad hacia la producción y reformulación del mensaje (P) </w:t>
      </w:r>
      <w:sdt>
        <w:sdtPr>
          <w:rPr>
            <w:rFonts w:ascii="Times New Roman" w:hAnsi="Times New Roman" w:cs="Times New Roman"/>
          </w:rPr>
          <w:id w:val="575018702"/>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Agu16 \l 1034 </w:instrText>
          </w:r>
          <w:r>
            <w:rPr>
              <w:rFonts w:ascii="Times New Roman" w:hAnsi="Times New Roman" w:cs="Times New Roman"/>
            </w:rPr>
            <w:fldChar w:fldCharType="separate"/>
          </w:r>
          <w:r w:rsidRPr="00846E82">
            <w:rPr>
              <w:rFonts w:ascii="Times New Roman" w:hAnsi="Times New Roman" w:cs="Times New Roman"/>
              <w:noProof/>
              <w:lang w:val="es-ES_tradnl"/>
            </w:rPr>
            <w:t>(Aguado Bru, 2016)</w:t>
          </w:r>
          <w:r>
            <w:rPr>
              <w:rFonts w:ascii="Times New Roman" w:hAnsi="Times New Roman" w:cs="Times New Roman"/>
            </w:rPr>
            <w:fldChar w:fldCharType="end"/>
          </w:r>
        </w:sdtContent>
      </w:sdt>
      <w:r>
        <w:rPr>
          <w:rFonts w:ascii="Times New Roman" w:hAnsi="Times New Roman" w:cs="Times New Roman"/>
        </w:rPr>
        <w:t xml:space="preserve">. Como resultado, los efectos de interferencia son especialmente frecuentes en palabras que son similares tanto en forma como en significado, generando cadenas de errores derivados de falsas ambigüedades </w:t>
      </w:r>
      <w:sdt>
        <w:sdtPr>
          <w:rPr>
            <w:rFonts w:ascii="Times New Roman" w:hAnsi="Times New Roman" w:cs="Times New Roman"/>
          </w:rPr>
          <w:id w:val="-1767142383"/>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Mol12 \l 1034 </w:instrText>
          </w:r>
          <w:r>
            <w:rPr>
              <w:rFonts w:ascii="Times New Roman" w:hAnsi="Times New Roman" w:cs="Times New Roman"/>
            </w:rPr>
            <w:fldChar w:fldCharType="separate"/>
          </w:r>
          <w:r w:rsidRPr="00FD14B9">
            <w:rPr>
              <w:rFonts w:ascii="Times New Roman" w:hAnsi="Times New Roman" w:cs="Times New Roman"/>
              <w:noProof/>
              <w:lang w:val="es-ES_tradnl"/>
            </w:rPr>
            <w:t>(Moldovan, Sánchez-Casas, Demestre, &amp; Ferré, 2012)</w:t>
          </w:r>
          <w:r>
            <w:rPr>
              <w:rFonts w:ascii="Times New Roman" w:hAnsi="Times New Roman" w:cs="Times New Roman"/>
            </w:rPr>
            <w:fldChar w:fldCharType="end"/>
          </w:r>
        </w:sdtContent>
      </w:sdt>
      <w:r>
        <w:rPr>
          <w:rFonts w:ascii="Times New Roman" w:hAnsi="Times New Roman" w:cs="Times New Roman"/>
        </w:rPr>
        <w:t>.</w:t>
      </w:r>
    </w:p>
    <w:p w14:paraId="34F9E545" w14:textId="77777777" w:rsidR="00846E82" w:rsidRDefault="00846E82" w:rsidP="00C15848">
      <w:pPr>
        <w:spacing w:line="360" w:lineRule="auto"/>
        <w:jc w:val="both"/>
        <w:rPr>
          <w:rFonts w:ascii="Times New Roman" w:hAnsi="Times New Roman" w:cs="Times New Roman"/>
        </w:rPr>
      </w:pPr>
    </w:p>
    <w:p w14:paraId="5601A771" w14:textId="045E6318" w:rsidR="00846E82" w:rsidRPr="00846E82" w:rsidRDefault="00846E82" w:rsidP="00C15848">
      <w:pPr>
        <w:spacing w:line="360" w:lineRule="auto"/>
        <w:jc w:val="both"/>
        <w:rPr>
          <w:rFonts w:ascii="Times New Roman" w:hAnsi="Times New Roman" w:cs="Times New Roman"/>
        </w:rPr>
      </w:pPr>
      <w:r>
        <w:rPr>
          <w:rFonts w:ascii="Times New Roman" w:hAnsi="Times New Roman" w:cs="Times New Roman"/>
        </w:rPr>
        <w:t xml:space="preserve">El riesgo para la calidad radica en que el intérprete al </w:t>
      </w:r>
      <w:r>
        <w:rPr>
          <w:rFonts w:ascii="comillas" w:hAnsi="comillas" w:cs="Times New Roman"/>
        </w:rPr>
        <w:t>«</w:t>
      </w:r>
      <w:r>
        <w:rPr>
          <w:rFonts w:ascii="Times New Roman" w:hAnsi="Times New Roman" w:cs="Times New Roman"/>
        </w:rPr>
        <w:t>relajarse</w:t>
      </w:r>
      <w:r>
        <w:rPr>
          <w:rFonts w:ascii="comillas" w:hAnsi="comillas" w:cs="Times New Roman"/>
        </w:rPr>
        <w:t>»</w:t>
      </w:r>
      <w:r>
        <w:rPr>
          <w:rFonts w:ascii="Times New Roman" w:hAnsi="Times New Roman" w:cs="Times New Roman"/>
        </w:rPr>
        <w:t xml:space="preserve"> por la facilidad de comprensión, puede descuidar la monitorización y la coordinación, favoreciendo la aparición de calcos estructurales y del fenómeno conocido como </w:t>
      </w:r>
      <w:proofErr w:type="spellStart"/>
      <w:r>
        <w:rPr>
          <w:rFonts w:ascii="Times New Roman" w:hAnsi="Times New Roman" w:cs="Times New Roman"/>
          <w:i/>
          <w:iCs/>
        </w:rPr>
        <w:t>translationese</w:t>
      </w:r>
      <w:proofErr w:type="spellEnd"/>
      <w:r>
        <w:rPr>
          <w:rFonts w:ascii="Times New Roman" w:hAnsi="Times New Roman" w:cs="Times New Roman"/>
        </w:rPr>
        <w:t xml:space="preserve"> </w:t>
      </w:r>
      <w:sdt>
        <w:sdtPr>
          <w:rPr>
            <w:rFonts w:ascii="Times New Roman" w:hAnsi="Times New Roman" w:cs="Times New Roman"/>
            <w:i/>
            <w:iCs/>
          </w:rPr>
          <w:id w:val="1062526392"/>
          <w:citation/>
        </w:sdtPr>
        <w:sdtContent>
          <w:r>
            <w:rPr>
              <w:rFonts w:ascii="Times New Roman" w:hAnsi="Times New Roman" w:cs="Times New Roman"/>
              <w:i/>
              <w:iCs/>
            </w:rPr>
            <w:fldChar w:fldCharType="begin"/>
          </w:r>
          <w:r>
            <w:rPr>
              <w:rFonts w:ascii="Times New Roman" w:hAnsi="Times New Roman" w:cs="Times New Roman"/>
              <w:lang w:val="es-ES_tradnl"/>
            </w:rPr>
            <w:instrText xml:space="preserve"> CITATION Gil09 \l 1034 </w:instrText>
          </w:r>
          <w:r>
            <w:rPr>
              <w:rFonts w:ascii="Times New Roman" w:hAnsi="Times New Roman" w:cs="Times New Roman"/>
              <w:i/>
              <w:iCs/>
            </w:rPr>
            <w:fldChar w:fldCharType="separate"/>
          </w:r>
          <w:r w:rsidRPr="002D3990">
            <w:rPr>
              <w:rFonts w:ascii="Times New Roman" w:hAnsi="Times New Roman" w:cs="Times New Roman"/>
              <w:noProof/>
              <w:lang w:val="es-ES_tradnl"/>
            </w:rPr>
            <w:t>(Gile D. , 2009)</w:t>
          </w:r>
          <w:r>
            <w:rPr>
              <w:rFonts w:ascii="Times New Roman" w:hAnsi="Times New Roman" w:cs="Times New Roman"/>
              <w:i/>
              <w:iCs/>
            </w:rPr>
            <w:fldChar w:fldCharType="end"/>
          </w:r>
        </w:sdtContent>
      </w:sdt>
      <w:r>
        <w:rPr>
          <w:rFonts w:ascii="Times New Roman" w:hAnsi="Times New Roman" w:cs="Times New Roman"/>
          <w:i/>
          <w:iCs/>
        </w:rPr>
        <w:t xml:space="preserve">. </w:t>
      </w:r>
      <w:r>
        <w:rPr>
          <w:rFonts w:ascii="Times New Roman" w:hAnsi="Times New Roman" w:cs="Times New Roman"/>
        </w:rPr>
        <w:t xml:space="preserve">Esta “deformación” de la forma lingüística influye negativamente en la percepción del usuario, ya que una entrega con vacilaciones o interferencias que pueden llevar a la audiencia a infravalorar incluso la fidelidad semántica del mensaje </w:t>
      </w:r>
      <w:sdt>
        <w:sdtPr>
          <w:rPr>
            <w:rFonts w:ascii="Times New Roman" w:hAnsi="Times New Roman" w:cs="Times New Roman"/>
          </w:rPr>
          <w:id w:val="57595976"/>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Gar03 \l 1034 </w:instrText>
          </w:r>
          <w:r>
            <w:rPr>
              <w:rFonts w:ascii="Times New Roman" w:hAnsi="Times New Roman" w:cs="Times New Roman"/>
            </w:rPr>
            <w:fldChar w:fldCharType="separate"/>
          </w:r>
          <w:r w:rsidRPr="002D3990">
            <w:rPr>
              <w:rFonts w:ascii="Times New Roman" w:hAnsi="Times New Roman" w:cs="Times New Roman"/>
              <w:noProof/>
              <w:lang w:val="es-ES_tradnl"/>
            </w:rPr>
            <w:t>(Garzone, 2003)</w:t>
          </w:r>
          <w:r>
            <w:rPr>
              <w:rFonts w:ascii="Times New Roman" w:hAnsi="Times New Roman" w:cs="Times New Roman"/>
            </w:rPr>
            <w:fldChar w:fldCharType="end"/>
          </w:r>
        </w:sdtContent>
      </w:sdt>
    </w:p>
    <w:p w14:paraId="6CB3E5B1" w14:textId="77777777" w:rsidR="00846E82" w:rsidRPr="00846E82" w:rsidRDefault="00846E82" w:rsidP="00C15848">
      <w:pPr>
        <w:spacing w:line="360" w:lineRule="auto"/>
        <w:jc w:val="both"/>
        <w:rPr>
          <w:rFonts w:ascii="Times New Roman" w:hAnsi="Times New Roman" w:cs="Times New Roman"/>
        </w:rPr>
      </w:pPr>
    </w:p>
    <w:p w14:paraId="608E9D65" w14:textId="7A57DED3" w:rsidR="00C15848" w:rsidRDefault="00C15848" w:rsidP="00C15848">
      <w:pPr>
        <w:spacing w:line="360" w:lineRule="auto"/>
        <w:jc w:val="both"/>
        <w:rPr>
          <w:rFonts w:ascii="Times New Roman" w:hAnsi="Times New Roman" w:cs="Times New Roman"/>
        </w:rPr>
      </w:pPr>
      <w:r>
        <w:rPr>
          <w:rFonts w:ascii="Times New Roman" w:hAnsi="Times New Roman" w:cs="Times New Roman"/>
        </w:rPr>
        <w:t xml:space="preserve">Desde la perspectiva de la gestión de calidad, es necesario estudiar este fenómeno, puesto que la proximidad lingüística altera el equilibrio de los esfuerzos de procesamiento descritos por Daniel Gile </w:t>
      </w:r>
      <w:sdt>
        <w:sdtPr>
          <w:rPr>
            <w:rFonts w:ascii="Times New Roman" w:hAnsi="Times New Roman" w:cs="Times New Roman"/>
          </w:rPr>
          <w:id w:val="-11453007"/>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Pöc04 \l 1034 </w:instrText>
          </w:r>
          <w:r>
            <w:rPr>
              <w:rFonts w:ascii="Times New Roman" w:hAnsi="Times New Roman" w:cs="Times New Roman"/>
            </w:rPr>
            <w:fldChar w:fldCharType="separate"/>
          </w:r>
          <w:r w:rsidRPr="00FD14B9">
            <w:rPr>
              <w:rFonts w:ascii="Times New Roman" w:hAnsi="Times New Roman" w:cs="Times New Roman"/>
              <w:noProof/>
              <w:lang w:val="es-ES_tradnl"/>
            </w:rPr>
            <w:t>(Pöchhacker F. , 2004)</w:t>
          </w:r>
          <w:r>
            <w:rPr>
              <w:rFonts w:ascii="Times New Roman" w:hAnsi="Times New Roman" w:cs="Times New Roman"/>
            </w:rPr>
            <w:fldChar w:fldCharType="end"/>
          </w:r>
        </w:sdtContent>
      </w:sdt>
      <w:r>
        <w:rPr>
          <w:rFonts w:ascii="Times New Roman" w:hAnsi="Times New Roman" w:cs="Times New Roman"/>
        </w:rPr>
        <w:t xml:space="preserve">. Según este modelo, la calidad óptima depende de un balance adecuado entre escucha (L), producción (P) y memoria (M), de modo que cualquier sobrecarga en uno de estos elementos repercute directamente en el producto final </w:t>
      </w:r>
      <w:sdt>
        <w:sdtPr>
          <w:rPr>
            <w:rFonts w:ascii="Times New Roman" w:hAnsi="Times New Roman" w:cs="Times New Roman"/>
          </w:rPr>
          <w:id w:val="627210423"/>
          <w:citation/>
        </w:sdtPr>
        <w:sdtContent>
          <w:r>
            <w:rPr>
              <w:rFonts w:ascii="Times New Roman" w:hAnsi="Times New Roman" w:cs="Times New Roman"/>
            </w:rPr>
            <w:fldChar w:fldCharType="begin"/>
          </w:r>
          <w:r>
            <w:rPr>
              <w:rFonts w:ascii="Times New Roman" w:hAnsi="Times New Roman" w:cs="Times New Roman"/>
              <w:lang w:val="es-ES_tradnl"/>
            </w:rPr>
            <w:instrText xml:space="preserve">CITATION Gil95 \t  \l 1034 </w:instrText>
          </w:r>
          <w:r>
            <w:rPr>
              <w:rFonts w:ascii="Times New Roman" w:hAnsi="Times New Roman" w:cs="Times New Roman"/>
            </w:rPr>
            <w:fldChar w:fldCharType="separate"/>
          </w:r>
          <w:r w:rsidRPr="002D3990">
            <w:rPr>
              <w:rFonts w:ascii="Times New Roman" w:hAnsi="Times New Roman" w:cs="Times New Roman"/>
              <w:noProof/>
              <w:lang w:val="es-ES_tradnl"/>
            </w:rPr>
            <w:t>(Gile, 1995)</w:t>
          </w:r>
          <w:r>
            <w:rPr>
              <w:rFonts w:ascii="Times New Roman" w:hAnsi="Times New Roman" w:cs="Times New Roman"/>
            </w:rPr>
            <w:fldChar w:fldCharType="end"/>
          </w:r>
        </w:sdtContent>
      </w:sdt>
      <w:r w:rsidR="00846E82">
        <w:rPr>
          <w:rFonts w:ascii="Times New Roman" w:hAnsi="Times New Roman" w:cs="Times New Roman"/>
        </w:rPr>
        <w:t>.</w:t>
      </w:r>
    </w:p>
    <w:p w14:paraId="00490622" w14:textId="77777777" w:rsidR="00EA5639" w:rsidRDefault="00EA5639" w:rsidP="00C15848">
      <w:pPr>
        <w:spacing w:line="360" w:lineRule="auto"/>
        <w:jc w:val="both"/>
        <w:rPr>
          <w:rFonts w:ascii="Times New Roman" w:hAnsi="Times New Roman" w:cs="Times New Roman"/>
        </w:rPr>
      </w:pPr>
    </w:p>
    <w:p w14:paraId="17EC949B" w14:textId="77777777" w:rsidR="008A0D06" w:rsidRDefault="00EA5639" w:rsidP="008A0D06">
      <w:pPr>
        <w:spacing w:line="360" w:lineRule="auto"/>
        <w:jc w:val="both"/>
        <w:rPr>
          <w:rFonts w:ascii="Times New Roman" w:hAnsi="Times New Roman" w:cs="Times New Roman"/>
        </w:rPr>
      </w:pPr>
      <w:r>
        <w:rPr>
          <w:rFonts w:ascii="Times New Roman" w:hAnsi="Times New Roman" w:cs="Times New Roman"/>
        </w:rPr>
        <w:t xml:space="preserve">En el caso del par catalán-español, la investigación evidencia que la proximidad estructural y genética facilita ampliamente las transferencias entre ambos sistemas </w:t>
      </w:r>
      <w:sdt>
        <w:sdtPr>
          <w:rPr>
            <w:rFonts w:ascii="Times New Roman" w:hAnsi="Times New Roman" w:cs="Times New Roman"/>
          </w:rPr>
          <w:id w:val="299418946"/>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Ser21 \l 1034 </w:instrText>
          </w:r>
          <w:r>
            <w:rPr>
              <w:rFonts w:ascii="Times New Roman" w:hAnsi="Times New Roman" w:cs="Times New Roman"/>
            </w:rPr>
            <w:fldChar w:fldCharType="separate"/>
          </w:r>
          <w:r w:rsidRPr="002D3990">
            <w:rPr>
              <w:rFonts w:ascii="Times New Roman" w:hAnsi="Times New Roman" w:cs="Times New Roman"/>
              <w:noProof/>
              <w:lang w:val="es-ES_tradnl"/>
            </w:rPr>
            <w:t>(Serrano Zapata, 2021)</w:t>
          </w:r>
          <w:r>
            <w:rPr>
              <w:rFonts w:ascii="Times New Roman" w:hAnsi="Times New Roman" w:cs="Times New Roman"/>
            </w:rPr>
            <w:fldChar w:fldCharType="end"/>
          </w:r>
        </w:sdtContent>
      </w:sdt>
      <w:r>
        <w:rPr>
          <w:rFonts w:ascii="Times New Roman" w:hAnsi="Times New Roman" w:cs="Times New Roman"/>
        </w:rPr>
        <w:t xml:space="preserve">. Dichas interferencias léxicas y sintácticas se producen incluso en hablantes con alta competencia, quienes incorporan calcos y préstamos de manera casi automática debido a la presión de la lengua mayoritaria. Entre los problemas más recurrentes destacan los calcos sintácticos, que reproducen estructuras del catalán adaptadas al sistema receptor del español, afectando de manera significativa al paradigma verbal y pronominal </w:t>
      </w:r>
      <w:sdt>
        <w:sdtPr>
          <w:rPr>
            <w:rFonts w:ascii="Times New Roman" w:hAnsi="Times New Roman" w:cs="Times New Roman"/>
          </w:rPr>
          <w:id w:val="-15162119"/>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Agu16 \l 1034 </w:instrText>
          </w:r>
          <w:r>
            <w:rPr>
              <w:rFonts w:ascii="Times New Roman" w:hAnsi="Times New Roman" w:cs="Times New Roman"/>
            </w:rPr>
            <w:fldChar w:fldCharType="separate"/>
          </w:r>
          <w:r w:rsidRPr="00EA5639">
            <w:rPr>
              <w:rFonts w:ascii="Times New Roman" w:hAnsi="Times New Roman" w:cs="Times New Roman"/>
              <w:noProof/>
              <w:lang w:val="es-ES_tradnl"/>
            </w:rPr>
            <w:t>(Aguado Bru, 2016)</w:t>
          </w:r>
          <w:r>
            <w:rPr>
              <w:rFonts w:ascii="Times New Roman" w:hAnsi="Times New Roman" w:cs="Times New Roman"/>
            </w:rPr>
            <w:fldChar w:fldCharType="end"/>
          </w:r>
        </w:sdtContent>
      </w:sdt>
      <w:r>
        <w:rPr>
          <w:rFonts w:ascii="Times New Roman" w:hAnsi="Times New Roman" w:cs="Times New Roman"/>
        </w:rPr>
        <w:t xml:space="preserve">. Por ejemplo, diferencias en la organización de los deícticos o el uso de preposiciones específicas generan errores localizados que, aunque no impiden la comunicación, distorsionan el discurso y aumentan la probabilidad de que estos usos </w:t>
      </w:r>
      <w:r w:rsidR="008A0D06">
        <w:rPr>
          <w:rFonts w:ascii="Times New Roman" w:hAnsi="Times New Roman" w:cs="Times New Roman"/>
        </w:rPr>
        <w:t xml:space="preserve">se perpetúen, dado que no se percibe la necesidad de corrección </w:t>
      </w:r>
      <w:sdt>
        <w:sdtPr>
          <w:rPr>
            <w:rFonts w:ascii="Times New Roman" w:hAnsi="Times New Roman" w:cs="Times New Roman"/>
          </w:rPr>
          <w:id w:val="-392660738"/>
          <w:citation/>
        </w:sdtPr>
        <w:sdtContent>
          <w:r w:rsidR="008A0D06">
            <w:rPr>
              <w:rFonts w:ascii="Times New Roman" w:hAnsi="Times New Roman" w:cs="Times New Roman"/>
            </w:rPr>
            <w:fldChar w:fldCharType="begin"/>
          </w:r>
          <w:r w:rsidR="008A0D06">
            <w:rPr>
              <w:rFonts w:ascii="Times New Roman" w:hAnsi="Times New Roman" w:cs="Times New Roman"/>
              <w:lang w:val="es-ES_tradnl"/>
            </w:rPr>
            <w:instrText xml:space="preserve"> CITATION DiG15 \l 1034 </w:instrText>
          </w:r>
          <w:r w:rsidR="008A0D06">
            <w:rPr>
              <w:rFonts w:ascii="Times New Roman" w:hAnsi="Times New Roman" w:cs="Times New Roman"/>
            </w:rPr>
            <w:fldChar w:fldCharType="separate"/>
          </w:r>
          <w:r w:rsidR="008A0D06" w:rsidRPr="002D3990">
            <w:rPr>
              <w:rFonts w:ascii="Times New Roman" w:hAnsi="Times New Roman" w:cs="Times New Roman"/>
              <w:noProof/>
              <w:lang w:val="es-ES_tradnl"/>
            </w:rPr>
            <w:t>(Di Girolamo, 2015)</w:t>
          </w:r>
          <w:r w:rsidR="008A0D06">
            <w:rPr>
              <w:rFonts w:ascii="Times New Roman" w:hAnsi="Times New Roman" w:cs="Times New Roman"/>
            </w:rPr>
            <w:fldChar w:fldCharType="end"/>
          </w:r>
        </w:sdtContent>
      </w:sdt>
      <w:r w:rsidR="008A0D06">
        <w:rPr>
          <w:rFonts w:ascii="Times New Roman" w:hAnsi="Times New Roman" w:cs="Times New Roman"/>
        </w:rPr>
        <w:t>.</w:t>
      </w:r>
    </w:p>
    <w:p w14:paraId="2F7B035B" w14:textId="6A0DB75D" w:rsidR="00EA5639" w:rsidRDefault="00EA5639" w:rsidP="00C15848">
      <w:pPr>
        <w:spacing w:line="360" w:lineRule="auto"/>
        <w:jc w:val="both"/>
        <w:rPr>
          <w:rFonts w:ascii="Times New Roman" w:hAnsi="Times New Roman" w:cs="Times New Roman"/>
        </w:rPr>
      </w:pPr>
    </w:p>
    <w:p w14:paraId="4889184B" w14:textId="77777777" w:rsidR="008A0D06" w:rsidRDefault="008A0D06" w:rsidP="008A0D06">
      <w:pPr>
        <w:spacing w:line="360" w:lineRule="auto"/>
        <w:jc w:val="both"/>
        <w:rPr>
          <w:rFonts w:ascii="Times New Roman" w:hAnsi="Times New Roman" w:cs="Times New Roman"/>
        </w:rPr>
      </w:pPr>
      <w:r>
        <w:rPr>
          <w:rFonts w:ascii="Times New Roman" w:hAnsi="Times New Roman" w:cs="Times New Roman"/>
        </w:rPr>
        <w:t xml:space="preserve">La interpretación institucional engloba la mediación realizada en gobierno, organismos internacionales y servicios públicos, donde el profesional actúa para garantizar la equidad comunicativa </w:t>
      </w:r>
      <w:sdt>
        <w:sdtPr>
          <w:rPr>
            <w:rFonts w:ascii="Times New Roman" w:hAnsi="Times New Roman" w:cs="Times New Roman"/>
          </w:rPr>
          <w:id w:val="2077313457"/>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Bie19 \l 1034 </w:instrText>
          </w:r>
          <w:r>
            <w:rPr>
              <w:rFonts w:ascii="Times New Roman" w:hAnsi="Times New Roman" w:cs="Times New Roman"/>
            </w:rPr>
            <w:fldChar w:fldCharType="separate"/>
          </w:r>
          <w:r w:rsidRPr="002D3990">
            <w:rPr>
              <w:rFonts w:ascii="Times New Roman" w:hAnsi="Times New Roman" w:cs="Times New Roman"/>
              <w:noProof/>
              <w:lang w:val="es-ES_tradnl"/>
            </w:rPr>
            <w:t>(Biernacka &amp; Kanigowska, 2019)</w:t>
          </w:r>
          <w:r>
            <w:rPr>
              <w:rFonts w:ascii="Times New Roman" w:hAnsi="Times New Roman" w:cs="Times New Roman"/>
            </w:rPr>
            <w:fldChar w:fldCharType="end"/>
          </w:r>
        </w:sdtContent>
      </w:sdt>
      <w:r>
        <w:rPr>
          <w:rFonts w:ascii="Times New Roman" w:hAnsi="Times New Roman" w:cs="Times New Roman"/>
        </w:rPr>
        <w:t xml:space="preserve">. En el contexto español, la interpretación institucional entre lenguas cooficiales responde a la necesidad de garantizar el derecho </w:t>
      </w:r>
      <w:r>
        <w:rPr>
          <w:rFonts w:ascii="Times New Roman" w:hAnsi="Times New Roman" w:cs="Times New Roman"/>
        </w:rPr>
        <w:lastRenderedPageBreak/>
        <w:t>del ciudadano a ser atendido en su propia lengua, según el marco legal de los estatutos de autonomía</w:t>
      </w:r>
      <w:sdt>
        <w:sdtPr>
          <w:rPr>
            <w:rFonts w:ascii="Times New Roman" w:hAnsi="Times New Roman" w:cs="Times New Roman"/>
          </w:rPr>
          <w:id w:val="-1923950214"/>
          <w:citation/>
        </w:sdtPr>
        <w:sdtContent>
          <w:r>
            <w:rPr>
              <w:rFonts w:ascii="Times New Roman" w:hAnsi="Times New Roman" w:cs="Times New Roman"/>
            </w:rPr>
            <w:fldChar w:fldCharType="begin"/>
          </w:r>
          <w:r>
            <w:rPr>
              <w:rFonts w:ascii="Times New Roman" w:hAnsi="Times New Roman" w:cs="Times New Roman"/>
              <w:lang w:val="es-ES_tradnl"/>
            </w:rPr>
            <w:instrText xml:space="preserve"> CITATION Gar09 \l 1034 </w:instrText>
          </w:r>
          <w:r>
            <w:rPr>
              <w:rFonts w:ascii="Times New Roman" w:hAnsi="Times New Roman" w:cs="Times New Roman"/>
            </w:rPr>
            <w:fldChar w:fldCharType="separate"/>
          </w:r>
          <w:r>
            <w:rPr>
              <w:rFonts w:ascii="Times New Roman" w:hAnsi="Times New Roman" w:cs="Times New Roman"/>
              <w:noProof/>
              <w:lang w:val="es-ES_tradnl"/>
            </w:rPr>
            <w:t xml:space="preserve"> </w:t>
          </w:r>
          <w:r w:rsidRPr="001D599B">
            <w:rPr>
              <w:rFonts w:ascii="Times New Roman" w:hAnsi="Times New Roman" w:cs="Times New Roman"/>
              <w:noProof/>
              <w:lang w:val="es-ES_tradnl"/>
            </w:rPr>
            <w:t>(García de Toro, 2009)</w:t>
          </w:r>
          <w:r>
            <w:rPr>
              <w:rFonts w:ascii="Times New Roman" w:hAnsi="Times New Roman" w:cs="Times New Roman"/>
            </w:rPr>
            <w:fldChar w:fldCharType="end"/>
          </w:r>
        </w:sdtContent>
      </w:sdt>
      <w:r>
        <w:rPr>
          <w:rFonts w:ascii="Times New Roman" w:hAnsi="Times New Roman" w:cs="Times New Roman"/>
        </w:rPr>
        <w:t xml:space="preserve">. </w:t>
      </w:r>
    </w:p>
    <w:p w14:paraId="4E75D36E" w14:textId="77777777" w:rsidR="008A0D06" w:rsidRDefault="008A0D06" w:rsidP="008A0D06">
      <w:pPr>
        <w:spacing w:line="360" w:lineRule="auto"/>
        <w:jc w:val="both"/>
        <w:rPr>
          <w:rFonts w:ascii="Times New Roman" w:hAnsi="Times New Roman" w:cs="Times New Roman"/>
        </w:rPr>
      </w:pPr>
    </w:p>
    <w:p w14:paraId="37F9CE96" w14:textId="7053EB17" w:rsidR="008A0D06" w:rsidRDefault="008A0D06" w:rsidP="008A0D06">
      <w:pPr>
        <w:spacing w:line="360" w:lineRule="auto"/>
        <w:jc w:val="both"/>
        <w:rPr>
          <w:rFonts w:ascii="Times New Roman" w:hAnsi="Times New Roman" w:cs="Times New Roman"/>
        </w:rPr>
      </w:pPr>
      <w:r>
        <w:rPr>
          <w:rFonts w:ascii="Times New Roman" w:hAnsi="Times New Roman" w:cs="Times New Roman"/>
        </w:rPr>
        <w:t xml:space="preserve">A pesar de la convivencia histórica y territorial entre el catalán y el español, la investigación académica dedicada de manera específica a la mediación lingüística entre ambos sistemas se encuentra todavía en una fase incipiente </w:t>
      </w:r>
      <w:sdt>
        <w:sdtPr>
          <w:rPr>
            <w:rFonts w:ascii="Times New Roman" w:hAnsi="Times New Roman" w:cs="Times New Roman"/>
          </w:rPr>
          <w:id w:val="-1778089079"/>
          <w:citation/>
        </w:sdtPr>
        <w:sdtContent>
          <w:r>
            <w:rPr>
              <w:rFonts w:ascii="Times New Roman" w:hAnsi="Times New Roman" w:cs="Times New Roman"/>
            </w:rPr>
            <w:fldChar w:fldCharType="begin"/>
          </w:r>
          <w:r>
            <w:rPr>
              <w:rFonts w:ascii="Times New Roman" w:hAnsi="Times New Roman" w:cs="Times New Roman"/>
              <w:lang w:val="es-ES_tradnl"/>
            </w:rPr>
            <w:instrText xml:space="preserve">CITATION Gar5b \t  \l 1034 </w:instrText>
          </w:r>
          <w:r>
            <w:rPr>
              <w:rFonts w:ascii="Times New Roman" w:hAnsi="Times New Roman" w:cs="Times New Roman"/>
            </w:rPr>
            <w:fldChar w:fldCharType="separate"/>
          </w:r>
          <w:r w:rsidRPr="001D599B">
            <w:rPr>
              <w:rFonts w:ascii="Times New Roman" w:hAnsi="Times New Roman" w:cs="Times New Roman"/>
              <w:noProof/>
              <w:lang w:val="es-ES_tradnl"/>
            </w:rPr>
            <w:t>(García de Toro, 2015b)</w:t>
          </w:r>
          <w:r>
            <w:rPr>
              <w:rFonts w:ascii="Times New Roman" w:hAnsi="Times New Roman" w:cs="Times New Roman"/>
            </w:rPr>
            <w:fldChar w:fldCharType="end"/>
          </w:r>
        </w:sdtContent>
      </w:sdt>
      <w:r>
        <w:rPr>
          <w:rFonts w:ascii="Times New Roman" w:hAnsi="Times New Roman" w:cs="Times New Roman"/>
        </w:rPr>
        <w:t>. Esta escasez de trabajos se atribuye a la propia situación sociolingüística del catalán, que aún busca consolidar un grado de normalidad suficiente en sus diversos ámbitos de uso, lo que ha impedido tradicionalmente el desarrollo de una tradición sólida de estudios sobre su interpretación</w:t>
      </w:r>
      <w:r w:rsidRPr="001D599B">
        <w:rPr>
          <w:rFonts w:ascii="Times New Roman" w:hAnsi="Times New Roman" w:cs="Times New Roman"/>
        </w:rPr>
        <w:t xml:space="preserve"> </w:t>
      </w:r>
      <w:sdt>
        <w:sdtPr>
          <w:rPr>
            <w:rFonts w:ascii="Times New Roman" w:hAnsi="Times New Roman" w:cs="Times New Roman"/>
          </w:rPr>
          <w:id w:val="-1735622073"/>
          <w:citation/>
        </w:sdtPr>
        <w:sdtContent>
          <w:r>
            <w:rPr>
              <w:rFonts w:ascii="Times New Roman" w:hAnsi="Times New Roman" w:cs="Times New Roman"/>
            </w:rPr>
            <w:fldChar w:fldCharType="begin"/>
          </w:r>
          <w:r>
            <w:rPr>
              <w:rFonts w:ascii="Times New Roman" w:hAnsi="Times New Roman" w:cs="Times New Roman"/>
              <w:lang w:val="es-ES_tradnl"/>
            </w:rPr>
            <w:instrText xml:space="preserve">CITATION Gar5a1 \l 1034 </w:instrText>
          </w:r>
          <w:r>
            <w:rPr>
              <w:rFonts w:ascii="Times New Roman" w:hAnsi="Times New Roman" w:cs="Times New Roman"/>
            </w:rPr>
            <w:fldChar w:fldCharType="separate"/>
          </w:r>
          <w:r w:rsidRPr="008A0D06">
            <w:rPr>
              <w:rFonts w:ascii="Times New Roman" w:hAnsi="Times New Roman" w:cs="Times New Roman"/>
              <w:noProof/>
              <w:lang w:val="es-ES_tradnl"/>
            </w:rPr>
            <w:t>(García de Toro, La investigación sobre la traducción entre catalán y español: estudios lingüísticos, 2015a)</w:t>
          </w:r>
          <w:r>
            <w:rPr>
              <w:rFonts w:ascii="Times New Roman" w:hAnsi="Times New Roman" w:cs="Times New Roman"/>
            </w:rPr>
            <w:fldChar w:fldCharType="end"/>
          </w:r>
        </w:sdtContent>
      </w:sdt>
    </w:p>
    <w:p w14:paraId="2CEEAF99" w14:textId="77777777" w:rsidR="008A0D06" w:rsidRDefault="008A0D06" w:rsidP="008A0D06">
      <w:pPr>
        <w:spacing w:line="360" w:lineRule="auto"/>
        <w:jc w:val="both"/>
        <w:rPr>
          <w:rFonts w:ascii="Times New Roman" w:hAnsi="Times New Roman" w:cs="Times New Roman"/>
        </w:rPr>
      </w:pPr>
      <w:r>
        <w:rPr>
          <w:rFonts w:ascii="Times New Roman" w:hAnsi="Times New Roman" w:cs="Times New Roman"/>
        </w:rPr>
        <w:t xml:space="preserve">Por lo tanto, un análisis centrado en la interpretación institucional resulta no solo pertinente, sino necesario para aportar datos empíricos que completen el mapa de ruta de la disciplina y doten de visibilidad a una práctica profesional frecuentemente obviada por su aparente facilidad (Aguado Bru, 2016; Serrano Zapata, 2021). </w:t>
      </w:r>
    </w:p>
    <w:p w14:paraId="3A2214EA" w14:textId="77777777" w:rsidR="008A0D06" w:rsidRDefault="008A0D06" w:rsidP="00C15848">
      <w:pPr>
        <w:spacing w:line="360" w:lineRule="auto"/>
        <w:jc w:val="both"/>
        <w:rPr>
          <w:rFonts w:ascii="Times New Roman" w:hAnsi="Times New Roman" w:cs="Times New Roman"/>
        </w:rPr>
      </w:pPr>
    </w:p>
    <w:p w14:paraId="5B397A67" w14:textId="77777777" w:rsidR="008A0D06" w:rsidRDefault="008A0D06" w:rsidP="00C15848">
      <w:pPr>
        <w:spacing w:line="360" w:lineRule="auto"/>
        <w:jc w:val="both"/>
        <w:rPr>
          <w:rFonts w:ascii="Times New Roman" w:hAnsi="Times New Roman" w:cs="Times New Roman"/>
        </w:rPr>
      </w:pPr>
    </w:p>
    <w:p w14:paraId="3F993FCA" w14:textId="77777777" w:rsidR="008A0D06" w:rsidRDefault="008A0D06" w:rsidP="00C15848">
      <w:pPr>
        <w:spacing w:line="360" w:lineRule="auto"/>
        <w:jc w:val="both"/>
        <w:rPr>
          <w:rFonts w:ascii="Times New Roman" w:hAnsi="Times New Roman" w:cs="Times New Roman"/>
        </w:rPr>
      </w:pPr>
    </w:p>
    <w:p w14:paraId="76541DAD" w14:textId="77777777" w:rsidR="008A0D06" w:rsidRDefault="008A0D06" w:rsidP="00C15848">
      <w:pPr>
        <w:spacing w:line="360" w:lineRule="auto"/>
        <w:jc w:val="both"/>
        <w:rPr>
          <w:rFonts w:ascii="Times New Roman" w:hAnsi="Times New Roman" w:cs="Times New Roman"/>
        </w:rPr>
      </w:pPr>
    </w:p>
    <w:p w14:paraId="60CC8563" w14:textId="77777777" w:rsidR="008A0D06" w:rsidRDefault="008A0D06" w:rsidP="00C15848">
      <w:pPr>
        <w:spacing w:line="360" w:lineRule="auto"/>
        <w:jc w:val="both"/>
        <w:rPr>
          <w:rFonts w:ascii="Times New Roman" w:hAnsi="Times New Roman" w:cs="Times New Roman"/>
        </w:rPr>
      </w:pPr>
    </w:p>
    <w:p w14:paraId="4AF984FF" w14:textId="77777777" w:rsidR="008A0D06" w:rsidRDefault="008A0D06" w:rsidP="00C15848">
      <w:pPr>
        <w:spacing w:line="360" w:lineRule="auto"/>
        <w:jc w:val="both"/>
        <w:rPr>
          <w:rFonts w:ascii="Times New Roman" w:hAnsi="Times New Roman" w:cs="Times New Roman"/>
        </w:rPr>
      </w:pPr>
    </w:p>
    <w:p w14:paraId="23DE11AC" w14:textId="77777777" w:rsidR="008A0D06" w:rsidRDefault="008A0D06" w:rsidP="00C15848">
      <w:pPr>
        <w:spacing w:line="360" w:lineRule="auto"/>
        <w:jc w:val="both"/>
        <w:rPr>
          <w:rFonts w:ascii="Times New Roman" w:hAnsi="Times New Roman" w:cs="Times New Roman"/>
        </w:rPr>
      </w:pPr>
    </w:p>
    <w:p w14:paraId="7BB33E63" w14:textId="77777777" w:rsidR="008A0D06" w:rsidRDefault="008A0D06" w:rsidP="00C15848">
      <w:pPr>
        <w:spacing w:line="360" w:lineRule="auto"/>
        <w:jc w:val="both"/>
        <w:rPr>
          <w:rFonts w:ascii="Times New Roman" w:hAnsi="Times New Roman" w:cs="Times New Roman"/>
        </w:rPr>
      </w:pPr>
    </w:p>
    <w:p w14:paraId="49C0EE9C" w14:textId="77777777" w:rsidR="008A0D06" w:rsidRDefault="008A0D06" w:rsidP="00C15848">
      <w:pPr>
        <w:spacing w:line="360" w:lineRule="auto"/>
        <w:jc w:val="both"/>
        <w:rPr>
          <w:rFonts w:ascii="Times New Roman" w:hAnsi="Times New Roman" w:cs="Times New Roman"/>
        </w:rPr>
      </w:pPr>
    </w:p>
    <w:p w14:paraId="4377F35B" w14:textId="77777777" w:rsidR="008A0D06" w:rsidRDefault="008A0D06" w:rsidP="00C15848">
      <w:pPr>
        <w:spacing w:line="360" w:lineRule="auto"/>
        <w:jc w:val="both"/>
        <w:rPr>
          <w:rFonts w:ascii="Times New Roman" w:hAnsi="Times New Roman" w:cs="Times New Roman"/>
        </w:rPr>
      </w:pPr>
    </w:p>
    <w:p w14:paraId="35808F1A" w14:textId="77777777" w:rsidR="008A0D06" w:rsidRDefault="008A0D06" w:rsidP="00C15848">
      <w:pPr>
        <w:spacing w:line="360" w:lineRule="auto"/>
        <w:jc w:val="both"/>
        <w:rPr>
          <w:rFonts w:ascii="Times New Roman" w:hAnsi="Times New Roman" w:cs="Times New Roman"/>
        </w:rPr>
      </w:pPr>
    </w:p>
    <w:p w14:paraId="054497A6" w14:textId="77777777" w:rsidR="008A0D06" w:rsidRDefault="008A0D06" w:rsidP="00C15848">
      <w:pPr>
        <w:spacing w:line="360" w:lineRule="auto"/>
        <w:jc w:val="both"/>
        <w:rPr>
          <w:rFonts w:ascii="Times New Roman" w:hAnsi="Times New Roman" w:cs="Times New Roman"/>
        </w:rPr>
      </w:pPr>
    </w:p>
    <w:p w14:paraId="7B717AE5" w14:textId="77777777" w:rsidR="008A0D06" w:rsidRDefault="008A0D06" w:rsidP="00C15848">
      <w:pPr>
        <w:spacing w:line="360" w:lineRule="auto"/>
        <w:jc w:val="both"/>
        <w:rPr>
          <w:rFonts w:ascii="Times New Roman" w:hAnsi="Times New Roman" w:cs="Times New Roman"/>
        </w:rPr>
      </w:pPr>
    </w:p>
    <w:p w14:paraId="377ACE19" w14:textId="77777777" w:rsidR="008A0D06" w:rsidRDefault="008A0D06" w:rsidP="00C15848">
      <w:pPr>
        <w:spacing w:line="360" w:lineRule="auto"/>
        <w:jc w:val="both"/>
        <w:rPr>
          <w:rFonts w:ascii="Times New Roman" w:hAnsi="Times New Roman" w:cs="Times New Roman"/>
        </w:rPr>
      </w:pPr>
    </w:p>
    <w:p w14:paraId="520CC81F" w14:textId="77777777" w:rsidR="008A0D06" w:rsidRDefault="008A0D06" w:rsidP="00C15848">
      <w:pPr>
        <w:spacing w:line="360" w:lineRule="auto"/>
        <w:jc w:val="both"/>
        <w:rPr>
          <w:rFonts w:ascii="Times New Roman" w:hAnsi="Times New Roman" w:cs="Times New Roman"/>
        </w:rPr>
      </w:pPr>
    </w:p>
    <w:p w14:paraId="1E6111D3" w14:textId="77777777" w:rsidR="008A0D06" w:rsidRDefault="008A0D06" w:rsidP="00C15848">
      <w:pPr>
        <w:spacing w:line="360" w:lineRule="auto"/>
        <w:jc w:val="both"/>
        <w:rPr>
          <w:rFonts w:ascii="Times New Roman" w:hAnsi="Times New Roman" w:cs="Times New Roman"/>
        </w:rPr>
      </w:pPr>
    </w:p>
    <w:p w14:paraId="43B5C8A8" w14:textId="77777777" w:rsidR="008A0D06" w:rsidRDefault="008A0D06" w:rsidP="00C15848">
      <w:pPr>
        <w:spacing w:line="360" w:lineRule="auto"/>
        <w:jc w:val="both"/>
        <w:rPr>
          <w:rFonts w:ascii="Times New Roman" w:hAnsi="Times New Roman" w:cs="Times New Roman"/>
        </w:rPr>
      </w:pPr>
    </w:p>
    <w:p w14:paraId="0C1984DA" w14:textId="77777777" w:rsidR="008A0D06" w:rsidRDefault="008A0D06" w:rsidP="00C15848">
      <w:pPr>
        <w:spacing w:line="360" w:lineRule="auto"/>
        <w:jc w:val="both"/>
        <w:rPr>
          <w:rFonts w:ascii="Times New Roman" w:hAnsi="Times New Roman" w:cs="Times New Roman"/>
        </w:rPr>
      </w:pPr>
    </w:p>
    <w:sdt>
      <w:sdtPr>
        <w:rPr>
          <w:rFonts w:asciiTheme="minorHAnsi" w:eastAsiaTheme="minorHAnsi" w:hAnsiTheme="minorHAnsi" w:cstheme="minorBidi"/>
          <w:color w:val="auto"/>
          <w:sz w:val="24"/>
          <w:szCs w:val="24"/>
        </w:rPr>
        <w:id w:val="-1586910769"/>
        <w:docPartObj>
          <w:docPartGallery w:val="Bibliographies"/>
          <w:docPartUnique/>
        </w:docPartObj>
      </w:sdtPr>
      <w:sdtContent>
        <w:p w14:paraId="7D5CD145" w14:textId="4E709948" w:rsidR="008A0D06" w:rsidRDefault="008A0D06">
          <w:pPr>
            <w:pStyle w:val="Ttulo1"/>
          </w:pPr>
          <w:r>
            <w:t>Bibliografía</w:t>
          </w:r>
        </w:p>
        <w:sdt>
          <w:sdtPr>
            <w:id w:val="111145805"/>
            <w:bibliography/>
          </w:sdtPr>
          <w:sdtContent>
            <w:p w14:paraId="752DF29C" w14:textId="77777777" w:rsidR="008A0D06" w:rsidRDefault="008A0D06" w:rsidP="008A0D06">
              <w:pPr>
                <w:pStyle w:val="Bibliografa"/>
                <w:ind w:left="720" w:hanging="720"/>
                <w:rPr>
                  <w:noProof/>
                </w:rPr>
              </w:pPr>
              <w:r>
                <w:fldChar w:fldCharType="begin"/>
              </w:r>
              <w:r>
                <w:instrText>BIBLIOGRAPHY</w:instrText>
              </w:r>
              <w:r>
                <w:fldChar w:fldCharType="separate"/>
              </w:r>
              <w:r>
                <w:rPr>
                  <w:noProof/>
                </w:rPr>
                <w:t xml:space="preserve">Aguado Bru, M. (2016). Calcos sintácticos y errores ELE en el paradigma verbal en sjuetos bilingües en Barcelona. </w:t>
              </w:r>
              <w:r>
                <w:rPr>
                  <w:i/>
                  <w:iCs/>
                  <w:noProof/>
                </w:rPr>
                <w:t>Revista Nebrija de Lingüística Aplicada, 21</w:t>
              </w:r>
              <w:r>
                <w:rPr>
                  <w:noProof/>
                </w:rPr>
                <w:t>.</w:t>
              </w:r>
            </w:p>
            <w:p w14:paraId="36DB1CC4" w14:textId="77777777" w:rsidR="008A0D06" w:rsidRPr="008A0D06" w:rsidRDefault="008A0D06" w:rsidP="008A0D06"/>
            <w:p w14:paraId="7EC14C12" w14:textId="77777777" w:rsidR="008A0D06" w:rsidRDefault="008A0D06" w:rsidP="008A0D06">
              <w:pPr>
                <w:pStyle w:val="Bibliografa"/>
                <w:ind w:left="720" w:hanging="720"/>
                <w:rPr>
                  <w:noProof/>
                </w:rPr>
              </w:pPr>
              <w:r>
                <w:rPr>
                  <w:noProof/>
                </w:rPr>
                <w:t xml:space="preserve">Bühler, H. (1986). Linguistic (semantic) and extra-linguistic (pragmatic) criteria for the evaluation of conference interpretation and interpreters. </w:t>
              </w:r>
              <w:r>
                <w:rPr>
                  <w:i/>
                  <w:iCs/>
                  <w:noProof/>
                </w:rPr>
                <w:t>multilingua</w:t>
              </w:r>
              <w:r>
                <w:rPr>
                  <w:noProof/>
                </w:rPr>
                <w:t>, 231-235.</w:t>
              </w:r>
            </w:p>
            <w:p w14:paraId="76D55112" w14:textId="77777777" w:rsidR="008A0D06" w:rsidRPr="008A0D06" w:rsidRDefault="008A0D06" w:rsidP="008A0D06"/>
            <w:p w14:paraId="5890430D" w14:textId="77777777" w:rsidR="008A0D06" w:rsidRDefault="008A0D06" w:rsidP="008A0D06">
              <w:pPr>
                <w:pStyle w:val="Bibliografa"/>
                <w:ind w:left="720" w:hanging="720"/>
                <w:rPr>
                  <w:noProof/>
                </w:rPr>
              </w:pPr>
              <w:r>
                <w:rPr>
                  <w:noProof/>
                </w:rPr>
                <w:t xml:space="preserve">Biernacka, A., &amp; Kanigowska, M. (2019). interpretación en el ámbito policial en Polonia: estudio de caso. </w:t>
              </w:r>
              <w:r>
                <w:rPr>
                  <w:i/>
                  <w:iCs/>
                  <w:noProof/>
                </w:rPr>
                <w:t>Sendebar</w:t>
              </w:r>
              <w:r>
                <w:rPr>
                  <w:noProof/>
                </w:rPr>
                <w:t>(30), 301-334.</w:t>
              </w:r>
            </w:p>
            <w:p w14:paraId="7D676FA2" w14:textId="77777777" w:rsidR="008A0D06" w:rsidRPr="008A0D06" w:rsidRDefault="008A0D06" w:rsidP="008A0D06"/>
            <w:p w14:paraId="316934F2" w14:textId="77777777" w:rsidR="008A0D06" w:rsidRDefault="008A0D06" w:rsidP="008A0D06">
              <w:pPr>
                <w:pStyle w:val="Bibliografa"/>
                <w:ind w:left="720" w:hanging="720"/>
                <w:rPr>
                  <w:noProof/>
                </w:rPr>
              </w:pPr>
              <w:r>
                <w:rPr>
                  <w:noProof/>
                </w:rPr>
                <w:t xml:space="preserve">Calvi, M. (. (2004). Aprendizaje de lenguas afines: español e italiano. </w:t>
              </w:r>
              <w:r>
                <w:rPr>
                  <w:i/>
                  <w:iCs/>
                  <w:noProof/>
                </w:rPr>
                <w:t>redELE, Revista electrónica de didáctica / español lengua extranjera</w:t>
              </w:r>
              <w:r>
                <w:rPr>
                  <w:noProof/>
                </w:rPr>
                <w:t>(1), 1-22.</w:t>
              </w:r>
            </w:p>
            <w:p w14:paraId="22027738" w14:textId="77777777" w:rsidR="008A0D06" w:rsidRPr="008A0D06" w:rsidRDefault="008A0D06" w:rsidP="008A0D06"/>
            <w:p w14:paraId="2C20FEFB" w14:textId="77777777" w:rsidR="008A0D06" w:rsidRDefault="008A0D06" w:rsidP="008A0D06">
              <w:pPr>
                <w:pStyle w:val="Bibliografa"/>
                <w:ind w:left="720" w:hanging="720"/>
                <w:rPr>
                  <w:noProof/>
                </w:rPr>
              </w:pPr>
              <w:r>
                <w:rPr>
                  <w:noProof/>
                </w:rPr>
                <w:t xml:space="preserve">Chesterman, A. (1993). Fron 'is' to 'ought': Laws, norms and strategies in translation studies. </w:t>
              </w:r>
              <w:r>
                <w:rPr>
                  <w:i/>
                  <w:iCs/>
                  <w:noProof/>
                </w:rPr>
                <w:t>Target</w:t>
              </w:r>
              <w:r>
                <w:rPr>
                  <w:noProof/>
                </w:rPr>
                <w:t>, 1-20.</w:t>
              </w:r>
            </w:p>
            <w:p w14:paraId="6285AE66" w14:textId="77777777" w:rsidR="008A0D06" w:rsidRPr="008A0D06" w:rsidRDefault="008A0D06" w:rsidP="008A0D06"/>
            <w:p w14:paraId="08E2BF93" w14:textId="77777777" w:rsidR="008A0D06" w:rsidRDefault="008A0D06" w:rsidP="008A0D06">
              <w:pPr>
                <w:pStyle w:val="Bibliografa"/>
                <w:ind w:left="720" w:hanging="720"/>
                <w:rPr>
                  <w:noProof/>
                </w:rPr>
              </w:pPr>
              <w:r>
                <w:rPr>
                  <w:noProof/>
                </w:rPr>
                <w:t xml:space="preserve">Collado Aís, A. (1998/2002). Quality Assessment in Simultaneous Interpreting: The Importance of Nonverbal Communication. En F. Pöchhacker, &amp; M. Shlesinger, </w:t>
              </w:r>
              <w:r>
                <w:rPr>
                  <w:i/>
                  <w:iCs/>
                  <w:noProof/>
                </w:rPr>
                <w:t>The Interpreting Studies Reader</w:t>
              </w:r>
              <w:r>
                <w:rPr>
                  <w:noProof/>
                </w:rPr>
                <w:t xml:space="preserve"> (págs. 327-336). Routledge.</w:t>
              </w:r>
            </w:p>
            <w:p w14:paraId="01FE626D" w14:textId="77777777" w:rsidR="008A0D06" w:rsidRPr="008A0D06" w:rsidRDefault="008A0D06" w:rsidP="008A0D06"/>
            <w:p w14:paraId="7DDC1C73" w14:textId="77777777" w:rsidR="008A0D06" w:rsidRDefault="008A0D06" w:rsidP="008A0D06">
              <w:pPr>
                <w:pStyle w:val="Bibliografa"/>
                <w:ind w:left="720" w:hanging="720"/>
                <w:rPr>
                  <w:noProof/>
                </w:rPr>
              </w:pPr>
              <w:r>
                <w:rPr>
                  <w:noProof/>
                </w:rPr>
                <w:t xml:space="preserve">Di Girolamo, M. (2015). </w:t>
              </w:r>
              <w:r>
                <w:rPr>
                  <w:i/>
                  <w:iCs/>
                  <w:noProof/>
                </w:rPr>
                <w:t>La experiencia en el aula ELE con estudiantes italianos: interferencias y transferencias.</w:t>
              </w:r>
              <w:r>
                <w:rPr>
                  <w:noProof/>
                </w:rPr>
                <w:t xml:space="preserve"> Universidad de los Estudios de Nápoles La Oriental.</w:t>
              </w:r>
            </w:p>
            <w:p w14:paraId="3F381666" w14:textId="77777777" w:rsidR="008A0D06" w:rsidRPr="008A0D06" w:rsidRDefault="008A0D06" w:rsidP="008A0D06"/>
            <w:p w14:paraId="003C74DF" w14:textId="77777777" w:rsidR="008A0D06" w:rsidRDefault="008A0D06" w:rsidP="008A0D06">
              <w:pPr>
                <w:pStyle w:val="Bibliografa"/>
                <w:ind w:left="720" w:hanging="720"/>
                <w:rPr>
                  <w:noProof/>
                </w:rPr>
              </w:pPr>
              <w:r>
                <w:rPr>
                  <w:noProof/>
                </w:rPr>
                <w:t xml:space="preserve">García de Toro, C. (2009). </w:t>
              </w:r>
              <w:r>
                <w:rPr>
                  <w:i/>
                  <w:iCs/>
                  <w:noProof/>
                </w:rPr>
                <w:t>La traducción entre lenguas en contacto: Catalán y español.</w:t>
              </w:r>
              <w:r>
                <w:rPr>
                  <w:noProof/>
                </w:rPr>
                <w:t xml:space="preserve"> Peter Lang.</w:t>
              </w:r>
            </w:p>
            <w:p w14:paraId="160E4AA0" w14:textId="77777777" w:rsidR="008A0D06" w:rsidRPr="008A0D06" w:rsidRDefault="008A0D06" w:rsidP="008A0D06"/>
            <w:p w14:paraId="2A5C43B0" w14:textId="77777777" w:rsidR="008A0D06" w:rsidRDefault="008A0D06" w:rsidP="008A0D06">
              <w:pPr>
                <w:pStyle w:val="Bibliografa"/>
                <w:ind w:left="720" w:hanging="720"/>
                <w:rPr>
                  <w:noProof/>
                </w:rPr>
              </w:pPr>
              <w:r>
                <w:rPr>
                  <w:noProof/>
                </w:rPr>
                <w:t xml:space="preserve">García de Toro, C. (2015a). La investigación sobre la traducción entre catalán y español: estudios lingüísticos. </w:t>
              </w:r>
              <w:r>
                <w:rPr>
                  <w:i/>
                  <w:iCs/>
                  <w:noProof/>
                </w:rPr>
                <w:t>Meta</w:t>
              </w:r>
              <w:r>
                <w:rPr>
                  <w:noProof/>
                </w:rPr>
                <w:t>, 71-89.</w:t>
              </w:r>
            </w:p>
            <w:p w14:paraId="7F7CFBE7" w14:textId="77777777" w:rsidR="008A0D06" w:rsidRPr="008A0D06" w:rsidRDefault="008A0D06" w:rsidP="008A0D06"/>
            <w:p w14:paraId="309D8504" w14:textId="77777777" w:rsidR="008A0D06" w:rsidRDefault="008A0D06" w:rsidP="008A0D06">
              <w:pPr>
                <w:pStyle w:val="Bibliografa"/>
                <w:ind w:left="720" w:hanging="720"/>
                <w:rPr>
                  <w:noProof/>
                </w:rPr>
              </w:pPr>
              <w:r>
                <w:rPr>
                  <w:noProof/>
                </w:rPr>
                <w:t xml:space="preserve">García de Toro, C. (2015b). La investigación sobre la traducción entre catalán y español: estudios traductológicos. </w:t>
              </w:r>
              <w:r>
                <w:rPr>
                  <w:i/>
                  <w:iCs/>
                  <w:noProof/>
                </w:rPr>
                <w:t>Meta, 60</w:t>
              </w:r>
              <w:r>
                <w:rPr>
                  <w:noProof/>
                </w:rPr>
                <w:t>(3), 555-575.</w:t>
              </w:r>
            </w:p>
            <w:p w14:paraId="3110E6B3" w14:textId="77777777" w:rsidR="008A0D06" w:rsidRPr="008A0D06" w:rsidRDefault="008A0D06" w:rsidP="008A0D06"/>
            <w:p w14:paraId="2604B6A8" w14:textId="77777777" w:rsidR="008A0D06" w:rsidRDefault="008A0D06" w:rsidP="008A0D06">
              <w:pPr>
                <w:pStyle w:val="Bibliografa"/>
                <w:ind w:left="720" w:hanging="720"/>
                <w:rPr>
                  <w:noProof/>
                </w:rPr>
              </w:pPr>
              <w:r>
                <w:rPr>
                  <w:noProof/>
                </w:rPr>
                <w:t xml:space="preserve">Garzone, G. (2003). Reliability of Quality Criteria and User Expectations in Simultaneous Interpreting. En A. Collado Aís, M. Fernández Sánchez, &amp; D. Gile, </w:t>
              </w:r>
              <w:r>
                <w:rPr>
                  <w:i/>
                  <w:iCs/>
                  <w:noProof/>
                </w:rPr>
                <w:t>La evaluación de la calidad en interpretación: Investigación</w:t>
              </w:r>
              <w:r>
                <w:rPr>
                  <w:noProof/>
                </w:rPr>
                <w:t xml:space="preserve"> (págs. 23-39). Comares.</w:t>
              </w:r>
            </w:p>
            <w:p w14:paraId="72F64D90" w14:textId="77777777" w:rsidR="008A0D06" w:rsidRPr="008A0D06" w:rsidRDefault="008A0D06" w:rsidP="008A0D06"/>
            <w:p w14:paraId="1DE01A75" w14:textId="77777777" w:rsidR="008A0D06" w:rsidRDefault="008A0D06" w:rsidP="008A0D06">
              <w:pPr>
                <w:pStyle w:val="Bibliografa"/>
                <w:ind w:left="720" w:hanging="720"/>
                <w:rPr>
                  <w:noProof/>
                </w:rPr>
              </w:pPr>
              <w:r>
                <w:rPr>
                  <w:noProof/>
                </w:rPr>
                <w:t xml:space="preserve">Gile, D. (1988). Le partage de l'attention et le 'modèle d'effort' en interpétation simultanée. </w:t>
              </w:r>
              <w:r>
                <w:rPr>
                  <w:i/>
                  <w:iCs/>
                  <w:noProof/>
                </w:rPr>
                <w:t>The Interpreters' Newsletter</w:t>
              </w:r>
              <w:r>
                <w:rPr>
                  <w:noProof/>
                </w:rPr>
                <w:t>(1), 27-33.</w:t>
              </w:r>
            </w:p>
            <w:p w14:paraId="257C575C" w14:textId="77777777" w:rsidR="008A0D06" w:rsidRPr="008A0D06" w:rsidRDefault="008A0D06" w:rsidP="008A0D06"/>
            <w:p w14:paraId="3963C2A9" w14:textId="77777777" w:rsidR="008A0D06" w:rsidRDefault="008A0D06" w:rsidP="008A0D06">
              <w:pPr>
                <w:pStyle w:val="Bibliografa"/>
                <w:ind w:left="720" w:hanging="720"/>
                <w:rPr>
                  <w:noProof/>
                </w:rPr>
              </w:pPr>
              <w:r>
                <w:rPr>
                  <w:noProof/>
                </w:rPr>
                <w:t xml:space="preserve">Gile, D. (1995). </w:t>
              </w:r>
              <w:r>
                <w:rPr>
                  <w:i/>
                  <w:iCs/>
                  <w:noProof/>
                </w:rPr>
                <w:t>Basic concepts and models for interpreter and translator training.</w:t>
              </w:r>
              <w:r>
                <w:rPr>
                  <w:noProof/>
                </w:rPr>
                <w:t xml:space="preserve"> John Benjamins.</w:t>
              </w:r>
            </w:p>
            <w:p w14:paraId="064B21A5" w14:textId="77777777" w:rsidR="008A0D06" w:rsidRPr="008A0D06" w:rsidRDefault="008A0D06" w:rsidP="008A0D06"/>
            <w:p w14:paraId="432FA429" w14:textId="77777777" w:rsidR="008A0D06" w:rsidRDefault="008A0D06" w:rsidP="008A0D06">
              <w:pPr>
                <w:pStyle w:val="Bibliografa"/>
                <w:ind w:left="720" w:hanging="720"/>
                <w:rPr>
                  <w:noProof/>
                </w:rPr>
              </w:pPr>
              <w:r>
                <w:rPr>
                  <w:noProof/>
                </w:rPr>
                <w:t xml:space="preserve">Gile, D. (2009). </w:t>
              </w:r>
              <w:r>
                <w:rPr>
                  <w:i/>
                  <w:iCs/>
                  <w:noProof/>
                </w:rPr>
                <w:t>Conference interpreting, historical and cognitive perspectives.</w:t>
              </w:r>
              <w:r>
                <w:rPr>
                  <w:noProof/>
                </w:rPr>
                <w:t xml:space="preserve"> Routledge.</w:t>
              </w:r>
            </w:p>
            <w:p w14:paraId="15B99FC6" w14:textId="77777777" w:rsidR="008A0D06" w:rsidRDefault="008A0D06" w:rsidP="008A0D06">
              <w:pPr>
                <w:pStyle w:val="Bibliografa"/>
                <w:ind w:left="720" w:hanging="720"/>
                <w:rPr>
                  <w:noProof/>
                </w:rPr>
              </w:pPr>
              <w:r>
                <w:rPr>
                  <w:noProof/>
                </w:rPr>
                <w:lastRenderedPageBreak/>
                <w:t xml:space="preserve">Kalina, S. (2 de abril de 2005). Quality Assurance for Interpreting Processes. </w:t>
              </w:r>
              <w:r>
                <w:rPr>
                  <w:i/>
                  <w:iCs/>
                  <w:noProof/>
                </w:rPr>
                <w:t>Meta</w:t>
              </w:r>
              <w:r>
                <w:rPr>
                  <w:noProof/>
                </w:rPr>
                <w:t>, 768-784.</w:t>
              </w:r>
            </w:p>
            <w:p w14:paraId="0C51A727" w14:textId="77777777" w:rsidR="008A0D06" w:rsidRPr="008A0D06" w:rsidRDefault="008A0D06" w:rsidP="008A0D06"/>
            <w:p w14:paraId="0D333178" w14:textId="77777777" w:rsidR="008A0D06" w:rsidRDefault="008A0D06" w:rsidP="008A0D06">
              <w:pPr>
                <w:pStyle w:val="Bibliografa"/>
                <w:ind w:left="720" w:hanging="720"/>
                <w:rPr>
                  <w:noProof/>
                </w:rPr>
              </w:pPr>
              <w:r>
                <w:rPr>
                  <w:noProof/>
                </w:rPr>
                <w:t xml:space="preserve">Kurz, I., &amp; Pöchhacker, F. (1995). Quality in TV interpreting. </w:t>
              </w:r>
              <w:r>
                <w:rPr>
                  <w:i/>
                  <w:iCs/>
                  <w:noProof/>
                </w:rPr>
                <w:t>Traslatio: FIT Newsletter, 14</w:t>
              </w:r>
              <w:r>
                <w:rPr>
                  <w:noProof/>
                </w:rPr>
                <w:t>(3-4), 350-358.</w:t>
              </w:r>
            </w:p>
            <w:p w14:paraId="3DC03710" w14:textId="77777777" w:rsidR="008A0D06" w:rsidRPr="008A0D06" w:rsidRDefault="008A0D06" w:rsidP="008A0D06"/>
            <w:p w14:paraId="7FFD8774" w14:textId="77777777" w:rsidR="008A0D06" w:rsidRDefault="008A0D06" w:rsidP="008A0D06">
              <w:pPr>
                <w:pStyle w:val="Bibliografa"/>
                <w:ind w:left="720" w:hanging="720"/>
                <w:rPr>
                  <w:noProof/>
                </w:rPr>
              </w:pPr>
              <w:r>
                <w:rPr>
                  <w:noProof/>
                </w:rPr>
                <w:t xml:space="preserve">Mininni, M. (2014). Dar clase en el aula. Insidie e risorse nell'insegnamento di lingue affini. </w:t>
              </w:r>
              <w:r>
                <w:rPr>
                  <w:i/>
                  <w:iCs/>
                  <w:noProof/>
                </w:rPr>
                <w:t>RiCOGNIZIONI. Rivista di lingue, letterature e culture moderne</w:t>
              </w:r>
              <w:r>
                <w:rPr>
                  <w:noProof/>
                </w:rPr>
                <w:t>(1), 125-132.</w:t>
              </w:r>
            </w:p>
            <w:p w14:paraId="217B9FBD" w14:textId="77777777" w:rsidR="008A0D06" w:rsidRPr="008A0D06" w:rsidRDefault="008A0D06" w:rsidP="008A0D06"/>
            <w:p w14:paraId="3C427C8E" w14:textId="77777777" w:rsidR="008A0D06" w:rsidRDefault="008A0D06" w:rsidP="008A0D06">
              <w:pPr>
                <w:pStyle w:val="Bibliografa"/>
                <w:ind w:left="720" w:hanging="720"/>
                <w:rPr>
                  <w:noProof/>
                </w:rPr>
              </w:pPr>
              <w:r>
                <w:rPr>
                  <w:noProof/>
                </w:rPr>
                <w:t xml:space="preserve">Moldovan, C., Sánchez-Casas, R., Demestre, J., &amp; Ferré, P. (2012). Interference Effects as a Function of Semantic Similarity in the Translation Recognition Task in Bilinguals of Catalan and Spanish. </w:t>
              </w:r>
              <w:r>
                <w:rPr>
                  <w:i/>
                  <w:iCs/>
                  <w:noProof/>
                </w:rPr>
                <w:t>Psicologica, 33</w:t>
              </w:r>
              <w:r>
                <w:rPr>
                  <w:noProof/>
                </w:rPr>
                <w:t>(1).</w:t>
              </w:r>
            </w:p>
            <w:p w14:paraId="4058897D" w14:textId="77777777" w:rsidR="008A0D06" w:rsidRPr="008A0D06" w:rsidRDefault="008A0D06" w:rsidP="008A0D06"/>
            <w:p w14:paraId="5DB12089" w14:textId="77777777" w:rsidR="008A0D06" w:rsidRDefault="008A0D06" w:rsidP="008A0D06">
              <w:pPr>
                <w:pStyle w:val="Bibliografa"/>
                <w:ind w:left="720" w:hanging="720"/>
                <w:rPr>
                  <w:noProof/>
                </w:rPr>
              </w:pPr>
              <w:r>
                <w:rPr>
                  <w:noProof/>
                </w:rPr>
                <w:t xml:space="preserve">Moser-Mercer, B. (1996). Quality in Interpreting: Some Methodological Issues. </w:t>
              </w:r>
              <w:r>
                <w:rPr>
                  <w:i/>
                  <w:iCs/>
                  <w:noProof/>
                </w:rPr>
                <w:t>The Interpreters' Newsletter, 7</w:t>
              </w:r>
              <w:r>
                <w:rPr>
                  <w:noProof/>
                </w:rPr>
                <w:t>, 43-55.</w:t>
              </w:r>
            </w:p>
            <w:p w14:paraId="3FF153F0" w14:textId="77777777" w:rsidR="008A0D06" w:rsidRPr="008A0D06" w:rsidRDefault="008A0D06" w:rsidP="008A0D06"/>
            <w:p w14:paraId="6F3A1683" w14:textId="77777777" w:rsidR="008A0D06" w:rsidRDefault="008A0D06" w:rsidP="008A0D06">
              <w:pPr>
                <w:pStyle w:val="Bibliografa"/>
                <w:ind w:left="720" w:hanging="720"/>
                <w:rPr>
                  <w:noProof/>
                </w:rPr>
              </w:pPr>
              <w:r>
                <w:rPr>
                  <w:noProof/>
                </w:rPr>
                <w:t xml:space="preserve">Pöchhacker, F. (2004). </w:t>
              </w:r>
              <w:r>
                <w:rPr>
                  <w:i/>
                  <w:iCs/>
                  <w:noProof/>
                </w:rPr>
                <w:t>Introducing Interpreting Studies.</w:t>
              </w:r>
              <w:r>
                <w:rPr>
                  <w:noProof/>
                </w:rPr>
                <w:t xml:space="preserve"> Routledge.</w:t>
              </w:r>
            </w:p>
            <w:p w14:paraId="07A4E9CE" w14:textId="77777777" w:rsidR="008A0D06" w:rsidRPr="008A0D06" w:rsidRDefault="008A0D06" w:rsidP="008A0D06"/>
            <w:p w14:paraId="227E8B44" w14:textId="77777777" w:rsidR="008A0D06" w:rsidRDefault="008A0D06" w:rsidP="008A0D06">
              <w:pPr>
                <w:pStyle w:val="Bibliografa"/>
                <w:ind w:left="720" w:hanging="720"/>
                <w:rPr>
                  <w:noProof/>
                </w:rPr>
              </w:pPr>
              <w:r>
                <w:rPr>
                  <w:noProof/>
                </w:rPr>
                <w:t xml:space="preserve">Pöchhacker, F. S. (2002). </w:t>
              </w:r>
              <w:r>
                <w:rPr>
                  <w:i/>
                  <w:iCs/>
                  <w:noProof/>
                </w:rPr>
                <w:t>The Interpreting Studies Reader.</w:t>
              </w:r>
              <w:r>
                <w:rPr>
                  <w:noProof/>
                </w:rPr>
                <w:t xml:space="preserve"> Routledge.</w:t>
              </w:r>
            </w:p>
            <w:p w14:paraId="073B9F35" w14:textId="77777777" w:rsidR="008A0D06" w:rsidRPr="008A0D06" w:rsidRDefault="008A0D06" w:rsidP="008A0D06"/>
            <w:p w14:paraId="6BB163ED" w14:textId="77777777" w:rsidR="008A0D06" w:rsidRDefault="008A0D06" w:rsidP="008A0D06">
              <w:pPr>
                <w:pStyle w:val="Bibliografa"/>
                <w:ind w:left="720" w:hanging="720"/>
                <w:rPr>
                  <w:noProof/>
                </w:rPr>
              </w:pPr>
              <w:r>
                <w:rPr>
                  <w:noProof/>
                </w:rPr>
                <w:t xml:space="preserve">Serrano Zapata, M. (2021). Transferències lingüístiques castellà-català: Un estudi de disponibilitat lèxica a Lleida. </w:t>
              </w:r>
              <w:r>
                <w:rPr>
                  <w:i/>
                  <w:iCs/>
                  <w:noProof/>
                </w:rPr>
                <w:t>Treballs de Sociolingüística Catalana, 31</w:t>
              </w:r>
              <w:r>
                <w:rPr>
                  <w:noProof/>
                </w:rPr>
                <w:t>, 149-164.</w:t>
              </w:r>
            </w:p>
            <w:p w14:paraId="542ACE81" w14:textId="77777777" w:rsidR="008A0D06" w:rsidRPr="008A0D06" w:rsidRDefault="008A0D06" w:rsidP="008A0D06"/>
            <w:p w14:paraId="0F536C18" w14:textId="77777777" w:rsidR="008A0D06" w:rsidRDefault="008A0D06" w:rsidP="008A0D06">
              <w:pPr>
                <w:pStyle w:val="Bibliografa"/>
                <w:ind w:left="720" w:hanging="720"/>
                <w:rPr>
                  <w:noProof/>
                </w:rPr>
              </w:pPr>
              <w:r>
                <w:rPr>
                  <w:noProof/>
                </w:rPr>
                <w:t xml:space="preserve">Strong, M. R. (1992). </w:t>
              </w:r>
              <w:r>
                <w:rPr>
                  <w:i/>
                  <w:iCs/>
                  <w:noProof/>
                </w:rPr>
                <w:t>An assessment of sing language interpreters.</w:t>
              </w:r>
              <w:r>
                <w:rPr>
                  <w:noProof/>
                </w:rPr>
                <w:t xml:space="preserve"> Recuperado el marzo de 2026</w:t>
              </w:r>
            </w:p>
            <w:p w14:paraId="1DA0879A" w14:textId="77777777" w:rsidR="008A0D06" w:rsidRPr="008A0D06" w:rsidRDefault="008A0D06" w:rsidP="008A0D06"/>
            <w:p w14:paraId="0E6684E7" w14:textId="77777777" w:rsidR="008A0D06" w:rsidRDefault="008A0D06" w:rsidP="008A0D06">
              <w:pPr>
                <w:pStyle w:val="Bibliografa"/>
                <w:ind w:left="720" w:hanging="720"/>
                <w:rPr>
                  <w:noProof/>
                </w:rPr>
              </w:pPr>
              <w:r>
                <w:rPr>
                  <w:noProof/>
                </w:rPr>
                <w:t xml:space="preserve">Vuorikoski, A.-R. (2004). </w:t>
              </w:r>
              <w:r>
                <w:rPr>
                  <w:i/>
                  <w:iCs/>
                  <w:noProof/>
                </w:rPr>
                <w:t>A Voice of its Citizens or a Modern Tower of Babel?</w:t>
              </w:r>
              <w:r>
                <w:rPr>
                  <w:noProof/>
                </w:rPr>
                <w:t xml:space="preserve"> Tesis doctoral.</w:t>
              </w:r>
            </w:p>
            <w:p w14:paraId="6CD54E15" w14:textId="40AD2BA8" w:rsidR="008A0D06" w:rsidRDefault="008A0D06" w:rsidP="008A0D06">
              <w:r>
                <w:rPr>
                  <w:b/>
                  <w:bCs/>
                  <w:noProof/>
                </w:rPr>
                <w:fldChar w:fldCharType="end"/>
              </w:r>
            </w:p>
          </w:sdtContent>
        </w:sdt>
      </w:sdtContent>
    </w:sdt>
    <w:p w14:paraId="0C038047" w14:textId="77777777" w:rsidR="008A0D06" w:rsidRDefault="008A0D06" w:rsidP="00C15848">
      <w:pPr>
        <w:spacing w:line="360" w:lineRule="auto"/>
        <w:jc w:val="both"/>
        <w:rPr>
          <w:rFonts w:ascii="Times New Roman" w:hAnsi="Times New Roman" w:cs="Times New Roman"/>
        </w:rPr>
      </w:pPr>
    </w:p>
    <w:p w14:paraId="659B4960" w14:textId="5A390827" w:rsidR="00C15848" w:rsidRPr="003A7F1D" w:rsidRDefault="00C15848" w:rsidP="00AE40C0">
      <w:pPr>
        <w:spacing w:line="360" w:lineRule="auto"/>
        <w:jc w:val="both"/>
        <w:rPr>
          <w:rFonts w:ascii="Times New Roman" w:hAnsi="Times New Roman" w:cs="Times New Roman"/>
        </w:rPr>
      </w:pPr>
    </w:p>
    <w:sectPr w:rsidR="00C15848" w:rsidRPr="003A7F1D" w:rsidSect="00B317FE">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millas">
    <w:altName w:val="Cambria"/>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131AFD"/>
    <w:multiLevelType w:val="hybridMultilevel"/>
    <w:tmpl w:val="15141D8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47FA023D"/>
    <w:multiLevelType w:val="multilevel"/>
    <w:tmpl w:val="A91C1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B1F210B"/>
    <w:multiLevelType w:val="hybridMultilevel"/>
    <w:tmpl w:val="15141D8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47054180">
    <w:abstractNumId w:val="0"/>
  </w:num>
  <w:num w:numId="2" w16cid:durableId="1741441197">
    <w:abstractNumId w:val="2"/>
  </w:num>
  <w:num w:numId="3" w16cid:durableId="17282149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0C0"/>
    <w:rsid w:val="00171DB0"/>
    <w:rsid w:val="001C037A"/>
    <w:rsid w:val="00342022"/>
    <w:rsid w:val="003A7F1D"/>
    <w:rsid w:val="00491261"/>
    <w:rsid w:val="006115B9"/>
    <w:rsid w:val="00703815"/>
    <w:rsid w:val="007C1A66"/>
    <w:rsid w:val="007E252A"/>
    <w:rsid w:val="00846E82"/>
    <w:rsid w:val="008A0D06"/>
    <w:rsid w:val="008A4017"/>
    <w:rsid w:val="009C63FF"/>
    <w:rsid w:val="00A14CD8"/>
    <w:rsid w:val="00A33340"/>
    <w:rsid w:val="00A568B0"/>
    <w:rsid w:val="00AA4907"/>
    <w:rsid w:val="00AD56F8"/>
    <w:rsid w:val="00AE40C0"/>
    <w:rsid w:val="00B01C71"/>
    <w:rsid w:val="00B317FE"/>
    <w:rsid w:val="00BA5D81"/>
    <w:rsid w:val="00C15848"/>
    <w:rsid w:val="00C42AB9"/>
    <w:rsid w:val="00D757D7"/>
    <w:rsid w:val="00DC0825"/>
    <w:rsid w:val="00E721E7"/>
    <w:rsid w:val="00EA5639"/>
    <w:rsid w:val="00EB38BD"/>
    <w:rsid w:val="00EC5523"/>
    <w:rsid w:val="00F616D4"/>
    <w:rsid w:val="00FD323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1A1B5"/>
  <w15:chartTrackingRefBased/>
  <w15:docId w15:val="{C939A224-2985-8740-97B7-414E136BC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E40C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E40C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E40C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E40C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E40C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E40C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E40C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E40C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E40C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E40C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E40C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E40C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E40C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E40C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E40C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E40C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E40C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E40C0"/>
    <w:rPr>
      <w:rFonts w:eastAsiaTheme="majorEastAsia" w:cstheme="majorBidi"/>
      <w:color w:val="272727" w:themeColor="text1" w:themeTint="D8"/>
    </w:rPr>
  </w:style>
  <w:style w:type="paragraph" w:styleId="Ttulo">
    <w:name w:val="Title"/>
    <w:basedOn w:val="Normal"/>
    <w:next w:val="Normal"/>
    <w:link w:val="TtuloCar"/>
    <w:uiPriority w:val="10"/>
    <w:qFormat/>
    <w:rsid w:val="00AE40C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E40C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E40C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E40C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E40C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AE40C0"/>
    <w:rPr>
      <w:i/>
      <w:iCs/>
      <w:color w:val="404040" w:themeColor="text1" w:themeTint="BF"/>
    </w:rPr>
  </w:style>
  <w:style w:type="paragraph" w:styleId="Prrafodelista">
    <w:name w:val="List Paragraph"/>
    <w:basedOn w:val="Normal"/>
    <w:uiPriority w:val="34"/>
    <w:qFormat/>
    <w:rsid w:val="00AE40C0"/>
    <w:pPr>
      <w:ind w:left="720"/>
      <w:contextualSpacing/>
    </w:pPr>
  </w:style>
  <w:style w:type="character" w:styleId="nfasisintenso">
    <w:name w:val="Intense Emphasis"/>
    <w:basedOn w:val="Fuentedeprrafopredeter"/>
    <w:uiPriority w:val="21"/>
    <w:qFormat/>
    <w:rsid w:val="00AE40C0"/>
    <w:rPr>
      <w:i/>
      <w:iCs/>
      <w:color w:val="2F5496" w:themeColor="accent1" w:themeShade="BF"/>
    </w:rPr>
  </w:style>
  <w:style w:type="paragraph" w:styleId="Citadestacada">
    <w:name w:val="Intense Quote"/>
    <w:basedOn w:val="Normal"/>
    <w:next w:val="Normal"/>
    <w:link w:val="CitadestacadaCar"/>
    <w:uiPriority w:val="30"/>
    <w:qFormat/>
    <w:rsid w:val="00AE40C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E40C0"/>
    <w:rPr>
      <w:i/>
      <w:iCs/>
      <w:color w:val="2F5496" w:themeColor="accent1" w:themeShade="BF"/>
    </w:rPr>
  </w:style>
  <w:style w:type="character" w:styleId="Referenciaintensa">
    <w:name w:val="Intense Reference"/>
    <w:basedOn w:val="Fuentedeprrafopredeter"/>
    <w:uiPriority w:val="32"/>
    <w:qFormat/>
    <w:rsid w:val="00AE40C0"/>
    <w:rPr>
      <w:b/>
      <w:bCs/>
      <w:smallCaps/>
      <w:color w:val="2F5496" w:themeColor="accent1" w:themeShade="BF"/>
      <w:spacing w:val="5"/>
    </w:rPr>
  </w:style>
  <w:style w:type="paragraph" w:styleId="NormalWeb">
    <w:name w:val="Normal (Web)"/>
    <w:basedOn w:val="Normal"/>
    <w:uiPriority w:val="99"/>
    <w:semiHidden/>
    <w:unhideWhenUsed/>
    <w:rsid w:val="00C15848"/>
    <w:pPr>
      <w:spacing w:before="100" w:beforeAutospacing="1" w:after="100" w:afterAutospacing="1"/>
    </w:pPr>
    <w:rPr>
      <w:rFonts w:ascii="Times New Roman" w:eastAsia="Times New Roman" w:hAnsi="Times New Roman" w:cs="Times New Roman"/>
      <w:kern w:val="0"/>
      <w:lang w:eastAsia="es-ES_tradnl"/>
      <w14:ligatures w14:val="none"/>
    </w:rPr>
  </w:style>
  <w:style w:type="paragraph" w:styleId="Bibliografa">
    <w:name w:val="Bibliography"/>
    <w:basedOn w:val="Normal"/>
    <w:next w:val="Normal"/>
    <w:uiPriority w:val="37"/>
    <w:unhideWhenUsed/>
    <w:rsid w:val="008A0D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518501">
      <w:bodyDiv w:val="1"/>
      <w:marLeft w:val="0"/>
      <w:marRight w:val="0"/>
      <w:marTop w:val="0"/>
      <w:marBottom w:val="0"/>
      <w:divBdr>
        <w:top w:val="none" w:sz="0" w:space="0" w:color="auto"/>
        <w:left w:val="none" w:sz="0" w:space="0" w:color="auto"/>
        <w:bottom w:val="none" w:sz="0" w:space="0" w:color="auto"/>
        <w:right w:val="none" w:sz="0" w:space="0" w:color="auto"/>
      </w:divBdr>
    </w:div>
    <w:div w:id="437599999">
      <w:bodyDiv w:val="1"/>
      <w:marLeft w:val="0"/>
      <w:marRight w:val="0"/>
      <w:marTop w:val="0"/>
      <w:marBottom w:val="0"/>
      <w:divBdr>
        <w:top w:val="none" w:sz="0" w:space="0" w:color="auto"/>
        <w:left w:val="none" w:sz="0" w:space="0" w:color="auto"/>
        <w:bottom w:val="none" w:sz="0" w:space="0" w:color="auto"/>
        <w:right w:val="none" w:sz="0" w:space="0" w:color="auto"/>
      </w:divBdr>
    </w:div>
    <w:div w:id="493839331">
      <w:bodyDiv w:val="1"/>
      <w:marLeft w:val="0"/>
      <w:marRight w:val="0"/>
      <w:marTop w:val="0"/>
      <w:marBottom w:val="0"/>
      <w:divBdr>
        <w:top w:val="none" w:sz="0" w:space="0" w:color="auto"/>
        <w:left w:val="none" w:sz="0" w:space="0" w:color="auto"/>
        <w:bottom w:val="none" w:sz="0" w:space="0" w:color="auto"/>
        <w:right w:val="none" w:sz="0" w:space="0" w:color="auto"/>
      </w:divBdr>
    </w:div>
    <w:div w:id="511721980">
      <w:bodyDiv w:val="1"/>
      <w:marLeft w:val="0"/>
      <w:marRight w:val="0"/>
      <w:marTop w:val="0"/>
      <w:marBottom w:val="0"/>
      <w:divBdr>
        <w:top w:val="none" w:sz="0" w:space="0" w:color="auto"/>
        <w:left w:val="none" w:sz="0" w:space="0" w:color="auto"/>
        <w:bottom w:val="none" w:sz="0" w:space="0" w:color="auto"/>
        <w:right w:val="none" w:sz="0" w:space="0" w:color="auto"/>
      </w:divBdr>
    </w:div>
    <w:div w:id="544177755">
      <w:bodyDiv w:val="1"/>
      <w:marLeft w:val="0"/>
      <w:marRight w:val="0"/>
      <w:marTop w:val="0"/>
      <w:marBottom w:val="0"/>
      <w:divBdr>
        <w:top w:val="none" w:sz="0" w:space="0" w:color="auto"/>
        <w:left w:val="none" w:sz="0" w:space="0" w:color="auto"/>
        <w:bottom w:val="none" w:sz="0" w:space="0" w:color="auto"/>
        <w:right w:val="none" w:sz="0" w:space="0" w:color="auto"/>
      </w:divBdr>
    </w:div>
    <w:div w:id="621376981">
      <w:bodyDiv w:val="1"/>
      <w:marLeft w:val="0"/>
      <w:marRight w:val="0"/>
      <w:marTop w:val="0"/>
      <w:marBottom w:val="0"/>
      <w:divBdr>
        <w:top w:val="none" w:sz="0" w:space="0" w:color="auto"/>
        <w:left w:val="none" w:sz="0" w:space="0" w:color="auto"/>
        <w:bottom w:val="none" w:sz="0" w:space="0" w:color="auto"/>
        <w:right w:val="none" w:sz="0" w:space="0" w:color="auto"/>
      </w:divBdr>
    </w:div>
    <w:div w:id="641351391">
      <w:bodyDiv w:val="1"/>
      <w:marLeft w:val="0"/>
      <w:marRight w:val="0"/>
      <w:marTop w:val="0"/>
      <w:marBottom w:val="0"/>
      <w:divBdr>
        <w:top w:val="none" w:sz="0" w:space="0" w:color="auto"/>
        <w:left w:val="none" w:sz="0" w:space="0" w:color="auto"/>
        <w:bottom w:val="none" w:sz="0" w:space="0" w:color="auto"/>
        <w:right w:val="none" w:sz="0" w:space="0" w:color="auto"/>
      </w:divBdr>
    </w:div>
    <w:div w:id="643509910">
      <w:bodyDiv w:val="1"/>
      <w:marLeft w:val="0"/>
      <w:marRight w:val="0"/>
      <w:marTop w:val="0"/>
      <w:marBottom w:val="0"/>
      <w:divBdr>
        <w:top w:val="none" w:sz="0" w:space="0" w:color="auto"/>
        <w:left w:val="none" w:sz="0" w:space="0" w:color="auto"/>
        <w:bottom w:val="none" w:sz="0" w:space="0" w:color="auto"/>
        <w:right w:val="none" w:sz="0" w:space="0" w:color="auto"/>
      </w:divBdr>
    </w:div>
    <w:div w:id="945960050">
      <w:bodyDiv w:val="1"/>
      <w:marLeft w:val="0"/>
      <w:marRight w:val="0"/>
      <w:marTop w:val="0"/>
      <w:marBottom w:val="0"/>
      <w:divBdr>
        <w:top w:val="none" w:sz="0" w:space="0" w:color="auto"/>
        <w:left w:val="none" w:sz="0" w:space="0" w:color="auto"/>
        <w:bottom w:val="none" w:sz="0" w:space="0" w:color="auto"/>
        <w:right w:val="none" w:sz="0" w:space="0" w:color="auto"/>
      </w:divBdr>
    </w:div>
    <w:div w:id="1071346480">
      <w:bodyDiv w:val="1"/>
      <w:marLeft w:val="0"/>
      <w:marRight w:val="0"/>
      <w:marTop w:val="0"/>
      <w:marBottom w:val="0"/>
      <w:divBdr>
        <w:top w:val="none" w:sz="0" w:space="0" w:color="auto"/>
        <w:left w:val="none" w:sz="0" w:space="0" w:color="auto"/>
        <w:bottom w:val="none" w:sz="0" w:space="0" w:color="auto"/>
        <w:right w:val="none" w:sz="0" w:space="0" w:color="auto"/>
      </w:divBdr>
    </w:div>
    <w:div w:id="1169979280">
      <w:bodyDiv w:val="1"/>
      <w:marLeft w:val="0"/>
      <w:marRight w:val="0"/>
      <w:marTop w:val="0"/>
      <w:marBottom w:val="0"/>
      <w:divBdr>
        <w:top w:val="none" w:sz="0" w:space="0" w:color="auto"/>
        <w:left w:val="none" w:sz="0" w:space="0" w:color="auto"/>
        <w:bottom w:val="none" w:sz="0" w:space="0" w:color="auto"/>
        <w:right w:val="none" w:sz="0" w:space="0" w:color="auto"/>
      </w:divBdr>
    </w:div>
    <w:div w:id="1454396695">
      <w:bodyDiv w:val="1"/>
      <w:marLeft w:val="0"/>
      <w:marRight w:val="0"/>
      <w:marTop w:val="0"/>
      <w:marBottom w:val="0"/>
      <w:divBdr>
        <w:top w:val="none" w:sz="0" w:space="0" w:color="auto"/>
        <w:left w:val="none" w:sz="0" w:space="0" w:color="auto"/>
        <w:bottom w:val="none" w:sz="0" w:space="0" w:color="auto"/>
        <w:right w:val="none" w:sz="0" w:space="0" w:color="auto"/>
      </w:divBdr>
    </w:div>
    <w:div w:id="1460420857">
      <w:bodyDiv w:val="1"/>
      <w:marLeft w:val="0"/>
      <w:marRight w:val="0"/>
      <w:marTop w:val="0"/>
      <w:marBottom w:val="0"/>
      <w:divBdr>
        <w:top w:val="none" w:sz="0" w:space="0" w:color="auto"/>
        <w:left w:val="none" w:sz="0" w:space="0" w:color="auto"/>
        <w:bottom w:val="none" w:sz="0" w:space="0" w:color="auto"/>
        <w:right w:val="none" w:sz="0" w:space="0" w:color="auto"/>
      </w:divBdr>
    </w:div>
    <w:div w:id="1543594259">
      <w:bodyDiv w:val="1"/>
      <w:marLeft w:val="0"/>
      <w:marRight w:val="0"/>
      <w:marTop w:val="0"/>
      <w:marBottom w:val="0"/>
      <w:divBdr>
        <w:top w:val="none" w:sz="0" w:space="0" w:color="auto"/>
        <w:left w:val="none" w:sz="0" w:space="0" w:color="auto"/>
        <w:bottom w:val="none" w:sz="0" w:space="0" w:color="auto"/>
        <w:right w:val="none" w:sz="0" w:space="0" w:color="auto"/>
      </w:divBdr>
    </w:div>
    <w:div w:id="1562062864">
      <w:bodyDiv w:val="1"/>
      <w:marLeft w:val="0"/>
      <w:marRight w:val="0"/>
      <w:marTop w:val="0"/>
      <w:marBottom w:val="0"/>
      <w:divBdr>
        <w:top w:val="none" w:sz="0" w:space="0" w:color="auto"/>
        <w:left w:val="none" w:sz="0" w:space="0" w:color="auto"/>
        <w:bottom w:val="none" w:sz="0" w:space="0" w:color="auto"/>
        <w:right w:val="none" w:sz="0" w:space="0" w:color="auto"/>
      </w:divBdr>
    </w:div>
    <w:div w:id="1580408217">
      <w:bodyDiv w:val="1"/>
      <w:marLeft w:val="0"/>
      <w:marRight w:val="0"/>
      <w:marTop w:val="0"/>
      <w:marBottom w:val="0"/>
      <w:divBdr>
        <w:top w:val="none" w:sz="0" w:space="0" w:color="auto"/>
        <w:left w:val="none" w:sz="0" w:space="0" w:color="auto"/>
        <w:bottom w:val="none" w:sz="0" w:space="0" w:color="auto"/>
        <w:right w:val="none" w:sz="0" w:space="0" w:color="auto"/>
      </w:divBdr>
    </w:div>
    <w:div w:id="1618832928">
      <w:bodyDiv w:val="1"/>
      <w:marLeft w:val="0"/>
      <w:marRight w:val="0"/>
      <w:marTop w:val="0"/>
      <w:marBottom w:val="0"/>
      <w:divBdr>
        <w:top w:val="none" w:sz="0" w:space="0" w:color="auto"/>
        <w:left w:val="none" w:sz="0" w:space="0" w:color="auto"/>
        <w:bottom w:val="none" w:sz="0" w:space="0" w:color="auto"/>
        <w:right w:val="none" w:sz="0" w:space="0" w:color="auto"/>
      </w:divBdr>
    </w:div>
    <w:div w:id="1669862078">
      <w:bodyDiv w:val="1"/>
      <w:marLeft w:val="0"/>
      <w:marRight w:val="0"/>
      <w:marTop w:val="0"/>
      <w:marBottom w:val="0"/>
      <w:divBdr>
        <w:top w:val="none" w:sz="0" w:space="0" w:color="auto"/>
        <w:left w:val="none" w:sz="0" w:space="0" w:color="auto"/>
        <w:bottom w:val="none" w:sz="0" w:space="0" w:color="auto"/>
        <w:right w:val="none" w:sz="0" w:space="0" w:color="auto"/>
      </w:divBdr>
    </w:div>
    <w:div w:id="1706364841">
      <w:bodyDiv w:val="1"/>
      <w:marLeft w:val="0"/>
      <w:marRight w:val="0"/>
      <w:marTop w:val="0"/>
      <w:marBottom w:val="0"/>
      <w:divBdr>
        <w:top w:val="none" w:sz="0" w:space="0" w:color="auto"/>
        <w:left w:val="none" w:sz="0" w:space="0" w:color="auto"/>
        <w:bottom w:val="none" w:sz="0" w:space="0" w:color="auto"/>
        <w:right w:val="none" w:sz="0" w:space="0" w:color="auto"/>
      </w:divBdr>
    </w:div>
    <w:div w:id="1877690811">
      <w:bodyDiv w:val="1"/>
      <w:marLeft w:val="0"/>
      <w:marRight w:val="0"/>
      <w:marTop w:val="0"/>
      <w:marBottom w:val="0"/>
      <w:divBdr>
        <w:top w:val="none" w:sz="0" w:space="0" w:color="auto"/>
        <w:left w:val="none" w:sz="0" w:space="0" w:color="auto"/>
        <w:bottom w:val="none" w:sz="0" w:space="0" w:color="auto"/>
        <w:right w:val="none" w:sz="0" w:space="0" w:color="auto"/>
      </w:divBdr>
    </w:div>
    <w:div w:id="1984312781">
      <w:bodyDiv w:val="1"/>
      <w:marLeft w:val="0"/>
      <w:marRight w:val="0"/>
      <w:marTop w:val="0"/>
      <w:marBottom w:val="0"/>
      <w:divBdr>
        <w:top w:val="none" w:sz="0" w:space="0" w:color="auto"/>
        <w:left w:val="none" w:sz="0" w:space="0" w:color="auto"/>
        <w:bottom w:val="none" w:sz="0" w:space="0" w:color="auto"/>
        <w:right w:val="none" w:sz="0" w:space="0" w:color="auto"/>
      </w:divBdr>
    </w:div>
    <w:div w:id="2070226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Pöc04</b:Tag>
    <b:SourceType>Book</b:SourceType>
    <b:Guid>{01067270-8D7A-E64C-B86F-D1CF4F8265D5}</b:Guid>
    <b:Author>
      <b:Author>
        <b:NameList>
          <b:Person>
            <b:Last>Pöchhacker</b:Last>
            <b:First>Franz</b:First>
          </b:Person>
        </b:NameList>
      </b:Author>
    </b:Author>
    <b:Title>Introducing Interpreting Studies</b:Title>
    <b:Publisher>Routledge</b:Publisher>
    <b:Year>2004</b:Year>
    <b:RefOrder>1</b:RefOrder>
  </b:Source>
  <b:Source>
    <b:Tag>Kal05</b:Tag>
    <b:SourceType>JournalArticle</b:SourceType>
    <b:Guid>{57DC1951-DA23-4044-8D19-390F80CC873B}</b:Guid>
    <b:Title>Quality Assurance for Interpreting Processes</b:Title>
    <b:Year>2005</b:Year>
    <b:Author>
      <b:Author>
        <b:NameList>
          <b:Person>
            <b:Last>Kalina</b:Last>
            <b:First>Sylvia</b:First>
          </b:Person>
        </b:NameList>
      </b:Author>
    </b:Author>
    <b:JournalName>Meta</b:JournalName>
    <b:Pages>768-784</b:Pages>
    <b:PeriodicalTitle>Meta</b:PeriodicalTitle>
    <b:Month>abril</b:Month>
    <b:Day>2</b:Day>
    <b:RefOrder>2</b:RefOrder>
  </b:Source>
  <b:Source>
    <b:Tag>Büh86</b:Tag>
    <b:SourceType>JournalArticle</b:SourceType>
    <b:Guid>{56B42A9A-5DA5-CA4D-82AF-AAA3E9B19F90}</b:Guid>
    <b:Author>
      <b:Author>
        <b:NameList>
          <b:Person>
            <b:Last>Bühler</b:Last>
            <b:First>H.</b:First>
          </b:Person>
        </b:NameList>
      </b:Author>
    </b:Author>
    <b:Title>Linguistic (semantic) and extra-linguistic (pragmatic) criteria for the evaluation of conference interpretation and interpreters</b:Title>
    <b:JournalName>multilingua</b:JournalName>
    <b:Year>1986</b:Year>
    <b:Pages>231-235</b:Pages>
    <b:RefOrder>3</b:RefOrder>
  </b:Source>
  <b:Source>
    <b:Tag>Che93</b:Tag>
    <b:SourceType>JournalArticle</b:SourceType>
    <b:Guid>{23D6E196-5348-4044-9CB5-4DBA7CC8FFD6}</b:Guid>
    <b:Author>
      <b:Author>
        <b:NameList>
          <b:Person>
            <b:Last>Chesterman</b:Last>
            <b:First>Andrew</b:First>
          </b:Person>
        </b:NameList>
      </b:Author>
    </b:Author>
    <b:Title>Fron 'is' to 'ought': Laws, norms and strategies in translation studies</b:Title>
    <b:JournalName>Target</b:JournalName>
    <b:Year>1993</b:Year>
    <b:Pages>1-20</b:Pages>
    <b:RefOrder>4</b:RefOrder>
  </b:Source>
  <b:Source>
    <b:Tag>Mos96</b:Tag>
    <b:SourceType>JournalArticle</b:SourceType>
    <b:Guid>{F843D26E-CAF5-BE48-930E-878112E2C551}</b:Guid>
    <b:Title>Quality in Interpreting: Some Methodological Issues.</b:Title>
    <b:Year>1996</b:Year>
    <b:Author>
      <b:Author>
        <b:NameList>
          <b:Person>
            <b:Last>Moser-Mercer</b:Last>
            <b:First>B</b:First>
          </b:Person>
        </b:NameList>
      </b:Author>
    </b:Author>
    <b:JournalName>The Interpreters' Newsletter</b:JournalName>
    <b:Pages>43-55</b:Pages>
    <b:Volume>7</b:Volume>
    <b:RefOrder>9</b:RefOrder>
  </b:Source>
  <b:Source>
    <b:Tag>Pöc02</b:Tag>
    <b:SourceType>Book</b:SourceType>
    <b:Guid>{B690062A-3E91-2A4D-BC0A-34FDB3356EEF}</b:Guid>
    <b:Author>
      <b:Author>
        <b:NameList>
          <b:Person>
            <b:Last>Pöchhacker</b:Last>
            <b:First>F:</b:First>
            <b:Middle>Shleslinger, M.</b:Middle>
          </b:Person>
        </b:NameList>
      </b:Author>
    </b:Author>
    <b:Title>The Interpreting Studies Reader</b:Title>
    <b:JournalName>Routledge</b:JournalName>
    <b:Year>2002</b:Year>
    <b:Pages>313-324</b:Pages>
    <b:Publisher>Routledge</b:Publisher>
    <b:RefOrder>5</b:RefOrder>
  </b:Source>
  <b:Source>
    <b:Tag>Kur95</b:Tag>
    <b:SourceType>JournalArticle</b:SourceType>
    <b:Guid>{F0A87220-1937-DD4B-BE55-8DE1DDCCBBFC}</b:Guid>
    <b:Author>
      <b:Author>
        <b:NameList>
          <b:Person>
            <b:Last>Kurz</b:Last>
            <b:First>I</b:First>
          </b:Person>
          <b:Person>
            <b:Last>Pöchhacker</b:Last>
            <b:First>F.</b:First>
          </b:Person>
        </b:NameList>
      </b:Author>
    </b:Author>
    <b:Title>Quality in TV interpreting</b:Title>
    <b:JournalName>Traslatio: FIT Newsletter</b:JournalName>
    <b:Year>1995</b:Year>
    <b:Pages>350-358</b:Pages>
    <b:Volume>14</b:Volume>
    <b:Issue>3-4</b:Issue>
    <b:RefOrder>24</b:RefOrder>
  </b:Source>
  <b:Source>
    <b:Tag>Str92</b:Tag>
    <b:SourceType>DocumentFromInternetSite</b:SourceType>
    <b:Guid>{63394B40-705A-8041-B141-4F65AADE9CDA}</b:Guid>
    <b:Author>
      <b:Author>
        <b:NameList>
          <b:Person>
            <b:Last>Strong</b:Last>
            <b:First>M:</b:First>
            <b:Middle>Rudser, S.F.</b:Middle>
          </b:Person>
        </b:NameList>
      </b:Author>
    </b:Author>
    <b:Title>An assessment of sing language interpreters</b:Title>
    <b:JournalName>Sign Language Studies</b:JournalName>
    <b:Year>1992</b:Year>
    <b:Volume>76</b:Volume>
    <b:Issue>235-244</b:Issue>
    <b:YearAccessed>2026</b:YearAccessed>
    <b:MonthAccessed>marzo</b:MonthAccessed>
    <b:RefOrder>6</b:RefOrder>
  </b:Source>
  <b:Source>
    <b:Tag>Col02</b:Tag>
    <b:SourceType>BookSection</b:SourceType>
    <b:Guid>{8848B9B6-2ACF-7A45-9055-5F7BB9F872C0}</b:Guid>
    <b:Title>Quality Assessment in Simultaneous Interpreting: The Importance of Nonverbal Communication</b:Title>
    <b:Year>1998/2002</b:Year>
    <b:Author>
      <b:Author>
        <b:NameList>
          <b:Person>
            <b:Last>Collado Aís</b:Last>
            <b:First>A</b:First>
          </b:Person>
        </b:NameList>
      </b:Author>
      <b:BookAuthor>
        <b:NameList>
          <b:Person>
            <b:Last>Pöchhacker</b:Last>
            <b:First>Franz</b:First>
          </b:Person>
          <b:Person>
            <b:Last>Shlesinger</b:Last>
            <b:First>M</b:First>
          </b:Person>
        </b:NameList>
      </b:BookAuthor>
    </b:Author>
    <b:BookTitle>The Interpreting Studies Reader</b:BookTitle>
    <b:Publisher>Routledge</b:Publisher>
    <b:Pages>327-336</b:Pages>
    <b:RefOrder>7</b:RefOrder>
  </b:Source>
  <b:Source>
    <b:Tag>Gar03</b:Tag>
    <b:SourceType>BookSection</b:SourceType>
    <b:Guid>{EFD8BCB1-2AF5-204B-9B57-41A2AA88EAB9}</b:Guid>
    <b:Author>
      <b:Author>
        <b:NameList>
          <b:Person>
            <b:Last>Garzone</b:Last>
            <b:First>G.</b:First>
          </b:Person>
        </b:NameList>
      </b:Author>
      <b:BookAuthor>
        <b:NameList>
          <b:Person>
            <b:Last>Collado Aís</b:Last>
            <b:First>A</b:First>
          </b:Person>
          <b:Person>
            <b:Last>Fernández Sánchez</b:Last>
            <b:First>M.M.</b:First>
          </b:Person>
          <b:Person>
            <b:Last>Gile</b:Last>
            <b:First>D.</b:First>
          </b:Person>
        </b:NameList>
      </b:BookAuthor>
    </b:Author>
    <b:Title>Reliability of Quality Criteria and User Expectations in Simultaneous Interpreting</b:Title>
    <b:BookTitle>La evaluación de la calidad en interpretación: Investigación</b:BookTitle>
    <b:Publisher>Comares</b:Publisher>
    <b:Year>2003</b:Year>
    <b:Pages>23-39</b:Pages>
    <b:RefOrder>8</b:RefOrder>
  </b:Source>
  <b:Source xmlns:b="http://schemas.openxmlformats.org/officeDocument/2006/bibliography">
    <b:Tag>Gil88</b:Tag>
    <b:SourceType>JournalArticle</b:SourceType>
    <b:Guid>{27DCD510-6D2F-9641-A408-DF6FB22F7D44}</b:Guid>
    <b:Author>
      <b:Author>
        <b:NameList>
          <b:Person>
            <b:Last>Gile</b:Last>
            <b:First>Daniel</b:First>
          </b:Person>
        </b:NameList>
      </b:Author>
    </b:Author>
    <b:Title>Le partage de l'attention et le 'modèle d'effort' en interpétation simultanée</b:Title>
    <b:Year>1988</b:Year>
    <b:JournalName>The Interpreters' Newsletter</b:JournalName>
    <b:Pages>27-33</b:Pages>
    <b:Issue>1</b:Issue>
    <b:RefOrder>10</b:RefOrder>
  </b:Source>
  <b:Source>
    <b:Tag>Vuo04</b:Tag>
    <b:SourceType>Report</b:SourceType>
    <b:Guid>{4169FB30-6B23-2B48-92B7-253717AE80D5}</b:Guid>
    <b:Title>A Voice of its Citizens or a Modern Tower of Babel?</b:Title>
    <b:Year>2004</b:Year>
    <b:Author>
      <b:Author>
        <b:NameList>
          <b:Person>
            <b:Last>Vuorikoski</b:Last>
            <b:First>Anna-Riitta</b:First>
          </b:Person>
        </b:NameList>
      </b:Author>
    </b:Author>
    <b:Publisher>Tesis doctoral</b:Publisher>
    <b:RefOrder>11</b:RefOrder>
  </b:Source>
  <b:Source>
    <b:Tag>Agu16</b:Tag>
    <b:SourceType>JournalArticle</b:SourceType>
    <b:Guid>{13BCDE41-2E70-5948-B95A-CA455B8315A4}</b:Guid>
    <b:Title>Calcos sintácticos y errores ELE en el paradigma verbal en sjuetos bilingües en Barcelona</b:Title>
    <b:Year>2016</b:Year>
    <b:Author>
      <b:Author>
        <b:NameList>
          <b:Person>
            <b:Last>Aguado Bru</b:Last>
            <b:First>M.R.</b:First>
          </b:Person>
        </b:NameList>
      </b:Author>
    </b:Author>
    <b:JournalName>Revista Nebrija de Lingüística Aplicada</b:JournalName>
    <b:Volume>21</b:Volume>
    <b:RefOrder>12</b:RefOrder>
  </b:Source>
  <b:Source>
    <b:Tag>Gar09</b:Tag>
    <b:SourceType>Book</b:SourceType>
    <b:Guid>{0F846884-2B84-FA47-82EE-D4AB77458BF6}</b:Guid>
    <b:Title>La traducción entre lenguas en contacto: Catalán y español</b:Title>
    <b:Year>2009</b:Year>
    <b:Publisher>Peter Lang</b:Publisher>
    <b:Author>
      <b:Author>
        <b:NameList>
          <b:Person>
            <b:Last>García de Toro</b:Last>
            <b:First>C.</b:First>
          </b:Person>
        </b:NameList>
      </b:Author>
    </b:Author>
    <b:RefOrder>13</b:RefOrder>
  </b:Source>
  <b:Source>
    <b:Tag>Cal04</b:Tag>
    <b:SourceType>JournalArticle</b:SourceType>
    <b:Guid>{D103B7B3-DA98-224A-9D55-FB8AE330521A}</b:Guid>
    <b:Title>Aprendizaje de lenguas afines: español e italiano</b:Title>
    <b:Year>2004</b:Year>
    <b:Author>
      <b:Author>
        <b:NameList>
          <b:Person>
            <b:Last>Calvi</b:Last>
            <b:First>M.V.</b:First>
            <b:Middle>(2004)</b:Middle>
          </b:Person>
        </b:NameList>
      </b:Author>
    </b:Author>
    <b:JournalName>redELE, Revista electrónica de didáctica / español lengua extranjera</b:JournalName>
    <b:Pages>1-22</b:Pages>
    <b:Issue>1</b:Issue>
    <b:RefOrder>14</b:RefOrder>
  </b:Source>
  <b:Source>
    <b:Tag>Min14</b:Tag>
    <b:SourceType>JournalArticle</b:SourceType>
    <b:Guid>{62E50286-DB41-3849-93B9-7C414C1A7D54}</b:Guid>
    <b:Author>
      <b:Author>
        <b:NameList>
          <b:Person>
            <b:Last>Mininni</b:Last>
            <b:First>M.I.</b:First>
          </b:Person>
        </b:NameList>
      </b:Author>
    </b:Author>
    <b:Title>Dar clase en el aula. Insidie e risorse nell'insegnamento di lingue affini</b:Title>
    <b:JournalName>RiCOGNIZIONI. Rivista di lingue, letterature e culture moderne</b:JournalName>
    <b:Year>2014</b:Year>
    <b:Pages>125-132</b:Pages>
    <b:Issue>1</b:Issue>
    <b:RefOrder>15</b:RefOrder>
  </b:Source>
  <b:Source>
    <b:Tag>Mol12</b:Tag>
    <b:SourceType>JournalArticle</b:SourceType>
    <b:Guid>{FE88D83D-2940-1C4D-9173-ED9DE641CB7F}</b:Guid>
    <b:Author>
      <b:Author>
        <b:NameList>
          <b:Person>
            <b:Last>Moldovan</b:Last>
            <b:First>C.D</b:First>
          </b:Person>
          <b:Person>
            <b:Last>Sánchez-Casas</b:Last>
            <b:First>R</b:First>
          </b:Person>
          <b:Person>
            <b:Last>Demestre</b:Last>
            <b:First>J</b:First>
          </b:Person>
          <b:Person>
            <b:Last>Ferré</b:Last>
            <b:First>P.</b:First>
          </b:Person>
        </b:NameList>
      </b:Author>
    </b:Author>
    <b:Title>Interference Effects as a Function of Semantic Similarity in the Translation Recognition Task in Bilinguals of Catalan and Spanish</b:Title>
    <b:JournalName>Psicologica</b:JournalName>
    <b:Year>2012</b:Year>
    <b:Volume>33</b:Volume>
    <b:Issue>1</b:Issue>
    <b:RefOrder>16</b:RefOrder>
  </b:Source>
  <b:Source>
    <b:Tag>Gil95</b:Tag>
    <b:SourceType>Book</b:SourceType>
    <b:Guid>{B05DC76C-D6E4-374A-ABAA-9438E40FF81D}</b:Guid>
    <b:Title>Basic concepts and models for interpreter and translator training</b:Title>
    <b:Year>1995</b:Year>
    <b:Author>
      <b:Author>
        <b:NameList>
          <b:Person>
            <b:Last>Gile</b:Last>
            <b:First>Daniel</b:First>
          </b:Person>
        </b:NameList>
      </b:Author>
    </b:Author>
    <b:Publisher>John Benjamins</b:Publisher>
    <b:RefOrder>18</b:RefOrder>
  </b:Source>
  <b:Source>
    <b:Tag>Gil09</b:Tag>
    <b:SourceType>Book</b:SourceType>
    <b:Guid>{A1CF616D-C54D-B040-AEFF-4EA10F288369}</b:Guid>
    <b:Author>
      <b:Author>
        <b:NameList>
          <b:Person>
            <b:Last>Gile</b:Last>
            <b:First>D.</b:First>
          </b:Person>
        </b:NameList>
      </b:Author>
    </b:Author>
    <b:Title>Conference interpreting, historical and cognitive perspectives</b:Title>
    <b:Publisher>Routledge</b:Publisher>
    <b:Year>2009</b:Year>
    <b:RefOrder>17</b:RefOrder>
  </b:Source>
  <b:Source>
    <b:Tag>Ser21</b:Tag>
    <b:SourceType>JournalArticle</b:SourceType>
    <b:Guid>{4C1A173F-1614-6D4D-B6A2-BC4003079EAD}</b:Guid>
    <b:Title>Transferències lingüístiques castellà-català: Un estudi de disponibilitat lèxica a Lleida</b:Title>
    <b:Year>2021</b:Year>
    <b:Author>
      <b:Author>
        <b:NameList>
          <b:Person>
            <b:Last>Serrano Zapata</b:Last>
            <b:First>M.</b:First>
          </b:Person>
        </b:NameList>
      </b:Author>
    </b:Author>
    <b:JournalName>Treballs de Sociolingüística Catalana</b:JournalName>
    <b:Pages>149-164</b:Pages>
    <b:Volume>31</b:Volume>
    <b:RefOrder>19</b:RefOrder>
  </b:Source>
  <b:Source>
    <b:Tag>DiG15</b:Tag>
    <b:SourceType>Report</b:SourceType>
    <b:Guid>{644AE7CD-3E3E-BC40-8B72-1E51FD8F9C83}</b:Guid>
    <b:Title>La experiencia en el aula ELE con estudiantes italianos: interferencias y transferencias</b:Title>
    <b:Year>2015</b:Year>
    <b:Author>
      <b:Author>
        <b:NameList>
          <b:Person>
            <b:Last>Di Girolamo</b:Last>
            <b:First>M.</b:First>
          </b:Person>
        </b:NameList>
      </b:Author>
    </b:Author>
    <b:Publisher>Universidad de los Estudios de Nápoles La Oriental</b:Publisher>
    <b:RefOrder>20</b:RefOrder>
  </b:Source>
  <b:Source>
    <b:Tag>Bie19</b:Tag>
    <b:SourceType>JournalArticle</b:SourceType>
    <b:Guid>{58BC127D-BF74-7D43-8E63-016E0B62FE9D}</b:Guid>
    <b:Title>interpretación en el ámbito policial en Polonia: estudio de caso</b:Title>
    <b:Year>2019</b:Year>
    <b:Author>
      <b:Author>
        <b:NameList>
          <b:Person>
            <b:Last>Biernacka</b:Last>
            <b:First>A.D.</b:First>
          </b:Person>
          <b:Person>
            <b:Last>Kanigowska</b:Last>
            <b:First>M</b:First>
          </b:Person>
        </b:NameList>
      </b:Author>
    </b:Author>
    <b:JournalName>Sendebar</b:JournalName>
    <b:Pages>301-334</b:Pages>
    <b:Issue>30</b:Issue>
    <b:RefOrder>21</b:RefOrder>
  </b:Source>
  <b:Source>
    <b:Tag>Gar5b</b:Tag>
    <b:SourceType>JournalArticle</b:SourceType>
    <b:Guid>{8BC0FAC4-3C17-DD40-9E55-AFFA83BEA840}</b:Guid>
    <b:Author>
      <b:Author>
        <b:NameList>
          <b:Person>
            <b:Last>García de Toro</b:Last>
            <b:First>C.</b:First>
          </b:Person>
        </b:NameList>
      </b:Author>
    </b:Author>
    <b:Title>La investigación sobre la traducción entre catalán y español: estudios traductológicos</b:Title>
    <b:JournalName>Meta</b:JournalName>
    <b:Year>2015b</b:Year>
    <b:Pages>555-575</b:Pages>
    <b:Volume>60</b:Volume>
    <b:Issue>3</b:Issue>
    <b:RefOrder>22</b:RefOrder>
  </b:Source>
  <b:Source>
    <b:Tag>Gar5a1</b:Tag>
    <b:SourceType>JournalArticle</b:SourceType>
    <b:Guid>{851E7062-560C-4B4B-AA6E-63A3FFE811B7}</b:Guid>
    <b:Author>
      <b:Author>
        <b:NameList>
          <b:Person>
            <b:Last>García de Toro</b:Last>
            <b:First>C.</b:First>
          </b:Person>
        </b:NameList>
      </b:Author>
    </b:Author>
    <b:Title>La investigación sobre la traducción entre catalán y español: estudios lingüísticos</b:Title>
    <b:Year>2015a</b:Year>
    <b:JournalName>Meta</b:JournalName>
    <b:Pages>71-89</b:Pages>
    <b:RefOrder>23</b:RefOrder>
  </b:Source>
</b:Sources>
</file>

<file path=customXml/itemProps1.xml><?xml version="1.0" encoding="utf-8"?>
<ds:datastoreItem xmlns:ds="http://schemas.openxmlformats.org/officeDocument/2006/customXml" ds:itemID="{BAB0BE3E-A0B3-434F-86F1-AAD2232696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2862</Words>
  <Characters>15743</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Gago López</dc:creator>
  <cp:keywords/>
  <dc:description/>
  <cp:lastModifiedBy>Claudia Gago López</cp:lastModifiedBy>
  <cp:revision>2</cp:revision>
  <dcterms:created xsi:type="dcterms:W3CDTF">2026-03-15T10:15:00Z</dcterms:created>
  <dcterms:modified xsi:type="dcterms:W3CDTF">2026-03-15T10:15:00Z</dcterms:modified>
</cp:coreProperties>
</file>