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291B" w14:textId="2B42B6E5" w:rsidR="00B83739" w:rsidRDefault="00B83739" w:rsidP="00B83739">
      <w:pPr>
        <w:pStyle w:val="Title"/>
        <w:rPr>
          <w:lang w:val="en-ES"/>
        </w:rPr>
      </w:pPr>
      <w:r w:rsidRPr="00B83739">
        <w:rPr>
          <w:lang w:val="en-ES"/>
        </w:rPr>
        <w:t>The Role of Cooperation Between the Spanish National Police and Europol in Dismantling Transnational Money Laundering Networks: The Case of Operation Strongbox</w:t>
      </w:r>
    </w:p>
    <w:p w14:paraId="0F222B9F" w14:textId="3AD8B3B7" w:rsidR="00B83739" w:rsidRPr="00B83739" w:rsidRDefault="00B83739" w:rsidP="00B83739">
      <w:pPr>
        <w:rPr>
          <w:lang w:val="en-ES"/>
        </w:rPr>
      </w:pPr>
      <w:r>
        <w:rPr>
          <w:lang w:val="en-ES"/>
        </w:rPr>
        <w:t>Elena Sanz von Bomhard</w:t>
      </w:r>
    </w:p>
    <w:p w14:paraId="0647D7B0" w14:textId="26735244" w:rsidR="00B83739" w:rsidRPr="00B83739" w:rsidRDefault="00B83739" w:rsidP="00B83739">
      <w:pPr>
        <w:rPr>
          <w:lang w:val="en-ES"/>
        </w:rPr>
      </w:pPr>
      <w:r>
        <w:rPr>
          <w:lang w:val="en-ES"/>
        </w:rPr>
        <w:br w:type="page"/>
      </w:r>
    </w:p>
    <w:sdt>
      <w:sdtPr>
        <w:rPr>
          <w:rFonts w:eastAsiaTheme="minorHAnsi" w:cstheme="minorBidi"/>
          <w:bCs w:val="0"/>
          <w:color w:val="auto"/>
          <w:kern w:val="2"/>
          <w:sz w:val="24"/>
          <w:szCs w:val="24"/>
          <w:lang w:val="en-GB"/>
          <w14:ligatures w14:val="standardContextual"/>
        </w:rPr>
        <w:id w:val="-420031336"/>
        <w:docPartObj>
          <w:docPartGallery w:val="Table of Contents"/>
          <w:docPartUnique/>
        </w:docPartObj>
      </w:sdtPr>
      <w:sdtEndPr>
        <w:rPr>
          <w:b/>
          <w:noProof/>
        </w:rPr>
      </w:sdtEndPr>
      <w:sdtContent>
        <w:p w14:paraId="3630AC5E" w14:textId="68D14EA7" w:rsidR="00B83739" w:rsidRDefault="00B83739" w:rsidP="00B83739">
          <w:pPr>
            <w:pStyle w:val="TOCHeading"/>
          </w:pPr>
          <w:r>
            <w:t>Table of Contents</w:t>
          </w:r>
        </w:p>
        <w:p w14:paraId="10F9ACA0" w14:textId="4CBF9296" w:rsidR="00C145A8" w:rsidRDefault="00B83739">
          <w:pPr>
            <w:pStyle w:val="TOC1"/>
            <w:tabs>
              <w:tab w:val="right" w:leader="dot" w:pos="9016"/>
            </w:tabs>
            <w:rPr>
              <w:rFonts w:asciiTheme="minorHAnsi" w:eastAsiaTheme="minorEastAsia" w:hAnsiTheme="minorHAnsi"/>
              <w:b w:val="0"/>
              <w:bCs w:val="0"/>
              <w:caps w:val="0"/>
              <w:noProof/>
              <w:sz w:val="24"/>
              <w:szCs w:val="24"/>
              <w:lang w:val="en-ES" w:eastAsia="en-GB"/>
            </w:rPr>
          </w:pPr>
          <w:r>
            <w:rPr>
              <w:b w:val="0"/>
              <w:bCs w:val="0"/>
            </w:rPr>
            <w:fldChar w:fldCharType="begin"/>
          </w:r>
          <w:r>
            <w:instrText xml:space="preserve"> TOC \o "1-3" \h \z \u </w:instrText>
          </w:r>
          <w:r>
            <w:rPr>
              <w:b w:val="0"/>
              <w:bCs w:val="0"/>
            </w:rPr>
            <w:fldChar w:fldCharType="separate"/>
          </w:r>
          <w:hyperlink w:anchor="_Toc225869955" w:history="1">
            <w:r w:rsidR="00C145A8" w:rsidRPr="00A026D2">
              <w:rPr>
                <w:rStyle w:val="Hyperlink"/>
                <w:noProof/>
              </w:rPr>
              <w:t>Introduction</w:t>
            </w:r>
            <w:r w:rsidR="00C145A8">
              <w:rPr>
                <w:noProof/>
                <w:webHidden/>
              </w:rPr>
              <w:tab/>
            </w:r>
            <w:r w:rsidR="00C145A8">
              <w:rPr>
                <w:noProof/>
                <w:webHidden/>
              </w:rPr>
              <w:fldChar w:fldCharType="begin"/>
            </w:r>
            <w:r w:rsidR="00C145A8">
              <w:rPr>
                <w:noProof/>
                <w:webHidden/>
              </w:rPr>
              <w:instrText xml:space="preserve"> PAGEREF _Toc225869955 \h </w:instrText>
            </w:r>
            <w:r w:rsidR="00C145A8">
              <w:rPr>
                <w:noProof/>
                <w:webHidden/>
              </w:rPr>
            </w:r>
            <w:r w:rsidR="00C145A8">
              <w:rPr>
                <w:noProof/>
                <w:webHidden/>
              </w:rPr>
              <w:fldChar w:fldCharType="separate"/>
            </w:r>
            <w:r w:rsidR="00C145A8">
              <w:rPr>
                <w:noProof/>
                <w:webHidden/>
              </w:rPr>
              <w:t>3</w:t>
            </w:r>
            <w:r w:rsidR="00C145A8">
              <w:rPr>
                <w:noProof/>
                <w:webHidden/>
              </w:rPr>
              <w:fldChar w:fldCharType="end"/>
            </w:r>
          </w:hyperlink>
        </w:p>
        <w:p w14:paraId="55603E81" w14:textId="526FED83" w:rsidR="00C145A8" w:rsidRDefault="00C145A8">
          <w:pPr>
            <w:pStyle w:val="TOC2"/>
            <w:tabs>
              <w:tab w:val="right" w:leader="dot" w:pos="9016"/>
            </w:tabs>
            <w:rPr>
              <w:rFonts w:asciiTheme="minorHAnsi" w:eastAsiaTheme="minorEastAsia" w:hAnsiTheme="minorHAnsi"/>
              <w:smallCaps w:val="0"/>
              <w:noProof/>
              <w:sz w:val="24"/>
              <w:szCs w:val="24"/>
              <w:lang w:val="en-ES" w:eastAsia="en-GB"/>
            </w:rPr>
          </w:pPr>
          <w:hyperlink w:anchor="_Toc225869956" w:history="1">
            <w:r w:rsidRPr="00A026D2">
              <w:rPr>
                <w:rStyle w:val="Hyperlink"/>
                <w:noProof/>
                <w:lang w:val="en-ES"/>
              </w:rPr>
              <w:t>Research Question</w:t>
            </w:r>
            <w:r>
              <w:rPr>
                <w:noProof/>
                <w:webHidden/>
              </w:rPr>
              <w:tab/>
            </w:r>
            <w:r>
              <w:rPr>
                <w:noProof/>
                <w:webHidden/>
              </w:rPr>
              <w:fldChar w:fldCharType="begin"/>
            </w:r>
            <w:r>
              <w:rPr>
                <w:noProof/>
                <w:webHidden/>
              </w:rPr>
              <w:instrText xml:space="preserve"> PAGEREF _Toc225869956 \h </w:instrText>
            </w:r>
            <w:r>
              <w:rPr>
                <w:noProof/>
                <w:webHidden/>
              </w:rPr>
            </w:r>
            <w:r>
              <w:rPr>
                <w:noProof/>
                <w:webHidden/>
              </w:rPr>
              <w:fldChar w:fldCharType="separate"/>
            </w:r>
            <w:r>
              <w:rPr>
                <w:noProof/>
                <w:webHidden/>
              </w:rPr>
              <w:t>4</w:t>
            </w:r>
            <w:r>
              <w:rPr>
                <w:noProof/>
                <w:webHidden/>
              </w:rPr>
              <w:fldChar w:fldCharType="end"/>
            </w:r>
          </w:hyperlink>
        </w:p>
        <w:p w14:paraId="684AC688" w14:textId="756DE3FE" w:rsidR="00C145A8" w:rsidRDefault="00C145A8">
          <w:pPr>
            <w:pStyle w:val="TOC1"/>
            <w:tabs>
              <w:tab w:val="right" w:leader="dot" w:pos="9016"/>
            </w:tabs>
            <w:rPr>
              <w:rFonts w:asciiTheme="minorHAnsi" w:eastAsiaTheme="minorEastAsia" w:hAnsiTheme="minorHAnsi"/>
              <w:b w:val="0"/>
              <w:bCs w:val="0"/>
              <w:caps w:val="0"/>
              <w:noProof/>
              <w:sz w:val="24"/>
              <w:szCs w:val="24"/>
              <w:lang w:val="en-ES" w:eastAsia="en-GB"/>
            </w:rPr>
          </w:pPr>
          <w:hyperlink w:anchor="_Toc225869957" w:history="1">
            <w:r w:rsidRPr="00A026D2">
              <w:rPr>
                <w:rStyle w:val="Hyperlink"/>
                <w:noProof/>
                <w:lang w:val="en-ES"/>
              </w:rPr>
              <w:t>Literature Review</w:t>
            </w:r>
            <w:r>
              <w:rPr>
                <w:noProof/>
                <w:webHidden/>
              </w:rPr>
              <w:tab/>
            </w:r>
            <w:r>
              <w:rPr>
                <w:noProof/>
                <w:webHidden/>
              </w:rPr>
              <w:fldChar w:fldCharType="begin"/>
            </w:r>
            <w:r>
              <w:rPr>
                <w:noProof/>
                <w:webHidden/>
              </w:rPr>
              <w:instrText xml:space="preserve"> PAGEREF _Toc225869957 \h </w:instrText>
            </w:r>
            <w:r>
              <w:rPr>
                <w:noProof/>
                <w:webHidden/>
              </w:rPr>
            </w:r>
            <w:r>
              <w:rPr>
                <w:noProof/>
                <w:webHidden/>
              </w:rPr>
              <w:fldChar w:fldCharType="separate"/>
            </w:r>
            <w:r>
              <w:rPr>
                <w:noProof/>
                <w:webHidden/>
              </w:rPr>
              <w:t>4</w:t>
            </w:r>
            <w:r>
              <w:rPr>
                <w:noProof/>
                <w:webHidden/>
              </w:rPr>
              <w:fldChar w:fldCharType="end"/>
            </w:r>
          </w:hyperlink>
        </w:p>
        <w:p w14:paraId="17AF5049" w14:textId="434E9508" w:rsidR="00C145A8" w:rsidRDefault="00C145A8">
          <w:pPr>
            <w:pStyle w:val="TOC1"/>
            <w:tabs>
              <w:tab w:val="right" w:leader="dot" w:pos="9016"/>
            </w:tabs>
            <w:rPr>
              <w:rFonts w:asciiTheme="minorHAnsi" w:eastAsiaTheme="minorEastAsia" w:hAnsiTheme="minorHAnsi"/>
              <w:b w:val="0"/>
              <w:bCs w:val="0"/>
              <w:caps w:val="0"/>
              <w:noProof/>
              <w:sz w:val="24"/>
              <w:szCs w:val="24"/>
              <w:lang w:val="en-ES" w:eastAsia="en-GB"/>
            </w:rPr>
          </w:pPr>
          <w:hyperlink w:anchor="_Toc225869958" w:history="1">
            <w:r w:rsidRPr="00A026D2">
              <w:rPr>
                <w:rStyle w:val="Hyperlink"/>
                <w:noProof/>
                <w:lang w:val="en-ES"/>
              </w:rPr>
              <w:t>Methodology</w:t>
            </w:r>
            <w:r>
              <w:rPr>
                <w:noProof/>
                <w:webHidden/>
              </w:rPr>
              <w:tab/>
            </w:r>
            <w:r>
              <w:rPr>
                <w:noProof/>
                <w:webHidden/>
              </w:rPr>
              <w:fldChar w:fldCharType="begin"/>
            </w:r>
            <w:r>
              <w:rPr>
                <w:noProof/>
                <w:webHidden/>
              </w:rPr>
              <w:instrText xml:space="preserve"> PAGEREF _Toc225869958 \h </w:instrText>
            </w:r>
            <w:r>
              <w:rPr>
                <w:noProof/>
                <w:webHidden/>
              </w:rPr>
            </w:r>
            <w:r>
              <w:rPr>
                <w:noProof/>
                <w:webHidden/>
              </w:rPr>
              <w:fldChar w:fldCharType="separate"/>
            </w:r>
            <w:r>
              <w:rPr>
                <w:noProof/>
                <w:webHidden/>
              </w:rPr>
              <w:t>10</w:t>
            </w:r>
            <w:r>
              <w:rPr>
                <w:noProof/>
                <w:webHidden/>
              </w:rPr>
              <w:fldChar w:fldCharType="end"/>
            </w:r>
          </w:hyperlink>
        </w:p>
        <w:p w14:paraId="3BA7C42E" w14:textId="0BE27405" w:rsidR="00C145A8" w:rsidRDefault="00C145A8">
          <w:pPr>
            <w:pStyle w:val="TOC1"/>
            <w:tabs>
              <w:tab w:val="right" w:leader="dot" w:pos="9016"/>
            </w:tabs>
            <w:rPr>
              <w:rFonts w:asciiTheme="minorHAnsi" w:eastAsiaTheme="minorEastAsia" w:hAnsiTheme="minorHAnsi"/>
              <w:b w:val="0"/>
              <w:bCs w:val="0"/>
              <w:caps w:val="0"/>
              <w:noProof/>
              <w:sz w:val="24"/>
              <w:szCs w:val="24"/>
              <w:lang w:val="en-ES" w:eastAsia="en-GB"/>
            </w:rPr>
          </w:pPr>
          <w:hyperlink w:anchor="_Toc225869959" w:history="1">
            <w:r w:rsidRPr="00A026D2">
              <w:rPr>
                <w:rStyle w:val="Hyperlink"/>
                <w:noProof/>
                <w:lang w:val="en-ES"/>
              </w:rPr>
              <w:t>Limitations</w:t>
            </w:r>
            <w:r>
              <w:rPr>
                <w:noProof/>
                <w:webHidden/>
              </w:rPr>
              <w:tab/>
            </w:r>
            <w:r>
              <w:rPr>
                <w:noProof/>
                <w:webHidden/>
              </w:rPr>
              <w:fldChar w:fldCharType="begin"/>
            </w:r>
            <w:r>
              <w:rPr>
                <w:noProof/>
                <w:webHidden/>
              </w:rPr>
              <w:instrText xml:space="preserve"> PAGEREF _Toc225869959 \h </w:instrText>
            </w:r>
            <w:r>
              <w:rPr>
                <w:noProof/>
                <w:webHidden/>
              </w:rPr>
            </w:r>
            <w:r>
              <w:rPr>
                <w:noProof/>
                <w:webHidden/>
              </w:rPr>
              <w:fldChar w:fldCharType="separate"/>
            </w:r>
            <w:r>
              <w:rPr>
                <w:noProof/>
                <w:webHidden/>
              </w:rPr>
              <w:t>11</w:t>
            </w:r>
            <w:r>
              <w:rPr>
                <w:noProof/>
                <w:webHidden/>
              </w:rPr>
              <w:fldChar w:fldCharType="end"/>
            </w:r>
          </w:hyperlink>
        </w:p>
        <w:p w14:paraId="2E1DF360" w14:textId="7FFC38B7" w:rsidR="00C145A8" w:rsidRDefault="00C145A8">
          <w:pPr>
            <w:pStyle w:val="TOC1"/>
            <w:tabs>
              <w:tab w:val="right" w:leader="dot" w:pos="9016"/>
            </w:tabs>
            <w:rPr>
              <w:rFonts w:asciiTheme="minorHAnsi" w:eastAsiaTheme="minorEastAsia" w:hAnsiTheme="minorHAnsi"/>
              <w:b w:val="0"/>
              <w:bCs w:val="0"/>
              <w:caps w:val="0"/>
              <w:noProof/>
              <w:sz w:val="24"/>
              <w:szCs w:val="24"/>
              <w:lang w:val="en-ES" w:eastAsia="en-GB"/>
            </w:rPr>
          </w:pPr>
          <w:hyperlink w:anchor="_Toc225869960" w:history="1">
            <w:r w:rsidRPr="00A026D2">
              <w:rPr>
                <w:rStyle w:val="Hyperlink"/>
                <w:noProof/>
              </w:rPr>
              <w:t>References</w:t>
            </w:r>
            <w:r>
              <w:rPr>
                <w:noProof/>
                <w:webHidden/>
              </w:rPr>
              <w:tab/>
            </w:r>
            <w:r>
              <w:rPr>
                <w:noProof/>
                <w:webHidden/>
              </w:rPr>
              <w:fldChar w:fldCharType="begin"/>
            </w:r>
            <w:r>
              <w:rPr>
                <w:noProof/>
                <w:webHidden/>
              </w:rPr>
              <w:instrText xml:space="preserve"> PAGEREF _Toc225869960 \h </w:instrText>
            </w:r>
            <w:r>
              <w:rPr>
                <w:noProof/>
                <w:webHidden/>
              </w:rPr>
            </w:r>
            <w:r>
              <w:rPr>
                <w:noProof/>
                <w:webHidden/>
              </w:rPr>
              <w:fldChar w:fldCharType="separate"/>
            </w:r>
            <w:r>
              <w:rPr>
                <w:noProof/>
                <w:webHidden/>
              </w:rPr>
              <w:t>13</w:t>
            </w:r>
            <w:r>
              <w:rPr>
                <w:noProof/>
                <w:webHidden/>
              </w:rPr>
              <w:fldChar w:fldCharType="end"/>
            </w:r>
          </w:hyperlink>
        </w:p>
        <w:p w14:paraId="04515391" w14:textId="4E0E7B79" w:rsidR="00B83739" w:rsidRDefault="00B83739">
          <w:r>
            <w:rPr>
              <w:b/>
              <w:bCs/>
              <w:noProof/>
            </w:rPr>
            <w:fldChar w:fldCharType="end"/>
          </w:r>
        </w:p>
      </w:sdtContent>
    </w:sdt>
    <w:p w14:paraId="5EC7190A" w14:textId="77777777" w:rsidR="00B83739" w:rsidRDefault="00B83739">
      <w:pPr>
        <w:rPr>
          <w:lang w:val="en-ES"/>
        </w:rPr>
      </w:pPr>
      <w:r>
        <w:rPr>
          <w:lang w:val="en-ES"/>
        </w:rPr>
        <w:br w:type="page"/>
      </w:r>
    </w:p>
    <w:p w14:paraId="0D2A3D7A" w14:textId="3127CBED" w:rsidR="00B83739" w:rsidRPr="00B83739" w:rsidRDefault="00B83739" w:rsidP="00B83739">
      <w:pPr>
        <w:pStyle w:val="Heading1"/>
      </w:pPr>
      <w:bookmarkStart w:id="0" w:name="_Toc225869955"/>
      <w:r w:rsidRPr="00B83739">
        <w:lastRenderedPageBreak/>
        <w:t>Introduction</w:t>
      </w:r>
      <w:bookmarkEnd w:id="0"/>
    </w:p>
    <w:p w14:paraId="18966420" w14:textId="43E00A3C" w:rsidR="00B83739" w:rsidRPr="00B83739" w:rsidRDefault="00B83739" w:rsidP="00B83739">
      <w:pPr>
        <w:rPr>
          <w:lang w:val="en-ES"/>
        </w:rPr>
      </w:pPr>
      <w:r w:rsidRPr="00B83739">
        <w:rPr>
          <w:lang w:val="en-ES"/>
        </w:rPr>
        <w:t>Transnational money laundering can pose a significant threat to international and national security by enabling organised networks to evade sanctions, sustain and fund operations, and undermine financial stability across a nation and Europe (Barone &amp; Schneider, 2025). The United Nations Office on Drugs and Crime estimates a range from 800 billion to 2 trillion dollars is laundered anually, which amounts to an equivalent of two to five percent of the global gross domestic product</w:t>
      </w:r>
      <w:r>
        <w:rPr>
          <w:lang w:val="en-ES"/>
        </w:rPr>
        <w:t xml:space="preserve"> (GDP)</w:t>
      </w:r>
      <w:r w:rsidRPr="00B83739">
        <w:rPr>
          <w:lang w:val="en-ES"/>
        </w:rPr>
        <w:t xml:space="preserve"> (Europol, 2019; UNODC, 2011). Furthermore, something like this can also produce a loss in annual GDP due to the misallocation of resources and inflation (Beebeejaun &amp; Dulloo, 2022). Money laundering can also lead to fuelling corruption and weakening state institutions, which can further damage national economy and security (Barone &amp; Schneider, 2025). This problem is persisting despite national and international efforts to reduce illicit financial activities (Mat Isa et al., 2025).</w:t>
      </w:r>
    </w:p>
    <w:p w14:paraId="7EF9F267" w14:textId="1B5D6C7D" w:rsidR="00B83739" w:rsidRPr="00B83739" w:rsidRDefault="00B83739" w:rsidP="00B83739">
      <w:pPr>
        <w:rPr>
          <w:lang w:val="en-ES"/>
        </w:rPr>
      </w:pPr>
      <w:r w:rsidRPr="00B83739">
        <w:rPr>
          <w:lang w:val="en-ES"/>
        </w:rPr>
        <w:t xml:space="preserve">Spain is not considered a high-risk country for money laundering by the </w:t>
      </w:r>
      <w:r w:rsidR="00B76785">
        <w:rPr>
          <w:lang w:val="en-ES"/>
        </w:rPr>
        <w:t>European Union (</w:t>
      </w:r>
      <w:r w:rsidRPr="00B83739">
        <w:rPr>
          <w:lang w:val="en-ES"/>
        </w:rPr>
        <w:t>EU</w:t>
      </w:r>
      <w:r w:rsidR="00B76785">
        <w:rPr>
          <w:lang w:val="en-ES"/>
        </w:rPr>
        <w:t>)</w:t>
      </w:r>
      <w:r w:rsidRPr="00B83739">
        <w:rPr>
          <w:lang w:val="en-ES"/>
        </w:rPr>
        <w:t xml:space="preserve"> or the Financial Action Task Force (FATF) but is considered a medium-risk jurisdiction with significant exposure due to Spain’s open financial system and its position in international trade and finance (FATF, 2018). Spain has been strengthening its legal framework to align with EU and international standards, especially focusing on vulnerable sectors such as banks, real estate, digital asset</w:t>
      </w:r>
      <w:r>
        <w:rPr>
          <w:lang w:val="en-ES"/>
        </w:rPr>
        <w:t>s</w:t>
      </w:r>
      <w:r w:rsidRPr="00B83739">
        <w:rPr>
          <w:lang w:val="en-ES"/>
        </w:rPr>
        <w:t xml:space="preserve"> platforms, and professional services. </w:t>
      </w:r>
    </w:p>
    <w:p w14:paraId="73048FB7" w14:textId="3C284C0D" w:rsidR="00B83739" w:rsidRPr="00B83739" w:rsidRDefault="00B83739" w:rsidP="00B83739">
      <w:pPr>
        <w:rPr>
          <w:lang w:val="en-ES"/>
        </w:rPr>
      </w:pPr>
      <w:r w:rsidRPr="00B83739">
        <w:rPr>
          <w:lang w:val="en-ES"/>
        </w:rPr>
        <w:t xml:space="preserve">Since Russia’s invasion of Ukraine in 2022, the </w:t>
      </w:r>
      <w:r w:rsidR="00BA4480">
        <w:rPr>
          <w:lang w:val="en-ES"/>
        </w:rPr>
        <w:t>EU</w:t>
      </w:r>
      <w:r w:rsidRPr="00B83739">
        <w:rPr>
          <w:lang w:val="en-ES"/>
        </w:rPr>
        <w:t xml:space="preserve"> adopted sanctions targeting Russian financial institutions and oligarchs (López Aguilar, 2025). This has forced the European Union and Spain to elevate sanctions and enforcement of </w:t>
      </w:r>
      <w:r w:rsidR="00BA4480">
        <w:rPr>
          <w:lang w:val="en-ES"/>
        </w:rPr>
        <w:t>anti-money laundering (</w:t>
      </w:r>
      <w:r w:rsidRPr="00B83739">
        <w:rPr>
          <w:lang w:val="en-ES"/>
        </w:rPr>
        <w:t>AML</w:t>
      </w:r>
      <w:r w:rsidR="00BA4480">
        <w:rPr>
          <w:lang w:val="en-ES"/>
        </w:rPr>
        <w:t>)</w:t>
      </w:r>
      <w:r w:rsidRPr="00B83739">
        <w:rPr>
          <w:lang w:val="en-ES"/>
        </w:rPr>
        <w:t xml:space="preserve"> laws. However, these groups adapt through complex systems and companies that increase the complexity of tracing the origins of these assets. The thesis will examine the </w:t>
      </w:r>
      <w:r w:rsidRPr="00B83739">
        <w:rPr>
          <w:lang w:val="en-ES"/>
        </w:rPr>
        <w:lastRenderedPageBreak/>
        <w:t>cooperation of the Spanish National Police and Europol concerning AML, their methods, and the extent to which this is a necessary mechanism in this process.</w:t>
      </w:r>
    </w:p>
    <w:p w14:paraId="54CC3C57" w14:textId="64754838" w:rsidR="00B83739" w:rsidRPr="00B83739" w:rsidRDefault="00B83739" w:rsidP="00B83739">
      <w:pPr>
        <w:rPr>
          <w:lang w:val="en-ES"/>
        </w:rPr>
      </w:pPr>
      <w:r w:rsidRPr="00B83739">
        <w:rPr>
          <w:lang w:val="en-ES"/>
        </w:rPr>
        <w:t>This thesis will focus on the case of the Russian money laundering ring dismantled in February 2025. This case will be referred to as Operation Strongbox, as it was by the Spanish National Police. Operation Strongbox is very current and</w:t>
      </w:r>
      <w:r w:rsidR="00BA4480">
        <w:rPr>
          <w:lang w:val="en-ES"/>
        </w:rPr>
        <w:t xml:space="preserve"> this means that documentation is limited, </w:t>
      </w:r>
      <w:r w:rsidR="00BA4480" w:rsidRPr="00BA4480">
        <w:rPr>
          <w:lang w:val="en-ES"/>
        </w:rPr>
        <w:t>this makes the analysis more demanding</w:t>
      </w:r>
      <w:r w:rsidR="00BA4480">
        <w:rPr>
          <w:lang w:val="en-ES"/>
        </w:rPr>
        <w:t>.</w:t>
      </w:r>
      <w:r w:rsidR="00BA4480" w:rsidRPr="00BA4480">
        <w:rPr>
          <w:lang w:val="en-ES"/>
        </w:rPr>
        <w:t xml:space="preserve"> </w:t>
      </w:r>
      <w:r w:rsidR="00BA4480">
        <w:rPr>
          <w:lang w:val="en-ES"/>
        </w:rPr>
        <w:t>The current nature of this operation</w:t>
      </w:r>
      <w:r w:rsidR="00BA4480" w:rsidRPr="00BA4480">
        <w:rPr>
          <w:lang w:val="en-ES"/>
        </w:rPr>
        <w:t xml:space="preserve"> also highlights the importance of undertaking this thesis</w:t>
      </w:r>
      <w:r w:rsidRPr="00B83739">
        <w:rPr>
          <w:lang w:val="en-ES"/>
        </w:rPr>
        <w:t xml:space="preserve">. However, this </w:t>
      </w:r>
      <w:r w:rsidR="00BA4480">
        <w:rPr>
          <w:lang w:val="en-ES"/>
        </w:rPr>
        <w:t>case study</w:t>
      </w:r>
      <w:r w:rsidRPr="00B83739">
        <w:rPr>
          <w:lang w:val="en-ES"/>
        </w:rPr>
        <w:t xml:space="preserve"> will fill the gaps with the inclusion of two more cases and the Eurojust report on money laundering in 2022. These will be briefly summarised in the literature review for context.</w:t>
      </w:r>
    </w:p>
    <w:p w14:paraId="6FE0ABEA" w14:textId="1BE32803" w:rsidR="00B83739" w:rsidRPr="00B83739" w:rsidRDefault="00B83739" w:rsidP="00B83739">
      <w:pPr>
        <w:rPr>
          <w:lang w:val="en-ES"/>
        </w:rPr>
      </w:pPr>
      <w:r w:rsidRPr="00B83739">
        <w:rPr>
          <w:lang w:val="en-ES"/>
        </w:rPr>
        <w:t>The potential contribution</w:t>
      </w:r>
      <w:r w:rsidR="00BA4480">
        <w:rPr>
          <w:lang w:val="en-ES"/>
        </w:rPr>
        <w:t xml:space="preserve"> of this thesis</w:t>
      </w:r>
      <w:r w:rsidRPr="00B83739">
        <w:rPr>
          <w:lang w:val="en-ES"/>
        </w:rPr>
        <w:t xml:space="preserve"> to existing literature, research, and understanding of AML is high due to its multidimensional nature. Firstly, it will seek to understand the cooperation of the Spanish National Police and Europol, which could bring improvement in future operations. Secondly, the cooperation of these two forces concerning AML has not been widely researched in academia. And thirdly, the high nature of cyberspace in money laundering makes it a quickly evolving issue that needs to be studied and followed to improve current methods and legislation on this (Flores Martín &amp; González Botija, 2017).</w:t>
      </w:r>
    </w:p>
    <w:p w14:paraId="1930225A" w14:textId="77777777" w:rsidR="00B83739" w:rsidRPr="00B83739" w:rsidRDefault="00B83739" w:rsidP="00B83739">
      <w:pPr>
        <w:pStyle w:val="Heading2"/>
        <w:rPr>
          <w:lang w:val="en-ES"/>
        </w:rPr>
      </w:pPr>
      <w:bookmarkStart w:id="1" w:name="_Toc225869956"/>
      <w:r w:rsidRPr="00B83739">
        <w:rPr>
          <w:lang w:val="en-ES"/>
        </w:rPr>
        <w:t>Research Question</w:t>
      </w:r>
      <w:bookmarkEnd w:id="1"/>
    </w:p>
    <w:p w14:paraId="05A9BF81" w14:textId="05EFAEFC" w:rsidR="00B83739" w:rsidRPr="00B83739" w:rsidRDefault="00B83739" w:rsidP="00B83739">
      <w:pPr>
        <w:rPr>
          <w:lang w:val="en-ES"/>
        </w:rPr>
      </w:pPr>
      <w:r w:rsidRPr="00B83739">
        <w:rPr>
          <w:lang w:val="en-ES"/>
        </w:rPr>
        <w:t>To what extent does the cooperation between the Spanish National Police and Europol contribute to the dismantling of transnational money laundering networks?</w:t>
      </w:r>
    </w:p>
    <w:p w14:paraId="5C246724" w14:textId="77777777" w:rsidR="00B83739" w:rsidRPr="00B83739" w:rsidRDefault="00B83739" w:rsidP="00B83739">
      <w:pPr>
        <w:pStyle w:val="Heading1"/>
        <w:rPr>
          <w:lang w:val="en-ES"/>
        </w:rPr>
      </w:pPr>
      <w:bookmarkStart w:id="2" w:name="_Toc225869957"/>
      <w:r w:rsidRPr="00B83739">
        <w:rPr>
          <w:lang w:val="en-ES"/>
        </w:rPr>
        <w:t>Literature Review</w:t>
      </w:r>
      <w:bookmarkEnd w:id="2"/>
    </w:p>
    <w:p w14:paraId="3B2DE54E" w14:textId="7482B515" w:rsidR="00B83739" w:rsidRPr="00B83739" w:rsidRDefault="00B83739" w:rsidP="004A56CD">
      <w:pPr>
        <w:rPr>
          <w:lang w:val="en-ES"/>
        </w:rPr>
      </w:pPr>
      <w:r w:rsidRPr="00B83739">
        <w:rPr>
          <w:lang w:val="en-ES"/>
        </w:rPr>
        <w:t xml:space="preserve">This section will provide a summary of how the Hawala system works and how investigations can be hindered through this. It aims to give a rationale on the complexity of this investigation and why Europol involvement might have been necessary to overcome this </w:t>
      </w:r>
      <w:r w:rsidRPr="00B83739">
        <w:rPr>
          <w:lang w:val="en-ES"/>
        </w:rPr>
        <w:lastRenderedPageBreak/>
        <w:t>complexity. The Hawala system is an informal method of transferring money without having to physically move cash or the use of formal banking channels (Parandeh, 2009). It is an operation that works with a network of trusted intermediaries. This means that when A wants to pay B who is in a different location, A will give an intermediary money, who will then through this network get in touch with another intermediary in B’s location that is the one handing money to B.</w:t>
      </w:r>
      <w:r w:rsidR="004A56CD">
        <w:rPr>
          <w:lang w:val="en-ES"/>
        </w:rPr>
        <w:t xml:space="preserve"> There is no movement of money from A to B.</w:t>
      </w:r>
    </w:p>
    <w:p w14:paraId="4C73B4EF" w14:textId="781DC37B" w:rsidR="00B83739" w:rsidRPr="00B83739" w:rsidRDefault="00B83739" w:rsidP="004A56CD">
      <w:pPr>
        <w:rPr>
          <w:lang w:val="en-ES"/>
        </w:rPr>
      </w:pPr>
      <w:r w:rsidRPr="00B83739">
        <w:rPr>
          <w:lang w:val="en-ES"/>
        </w:rPr>
        <w:t>This system is used a lot in money laundering due to the minimal documentation needed, lack of trace, and without the need for infrastructure, making these difficult to</w:t>
      </w:r>
      <w:r w:rsidR="004A56CD">
        <w:rPr>
          <w:lang w:val="en-ES"/>
        </w:rPr>
        <w:t xml:space="preserve"> </w:t>
      </w:r>
      <w:r w:rsidRPr="00B83739">
        <w:rPr>
          <w:lang w:val="en-ES"/>
        </w:rPr>
        <w:t>investigate (Parandeh, 2009). There are no formal records or regulated channels, so law enforcement or FIUs can face challenges when trying to track the source of these funds, the participants in the transaction, and tying these transactions to criminal organisations or activities. This also means that the informal transnational nature of Hawala can complicate the investigation without the international infrastructure of cooperation (UNODC, 2023). This system highlights the need for methods and frameworks for international cooperation, with agencies like Europol supporting investigations in Hawala networks as they can more easily coordinate international efforts and resources to overcome this challenge.</w:t>
      </w:r>
    </w:p>
    <w:p w14:paraId="40829092" w14:textId="30B1767F" w:rsidR="00BA4480" w:rsidRPr="00B83739" w:rsidRDefault="00B83739" w:rsidP="00BA4480">
      <w:pPr>
        <w:rPr>
          <w:lang w:val="en-ES"/>
        </w:rPr>
      </w:pPr>
      <w:r w:rsidRPr="00B83739">
        <w:rPr>
          <w:lang w:val="en-ES"/>
        </w:rPr>
        <w:t xml:space="preserve">One relevant case is Operation Capea, the investigation of a large drug trafficking and money laundering network that operated out of Spain (Europol, 2023). This investigation led to 27 arrests, 97 bank accounts seized, and the seizure of 19 apartments, six companies, and eight vehicles. In this case, Europol deployed two specialists to Spain during the day of the raid and supplied operational analysis throughout the case to identify key players in different countries inside and outside of Europe. This case is a good example of cooperation between Spanish authorities and Europol and has detailed descriptions of the support rendered by Europol. Even though this case </w:t>
      </w:r>
      <w:r w:rsidR="004A56CD">
        <w:rPr>
          <w:lang w:val="en-ES"/>
        </w:rPr>
        <w:t>was</w:t>
      </w:r>
      <w:r w:rsidRPr="00B83739">
        <w:rPr>
          <w:lang w:val="en-ES"/>
        </w:rPr>
        <w:t xml:space="preserve"> with the Spanish Civil Guard instead of the Spanish National Police, when it comes to AML both authorities work with similar procedures. Here </w:t>
      </w:r>
      <w:r w:rsidR="004A56CD">
        <w:rPr>
          <w:lang w:val="en-ES"/>
        </w:rPr>
        <w:lastRenderedPageBreak/>
        <w:t xml:space="preserve">the investigation </w:t>
      </w:r>
      <w:r w:rsidR="00BA4480">
        <w:rPr>
          <w:lang w:val="en-ES"/>
        </w:rPr>
        <w:t>w</w:t>
      </w:r>
      <w:r w:rsidR="004A56CD">
        <w:rPr>
          <w:lang w:val="en-ES"/>
        </w:rPr>
        <w:t>as assigned to</w:t>
      </w:r>
      <w:r w:rsidRPr="00B83739">
        <w:rPr>
          <w:lang w:val="en-ES"/>
        </w:rPr>
        <w:t xml:space="preserve"> the Spanish Civil Guard due to the movement of physical goods across borders, in this case drugs</w:t>
      </w:r>
      <w:r w:rsidR="00BA4480">
        <w:rPr>
          <w:lang w:val="en-ES"/>
        </w:rPr>
        <w:t xml:space="preserve">. </w:t>
      </w:r>
      <w:r w:rsidR="00826235">
        <w:rPr>
          <w:lang w:val="en-ES"/>
        </w:rPr>
        <w:t>In this case, the Spanish Civil Guard holds the jurisdiction as it serves as Spain’s official fiscal and customs authority.</w:t>
      </w:r>
      <w:r w:rsidR="00BA4480">
        <w:rPr>
          <w:lang w:val="en-ES"/>
        </w:rPr>
        <w:t xml:space="preserve"> </w:t>
      </w:r>
      <w:r w:rsidR="00826235">
        <w:rPr>
          <w:lang w:val="en-ES"/>
        </w:rPr>
        <w:t>Therefore it has exclusive competence over the control of borders, coasts and ports. As this ring relied on the smuggling of drugs across borders it triggers the Civil Guaurd’s mandate to combat international trafficking. In the case of money laundering, both have, as mentioned before, similar procedures due them both being the judicial police to the national Financial Intelligence Unit (SEPBLAC).</w:t>
      </w:r>
    </w:p>
    <w:p w14:paraId="69D6AC71" w14:textId="23C2E11D" w:rsidR="00B83739" w:rsidRPr="00B83739" w:rsidRDefault="00B83739" w:rsidP="004A56CD">
      <w:pPr>
        <w:rPr>
          <w:lang w:val="en-ES"/>
        </w:rPr>
      </w:pPr>
      <w:r w:rsidRPr="00B83739">
        <w:rPr>
          <w:lang w:val="en-ES"/>
        </w:rPr>
        <w:t xml:space="preserve">Another relevant operation is the French-Italian Hawala laundering network with gold bars. This operation dismantled a criminal network involved in drug trafficking that also laundered their money through a Hawala mechanism using gold bars. This investigation concluded with 12 suspects arrested, about 100kg of gold bars and high-value assets seized, all valued around 30 million euros. The cooperation here was between Eurojust coordinating French and Italian police to join resources and make a Joint Investigation Team (JIT). Europol provided money laundering specialists and financial analysts </w:t>
      </w:r>
      <w:r w:rsidR="004A56CD">
        <w:rPr>
          <w:lang w:val="en-ES"/>
        </w:rPr>
        <w:t>to investigate the ring</w:t>
      </w:r>
      <w:r w:rsidRPr="00B83739">
        <w:rPr>
          <w:lang w:val="en-ES"/>
        </w:rPr>
        <w:t xml:space="preserve">. Furthermore, Europol’s platform was made available to French and Italian authorities to have secure communication during </w:t>
      </w:r>
      <w:r w:rsidR="004A56CD">
        <w:rPr>
          <w:lang w:val="en-ES"/>
        </w:rPr>
        <w:t>the operation</w:t>
      </w:r>
      <w:r w:rsidRPr="00B83739">
        <w:rPr>
          <w:lang w:val="en-ES"/>
        </w:rPr>
        <w:t xml:space="preserve"> (Eurojust, 2025). This case was chosen because both this ring and Operation Strongbox used the Hawala method, which amplifies the understanding of Europol’s procedures for this specific system.</w:t>
      </w:r>
    </w:p>
    <w:p w14:paraId="4C3984FD" w14:textId="6C512233" w:rsidR="00B83739" w:rsidRPr="00B83739" w:rsidRDefault="00B83739" w:rsidP="004A56CD">
      <w:pPr>
        <w:rPr>
          <w:lang w:val="en-ES"/>
        </w:rPr>
      </w:pPr>
      <w:r w:rsidRPr="00B83739">
        <w:rPr>
          <w:lang w:val="en-ES"/>
        </w:rPr>
        <w:t>The Eurojust Report on Money Laundering (2022) analyses and reviews almost three thousand transnational money laundering cases that were registered between 2016 and 2021. The aim of th</w:t>
      </w:r>
      <w:r w:rsidR="00BD4488">
        <w:rPr>
          <w:lang w:val="en-ES"/>
        </w:rPr>
        <w:t xml:space="preserve">e Eurojust Report </w:t>
      </w:r>
      <w:r w:rsidRPr="00B83739">
        <w:rPr>
          <w:lang w:val="en-ES"/>
        </w:rPr>
        <w:t xml:space="preserve">is to support national authorities by showing the legal and practical issues that can arise in investigations and prosecutions and by developing tools to solve these. </w:t>
      </w:r>
      <w:r w:rsidR="004A56CD">
        <w:rPr>
          <w:lang w:val="en-ES"/>
        </w:rPr>
        <w:t>It</w:t>
      </w:r>
      <w:r w:rsidRPr="00B83739">
        <w:rPr>
          <w:lang w:val="en-ES"/>
        </w:rPr>
        <w:t xml:space="preserve"> focuses on several core themes, one of them being complex laundering schemes, such as the Hawala system. It gives recommendations on practical situations </w:t>
      </w:r>
      <w:r w:rsidR="004A56CD">
        <w:rPr>
          <w:lang w:val="en-ES"/>
        </w:rPr>
        <w:t xml:space="preserve">for </w:t>
      </w:r>
      <w:r w:rsidR="004A56CD">
        <w:rPr>
          <w:lang w:val="en-ES"/>
        </w:rPr>
        <w:lastRenderedPageBreak/>
        <w:t>example;</w:t>
      </w:r>
      <w:r w:rsidRPr="00B83739">
        <w:rPr>
          <w:lang w:val="en-ES"/>
        </w:rPr>
        <w:t xml:space="preserve"> when to use asset recovery offices, when to set up joint investigation teams, and how Eurojust and Europol can coordinate meetings to assist current investigations. Due to the high number of transnational money laundering cases, it also recommend</w:t>
      </w:r>
      <w:r w:rsidR="004A56CD">
        <w:rPr>
          <w:lang w:val="en-ES"/>
        </w:rPr>
        <w:t>s</w:t>
      </w:r>
      <w:r w:rsidRPr="00B83739">
        <w:rPr>
          <w:lang w:val="en-ES"/>
        </w:rPr>
        <w:t xml:space="preserve"> communicating and cooperating with the Europol office as soon as possible, so that investigation and information with other countries can also be </w:t>
      </w:r>
      <w:r w:rsidR="004A56CD">
        <w:rPr>
          <w:lang w:val="en-ES"/>
        </w:rPr>
        <w:t>shared preemptively</w:t>
      </w:r>
      <w:r w:rsidRPr="00B83739">
        <w:rPr>
          <w:lang w:val="en-ES"/>
        </w:rPr>
        <w:t xml:space="preserve">. </w:t>
      </w:r>
      <w:r w:rsidR="00BD4488">
        <w:rPr>
          <w:lang w:val="en-ES"/>
        </w:rPr>
        <w:t>The Eurojust report</w:t>
      </w:r>
      <w:r w:rsidRPr="00B83739">
        <w:rPr>
          <w:lang w:val="en-ES"/>
        </w:rPr>
        <w:t xml:space="preserve"> gives a systematic and EU-wide picture of how money laundering cases work in practice and the cooperation patterns that could be found here. These are operational mechanisms and frameworks that could be traced to the current case studied in this thesis and therefore will be a very helpful resource for the review of Operation Strongbox.</w:t>
      </w:r>
    </w:p>
    <w:p w14:paraId="53A175F8" w14:textId="77F91369" w:rsidR="00B83739" w:rsidRPr="00B83739" w:rsidRDefault="00B83739" w:rsidP="004A56CD">
      <w:pPr>
        <w:rPr>
          <w:lang w:val="en-ES"/>
        </w:rPr>
      </w:pPr>
      <w:r w:rsidRPr="00B83739">
        <w:rPr>
          <w:lang w:val="en-ES"/>
        </w:rPr>
        <w:t>This section will also review the evolution of Spain’s AML framework. It will first explain how</w:t>
      </w:r>
      <w:r w:rsidR="00BD4488">
        <w:rPr>
          <w:lang w:val="en-ES"/>
        </w:rPr>
        <w:t>,</w:t>
      </w:r>
      <w:r w:rsidRPr="00B83739">
        <w:rPr>
          <w:lang w:val="en-ES"/>
        </w:rPr>
        <w:t xml:space="preserve"> since Spain joined the EU</w:t>
      </w:r>
      <w:r w:rsidR="00BD4488">
        <w:rPr>
          <w:lang w:val="en-ES"/>
        </w:rPr>
        <w:t>,</w:t>
      </w:r>
      <w:r w:rsidRPr="00B83739">
        <w:rPr>
          <w:lang w:val="en-ES"/>
        </w:rPr>
        <w:t xml:space="preserve"> its methods have evolved from a predominantly domestic and criminal focus to a preventative system. First</w:t>
      </w:r>
      <w:r w:rsidR="00BD4488">
        <w:rPr>
          <w:lang w:val="en-ES"/>
        </w:rPr>
        <w:t>,</w:t>
      </w:r>
      <w:r w:rsidRPr="00B83739">
        <w:rPr>
          <w:lang w:val="en-ES"/>
        </w:rPr>
        <w:t xml:space="preserve"> it will explain how it went from EU accession to a preventative AML model, then it will explain the integration into the EU AML model. Then</w:t>
      </w:r>
      <w:r w:rsidR="00BD4488">
        <w:rPr>
          <w:lang w:val="en-ES"/>
        </w:rPr>
        <w:t>,</w:t>
      </w:r>
      <w:r w:rsidRPr="00B83739">
        <w:rPr>
          <w:lang w:val="en-ES"/>
        </w:rPr>
        <w:t xml:space="preserve"> it will give a short explanation of the legislation and</w:t>
      </w:r>
      <w:r w:rsidR="00BD4488">
        <w:rPr>
          <w:lang w:val="en-ES"/>
        </w:rPr>
        <w:t>,</w:t>
      </w:r>
      <w:r w:rsidRPr="00B83739">
        <w:rPr>
          <w:lang w:val="en-ES"/>
        </w:rPr>
        <w:t xml:space="preserve"> finally</w:t>
      </w:r>
      <w:r w:rsidR="00BD4488">
        <w:rPr>
          <w:lang w:val="en-ES"/>
        </w:rPr>
        <w:t>,</w:t>
      </w:r>
      <w:r w:rsidRPr="00B83739">
        <w:rPr>
          <w:lang w:val="en-ES"/>
        </w:rPr>
        <w:t xml:space="preserve"> it will review the financial intelligence</w:t>
      </w:r>
      <w:r w:rsidR="004A56CD">
        <w:rPr>
          <w:lang w:val="en-ES"/>
        </w:rPr>
        <w:t xml:space="preserve"> units (FIUs)</w:t>
      </w:r>
      <w:r w:rsidRPr="00B83739">
        <w:rPr>
          <w:lang w:val="en-ES"/>
        </w:rPr>
        <w:t>, with a focus on SEPBLAC and inter-agency cooperation.</w:t>
      </w:r>
    </w:p>
    <w:p w14:paraId="12FEBEF6" w14:textId="30FC173F" w:rsidR="00B83739" w:rsidRPr="00B83739" w:rsidRDefault="00B83739" w:rsidP="004A56CD">
      <w:pPr>
        <w:rPr>
          <w:lang w:val="en-ES"/>
        </w:rPr>
      </w:pPr>
      <w:r w:rsidRPr="00B83739">
        <w:rPr>
          <w:lang w:val="en-ES"/>
        </w:rPr>
        <w:t xml:space="preserve">Spain’s integration into the EU in 1986 transformed money laundering from a purely domestic issue into one of transnational concern, requiring Spain to align its AML methods and framework with EU policies to protect both national and European financial integrity (Flores Martín &amp; González Botija, 2017). This was coupled with the 1988 Vienna Convention that first recognised money laundering as an autonomous criminal offence (López, 2025). Early Spanish legislation was mainly focused on criminal repression and was a reactive method instead of a preventative one (Faraldo Cabana, 2007). The article by Steinko (2012), which studied money laundering based on court cases from 1995–2011, illustrated how illicit funds were moving across Spanish markets. </w:t>
      </w:r>
      <w:r w:rsidR="004A56CD">
        <w:rPr>
          <w:lang w:val="en-ES"/>
        </w:rPr>
        <w:t>It</w:t>
      </w:r>
      <w:r w:rsidRPr="00B83739">
        <w:rPr>
          <w:lang w:val="en-ES"/>
        </w:rPr>
        <w:t xml:space="preserve"> was also the first to academically research </w:t>
      </w:r>
      <w:r w:rsidRPr="00B83739">
        <w:rPr>
          <w:lang w:val="en-ES"/>
        </w:rPr>
        <w:lastRenderedPageBreak/>
        <w:t>money laundering in Spain based on a large number of criminal cases and emphasised the need for stronger and cross-sectional AML controls, justifying the introduction of Law 10/2010.</w:t>
      </w:r>
    </w:p>
    <w:p w14:paraId="185B912D" w14:textId="6465D51C" w:rsidR="00B83739" w:rsidRPr="00B83739" w:rsidRDefault="00B83739" w:rsidP="004A56CD">
      <w:pPr>
        <w:rPr>
          <w:lang w:val="en-ES"/>
        </w:rPr>
      </w:pPr>
      <w:r w:rsidRPr="00B83739">
        <w:rPr>
          <w:lang w:val="en-ES"/>
        </w:rPr>
        <w:t xml:space="preserve">Law 10/2010 of 28 April on the prevention of money laundering and terrorist financing marked Spain’s transition to a preventative, risk-based model </w:t>
      </w:r>
      <w:r w:rsidR="004A56CD">
        <w:rPr>
          <w:lang w:val="en-ES"/>
        </w:rPr>
        <w:t xml:space="preserve">that </w:t>
      </w:r>
      <w:r w:rsidRPr="00B83739">
        <w:rPr>
          <w:lang w:val="en-ES"/>
        </w:rPr>
        <w:t xml:space="preserve">aligned with EU AML techniques (López, 2025). This law establishes a system of administrative and supervisory obligations and the designation of obliged entities (Law 10/2010, 2010). The introduction of obliged entities meant that financial institutions, legal professionals in the financial sector, auditors, tax advisers, accountants, real-estate agents, casinos, etc., have an obligation to prevent money laundering. This means that these entities need to conduct Customer Due Diligence (CDD), ongoing monitoring, have reporting obligations, and must keep </w:t>
      </w:r>
      <w:r w:rsidR="00BD4488">
        <w:rPr>
          <w:lang w:val="en-ES"/>
        </w:rPr>
        <w:t>the records that were formed during the course of the CDD and other important documents</w:t>
      </w:r>
      <w:r w:rsidRPr="00B83739">
        <w:rPr>
          <w:lang w:val="en-ES"/>
        </w:rPr>
        <w:t xml:space="preserve"> for 10 years.</w:t>
      </w:r>
    </w:p>
    <w:p w14:paraId="3C871B3D" w14:textId="41800F35" w:rsidR="00B83739" w:rsidRPr="00B83739" w:rsidRDefault="00B83739" w:rsidP="004A56CD">
      <w:pPr>
        <w:rPr>
          <w:lang w:val="en-ES"/>
        </w:rPr>
      </w:pPr>
      <w:r w:rsidRPr="00B83739">
        <w:rPr>
          <w:lang w:val="en-ES"/>
        </w:rPr>
        <w:t>This law also marked a shift in Spanish AML with the reinforcement of SEPBLAC’s authority as a central role and the integration of private actors (Flores Martín &amp; González Botija, 2017). Furthermore, Spain is participatory in the EU’s transnational risk assessment processes, which identify common threats and vulnerabilities. This EU incentive has pushed Spain to pay more attention to sectors such as real estate and professional intermediaries, which have been historically important channels for money laundering in Spain (Flores Martín &amp; González Botija, 2017). On top of this, Spain’s Financial Intelligence Unit, SEPBLAC, forms part of the EU FIU platform and the Egmont Group that enable secure exchange of financial intelligence with other jurisdictions.</w:t>
      </w:r>
    </w:p>
    <w:p w14:paraId="2028C605" w14:textId="66F52275" w:rsidR="00B83739" w:rsidRPr="00B83739" w:rsidRDefault="00B83739" w:rsidP="004A56CD">
      <w:pPr>
        <w:rPr>
          <w:lang w:val="en-ES"/>
        </w:rPr>
      </w:pPr>
      <w:r w:rsidRPr="00B83739">
        <w:rPr>
          <w:lang w:val="en-ES"/>
        </w:rPr>
        <w:t xml:space="preserve">Following the 1988 Vienna Convention, the Financial Action Task Force (FATF) was established, which shares 40 recommendations as a global standard for combating money </w:t>
      </w:r>
      <w:r w:rsidRPr="00B83739">
        <w:rPr>
          <w:lang w:val="en-ES"/>
        </w:rPr>
        <w:lastRenderedPageBreak/>
        <w:t>laundering and terrorist financing (FATF, 2018; FATF, 2025). These recommendations provide a framework for legal systems, preventative measures, institutional collaboration, and international collaboration. They also underpin EU AML directives and establish global minimum standards. Countries that fail to meet these standards are placed on a FATF high-risk list, which in turn restricts financial interactions with FATF member states.</w:t>
      </w:r>
    </w:p>
    <w:p w14:paraId="02F083E7" w14:textId="6537CBED" w:rsidR="00B83739" w:rsidRPr="00B83739" w:rsidRDefault="00BD4488" w:rsidP="00C145A8">
      <w:pPr>
        <w:rPr>
          <w:lang w:val="en-ES"/>
        </w:rPr>
      </w:pPr>
      <w:r w:rsidRPr="00B83739">
        <w:rPr>
          <w:lang w:val="en-ES"/>
        </w:rPr>
        <w:t xml:space="preserve">At the core of this law is SEPBLAC, which has already been mentioned before. </w:t>
      </w:r>
      <w:r w:rsidR="00B83739" w:rsidRPr="00B83739">
        <w:rPr>
          <w:lang w:val="en-ES"/>
        </w:rPr>
        <w:t xml:space="preserve">SEPBLAC’s core functions are analysing suspicious transaction reports from obliged entities, investigating these, and then, if seen as illegitimate, </w:t>
      </w:r>
      <w:r w:rsidR="00C145A8">
        <w:rPr>
          <w:lang w:val="en-ES"/>
        </w:rPr>
        <w:t>reporting</w:t>
      </w:r>
      <w:r w:rsidR="00B83739" w:rsidRPr="00B83739">
        <w:rPr>
          <w:lang w:val="en-ES"/>
        </w:rPr>
        <w:t xml:space="preserve"> them </w:t>
      </w:r>
      <w:r w:rsidR="00C145A8">
        <w:rPr>
          <w:lang w:val="en-ES"/>
        </w:rPr>
        <w:t>to</w:t>
      </w:r>
      <w:r w:rsidR="00B83739" w:rsidRPr="00B83739">
        <w:rPr>
          <w:lang w:val="en-ES"/>
        </w:rPr>
        <w:t xml:space="preserve"> the police, prosecutors, and courts for further investigation (Gil Soriano, 2016). This institutional collaboration extends to law-enforcement bodies such as the Spanish National Police</w:t>
      </w:r>
      <w:r w:rsidR="00C145A8">
        <w:rPr>
          <w:lang w:val="en-ES"/>
        </w:rPr>
        <w:t>, the</w:t>
      </w:r>
      <w:r w:rsidR="00B83739" w:rsidRPr="00B83739">
        <w:rPr>
          <w:lang w:val="en-ES"/>
        </w:rPr>
        <w:t xml:space="preserve"> Spanish Civil Guard</w:t>
      </w:r>
      <w:r w:rsidR="00C145A8">
        <w:rPr>
          <w:lang w:val="en-ES"/>
        </w:rPr>
        <w:t>,</w:t>
      </w:r>
      <w:r w:rsidR="00B83739" w:rsidRPr="00B83739">
        <w:rPr>
          <w:lang w:val="en-ES"/>
        </w:rPr>
        <w:t xml:space="preserve"> and other specialised prosecution services (Gil Soriano, 2016). These include coordination mechanisms between foreign FIUs and Europol, which reflects the importance it gives to transnational collaboration in AML (Europol, 2019). It also supervises the compliance of the obliged entities with AML obligations and has the power to impose administrative sanctions on entities that fail to do so. SEPBLAC also has a structure of cooperation with the Spanish Tax Agency, which was enabled by Law 10/2010 and the General Tax Law that allows bidirectional intelligence exchange.</w:t>
      </w:r>
    </w:p>
    <w:p w14:paraId="43FDC15F" w14:textId="14D7034F" w:rsidR="00BD4488" w:rsidRPr="00BD4488" w:rsidRDefault="00B83739" w:rsidP="00BD4488">
      <w:pPr>
        <w:rPr>
          <w:b/>
          <w:bCs/>
          <w:u w:val="single"/>
          <w:lang w:val="en-ES"/>
        </w:rPr>
      </w:pPr>
      <w:r w:rsidRPr="00B83739">
        <w:rPr>
          <w:lang w:val="en-ES"/>
        </w:rPr>
        <w:t xml:space="preserve">After an extensive search, this review could not find any AML-specific academic literature that analysed the collaboration or cooperation between the Spanish National Police and Europol, however it will give a short introduction on the operational frameworks between them concerning AML. Spain’s law enforcement is integrated into Europol’s structures and, as could be seen with the case studied here, uses Europol in complex financial crime and money laundering cases. Europol has supported Spanish authorities by providing them with analytical support and intelligence cross-matching (EuroSecurity, 2025). It also helps with operational coordination in international joint actions and other support in large financial </w:t>
      </w:r>
      <w:r w:rsidRPr="00B83739">
        <w:rPr>
          <w:lang w:val="en-ES"/>
        </w:rPr>
        <w:lastRenderedPageBreak/>
        <w:t xml:space="preserve">investigations. These </w:t>
      </w:r>
      <w:r w:rsidR="00C145A8">
        <w:rPr>
          <w:lang w:val="en-ES"/>
        </w:rPr>
        <w:t>dynamics</w:t>
      </w:r>
      <w:r w:rsidRPr="00B83739">
        <w:rPr>
          <w:lang w:val="en-ES"/>
        </w:rPr>
        <w:t xml:space="preserve"> were seen in many cases, including the dismantling of a crypto bank where Spanish authorities and Europol coordinated </w:t>
      </w:r>
      <w:r w:rsidR="00C145A8">
        <w:rPr>
          <w:lang w:val="en-ES"/>
        </w:rPr>
        <w:t>operations</w:t>
      </w:r>
      <w:r w:rsidRPr="00B83739">
        <w:rPr>
          <w:lang w:val="en-ES"/>
        </w:rPr>
        <w:t xml:space="preserve"> in different Spanish and European cities (Jafri, 2025).</w:t>
      </w:r>
      <w:r w:rsidR="002F774C">
        <w:rPr>
          <w:lang w:val="en-ES"/>
        </w:rPr>
        <w:t xml:space="preserve"> This pattern of cooperation shows that the Spanish National Police and Europol relationship could be central to Spain’s AML response, which is why Operation Strongbox is a relevant case through which to research how such collaboration functions.</w:t>
      </w:r>
    </w:p>
    <w:p w14:paraId="1CAE29D0" w14:textId="77777777" w:rsidR="00B83739" w:rsidRDefault="00B83739" w:rsidP="00C145A8">
      <w:pPr>
        <w:pStyle w:val="Heading1"/>
        <w:rPr>
          <w:lang w:val="en-ES"/>
        </w:rPr>
      </w:pPr>
      <w:bookmarkStart w:id="3" w:name="_Toc225869958"/>
      <w:r w:rsidRPr="00B83739">
        <w:rPr>
          <w:lang w:val="en-ES"/>
        </w:rPr>
        <w:t>Methodology</w:t>
      </w:r>
      <w:bookmarkEnd w:id="3"/>
    </w:p>
    <w:p w14:paraId="12BFA2FE" w14:textId="42C46D4F" w:rsidR="008A42E1" w:rsidRDefault="008A42E1" w:rsidP="008A42E1">
      <w:pPr>
        <w:rPr>
          <w:lang w:val="en-ES"/>
        </w:rPr>
      </w:pPr>
      <w:r>
        <w:rPr>
          <w:lang w:val="en-ES"/>
        </w:rPr>
        <w:t xml:space="preserve">There are many methods that can be use to </w:t>
      </w:r>
      <w:r w:rsidR="00831DAE">
        <w:rPr>
          <w:lang w:val="en-ES"/>
        </w:rPr>
        <w:t>research the question posed here</w:t>
      </w:r>
      <w:r>
        <w:rPr>
          <w:lang w:val="en-ES"/>
        </w:rPr>
        <w:t>, however</w:t>
      </w:r>
      <w:r w:rsidR="00831DAE">
        <w:rPr>
          <w:lang w:val="en-ES"/>
        </w:rPr>
        <w:t>,</w:t>
      </w:r>
      <w:r>
        <w:rPr>
          <w:lang w:val="en-ES"/>
        </w:rPr>
        <w:t xml:space="preserve"> after long consideration, the method adopted for this research article is a qualititative single-case study. </w:t>
      </w:r>
      <w:r w:rsidR="00831DAE">
        <w:rPr>
          <w:lang w:val="en-ES"/>
        </w:rPr>
        <w:t>Case study methodogolofy has been a growing method of investigation in recent years, due to their capability to explain phenomena where more context is needed and less information has been published (Yin, 2018). This method was chosen due to the questions “why” and “how” are answered more readily by case study analysis. Case studies have the capability to convey different contexts and dimensions with one approach (Bartlett &amp; Vavrus, 2017).</w:t>
      </w:r>
    </w:p>
    <w:p w14:paraId="046886B8" w14:textId="493F7BBE" w:rsidR="00831DAE" w:rsidRDefault="00831DAE" w:rsidP="008A42E1">
      <w:pPr>
        <w:rPr>
          <w:lang w:val="en-ES"/>
        </w:rPr>
      </w:pPr>
      <w:r>
        <w:rPr>
          <w:lang w:val="en-ES"/>
        </w:rPr>
        <w:t>Researching Operation Strongbox as a case study situates the research within wider debates that have aroused on the necessity of cross-border police cooperation in AML. This study will concentrate con reconstructing the chronology and examining how and if the different forms of cooperation identified did contribute to the outcome of the operation.</w:t>
      </w:r>
    </w:p>
    <w:p w14:paraId="3FC71B2F" w14:textId="1ACB5D11" w:rsidR="00CA7A15" w:rsidRDefault="00CA7A15" w:rsidP="008A42E1">
      <w:pPr>
        <w:rPr>
          <w:lang w:val="en-ES"/>
        </w:rPr>
      </w:pPr>
      <w:r>
        <w:rPr>
          <w:lang w:val="en-ES"/>
        </w:rPr>
        <w:t xml:space="preserve">Data collection for this case study will rely primarily on documentec case materials. The attempt of contacting the National Spanish Police and Europol for interviews was made, but the researcher did not receive an answer, and must therefore rely on secondary sources such as press releases and official communications from the Spanish Police and Europol that document the investigation. Then tertiary sources will be used for the gaps that could arise </w:t>
      </w:r>
      <w:r>
        <w:rPr>
          <w:lang w:val="en-ES"/>
        </w:rPr>
        <w:lastRenderedPageBreak/>
        <w:t>from the primary sources in the available documentation and to be able to situatuate Operation Strongbox into broader patterns of EU police and judicial cooperation in AML  cases. Here, as mentioned before, are included investigations with similar characteristics and the Eurojust Annual Reports on money laundering.</w:t>
      </w:r>
    </w:p>
    <w:p w14:paraId="4427F749" w14:textId="27ADF8C8" w:rsidR="00CA7A15" w:rsidRDefault="00CA7A15" w:rsidP="008A42E1">
      <w:pPr>
        <w:rPr>
          <w:lang w:val="en-ES"/>
        </w:rPr>
      </w:pPr>
      <w:r>
        <w:rPr>
          <w:lang w:val="en-ES"/>
        </w:rPr>
        <w:t>This analysis will proceed in several steps, a chronological reconstruction of the case with the mapping of the main events from the start of the investigation in 2023 to the coordinated raids, seizures and arrests in 2025. Each event in this timeline will be linked to at least one source and an attempt to cross check with other documantation will be made. Within each event in this timeline it will assess the references to Europol’s contribution and the collaboration in the different stages of the operation.</w:t>
      </w:r>
    </w:p>
    <w:p w14:paraId="6F7C5601" w14:textId="0AE30D88" w:rsidR="00CA7A15" w:rsidRPr="008A42E1" w:rsidRDefault="00CA7A15" w:rsidP="008A42E1">
      <w:pPr>
        <w:rPr>
          <w:lang w:val="en-ES"/>
        </w:rPr>
      </w:pPr>
      <w:r>
        <w:rPr>
          <w:lang w:val="en-ES"/>
        </w:rPr>
        <w:t xml:space="preserve">And then a discussion to answer the research question posed here will be made drwaing on the AML and EU cooperation literature that has been discussed in the literature review. The findings from the case study will also be </w:t>
      </w:r>
      <w:r w:rsidR="00CB42FB">
        <w:rPr>
          <w:lang w:val="en-ES"/>
        </w:rPr>
        <w:t>used</w:t>
      </w:r>
      <w:r>
        <w:rPr>
          <w:lang w:val="en-ES"/>
        </w:rPr>
        <w:t xml:space="preserve"> to describe the </w:t>
      </w:r>
      <w:r w:rsidR="00CB42FB">
        <w:rPr>
          <w:lang w:val="en-ES"/>
        </w:rPr>
        <w:t xml:space="preserve">main ways in which transnational cooperation has suppoerte or shaped the investigation of Operation Strongbox and its outcomes. As mentioned before, </w:t>
      </w:r>
      <w:r w:rsidR="002F774C">
        <w:rPr>
          <w:lang w:val="en-ES"/>
        </w:rPr>
        <w:t xml:space="preserve">particular attention is given to how these cooperation mechanisms interact with the national processes and how they help these investigations. </w:t>
      </w:r>
    </w:p>
    <w:p w14:paraId="625D4541" w14:textId="77777777" w:rsidR="00B83739" w:rsidRPr="00B83739" w:rsidRDefault="00B83739" w:rsidP="00C145A8">
      <w:pPr>
        <w:pStyle w:val="Heading1"/>
        <w:rPr>
          <w:lang w:val="en-ES"/>
        </w:rPr>
      </w:pPr>
      <w:bookmarkStart w:id="4" w:name="_Toc225869959"/>
      <w:r w:rsidRPr="00B83739">
        <w:rPr>
          <w:lang w:val="en-ES"/>
        </w:rPr>
        <w:t>Limitations</w:t>
      </w:r>
      <w:bookmarkEnd w:id="4"/>
    </w:p>
    <w:p w14:paraId="64DF302D" w14:textId="78CBC4D4" w:rsidR="00DD77F0" w:rsidRDefault="00DD77F0" w:rsidP="00DD77F0">
      <w:pPr>
        <w:rPr>
          <w:lang w:val="en-ES"/>
        </w:rPr>
      </w:pPr>
      <w:r>
        <w:rPr>
          <w:lang w:val="en-ES"/>
        </w:rPr>
        <w:t xml:space="preserve">This thesis does present some limitaions that need to be taken into account when interpreting its results. Firstly, it is a case study focused on only Operation Strongbox. This methodological choice does permit a deep analysis and gives the context needed, but at the same time it limits the generalisation of the conclusions on other cases about money laundering in Spain, European Union or in other transnational contexts. Therefore, it can not be used as a statistical conlcusion but it is still important for the research, as there has not </w:t>
      </w:r>
      <w:r>
        <w:rPr>
          <w:lang w:val="en-ES"/>
        </w:rPr>
        <w:lastRenderedPageBreak/>
        <w:t xml:space="preserve">been much research on the collaboration of Europol with Member States concerncing AML investigations. </w:t>
      </w:r>
    </w:p>
    <w:p w14:paraId="23EE6397" w14:textId="2F92F22E" w:rsidR="00DD77F0" w:rsidRDefault="00B16192" w:rsidP="00DD77F0">
      <w:pPr>
        <w:rPr>
          <w:lang w:val="en-ES"/>
        </w:rPr>
      </w:pPr>
      <w:r>
        <w:rPr>
          <w:lang w:val="en-ES"/>
        </w:rPr>
        <w:t>Secondly, the investigation depends on secondary and tertiary data, rather than primary interviews or communicaiton with the respective officials. The researcher made an attempt to contact the institutions, but these were not responded. Therefore, this does limit the research as the data collected does not offer a high level of the internal details of the cooperaiton between the insititutions. The data is still very helpful for the cronology and understanding of the Operation and can still depict an understanding of the investigation.</w:t>
      </w:r>
    </w:p>
    <w:p w14:paraId="44B9F8D3" w14:textId="083070DF" w:rsidR="00B16192" w:rsidRDefault="00B16192" w:rsidP="00DD77F0">
      <w:pPr>
        <w:rPr>
          <w:lang w:val="en-ES"/>
        </w:rPr>
      </w:pPr>
      <w:r>
        <w:rPr>
          <w:lang w:val="en-ES"/>
        </w:rPr>
        <w:t>Thirdly, the limitation of the cases chosen to compare this and “fill the gaps” has the same limitations as stated before, due to the secondary and tertiary data that can be collected, but lack of primary data. This means that the cases can be used to show tendencies and to understand the context of cooperation, but it can not establish specific results.</w:t>
      </w:r>
    </w:p>
    <w:p w14:paraId="6839DFFB" w14:textId="0CA1F098" w:rsidR="00AE6794" w:rsidRDefault="00AE6794" w:rsidP="00AE6794">
      <w:pPr>
        <w:pStyle w:val="Heading1"/>
        <w:rPr>
          <w:lang w:val="en-ES"/>
        </w:rPr>
      </w:pPr>
      <w:r>
        <w:rPr>
          <w:lang w:val="en-ES"/>
        </w:rPr>
        <w:t>Analysis and Discussion</w:t>
      </w:r>
    </w:p>
    <w:p w14:paraId="451A5939" w14:textId="5D0122AD" w:rsidR="00AE6794" w:rsidRDefault="00AE6794" w:rsidP="00AE6794">
      <w:pPr>
        <w:rPr>
          <w:lang w:val="en-ES"/>
        </w:rPr>
      </w:pPr>
      <w:r>
        <w:rPr>
          <w:lang w:val="en-ES"/>
        </w:rPr>
        <w:t xml:space="preserve">This chapter will examine the extent to which cooperation between the Spanish National Police and Europol contributed to dismantling the money laundering networks. It uses Operation Strongbox as the primary case study. The analysis follows following structure: first it will reconstruct the chronnology of the operation, second it will identify the forms of cooperation, and third it will evaluate their effectiveness in relation to the research question. These findings will then be interpreted in light of existing literature on AML, transnational policing, and EU-level cooperation. </w:t>
      </w:r>
    </w:p>
    <w:p w14:paraId="7487B298" w14:textId="12100542" w:rsidR="00AE6794" w:rsidRDefault="00AE6794" w:rsidP="00AE6794">
      <w:pPr>
        <w:pStyle w:val="Heading2"/>
        <w:rPr>
          <w:lang w:val="en-ES"/>
        </w:rPr>
      </w:pPr>
      <w:r>
        <w:rPr>
          <w:lang w:val="en-ES"/>
        </w:rPr>
        <w:lastRenderedPageBreak/>
        <w:t>Chronological Reconstruction of Operation Strongbox</w:t>
      </w:r>
    </w:p>
    <w:p w14:paraId="08A06BB9" w14:textId="417D8846" w:rsidR="00AE6794" w:rsidRDefault="00AE6794" w:rsidP="00AE6794">
      <w:pPr>
        <w:rPr>
          <w:lang w:val="en-ES"/>
        </w:rPr>
      </w:pPr>
      <w:r>
        <w:rPr>
          <w:lang w:val="en-ES"/>
        </w:rPr>
        <w:t>This operation emerged during a time, where there was more intense financial scrutiny due to the 2022 Russian invasion of Ukraine. There was a tightening of sancions, which created incentives to develop AML mechanisms, including the Hawala system.</w:t>
      </w:r>
    </w:p>
    <w:p w14:paraId="08076FC0" w14:textId="053B7ED0" w:rsidR="00DF1D18" w:rsidRDefault="00AE6794" w:rsidP="00DF1D18">
      <w:pPr>
        <w:rPr>
          <w:lang w:val="en-ES"/>
        </w:rPr>
      </w:pPr>
      <w:r>
        <w:rPr>
          <w:lang w:val="en-ES"/>
        </w:rPr>
        <w:t>The</w:t>
      </w:r>
      <w:r w:rsidR="00DF1D18">
        <w:rPr>
          <w:lang w:val="en-ES"/>
        </w:rPr>
        <w:t xml:space="preserve"> investigation began in 2023 after it was triggered by suspicious financial activities detected through the Spanish AML framework. As explained in the literature review, SEPBLAC plays a central role in investigating and analysing suspicios transaction reports and referring these cases then to the law enforcement in charge. It can be inferred that the initial detencion stemmed from financial intelligence, which is consisten with Spain’s preventative, risk based system under Law 10/2010. At this stage is when the Spanis National Police starte investigatinf, focusing on identifying key individuals, stakeholders, and tracing these connections within Spain. However, due to the transnational nature of the network, e.g. Portugal, Spain, and potentially other countries, it exceeded the capacity and jurisdiction of purely national investigation options. </w:t>
      </w:r>
    </w:p>
    <w:p w14:paraId="07A07020" w14:textId="08826D51" w:rsidR="00DF1D18" w:rsidRDefault="00DF1D18" w:rsidP="00DF1D18">
      <w:pPr>
        <w:rPr>
          <w:lang w:val="en-ES"/>
        </w:rPr>
      </w:pPr>
      <w:r>
        <w:rPr>
          <w:lang w:val="en-ES"/>
        </w:rPr>
        <w:t xml:space="preserve">This was then expanded to a transnational investigation between 2023 and 2024. As the investigation progressed, authorities started to uncover evidence that suggested the use of Hawala similar mechanisms. These systems are characterised by lack of formal documentation, the use of trusted intermediaries, and the absence of physical fund transfers. This was underlined again, because it significantly complicated the tracing and investigating of the financial flows. At this stage is when Europol’s involvement became operationally relevant. This involvement likely (inferred from other cases) included and intelligence cross matching across EU databases, the identification of suspects operating in multiple different countries and jurisdictions and analytical support to map and understand the financial and organisational structures. This aligns closely with patterns that have been idenitified in </w:t>
      </w:r>
      <w:r>
        <w:rPr>
          <w:lang w:val="en-ES"/>
        </w:rPr>
        <w:lastRenderedPageBreak/>
        <w:t xml:space="preserve">operation Capea and the French-Italian gold-bar Hawala case, where Europol played an analytical and coordinatory role, rather than a purely hands-on investigative one. </w:t>
      </w:r>
    </w:p>
    <w:p w14:paraId="6F4F9D49" w14:textId="6AB114B2" w:rsidR="00DF1D18" w:rsidRDefault="00DF1D18" w:rsidP="00DF1D18">
      <w:pPr>
        <w:rPr>
          <w:lang w:val="en-ES"/>
        </w:rPr>
      </w:pPr>
      <w:r>
        <w:rPr>
          <w:lang w:val="en-ES"/>
        </w:rPr>
        <w:t xml:space="preserve">After this phase, the operational coordination phase started (2024-2025).  This was in the lead-up to the arrests that were finally made in February 2025, where the cooperation between Spanish National Police and Europol intensified. It required coordination between Spain and Portugal, so the following activities </w:t>
      </w:r>
      <w:r w:rsidR="00673C99">
        <w:rPr>
          <w:lang w:val="en-ES"/>
        </w:rPr>
        <w:t xml:space="preserve">can be identified in this phase. Firstly, the secure communicacion channels that were facilitated by Europol, the real-time intelligence sharing, and the coordination of simultaneous raids. These are elements that can be found in the Eurojust recommendations and prior case studies and emphasise the early coordination and the joint operational planning in complex AML investigations. </w:t>
      </w:r>
    </w:p>
    <w:p w14:paraId="476DF785" w14:textId="1A03EB15" w:rsidR="00673C99" w:rsidRDefault="00673C99" w:rsidP="00DF1D18">
      <w:pPr>
        <w:rPr>
          <w:lang w:val="en-ES"/>
        </w:rPr>
      </w:pPr>
      <w:r>
        <w:rPr>
          <w:lang w:val="en-ES"/>
        </w:rPr>
        <w:t>The last phase was the enforcement phase, in February 2025. This operation did end in coordinated raids and arrests, which resulted in the dismantling of the network. The outcomes here were arrests of multiple susptects, the disruption of a high scale moenty laundering service that was operating, and the seizure of assets and infrastructure. The succes of this phase was heavily dependent on cross-jurisdiction synchronisation between national and transnational authorities. Without this coordination, suspect could have evaded arrest due to realising that their network and other suspects were being arrested. This hightlights the importance of simultaneous operations across different countries.</w:t>
      </w:r>
    </w:p>
    <w:p w14:paraId="734756B3" w14:textId="435FB7B1" w:rsidR="00673C99" w:rsidRDefault="00673C99" w:rsidP="00DF1D18">
      <w:pPr>
        <w:rPr>
          <w:lang w:val="en-ES"/>
        </w:rPr>
      </w:pPr>
      <w:r>
        <w:rPr>
          <w:lang w:val="en-ES"/>
        </w:rPr>
        <w:t xml:space="preserve">This next part is going to analyse the forms of cooperation between the Spanish National Police and Europol, as the case reveals several different forms of cooperation. One of Europol’s primary and important roles is enabling the sharing of intelligence across borders. These were enforced likely inlcuding access to Europol databases, cross matching of financial and criminal intelligence, and the identification of links between suspects across jurisdictions. This form of cooperation adresses one of the main challenges that money </w:t>
      </w:r>
      <w:r>
        <w:rPr>
          <w:lang w:val="en-ES"/>
        </w:rPr>
        <w:lastRenderedPageBreak/>
        <w:t xml:space="preserve">laundering poses, the existance of one network across national boarders and different jurisdictions. </w:t>
      </w:r>
    </w:p>
    <w:p w14:paraId="69DEE5E1" w14:textId="03747CD9" w:rsidR="00673C99" w:rsidRDefault="00673C99" w:rsidP="00DF1D18">
      <w:pPr>
        <w:rPr>
          <w:lang w:val="en-ES"/>
        </w:rPr>
      </w:pPr>
      <w:r>
        <w:rPr>
          <w:lang w:val="en-ES"/>
        </w:rPr>
        <w:t>Then analytical support was also identified from Europol</w:t>
      </w:r>
      <w:r w:rsidR="00012DDE">
        <w:rPr>
          <w:lang w:val="en-ES"/>
        </w:rPr>
        <w:t xml:space="preserve"> including assisting in mapping complex financial flows, identifying laundering patterns and reconstructing organisational structures. Due to the use of Hawala systems this analytical support is very important, even essential. When looking at traditional investigative methods these relied on bank records and transactions and the deepening on this sde. For the Hawala mechanism, this would have been insufficient due to the combination of physical and digital movement of financial assets. </w:t>
      </w:r>
    </w:p>
    <w:p w14:paraId="6B80F4BD" w14:textId="1DDB85ED" w:rsidR="00012DDE" w:rsidRDefault="00012DDE" w:rsidP="00DF1D18">
      <w:pPr>
        <w:rPr>
          <w:lang w:val="en-ES"/>
        </w:rPr>
      </w:pPr>
      <w:r>
        <w:rPr>
          <w:lang w:val="en-ES"/>
        </w:rPr>
        <w:t xml:space="preserve">Strategic and technical expertise was also identified as an addition of Europol’s roles. These included provising expertise on emerging laundering methods, supporting investigators in different jurisdicions explaning digital finance and cryptocurrencies, and linking these cases to wider organised and transnational crime networks. Here again, this complemented the national capabilities adding a transnational perspective. </w:t>
      </w:r>
    </w:p>
    <w:p w14:paraId="62DE6FBE" w14:textId="15297B9A" w:rsidR="00012DDE" w:rsidRDefault="00012DDE" w:rsidP="00DF1D18">
      <w:pPr>
        <w:rPr>
          <w:lang w:val="en-ES"/>
        </w:rPr>
      </w:pPr>
      <w:r>
        <w:rPr>
          <w:lang w:val="en-ES"/>
        </w:rPr>
        <w:t xml:space="preserve">The effectiveness of the cooperation will be discussed and evaluated next, aligning with the research question of this thesis. </w:t>
      </w:r>
    </w:p>
    <w:p w14:paraId="4BEC7D8A" w14:textId="20688489" w:rsidR="00012DDE" w:rsidRDefault="00012DDE" w:rsidP="00DF1D18">
      <w:pPr>
        <w:rPr>
          <w:lang w:val="en-ES"/>
        </w:rPr>
      </w:pPr>
      <w:r>
        <w:rPr>
          <w:lang w:val="en-ES"/>
        </w:rPr>
        <w:t>Operation Strongbox confirms the assertion made in the literature review that transnational laundering networks cannot be effectively dismantled through national efforts alone. Here the Hawala system was chosen, because it proves that mechanisms like this, by design, disperse transacions and movements across multiple locations and jurisdictions, which difficults the tracing. Here is where Europol’s involvement helped overcome jurisdictional fragmentation, the lack of visibility and communication across multiple borders, and the disconnected intelligence systems from juristdiction to jurisdiciton. This shows that the cooperation was not only beneficial but in this case necessary.</w:t>
      </w:r>
    </w:p>
    <w:p w14:paraId="7D8AE8C0" w14:textId="1931ADC3" w:rsidR="00012DDE" w:rsidRDefault="00012DDE" w:rsidP="00DF1D18">
      <w:pPr>
        <w:rPr>
          <w:lang w:val="en-ES"/>
        </w:rPr>
      </w:pPr>
      <w:r>
        <w:rPr>
          <w:lang w:val="en-ES"/>
        </w:rPr>
        <w:lastRenderedPageBreak/>
        <w:t xml:space="preserve">Even if not identified </w:t>
      </w:r>
      <w:r w:rsidR="000E1B56">
        <w:rPr>
          <w:lang w:val="en-ES"/>
        </w:rPr>
        <w:t>as</w:t>
      </w:r>
      <w:r>
        <w:rPr>
          <w:lang w:val="en-ES"/>
        </w:rPr>
        <w:t xml:space="preserve"> necessary after</w:t>
      </w:r>
      <w:r w:rsidR="000E1B56">
        <w:rPr>
          <w:lang w:val="en-ES"/>
        </w:rPr>
        <w:t>,</w:t>
      </w:r>
      <w:r>
        <w:rPr>
          <w:lang w:val="en-ES"/>
        </w:rPr>
        <w:t xml:space="preserve"> it can be argued that it enhanced the investigation of speed and efficiency. Without this maybe the end in February 2025 would have been different. Due to the early involvement of Europol there were three things that have been identified as having been accelerated; the identification of suspects, the validation of intelligence, and the coordination of actions leading to a simultaneous arrest of suspects in Portugal and Spain. This can be seen in the Eurjust report which emphasises the importance of early cooperation which has been </w:t>
      </w:r>
      <w:r w:rsidR="004D099B">
        <w:rPr>
          <w:lang w:val="en-ES"/>
        </w:rPr>
        <w:t>identified as being the case in Operation Strongbox. The earlier start of information exchange did reduce the opportunity for suspects to adapt or disappear.</w:t>
      </w:r>
    </w:p>
    <w:p w14:paraId="0D8A9AE7" w14:textId="2AA3000B" w:rsidR="004D099B" w:rsidRDefault="004D099B" w:rsidP="00DF1D18">
      <w:pPr>
        <w:rPr>
          <w:lang w:val="en-ES"/>
        </w:rPr>
      </w:pPr>
      <w:r>
        <w:rPr>
          <w:lang w:val="en-ES"/>
        </w:rPr>
        <w:t xml:space="preserve">And last but not least, the operational outcome has been identified as a success. The cordinated raids and arrests demonstrate how effective joint operations can be, espeially if coordinated by a third entity, such as Europol. The similar patterns that were identified in Operation Capea and the gold bar case show that the success rates increase if and when Europol is involved, how asset seizures are more comprehensive, and how networks are disrupted more sustainably. </w:t>
      </w:r>
    </w:p>
    <w:p w14:paraId="62FBF7D1" w14:textId="1DBDB693" w:rsidR="004D099B" w:rsidRDefault="004D099B" w:rsidP="00DF1D18">
      <w:pPr>
        <w:rPr>
          <w:lang w:val="en-ES"/>
        </w:rPr>
      </w:pPr>
      <w:r>
        <w:rPr>
          <w:lang w:val="en-ES"/>
        </w:rPr>
        <w:t xml:space="preserve">However, there were limitations of the cooperation identified during this analysis and research. Even though it is effective there could be seen a dependence on the voluntary information sharing, Europol does not have sovereignty over the intelligence of one Member State. Therefore, this cooperation still depends on the willingness of the national authorities. Then potential delays due to legal procedures was not specifically seen here, but in the background there are many bureaucratic situations in moments like these. The lack of primary data limits the ability to asses the internal dynamics here. And as the last limitataion of this Operation si that informal systems like Hawala are very new, and therefore less understood. Furthremore, the channels on which this system can be used across are exponentially growing. </w:t>
      </w:r>
    </w:p>
    <w:p w14:paraId="76590972" w14:textId="77777777" w:rsidR="00FB3F94" w:rsidRDefault="007761B8" w:rsidP="00FB3F94">
      <w:pPr>
        <w:rPr>
          <w:lang w:val="en-ES"/>
        </w:rPr>
      </w:pPr>
      <w:r w:rsidRPr="007761B8">
        <w:rPr>
          <w:lang w:val="en-ES"/>
        </w:rPr>
        <w:lastRenderedPageBreak/>
        <w:t>This section compares Operation Strongbox with the two cases presented in the literature review</w:t>
      </w:r>
      <w:r w:rsidR="000E1B56">
        <w:rPr>
          <w:lang w:val="en-ES"/>
        </w:rPr>
        <w:t xml:space="preserve"> as comparative cases and as “fill in the gaps” auxiliary cases. These cases are Opetaration Cape and the French-Italian gold bar Hawala case. These two cases were also used to fill gaps in Operation Strongbox and overcome one of the limitations of this thesis identified in the limitations section before. These were also chosen due to being within the EU, and therefore being within the braoder pattern of EU level cooperation in AML. This comparison was separated in three different sections, the form and itensity of cooperation with Europol and Eurojust, the type of financial and operationa mechanisms and infrastructures that were used by the different networks, and the implications these had for the perceived importance or necessity of transnational cooperation.</w:t>
      </w:r>
    </w:p>
    <w:p w14:paraId="7FEB82AA" w14:textId="77777777" w:rsidR="00FB3F94" w:rsidRDefault="00FB3F94" w:rsidP="007761B8">
      <w:pPr>
        <w:rPr>
          <w:lang w:val="en-ES"/>
        </w:rPr>
      </w:pPr>
      <w:r w:rsidRPr="00FB3F94">
        <w:rPr>
          <w:lang w:val="en-ES"/>
        </w:rPr>
        <w:t>Operation Capea offers a helpful starting point for comparison. As previously mentioned, the Capea investigation focused on a major money-laundering and drug-trafficking network based in Spain, where Spanish officials, especially the Guardia Civil, collaborated closely with Europol. Several aspects of cooperation are highlighted in the paperwork that is currently available, and these aspects clearly align with what is seen in Operation Strongbox.</w:t>
      </w:r>
    </w:p>
    <w:p w14:paraId="27EAFEE9" w14:textId="2E42069F" w:rsidR="00FB3F94" w:rsidRDefault="00FB3F94" w:rsidP="007761B8">
      <w:pPr>
        <w:rPr>
          <w:lang w:val="en-ES"/>
        </w:rPr>
      </w:pPr>
      <w:r w:rsidRPr="00FB3F94">
        <w:rPr>
          <w:lang w:val="en-ES"/>
        </w:rPr>
        <w:t>First, both cases show that Europol's participation ha</w:t>
      </w:r>
      <w:r w:rsidR="00597E88">
        <w:rPr>
          <w:lang w:val="en-ES"/>
        </w:rPr>
        <w:t>d</w:t>
      </w:r>
      <w:r w:rsidRPr="00FB3F94">
        <w:rPr>
          <w:lang w:val="en-ES"/>
        </w:rPr>
        <w:t xml:space="preserve"> a </w:t>
      </w:r>
      <w:r w:rsidR="00597E88">
        <w:rPr>
          <w:lang w:val="en-ES"/>
        </w:rPr>
        <w:t>very important</w:t>
      </w:r>
      <w:r w:rsidRPr="00FB3F94">
        <w:rPr>
          <w:lang w:val="en-ES"/>
        </w:rPr>
        <w:t xml:space="preserve"> analytical component. In order to identify important </w:t>
      </w:r>
      <w:r w:rsidR="00597E88">
        <w:rPr>
          <w:lang w:val="en-ES"/>
        </w:rPr>
        <w:t>stakeholders or key suspects</w:t>
      </w:r>
      <w:r w:rsidRPr="00FB3F94">
        <w:rPr>
          <w:lang w:val="en-ES"/>
        </w:rPr>
        <w:t xml:space="preserve"> and </w:t>
      </w:r>
      <w:r w:rsidR="00597E88">
        <w:rPr>
          <w:lang w:val="en-ES"/>
        </w:rPr>
        <w:t>transnational movements and networks</w:t>
      </w:r>
      <w:r w:rsidRPr="00FB3F94">
        <w:rPr>
          <w:lang w:val="en-ES"/>
        </w:rPr>
        <w:t xml:space="preserve">, Europol sent experts to Spain and offered analytical help, including the processing of massive amounts of data. </w:t>
      </w:r>
      <w:r w:rsidR="00597E88">
        <w:rPr>
          <w:lang w:val="en-ES"/>
        </w:rPr>
        <w:t>Operation Strongbox</w:t>
      </w:r>
      <w:r w:rsidRPr="00FB3F94">
        <w:rPr>
          <w:lang w:val="en-ES"/>
        </w:rPr>
        <w:t xml:space="preserve"> </w:t>
      </w:r>
      <w:r w:rsidR="00597E88">
        <w:rPr>
          <w:lang w:val="en-ES"/>
        </w:rPr>
        <w:t>exhibited a similar pattern, even though the sources that are available are less specific, they identify investigators being send to Spain to help the Spanish National Police in situ. Furthremore, the cross matiching of financial and operational intelligency by using databases from across the EU</w:t>
      </w:r>
      <w:r w:rsidRPr="00FB3F94">
        <w:rPr>
          <w:lang w:val="en-ES"/>
        </w:rPr>
        <w:t xml:space="preserve"> </w:t>
      </w:r>
      <w:r w:rsidR="00597E88">
        <w:rPr>
          <w:lang w:val="en-ES"/>
        </w:rPr>
        <w:t xml:space="preserve">furthered the analytical capabilities. These action was seen in both operations, which enable </w:t>
      </w:r>
      <w:r w:rsidR="00597E88">
        <w:rPr>
          <w:lang w:val="en-ES"/>
        </w:rPr>
        <w:lastRenderedPageBreak/>
        <w:t>national authorities to understand complicated datasets and find links that might have gone unnoticed without the resources provided by Europol.</w:t>
      </w:r>
    </w:p>
    <w:p w14:paraId="23A1A490" w14:textId="5984178F" w:rsidR="00FB3F94" w:rsidRDefault="00FB3F94" w:rsidP="007761B8">
      <w:pPr>
        <w:rPr>
          <w:lang w:val="en-ES"/>
        </w:rPr>
      </w:pPr>
      <w:r>
        <w:rPr>
          <w:lang w:val="en-ES"/>
        </w:rPr>
        <w:t>Second, a</w:t>
      </w:r>
      <w:r w:rsidRPr="00FB3F94">
        <w:rPr>
          <w:lang w:val="en-ES"/>
        </w:rPr>
        <w:t xml:space="preserve">nother area of </w:t>
      </w:r>
      <w:r>
        <w:rPr>
          <w:lang w:val="en-ES"/>
        </w:rPr>
        <w:t>overlap</w:t>
      </w:r>
      <w:r w:rsidRPr="00FB3F94">
        <w:rPr>
          <w:lang w:val="en-ES"/>
        </w:rPr>
        <w:t xml:space="preserve"> is the employment of experts on action days. During the </w:t>
      </w:r>
      <w:r w:rsidR="003E6B90">
        <w:rPr>
          <w:lang w:val="en-ES"/>
        </w:rPr>
        <w:t>first</w:t>
      </w:r>
      <w:r w:rsidRPr="00FB3F94">
        <w:rPr>
          <w:lang w:val="en-ES"/>
        </w:rPr>
        <w:t xml:space="preserve"> operating phase of </w:t>
      </w:r>
      <w:r w:rsidR="003E6B90">
        <w:rPr>
          <w:lang w:val="en-ES"/>
        </w:rPr>
        <w:t xml:space="preserve">Operation </w:t>
      </w:r>
      <w:r w:rsidRPr="00FB3F94">
        <w:rPr>
          <w:lang w:val="en-ES"/>
        </w:rPr>
        <w:t xml:space="preserve">Capea, Europol officers were physically present in Spain, facilitating real-time information exchange with other Member States and offering coordination. Reports from the public on Operation Strongbox suggest a similar </w:t>
      </w:r>
      <w:r w:rsidR="003E6B90">
        <w:rPr>
          <w:lang w:val="en-ES"/>
        </w:rPr>
        <w:t>procedure</w:t>
      </w:r>
      <w:r w:rsidRPr="00FB3F94">
        <w:rPr>
          <w:lang w:val="en-ES"/>
        </w:rPr>
        <w:t xml:space="preserve"> during the latter stage of enforcement, when coordinated measures in Portugal and Spain were supported by Europol</w:t>
      </w:r>
      <w:r w:rsidR="003E6B90">
        <w:rPr>
          <w:lang w:val="en-ES"/>
        </w:rPr>
        <w:t xml:space="preserve"> to arrest simultaneously </w:t>
      </w:r>
      <w:r w:rsidRPr="00FB3F94">
        <w:rPr>
          <w:lang w:val="en-ES"/>
        </w:rPr>
        <w:t>. This practice</w:t>
      </w:r>
      <w:r w:rsidR="003E6B90">
        <w:rPr>
          <w:lang w:val="en-ES"/>
        </w:rPr>
        <w:t xml:space="preserve"> doues demonstrte how the ingolvement into operational activities aided beyonf only an analytical function</w:t>
      </w:r>
    </w:p>
    <w:p w14:paraId="28FEB93B" w14:textId="63DA058E" w:rsidR="003E6B90" w:rsidRDefault="00FB3F94" w:rsidP="007761B8">
      <w:pPr>
        <w:rPr>
          <w:lang w:val="en-ES"/>
        </w:rPr>
      </w:pPr>
      <w:r w:rsidRPr="00FB3F94">
        <w:rPr>
          <w:lang w:val="en-ES"/>
        </w:rPr>
        <w:t xml:space="preserve">Third, </w:t>
      </w:r>
      <w:r w:rsidR="003E6B90">
        <w:rPr>
          <w:lang w:val="en-ES"/>
        </w:rPr>
        <w:t>both examples show how there needs to be identification of the same network being across a national broder is what is depended on to initiale collaboration at the EU leve. The network in Operation Capea operatied in multiple nations, inside and outside the EU, which made the need for Europol to take the role as a central coordinator even more important. Similar with Operation Strongbox, which encountered the transfer of values and movements that could not be monitored within the boundaries of Spain and were linked to actors in other jurisdictions, which triggered reaching out to the EU.</w:t>
      </w:r>
    </w:p>
    <w:p w14:paraId="576B024B" w14:textId="7F4125D0" w:rsidR="00597E88" w:rsidRDefault="007761B8" w:rsidP="007761B8">
      <w:pPr>
        <w:rPr>
          <w:lang w:val="en-ES"/>
        </w:rPr>
      </w:pPr>
      <w:r w:rsidRPr="007761B8">
        <w:rPr>
          <w:lang w:val="en-ES"/>
        </w:rPr>
        <w:t>Despite these similarities, there are also important differences that help to explain why Operation Strongbox presents a higher level of complexity.</w:t>
      </w:r>
      <w:r w:rsidR="00FB3F94">
        <w:rPr>
          <w:lang w:val="en-ES"/>
        </w:rPr>
        <w:t xml:space="preserve"> The difference of the system used by each network to launder is a central difference within this comparison. In Operation Capea, however sophisticated, </w:t>
      </w:r>
      <w:r w:rsidR="003E6B90">
        <w:rPr>
          <w:lang w:val="en-ES"/>
        </w:rPr>
        <w:t>relied</w:t>
      </w:r>
      <w:r w:rsidR="00FB3F94">
        <w:rPr>
          <w:lang w:val="en-ES"/>
        </w:rPr>
        <w:t xml:space="preserve"> on traceable financial channels such as bank accounts and company structures. The channels can still be complex but generate more records that have been used for years in the traditional form of AML </w:t>
      </w:r>
      <w:r w:rsidR="00597E88">
        <w:rPr>
          <w:lang w:val="en-ES"/>
        </w:rPr>
        <w:t xml:space="preserve">investigations and therefore encountered more prepared authorities and coordination entities. </w:t>
      </w:r>
      <w:r w:rsidR="00597E88" w:rsidRPr="00597E88">
        <w:rPr>
          <w:lang w:val="en-ES"/>
        </w:rPr>
        <w:t xml:space="preserve">Since the financial </w:t>
      </w:r>
      <w:r w:rsidR="00597E88">
        <w:rPr>
          <w:lang w:val="en-ES"/>
        </w:rPr>
        <w:t>traces</w:t>
      </w:r>
      <w:r w:rsidR="00597E88" w:rsidRPr="00597E88">
        <w:rPr>
          <w:lang w:val="en-ES"/>
        </w:rPr>
        <w:t xml:space="preserve"> in Strongbox were weaker</w:t>
      </w:r>
      <w:r w:rsidR="00597E88">
        <w:rPr>
          <w:lang w:val="en-ES"/>
        </w:rPr>
        <w:t xml:space="preserve"> and not in traditional channels</w:t>
      </w:r>
      <w:r w:rsidR="00597E88" w:rsidRPr="00597E88">
        <w:rPr>
          <w:lang w:val="en-ES"/>
        </w:rPr>
        <w:t xml:space="preserve">, the investigative focus had to turn </w:t>
      </w:r>
      <w:r w:rsidR="00597E88" w:rsidRPr="00597E88">
        <w:rPr>
          <w:lang w:val="en-ES"/>
        </w:rPr>
        <w:lastRenderedPageBreak/>
        <w:t>more forcefully toward the identification of intermediates, personal networks, and communication patterns. This necessitated even more reliance on international intelligence cooperation and the capacity to integrate disparate bits of information from many nations. As a result, Europol's added value in Strongbox becomes especially apparent: national authorities would have had a very difficult time piecing together the network's structure without its ability to cross-match data and consolidate intelligence from many sources.</w:t>
      </w:r>
    </w:p>
    <w:p w14:paraId="21A82DF9" w14:textId="2A7CB3DD" w:rsidR="00693238" w:rsidRDefault="007761B8" w:rsidP="007761B8">
      <w:pPr>
        <w:rPr>
          <w:lang w:val="en-ES"/>
        </w:rPr>
      </w:pPr>
      <w:r w:rsidRPr="007761B8">
        <w:rPr>
          <w:lang w:val="en-ES"/>
        </w:rPr>
        <w:t xml:space="preserve">The second comparative case, the French‑Italian gold‑bar Hawala operation, </w:t>
      </w:r>
      <w:r w:rsidR="00693238">
        <w:rPr>
          <w:lang w:val="en-ES"/>
        </w:rPr>
        <w:t>shows closer parallels to Operation Strongbox due to the similar mechanism that was used for laundering. The investigation targeted a network that combined the trafficking of drugs with the laundering of the proceeds in gold bars with Hawala. This case involved a coordinated action between the Italian and the French authorities which was coordinated through Europol and Eurojust.</w:t>
      </w:r>
    </w:p>
    <w:p w14:paraId="388D16BD" w14:textId="34127AA1" w:rsidR="007761B8" w:rsidRPr="007761B8" w:rsidRDefault="00693238" w:rsidP="00693238">
      <w:pPr>
        <w:rPr>
          <w:lang w:val="en-ES"/>
        </w:rPr>
      </w:pPr>
      <w:r>
        <w:rPr>
          <w:lang w:val="en-ES"/>
        </w:rPr>
        <w:t>This case was chosen because of the similar structures with Operation Strongbox. Both of these investigations dealt with the informal transfer of financial goods rathen than standard banking channels like in Operation Capea. Here the gold bars were moved outside of formal systems with Hawala style agreed on communication between trsuted intermediaries. Even though it differs from the specific medium (so gold bars instead of money) used in Operation Strongbox, the informal nature of this rendered a challenge for investigators to identify individuals and the value of the financial assets</w:t>
      </w:r>
      <w:r w:rsidR="007761B8" w:rsidRPr="007761B8">
        <w:rPr>
          <w:lang w:val="en-ES"/>
        </w:rPr>
        <w:t>.</w:t>
      </w:r>
    </w:p>
    <w:p w14:paraId="01275C70" w14:textId="20A30370" w:rsidR="00D207ED" w:rsidRPr="007761B8" w:rsidRDefault="00693238" w:rsidP="00D207ED">
      <w:pPr>
        <w:rPr>
          <w:lang w:val="en-ES"/>
        </w:rPr>
      </w:pPr>
      <w:r>
        <w:rPr>
          <w:lang w:val="en-ES"/>
        </w:rPr>
        <w:t xml:space="preserve">Another key similarity was how in both cases there were joint investigation teams and how they integrated EU cooperation. In the case of the France and Italy it was coordinated under Eurojust’s authoritiy, because it also brough together both judiciary systems and not only the policing authorities. Europol did provide support through specialists in money laundering investigations and financial analysts, and provided a secure communication </w:t>
      </w:r>
      <w:r>
        <w:rPr>
          <w:lang w:val="en-ES"/>
        </w:rPr>
        <w:lastRenderedPageBreak/>
        <w:t xml:space="preserve">channel between both countries. Here is seen the multi-agency model promoted by the EU and by its policies, where Europol just provides a platform and coordination while the national authorities keep their competencies. Here can be seen the similarity to Spain’s and Portugal’s cooperation for Operation Strongbox, who were also supported by Europol while following Eurojust’s framework for complex cases. This was especially important due to the difficulty for only one national authority to trace and follow these networks due to their transnationality and informal nature. </w:t>
      </w:r>
      <w:r w:rsidR="00D207ED">
        <w:rPr>
          <w:lang w:val="en-ES"/>
        </w:rPr>
        <w:t>It could even go as far as being supposed that national investigation would not have been effective in both these cases. Furthermore, investigating cases of this complex nature is something that Europol has been specialising in and have been accumulating experience across different cases and jurisdictions. These expertise were of utmost importance during both of these investigations.</w:t>
      </w:r>
    </w:p>
    <w:p w14:paraId="0271E973" w14:textId="24694C89" w:rsidR="007761B8" w:rsidRPr="007761B8" w:rsidRDefault="007761B8" w:rsidP="007761B8">
      <w:pPr>
        <w:rPr>
          <w:lang w:val="en-ES"/>
        </w:rPr>
      </w:pPr>
      <w:r w:rsidRPr="007761B8">
        <w:rPr>
          <w:lang w:val="en-ES"/>
        </w:rPr>
        <w:t xml:space="preserve">On this basis, </w:t>
      </w:r>
      <w:r w:rsidR="00D207ED">
        <w:rPr>
          <w:lang w:val="en-ES"/>
        </w:rPr>
        <w:t>Operation</w:t>
      </w:r>
      <w:r w:rsidRPr="007761B8">
        <w:rPr>
          <w:lang w:val="en-ES"/>
        </w:rPr>
        <w:t xml:space="preserve"> Strongbox can be seen as part of </w:t>
      </w:r>
      <w:r w:rsidR="00D207ED">
        <w:rPr>
          <w:lang w:val="en-ES"/>
        </w:rPr>
        <w:t>merging</w:t>
      </w:r>
      <w:r w:rsidRPr="007761B8">
        <w:rPr>
          <w:lang w:val="en-ES"/>
        </w:rPr>
        <w:t xml:space="preserve"> investigations in which informal </w:t>
      </w:r>
      <w:r w:rsidR="00D207ED">
        <w:rPr>
          <w:lang w:val="en-ES"/>
        </w:rPr>
        <w:t>financial</w:t>
      </w:r>
      <w:r w:rsidRPr="007761B8">
        <w:rPr>
          <w:lang w:val="en-ES"/>
        </w:rPr>
        <w:t xml:space="preserve"> transfer intersect with transnational criminal networks and in which EU‑level cooperation has proven essential. The resemblance to the French‑Italian gold‑bar case strengthens the </w:t>
      </w:r>
      <w:r w:rsidR="00D207ED">
        <w:rPr>
          <w:lang w:val="en-ES"/>
        </w:rPr>
        <w:t>assesment</w:t>
      </w:r>
      <w:r w:rsidRPr="007761B8">
        <w:rPr>
          <w:lang w:val="en-ES"/>
        </w:rPr>
        <w:t xml:space="preserve"> that Europol’s assistance is not merely supportive but </w:t>
      </w:r>
      <w:r w:rsidR="00D207ED">
        <w:rPr>
          <w:lang w:val="en-ES"/>
        </w:rPr>
        <w:t>necessary to tackle Hawala related money laundering networks.</w:t>
      </w:r>
    </w:p>
    <w:p w14:paraId="7ED70E1C" w14:textId="77777777" w:rsidR="00D207ED" w:rsidRDefault="007761B8" w:rsidP="000E1B56">
      <w:pPr>
        <w:rPr>
          <w:lang w:val="en-ES"/>
        </w:rPr>
      </w:pPr>
      <w:r w:rsidRPr="007761B8">
        <w:rPr>
          <w:lang w:val="en-ES"/>
        </w:rPr>
        <w:t xml:space="preserve">In short, the comparison with Operation Capea suggests that the basic cooperation </w:t>
      </w:r>
      <w:r w:rsidR="00D207ED">
        <w:rPr>
          <w:lang w:val="en-ES"/>
        </w:rPr>
        <w:t xml:space="preserve">and </w:t>
      </w:r>
      <w:r w:rsidRPr="007761B8">
        <w:rPr>
          <w:lang w:val="en-ES"/>
        </w:rPr>
        <w:t>analytical support, specialist</w:t>
      </w:r>
      <w:r w:rsidR="00D207ED">
        <w:rPr>
          <w:lang w:val="en-ES"/>
        </w:rPr>
        <w:t xml:space="preserve"> investigators</w:t>
      </w:r>
      <w:r w:rsidRPr="007761B8">
        <w:rPr>
          <w:lang w:val="en-ES"/>
        </w:rPr>
        <w:t xml:space="preserve"> deployment, and cross‑border coordination</w:t>
      </w:r>
      <w:r w:rsidR="00D207ED">
        <w:rPr>
          <w:lang w:val="en-ES"/>
        </w:rPr>
        <w:t xml:space="preserve"> </w:t>
      </w:r>
      <w:r w:rsidRPr="007761B8">
        <w:rPr>
          <w:lang w:val="en-ES"/>
        </w:rPr>
        <w:t>are similar across cases, but their importance becomes magnified when the underlying laundering scheme is built on informal value transfer systems. This reinforces the argument that Europol’s assistance is not only useful but functionally necessary in investigations like Strongbox, where traditional approaches are insufficient.</w:t>
      </w:r>
    </w:p>
    <w:p w14:paraId="168304B7" w14:textId="33E92BBA" w:rsidR="000E1B56" w:rsidRPr="000E1B56" w:rsidRDefault="000E1B56" w:rsidP="000E1B56">
      <w:pPr>
        <w:rPr>
          <w:lang w:val="en-ES"/>
        </w:rPr>
      </w:pPr>
      <w:r w:rsidRPr="000E1B56">
        <w:rPr>
          <w:lang w:val="en-ES"/>
        </w:rPr>
        <w:t xml:space="preserve">Building on the comparative analysis, this </w:t>
      </w:r>
      <w:r w:rsidR="00D207ED">
        <w:rPr>
          <w:lang w:val="en-ES"/>
        </w:rPr>
        <w:t>part will discuss the broader implications of this case study for AML policy and practices, both nationally and at EU level.</w:t>
      </w:r>
      <w:r w:rsidRPr="000E1B56">
        <w:rPr>
          <w:lang w:val="en-ES"/>
        </w:rPr>
        <w:t xml:space="preserve"> Three main </w:t>
      </w:r>
      <w:r w:rsidRPr="000E1B56">
        <w:rPr>
          <w:lang w:val="en-ES"/>
        </w:rPr>
        <w:lastRenderedPageBreak/>
        <w:t>themes emerge: the importance of early involvement by Europol, the need to improve monitoring of informal financial systems, and the value of deep integration between national AML frameworks and EU‑level structures.</w:t>
      </w:r>
    </w:p>
    <w:p w14:paraId="3ADA5FC6" w14:textId="1D2DF367" w:rsidR="000E1B56" w:rsidRPr="000E1B56" w:rsidRDefault="000E1B56" w:rsidP="000E1B56">
      <w:pPr>
        <w:rPr>
          <w:lang w:val="en-ES"/>
        </w:rPr>
      </w:pPr>
      <w:r w:rsidRPr="000E1B56">
        <w:rPr>
          <w:lang w:val="en-ES"/>
        </w:rPr>
        <w:t xml:space="preserve">The first implication concerns the timing of Europol’s engagement. The findings of this thesis support Eurojust’s recommendation that Europol should be involved as early as possible in investigations with a potential transnational dimension. In </w:t>
      </w:r>
      <w:r w:rsidR="00BE7FC4">
        <w:rPr>
          <w:lang w:val="en-ES"/>
        </w:rPr>
        <w:t xml:space="preserve">Operation </w:t>
      </w:r>
      <w:r w:rsidRPr="000E1B56">
        <w:rPr>
          <w:lang w:val="en-ES"/>
        </w:rPr>
        <w:t xml:space="preserve">Strongbox, the available information suggests that Europol became active once Spanish authorities identified </w:t>
      </w:r>
      <w:r w:rsidR="00BE7FC4">
        <w:rPr>
          <w:lang w:val="en-ES"/>
        </w:rPr>
        <w:t>that the networks were expanded across borders and not just within Spain</w:t>
      </w:r>
      <w:r w:rsidRPr="000E1B56">
        <w:rPr>
          <w:lang w:val="en-ES"/>
        </w:rPr>
        <w:t>. Earlier engagement could, in theory, have further accelerated the mapping of the network, but even at the stage at which it was activated, Europol’s support appears to have significantly improved the quality and completeness of the intelligence picture.</w:t>
      </w:r>
    </w:p>
    <w:p w14:paraId="1726286C" w14:textId="7E0FAF72" w:rsidR="000E1B56" w:rsidRPr="000E1B56" w:rsidRDefault="000E1B56" w:rsidP="00BE7FC4">
      <w:pPr>
        <w:rPr>
          <w:lang w:val="en-ES"/>
        </w:rPr>
      </w:pPr>
      <w:r w:rsidRPr="000E1B56">
        <w:rPr>
          <w:lang w:val="en-ES"/>
        </w:rPr>
        <w:t xml:space="preserve">Early involvement has several concrete advantages. It allows for immediate cross‑matching of information with ongoing investigations in other Member States, helping to detect overlaps or shared suspects. It also enables the organisation of coordination </w:t>
      </w:r>
      <w:r w:rsidR="00BE7FC4">
        <w:rPr>
          <w:lang w:val="en-ES"/>
        </w:rPr>
        <w:t>between Member States</w:t>
      </w:r>
      <w:r w:rsidRPr="000E1B56">
        <w:rPr>
          <w:lang w:val="en-ES"/>
        </w:rPr>
        <w:t xml:space="preserve"> or</w:t>
      </w:r>
      <w:r w:rsidR="00BE7FC4">
        <w:rPr>
          <w:lang w:val="en-ES"/>
        </w:rPr>
        <w:t xml:space="preserve"> even</w:t>
      </w:r>
      <w:r w:rsidRPr="000E1B56">
        <w:rPr>
          <w:lang w:val="en-ES"/>
        </w:rPr>
        <w:t xml:space="preserve"> the consideration of joint investigation structures, rather than treating EU cooperation as a last</w:t>
      </w:r>
      <w:r w:rsidR="00BE7FC4">
        <w:rPr>
          <w:lang w:val="en-ES"/>
        </w:rPr>
        <w:t xml:space="preserve"> </w:t>
      </w:r>
      <w:r w:rsidRPr="000E1B56">
        <w:rPr>
          <w:lang w:val="en-ES"/>
        </w:rPr>
        <w:t xml:space="preserve">minute </w:t>
      </w:r>
      <w:r w:rsidR="00BE7FC4">
        <w:rPr>
          <w:lang w:val="en-ES"/>
        </w:rPr>
        <w:t>resource</w:t>
      </w:r>
      <w:r w:rsidRPr="000E1B56">
        <w:rPr>
          <w:lang w:val="en-ES"/>
        </w:rPr>
        <w:t xml:space="preserve"> once national avenues </w:t>
      </w:r>
      <w:r w:rsidR="00BE7FC4">
        <w:rPr>
          <w:lang w:val="en-ES"/>
        </w:rPr>
        <w:t>had</w:t>
      </w:r>
      <w:r w:rsidRPr="000E1B56">
        <w:rPr>
          <w:lang w:val="en-ES"/>
        </w:rPr>
        <w:t xml:space="preserve"> been exhausted. In complex money</w:t>
      </w:r>
      <w:r w:rsidR="00BE7FC4">
        <w:rPr>
          <w:lang w:val="en-ES"/>
        </w:rPr>
        <w:t xml:space="preserve"> </w:t>
      </w:r>
      <w:r w:rsidRPr="000E1B56">
        <w:rPr>
          <w:lang w:val="en-ES"/>
        </w:rPr>
        <w:t xml:space="preserve">laundering cases, </w:t>
      </w:r>
      <w:r w:rsidR="00BE7FC4">
        <w:rPr>
          <w:lang w:val="en-ES"/>
        </w:rPr>
        <w:t>networks can adapt quickly and shift their operations across borders. Delays in establishing transnational cooperation and the realisation that it is an international netwrok can lead to missed opportunities for earlier succes and detection of severits and scale.</w:t>
      </w:r>
    </w:p>
    <w:p w14:paraId="2DE98250" w14:textId="66494B59" w:rsidR="000E1B56" w:rsidRPr="000E1B56" w:rsidRDefault="000E1B56" w:rsidP="000E1B56">
      <w:pPr>
        <w:rPr>
          <w:lang w:val="en-ES"/>
        </w:rPr>
      </w:pPr>
      <w:r w:rsidRPr="000E1B56">
        <w:rPr>
          <w:lang w:val="en-ES"/>
        </w:rPr>
        <w:t xml:space="preserve">The Strongbox case </w:t>
      </w:r>
      <w:r w:rsidR="00BE7FC4">
        <w:rPr>
          <w:lang w:val="en-ES"/>
        </w:rPr>
        <w:t>therefore</w:t>
      </w:r>
      <w:r w:rsidRPr="000E1B56">
        <w:rPr>
          <w:lang w:val="en-ES"/>
        </w:rPr>
        <w:t xml:space="preserve"> reinforces the argument that national authorities should </w:t>
      </w:r>
      <w:r w:rsidR="00BE7FC4">
        <w:rPr>
          <w:lang w:val="en-ES"/>
        </w:rPr>
        <w:t>be</w:t>
      </w:r>
      <w:r w:rsidRPr="000E1B56">
        <w:rPr>
          <w:lang w:val="en-ES"/>
        </w:rPr>
        <w:t xml:space="preserve"> proactive </w:t>
      </w:r>
      <w:r w:rsidR="00BE7FC4">
        <w:rPr>
          <w:lang w:val="en-ES"/>
        </w:rPr>
        <w:t>in these situations and lean</w:t>
      </w:r>
      <w:r w:rsidRPr="000E1B56">
        <w:rPr>
          <w:lang w:val="en-ES"/>
        </w:rPr>
        <w:t xml:space="preserve"> towards Europol, </w:t>
      </w:r>
      <w:r w:rsidR="00BE7FC4">
        <w:rPr>
          <w:lang w:val="en-ES"/>
        </w:rPr>
        <w:t>to activate</w:t>
      </w:r>
      <w:r w:rsidRPr="000E1B56">
        <w:rPr>
          <w:lang w:val="en-ES"/>
        </w:rPr>
        <w:t xml:space="preserve"> support mechanisms </w:t>
      </w:r>
      <w:r w:rsidR="00BE7FC4">
        <w:rPr>
          <w:lang w:val="en-ES"/>
        </w:rPr>
        <w:t>even before</w:t>
      </w:r>
      <w:r w:rsidRPr="000E1B56">
        <w:rPr>
          <w:lang w:val="en-ES"/>
        </w:rPr>
        <w:t xml:space="preserve"> indications of transnational activity</w:t>
      </w:r>
      <w:r w:rsidR="00BE7FC4">
        <w:rPr>
          <w:lang w:val="en-ES"/>
        </w:rPr>
        <w:t xml:space="preserve"> for preemptive</w:t>
      </w:r>
      <w:r w:rsidRPr="000E1B56">
        <w:rPr>
          <w:lang w:val="en-ES"/>
        </w:rPr>
        <w:t xml:space="preserve">. From a policy perspective, </w:t>
      </w:r>
      <w:r w:rsidRPr="000E1B56">
        <w:rPr>
          <w:lang w:val="en-ES"/>
        </w:rPr>
        <w:lastRenderedPageBreak/>
        <w:t>this suggests that internal guidelines and training within national police forces should emphasise the benefits of early Europol engagement, especially in AML investigations.</w:t>
      </w:r>
    </w:p>
    <w:p w14:paraId="6F7CA884" w14:textId="4EF8B7CF" w:rsidR="000E1B56" w:rsidRPr="000E1B56" w:rsidRDefault="000E1B56" w:rsidP="000E1B56">
      <w:pPr>
        <w:rPr>
          <w:lang w:val="en-ES"/>
        </w:rPr>
      </w:pPr>
      <w:r w:rsidRPr="000E1B56">
        <w:rPr>
          <w:lang w:val="en-ES"/>
        </w:rPr>
        <w:t>A second implication relates to the monitoring and regulation of informal financial systems. Strongbox illustrates how Hawala</w:t>
      </w:r>
      <w:r w:rsidR="00BE7FC4">
        <w:rPr>
          <w:lang w:val="en-ES"/>
        </w:rPr>
        <w:t xml:space="preserve"> </w:t>
      </w:r>
      <w:r w:rsidRPr="000E1B56">
        <w:rPr>
          <w:lang w:val="en-ES"/>
        </w:rPr>
        <w:t xml:space="preserve">like </w:t>
      </w:r>
      <w:r w:rsidR="00BE7FC4">
        <w:rPr>
          <w:lang w:val="en-ES"/>
        </w:rPr>
        <w:t>operations</w:t>
      </w:r>
      <w:r w:rsidRPr="000E1B56">
        <w:rPr>
          <w:lang w:val="en-ES"/>
        </w:rPr>
        <w:t xml:space="preserve"> remain a significant challenge for identification and investigation, despite advances in traditional AML frameworks. Unlike </w:t>
      </w:r>
      <w:r w:rsidR="00BE7FC4">
        <w:rPr>
          <w:lang w:val="en-ES"/>
        </w:rPr>
        <w:t>the traditional</w:t>
      </w:r>
      <w:r w:rsidRPr="000E1B56">
        <w:rPr>
          <w:lang w:val="en-ES"/>
        </w:rPr>
        <w:t xml:space="preserve"> bank</w:t>
      </w:r>
      <w:r w:rsidR="00BE7FC4">
        <w:rPr>
          <w:lang w:val="en-ES"/>
        </w:rPr>
        <w:t xml:space="preserve"> based approach to moeny</w:t>
      </w:r>
      <w:r w:rsidRPr="000E1B56">
        <w:rPr>
          <w:lang w:val="en-ES"/>
        </w:rPr>
        <w:t xml:space="preserve"> laundering, informal systems operate outside most regulatory structures and leave few electronic traces, making them particularly attractive for transnational criminal networks.</w:t>
      </w:r>
    </w:p>
    <w:p w14:paraId="3968C4C0" w14:textId="2B59CBF1" w:rsidR="000E1B56" w:rsidRPr="000E1B56" w:rsidRDefault="000E1B56" w:rsidP="000E1B56">
      <w:pPr>
        <w:rPr>
          <w:lang w:val="en-ES"/>
        </w:rPr>
      </w:pPr>
      <w:r w:rsidRPr="000E1B56">
        <w:rPr>
          <w:lang w:val="en-ES"/>
        </w:rPr>
        <w:t>The case study points to several areas in which policy responses could be strengthened. First, detection mechanisms need to be improved. This includes developing better risk indicators for financial institutions and obliged entities that may indirectly interact with Hawala networks,</w:t>
      </w:r>
      <w:r w:rsidR="00BE7FC4">
        <w:rPr>
          <w:lang w:val="en-ES"/>
        </w:rPr>
        <w:t xml:space="preserve"> and training to undersand that trafficking of physical goods, such as drugs or guns, can also be a part of a wider money laundering network with an informal structure</w:t>
      </w:r>
      <w:r w:rsidRPr="000E1B56">
        <w:rPr>
          <w:lang w:val="en-ES"/>
        </w:rPr>
        <w:t xml:space="preserve"> Second, internal cooperation frameworks among national agencies require further consolidation, so that information about suspected informal </w:t>
      </w:r>
      <w:r w:rsidR="00BE7FC4">
        <w:rPr>
          <w:lang w:val="en-ES"/>
        </w:rPr>
        <w:t>movements</w:t>
      </w:r>
      <w:r w:rsidRPr="000E1B56">
        <w:rPr>
          <w:lang w:val="en-ES"/>
        </w:rPr>
        <w:t xml:space="preserve"> can rapidly reach </w:t>
      </w:r>
      <w:r w:rsidR="00BE7FC4">
        <w:rPr>
          <w:lang w:val="en-ES"/>
        </w:rPr>
        <w:t>authorities</w:t>
      </w:r>
      <w:r w:rsidRPr="000E1B56">
        <w:rPr>
          <w:lang w:val="en-ES"/>
        </w:rPr>
        <w:t xml:space="preserve"> and FIUs. Third, oversight of vulnerable sectors should be enhanced, given that these sectors often serve as entry points for the integration of funds laundered through informal channels.</w:t>
      </w:r>
    </w:p>
    <w:p w14:paraId="0350BEFD" w14:textId="0D0D63F2" w:rsidR="000E1B56" w:rsidRPr="000E1B56" w:rsidRDefault="000E1B56" w:rsidP="000E1B56">
      <w:pPr>
        <w:rPr>
          <w:lang w:val="en-ES"/>
        </w:rPr>
      </w:pPr>
      <w:r w:rsidRPr="000E1B56">
        <w:rPr>
          <w:lang w:val="en-ES"/>
        </w:rPr>
        <w:t xml:space="preserve">Operation Strongbox shows that even a relatively robust national AML framework can be </w:t>
      </w:r>
      <w:r w:rsidR="00BE7FC4">
        <w:rPr>
          <w:lang w:val="en-ES"/>
        </w:rPr>
        <w:t>evaded or shifted</w:t>
      </w:r>
      <w:r w:rsidRPr="000E1B56">
        <w:rPr>
          <w:lang w:val="en-ES"/>
        </w:rPr>
        <w:t xml:space="preserve"> if informal systems are not adequately monitored. This underlines the need </w:t>
      </w:r>
      <w:r w:rsidR="00BE7FC4">
        <w:rPr>
          <w:lang w:val="en-ES"/>
        </w:rPr>
        <w:t>to raise awareness</w:t>
      </w:r>
      <w:r w:rsidRPr="000E1B56">
        <w:rPr>
          <w:lang w:val="en-ES"/>
        </w:rPr>
        <w:t xml:space="preserve"> and among practitioners, including investigators, prosecutors and supervisors. It also highlights the importance of continued collaboration with EU agencies, which can collect and disseminate best practices from different Member States and provide </w:t>
      </w:r>
      <w:r w:rsidRPr="000E1B56">
        <w:rPr>
          <w:lang w:val="en-ES"/>
        </w:rPr>
        <w:lastRenderedPageBreak/>
        <w:t>specialised support when informal systems are suspected</w:t>
      </w:r>
      <w:r w:rsidR="00BE7FC4">
        <w:rPr>
          <w:lang w:val="en-ES"/>
        </w:rPr>
        <w:t xml:space="preserve"> and have the resources to specialise more for more specific, newer mechanisms.</w:t>
      </w:r>
    </w:p>
    <w:p w14:paraId="257DEBCD" w14:textId="3AC1D09C" w:rsidR="000E1B56" w:rsidRPr="000E1B56" w:rsidRDefault="000E1B56" w:rsidP="000E1B56">
      <w:pPr>
        <w:rPr>
          <w:lang w:val="en-ES"/>
        </w:rPr>
      </w:pPr>
      <w:r w:rsidRPr="000E1B56">
        <w:rPr>
          <w:lang w:val="en-ES"/>
        </w:rPr>
        <w:t xml:space="preserve">The final implication concerns the broader integration between national AML strategies and the EU’s emerging AML </w:t>
      </w:r>
      <w:r w:rsidR="00BE7FC4">
        <w:rPr>
          <w:lang w:val="en-ES"/>
        </w:rPr>
        <w:t>policies</w:t>
      </w:r>
      <w:r w:rsidRPr="000E1B56">
        <w:rPr>
          <w:lang w:val="en-ES"/>
        </w:rPr>
        <w:t xml:space="preserve">. Since Spain’s incorporation into the EU AML framework, its legislation and institutional arrangements have evolved significantly, moving from a predominantly domestic, reactive model to a preventative, risk‑based system </w:t>
      </w:r>
      <w:r w:rsidR="00BE7FC4">
        <w:rPr>
          <w:lang w:val="en-ES"/>
        </w:rPr>
        <w:t>that aligns</w:t>
      </w:r>
      <w:r w:rsidRPr="000E1B56">
        <w:rPr>
          <w:lang w:val="en-ES"/>
        </w:rPr>
        <w:t xml:space="preserve"> with EU </w:t>
      </w:r>
      <w:r w:rsidR="00BE7FC4">
        <w:rPr>
          <w:lang w:val="en-ES"/>
        </w:rPr>
        <w:t>policies</w:t>
      </w:r>
      <w:r w:rsidRPr="000E1B56">
        <w:rPr>
          <w:lang w:val="en-ES"/>
        </w:rPr>
        <w:t xml:space="preserve"> and FATF standards. Operation Strongbox offers a concrete illustration of how this integration translates into practice</w:t>
      </w:r>
      <w:r w:rsidR="00BE7FC4">
        <w:rPr>
          <w:lang w:val="en-ES"/>
        </w:rPr>
        <w:t xml:space="preserve"> succesfully.</w:t>
      </w:r>
    </w:p>
    <w:p w14:paraId="295205A3" w14:textId="7D651121" w:rsidR="000E1B56" w:rsidRPr="000E1B56" w:rsidRDefault="000E1B56" w:rsidP="000E1B56">
      <w:pPr>
        <w:rPr>
          <w:lang w:val="en-ES"/>
        </w:rPr>
      </w:pPr>
      <w:r w:rsidRPr="000E1B56">
        <w:rPr>
          <w:lang w:val="en-ES"/>
        </w:rPr>
        <w:t>The case demonstrates the advantage of shared intelligence systems, common legal standards and coordinated enforcement tools. Shared systems enable the Spanish National Police and Europol to exchange information quickly</w:t>
      </w:r>
      <w:r w:rsidR="00BE7FC4">
        <w:rPr>
          <w:lang w:val="en-ES"/>
        </w:rPr>
        <w:t xml:space="preserve"> harmonised </w:t>
      </w:r>
      <w:r w:rsidRPr="000E1B56">
        <w:rPr>
          <w:lang w:val="en-ES"/>
        </w:rPr>
        <w:t xml:space="preserve">legal standards facilitate mutual recognition </w:t>
      </w:r>
      <w:r w:rsidR="00BE7FC4">
        <w:rPr>
          <w:lang w:val="en-ES"/>
        </w:rPr>
        <w:t xml:space="preserve">and takes away the delay of legal procedures </w:t>
      </w:r>
      <w:r w:rsidRPr="000E1B56">
        <w:rPr>
          <w:lang w:val="en-ES"/>
        </w:rPr>
        <w:t xml:space="preserve">of </w:t>
      </w:r>
      <w:r w:rsidR="00BE7FC4">
        <w:rPr>
          <w:lang w:val="en-ES"/>
        </w:rPr>
        <w:t>international investigations and decisions</w:t>
      </w:r>
      <w:r w:rsidRPr="000E1B56">
        <w:rPr>
          <w:lang w:val="en-ES"/>
        </w:rPr>
        <w:t xml:space="preserve"> and coordinated ensures that criminal networks cannot easily </w:t>
      </w:r>
      <w:r w:rsidR="00BE7FC4">
        <w:rPr>
          <w:lang w:val="en-ES"/>
        </w:rPr>
        <w:t>take advantage of</w:t>
      </w:r>
      <w:r w:rsidRPr="000E1B56">
        <w:rPr>
          <w:lang w:val="en-ES"/>
        </w:rPr>
        <w:t xml:space="preserve"> legal or procedural differences between jurisdictions.</w:t>
      </w:r>
    </w:p>
    <w:p w14:paraId="3909F078" w14:textId="044BCDE3" w:rsidR="000E1B56" w:rsidRPr="000E1B56" w:rsidRDefault="000E1B56" w:rsidP="000E1B56">
      <w:pPr>
        <w:rPr>
          <w:lang w:val="en-ES"/>
        </w:rPr>
      </w:pPr>
      <w:r w:rsidRPr="000E1B56">
        <w:rPr>
          <w:lang w:val="en-ES"/>
        </w:rPr>
        <w:t>At the same time, Strongbox reveals that integration is not merely a formal or legal process, but a practical one. Effective cooperation depends on the daily interaction between practitioners, the existence of trust among institutions, and the availability of resources to participate in joint operations. From a policy perspective, this suggests that further efforts are needed to strengthen operational cultures of cooperation, for instance through joint training, secondments, or the regular use of joint investigation teams in complex AML cases.</w:t>
      </w:r>
    </w:p>
    <w:p w14:paraId="4D5AED75" w14:textId="77777777" w:rsidR="000E1B56" w:rsidRPr="000E1B56" w:rsidRDefault="000E1B56" w:rsidP="000E1B56">
      <w:pPr>
        <w:rPr>
          <w:lang w:val="en-ES"/>
        </w:rPr>
      </w:pPr>
      <w:r w:rsidRPr="000E1B56">
        <w:rPr>
          <w:lang w:val="en-ES"/>
        </w:rPr>
        <w:t xml:space="preserve">Overall, the Strongbox case supports the view that deeper national–EU integration in AML is not only desirable but operationally beneficial. The cooperation framework built over the past decades provided the tools and channels that made the dismantling of the network possible. Without this framework, national authorities would likely have faced serious </w:t>
      </w:r>
      <w:r w:rsidRPr="000E1B56">
        <w:rPr>
          <w:lang w:val="en-ES"/>
        </w:rPr>
        <w:lastRenderedPageBreak/>
        <w:t>obstacles in obtaining timely information from other jurisdictions, coordinating their actions, and presenting evidence that reflects the full transnational scope of the criminal activity.</w:t>
      </w:r>
    </w:p>
    <w:p w14:paraId="33772969" w14:textId="1B9CAE80" w:rsidR="00C145A8" w:rsidRDefault="00C145A8">
      <w:pPr>
        <w:spacing w:line="278" w:lineRule="auto"/>
        <w:ind w:firstLine="0"/>
        <w:rPr>
          <w:lang w:val="en-ES"/>
        </w:rPr>
      </w:pPr>
      <w:r>
        <w:rPr>
          <w:lang w:val="en-ES"/>
        </w:rPr>
        <w:br w:type="page"/>
      </w:r>
    </w:p>
    <w:p w14:paraId="11D29DB3" w14:textId="77777777" w:rsidR="00C145A8" w:rsidRDefault="00C145A8" w:rsidP="00C145A8">
      <w:pPr>
        <w:pStyle w:val="Heading1"/>
        <w:spacing w:before="0" w:after="0"/>
        <w:jc w:val="center"/>
        <w:rPr>
          <w:szCs w:val="24"/>
          <w:lang w:val="en-ES"/>
        </w:rPr>
      </w:pPr>
      <w:bookmarkStart w:id="5" w:name="_Toc225869960"/>
      <w:r>
        <w:rPr>
          <w:szCs w:val="24"/>
        </w:rPr>
        <w:lastRenderedPageBreak/>
        <w:t>References</w:t>
      </w:r>
      <w:bookmarkEnd w:id="5"/>
    </w:p>
    <w:p w14:paraId="57F8A4A2" w14:textId="77777777" w:rsidR="00C145A8" w:rsidRDefault="00C145A8" w:rsidP="00C145A8">
      <w:pPr>
        <w:pStyle w:val="NormalWeb"/>
        <w:spacing w:before="0" w:beforeAutospacing="0" w:after="0" w:afterAutospacing="0" w:line="480" w:lineRule="auto"/>
        <w:ind w:left="720" w:hanging="720"/>
      </w:pPr>
      <w:r>
        <w:t xml:space="preserve">Barone, R., &amp; Schneider, F. (2025). Beyond the veil: unpacking money laundering through economic models, emerging technologies, and government capture. </w:t>
      </w:r>
      <w:r>
        <w:rPr>
          <w:i/>
          <w:iCs/>
        </w:rPr>
        <w:t>Economics of Governance</w:t>
      </w:r>
      <w:r>
        <w:t xml:space="preserve">, </w:t>
      </w:r>
      <w:r>
        <w:rPr>
          <w:i/>
          <w:iCs/>
        </w:rPr>
        <w:t>27</w:t>
      </w:r>
      <w:r>
        <w:t>(1). https://doi.org/10.1007/s10101-025-00343-1</w:t>
      </w:r>
    </w:p>
    <w:p w14:paraId="78D0B510" w14:textId="77777777" w:rsidR="00C145A8" w:rsidRDefault="00C145A8" w:rsidP="00C145A8">
      <w:pPr>
        <w:pStyle w:val="NormalWeb"/>
        <w:spacing w:before="0" w:beforeAutospacing="0" w:after="0" w:afterAutospacing="0" w:line="480" w:lineRule="auto"/>
        <w:ind w:left="720" w:hanging="720"/>
      </w:pPr>
      <w:r>
        <w:t xml:space="preserve">Beach, D. (2023). Process Tracing Methods and International Studies. </w:t>
      </w:r>
      <w:r>
        <w:rPr>
          <w:i/>
          <w:iCs/>
        </w:rPr>
        <w:t>Oxford Research Encyclopedias</w:t>
      </w:r>
      <w:r>
        <w:t>. https://doi.org/10.1093/acrefore/9780190846626.013.724</w:t>
      </w:r>
    </w:p>
    <w:p w14:paraId="79BF1B53" w14:textId="77777777" w:rsidR="00C145A8" w:rsidRDefault="00C145A8" w:rsidP="00C145A8">
      <w:pPr>
        <w:pStyle w:val="NormalWeb"/>
        <w:spacing w:before="0" w:beforeAutospacing="0" w:after="0" w:afterAutospacing="0" w:line="480" w:lineRule="auto"/>
        <w:ind w:left="720" w:hanging="720"/>
      </w:pPr>
      <w:r>
        <w:t xml:space="preserve">Beebeejaun, A., &amp; Dulloo, L. (2022). A critical analysis of the anti-money laundering legal and regulatory framework of Mauritius: a comparative study with South Africa. </w:t>
      </w:r>
      <w:r>
        <w:rPr>
          <w:i/>
          <w:iCs/>
        </w:rPr>
        <w:t>Journal of Money Laundering Control</w:t>
      </w:r>
      <w:r>
        <w:t xml:space="preserve">, </w:t>
      </w:r>
      <w:r>
        <w:rPr>
          <w:i/>
          <w:iCs/>
        </w:rPr>
        <w:t>26</w:t>
      </w:r>
      <w:r>
        <w:t>(2). https://doi.org/10.1108/jmlc-12-2021-0141</w:t>
      </w:r>
    </w:p>
    <w:p w14:paraId="33882A60" w14:textId="77777777" w:rsidR="00C145A8" w:rsidRDefault="00C145A8" w:rsidP="00C145A8">
      <w:pPr>
        <w:pStyle w:val="NormalWeb"/>
        <w:spacing w:before="0" w:beforeAutospacing="0" w:after="0" w:afterAutospacing="0" w:line="480" w:lineRule="auto"/>
        <w:ind w:left="720" w:hanging="720"/>
      </w:pPr>
      <w:r>
        <w:rPr>
          <w:i/>
          <w:iCs/>
        </w:rPr>
        <w:t>EU Policy Cycle - EMPACT</w:t>
      </w:r>
      <w:r>
        <w:t>. (2022). Europol. https://www.europol.europa.eu/crime-areas-and-statistics/empact</w:t>
      </w:r>
    </w:p>
    <w:p w14:paraId="09CE7C05" w14:textId="77777777" w:rsidR="00C145A8" w:rsidRDefault="00C145A8" w:rsidP="00C145A8">
      <w:pPr>
        <w:pStyle w:val="NormalWeb"/>
        <w:spacing w:before="0" w:beforeAutospacing="0" w:after="0" w:afterAutospacing="0" w:line="480" w:lineRule="auto"/>
        <w:ind w:left="720" w:hanging="720"/>
      </w:pPr>
      <w:r>
        <w:t xml:space="preserve">Eurojust. (2022). </w:t>
      </w:r>
      <w:r>
        <w:rPr>
          <w:i/>
          <w:iCs/>
        </w:rPr>
        <w:t>Eurojust Report on Money Laundering</w:t>
      </w:r>
      <w:r>
        <w:t>. European Union Agency for Criminal Justice Cooperation. https://www.eurojust.europa.eu/publication/eurojust-report-money-laundering</w:t>
      </w:r>
    </w:p>
    <w:p w14:paraId="517888CF" w14:textId="77777777" w:rsidR="00C145A8" w:rsidRDefault="00C145A8" w:rsidP="00C145A8">
      <w:pPr>
        <w:pStyle w:val="NormalWeb"/>
        <w:spacing w:before="0" w:beforeAutospacing="0" w:after="0" w:afterAutospacing="0" w:line="480" w:lineRule="auto"/>
        <w:ind w:left="720" w:hanging="720"/>
      </w:pPr>
      <w:r>
        <w:t xml:space="preserve">Eurojust. (2023). </w:t>
      </w:r>
      <w:r>
        <w:rPr>
          <w:i/>
          <w:iCs/>
        </w:rPr>
        <w:t>Eurojust supports action against drug trafficking and money laundering: 22 arrests</w:t>
      </w:r>
      <w:r>
        <w:t>. Eurojust. https://www.eurojust.europa.eu/news/eurojust-supports-action-against-drug-trafficking-and-money-laundering</w:t>
      </w:r>
    </w:p>
    <w:p w14:paraId="1825417F" w14:textId="77777777" w:rsidR="00C145A8" w:rsidRDefault="00C145A8" w:rsidP="00C145A8">
      <w:pPr>
        <w:pStyle w:val="NormalWeb"/>
        <w:spacing w:before="0" w:beforeAutospacing="0" w:after="0" w:afterAutospacing="0" w:line="480" w:lineRule="auto"/>
        <w:ind w:left="720" w:hanging="720"/>
      </w:pPr>
      <w:r>
        <w:t xml:space="preserve">Eurojust. (2025). </w:t>
      </w:r>
      <w:r>
        <w:rPr>
          <w:i/>
          <w:iCs/>
        </w:rPr>
        <w:t>Criminal networks dismantled for drug trafficking and money laundering via trade in gold bars</w:t>
      </w:r>
      <w:r>
        <w:t>. Eurojust. https://www.eurojust.europa.eu/news/criminal-networks-dismantled-drug-trafficking-and-money-laundering-trade-gold-bars</w:t>
      </w:r>
    </w:p>
    <w:p w14:paraId="684E65DF" w14:textId="77777777" w:rsidR="00C145A8" w:rsidRDefault="00C145A8" w:rsidP="00C145A8">
      <w:pPr>
        <w:pStyle w:val="NormalWeb"/>
        <w:spacing w:before="0" w:beforeAutospacing="0" w:after="0" w:afterAutospacing="0" w:line="480" w:lineRule="auto"/>
        <w:ind w:left="720" w:hanging="720"/>
      </w:pPr>
      <w:r>
        <w:t xml:space="preserve">European Commission. (2020, July 24). </w:t>
      </w:r>
      <w:r>
        <w:rPr>
          <w:i/>
          <w:iCs/>
        </w:rPr>
        <w:t xml:space="preserve">EU Security Union Strategy: connecting the dots in a new security ecosystem </w:t>
      </w:r>
      <w:r>
        <w:t xml:space="preserve">[Press release]. https://ec.europa.eu/commission/presscorner/detail/en/ip_20_1379 </w:t>
      </w:r>
    </w:p>
    <w:p w14:paraId="22A719D2" w14:textId="77777777" w:rsidR="00C145A8" w:rsidRDefault="00C145A8" w:rsidP="00C145A8">
      <w:pPr>
        <w:pStyle w:val="NormalWeb"/>
        <w:spacing w:before="0" w:beforeAutospacing="0" w:after="0" w:afterAutospacing="0" w:line="480" w:lineRule="auto"/>
        <w:ind w:left="720" w:hanging="720"/>
      </w:pPr>
      <w:r>
        <w:lastRenderedPageBreak/>
        <w:t xml:space="preserve">Europol. (2019). </w:t>
      </w:r>
      <w:r>
        <w:rPr>
          <w:i/>
          <w:iCs/>
        </w:rPr>
        <w:t>Criminal finances and money laundering | Europol</w:t>
      </w:r>
      <w:r>
        <w:t>. Europol. https://www.europol.europa.eu/crime-areas/criminal-finances-and-money-laundering</w:t>
      </w:r>
    </w:p>
    <w:p w14:paraId="7F963FCA" w14:textId="77777777" w:rsidR="00C145A8" w:rsidRDefault="00C145A8" w:rsidP="00C145A8">
      <w:pPr>
        <w:pStyle w:val="NormalWeb"/>
        <w:spacing w:before="0" w:beforeAutospacing="0" w:after="0" w:afterAutospacing="0" w:line="480" w:lineRule="auto"/>
        <w:ind w:left="720" w:hanging="720"/>
      </w:pPr>
      <w:r>
        <w:t xml:space="preserve">Europol. (2023). </w:t>
      </w:r>
      <w:r>
        <w:rPr>
          <w:i/>
          <w:iCs/>
        </w:rPr>
        <w:t>EU DRUG MARKETS REPORT A STRATEGIC ANALYSIS Case study 1 Cannabis: changing demand and an increase in domestic production</w:t>
      </w:r>
      <w:r>
        <w:t>. https://www.europol.europa.eu/sites/default/files/documents/eu_drug_markets_report_-_case_studies.pdf</w:t>
      </w:r>
    </w:p>
    <w:p w14:paraId="421A128E" w14:textId="77777777" w:rsidR="00C145A8" w:rsidRDefault="00C145A8" w:rsidP="00C145A8">
      <w:pPr>
        <w:pStyle w:val="NormalWeb"/>
        <w:spacing w:before="0" w:beforeAutospacing="0" w:after="0" w:afterAutospacing="0" w:line="480" w:lineRule="auto"/>
        <w:ind w:left="720" w:hanging="720"/>
      </w:pPr>
      <w:r>
        <w:t xml:space="preserve">Europol Media &amp; Press. (n.d.). </w:t>
      </w:r>
      <w:r>
        <w:rPr>
          <w:i/>
          <w:iCs/>
        </w:rPr>
        <w:t>Europol analysis reveals how criminal networks exploit legal businesses to strengthen their grip on the economy | Europol</w:t>
      </w:r>
      <w:r>
        <w:t>. Europol. https://www.europol.europa.eu/media-press/newsroom/news/europol-analysis-reveals-how-criminal-networks-exploit-legal-businesses-to-strengthen-their-grip-economy</w:t>
      </w:r>
    </w:p>
    <w:p w14:paraId="7D46BA42" w14:textId="77777777" w:rsidR="00C145A8" w:rsidRDefault="00C145A8" w:rsidP="00C145A8">
      <w:pPr>
        <w:pStyle w:val="NormalWeb"/>
        <w:spacing w:before="0" w:beforeAutospacing="0" w:after="0" w:afterAutospacing="0" w:line="480" w:lineRule="auto"/>
        <w:ind w:left="720" w:hanging="720"/>
      </w:pPr>
      <w:r>
        <w:t xml:space="preserve">Europol Media &amp; Press. (2023). </w:t>
      </w:r>
      <w:r>
        <w:rPr>
          <w:i/>
          <w:iCs/>
        </w:rPr>
        <w:t>17 arrested in Spain in bust against clan-based drug trafficking and money laundering network | Europol</w:t>
      </w:r>
      <w:r>
        <w:t>. Europol. https://www.europol.europa.eu/media-press/newsroom/news/17-arrested-in-spain-in-bust-against-clan-based-drug-trafficking-and-money-laundering-network</w:t>
      </w:r>
    </w:p>
    <w:p w14:paraId="1D646CAA" w14:textId="77777777" w:rsidR="00C145A8" w:rsidRDefault="00C145A8" w:rsidP="00C145A8">
      <w:pPr>
        <w:pStyle w:val="NormalWeb"/>
        <w:spacing w:before="0" w:beforeAutospacing="0" w:after="0" w:afterAutospacing="0" w:line="480" w:lineRule="auto"/>
        <w:ind w:left="720" w:hanging="720"/>
      </w:pPr>
      <w:r>
        <w:t xml:space="preserve">Europol Media &amp; Press. (2025). </w:t>
      </w:r>
      <w:r>
        <w:rPr>
          <w:i/>
          <w:iCs/>
        </w:rPr>
        <w:t>14 arrested in hit against money laundering gang in Portugal and Spain | Europol</w:t>
      </w:r>
      <w:r>
        <w:t>. Europol. https://www.europol.europa.eu/media-press/newsroom/news/14-arrested-in-hit-against-money-laundering-gang-in-portugal-and-spain</w:t>
      </w:r>
    </w:p>
    <w:p w14:paraId="30A984CF" w14:textId="77777777" w:rsidR="00C145A8" w:rsidRDefault="00C145A8" w:rsidP="00C145A8">
      <w:pPr>
        <w:pStyle w:val="NormalWeb"/>
        <w:spacing w:before="0" w:beforeAutospacing="0" w:after="0" w:afterAutospacing="0" w:line="480" w:lineRule="auto"/>
        <w:ind w:left="720" w:hanging="720"/>
      </w:pPr>
      <w:r>
        <w:t xml:space="preserve">EuroSecurity. (2025). </w:t>
      </w:r>
      <w:r>
        <w:rPr>
          <w:i/>
          <w:iCs/>
        </w:rPr>
        <w:t>Europol Supports Operation Against Money Laundering Network in Portugal and Spain | EURO SECURITY</w:t>
      </w:r>
      <w:r>
        <w:t>. Euro-Security.de. https://euro-security.de/en/europol-supports-operation-against-money-laundering-network-in-portugal-and-spain/</w:t>
      </w:r>
    </w:p>
    <w:p w14:paraId="7258C4E0" w14:textId="77777777" w:rsidR="00C145A8" w:rsidRDefault="00C145A8" w:rsidP="00C145A8">
      <w:pPr>
        <w:pStyle w:val="NormalWeb"/>
        <w:spacing w:before="0" w:beforeAutospacing="0" w:after="0" w:afterAutospacing="0" w:line="480" w:lineRule="auto"/>
        <w:ind w:left="720" w:hanging="720"/>
      </w:pPr>
      <w:r>
        <w:lastRenderedPageBreak/>
        <w:t xml:space="preserve">Faraldo Cabana, P. (2007). Legal professionals and money laundering in Spain. </w:t>
      </w:r>
      <w:r>
        <w:rPr>
          <w:i/>
          <w:iCs/>
        </w:rPr>
        <w:t>Journal of Money Laundering Control</w:t>
      </w:r>
      <w:r>
        <w:t xml:space="preserve">, </w:t>
      </w:r>
      <w:r>
        <w:rPr>
          <w:i/>
          <w:iCs/>
        </w:rPr>
        <w:t>10</w:t>
      </w:r>
      <w:r>
        <w:t>(3), 318–336. https://doi.org/10.1108/13685200710763489</w:t>
      </w:r>
    </w:p>
    <w:p w14:paraId="5285B0BF" w14:textId="77777777" w:rsidR="00C145A8" w:rsidRDefault="00C145A8" w:rsidP="00C145A8">
      <w:pPr>
        <w:pStyle w:val="NormalWeb"/>
        <w:spacing w:before="0" w:beforeAutospacing="0" w:after="0" w:afterAutospacing="0" w:line="480" w:lineRule="auto"/>
        <w:ind w:left="720" w:hanging="720"/>
      </w:pPr>
      <w:r>
        <w:t xml:space="preserve">FATF. (2018). </w:t>
      </w:r>
      <w:r>
        <w:rPr>
          <w:i/>
          <w:iCs/>
        </w:rPr>
        <w:t>Anti-money laundering and counter-terrorist financing measures - Spain: 1st Regular Follow-up Report &amp; Technical Compliance Re-Rating</w:t>
      </w:r>
      <w:r>
        <w:t>. FATF. https://www.tesoro.es/sites/default/files/avances_de_espana_en_medidas_contra_blanqueo_de_capitales_y_financiacion_del_terrorismo.pdf</w:t>
      </w:r>
    </w:p>
    <w:p w14:paraId="6DDA7476" w14:textId="77777777" w:rsidR="00C145A8" w:rsidRDefault="00C145A8" w:rsidP="00C145A8">
      <w:pPr>
        <w:pStyle w:val="NormalWeb"/>
        <w:spacing w:before="0" w:beforeAutospacing="0" w:after="0" w:afterAutospacing="0" w:line="480" w:lineRule="auto"/>
        <w:ind w:left="720" w:hanging="720"/>
      </w:pPr>
      <w:r>
        <w:t xml:space="preserve">FATF. (2025). Methodology for Assessing Technical Compliance with the FATF Recommendations and the Effectiveness of AML/CFT/CPF Systems. In </w:t>
      </w:r>
      <w:r>
        <w:rPr>
          <w:i/>
          <w:iCs/>
        </w:rPr>
        <w:t>FATF</w:t>
      </w:r>
      <w:r>
        <w:t>. FATF. https://www.fatf-gafi.org/content/dam/fatf-gafi/methodology/FATF-Assessment-Methodology-2022.pdf.coredownload.inline.pdf?nocache=true</w:t>
      </w:r>
    </w:p>
    <w:p w14:paraId="70B2D457" w14:textId="77777777" w:rsidR="00C145A8" w:rsidRDefault="00C145A8" w:rsidP="00C145A8">
      <w:pPr>
        <w:pStyle w:val="NormalWeb"/>
        <w:spacing w:before="0" w:beforeAutospacing="0" w:after="0" w:afterAutospacing="0" w:line="480" w:lineRule="auto"/>
        <w:ind w:left="720" w:hanging="720"/>
      </w:pPr>
      <w:r>
        <w:t xml:space="preserve">Flores Martin, A. R., &amp; Gonzalez Botija, F. (2017). La lucha contra el blanqueo de capitales y la financiación del terrorismo tras la adhesion de España a la UE. (The Fight against Money Laundering and Terrorist Financing since Spain Joined the EU. With English summary.). </w:t>
      </w:r>
      <w:r>
        <w:rPr>
          <w:i/>
          <w:iCs/>
        </w:rPr>
        <w:t>Revista Universitaria Europea, January-June</w:t>
      </w:r>
      <w:r>
        <w:t xml:space="preserve">, </w:t>
      </w:r>
      <w:r>
        <w:rPr>
          <w:i/>
          <w:iCs/>
        </w:rPr>
        <w:t>26</w:t>
      </w:r>
      <w:r>
        <w:t>, 21–120. https://research.ebsco.com/c/ixu5zv/search/details/xf4sgawvkn?db=a9h%2Cpsyh%2Crfh%2Cbth%2Cccm%2Cnlebk%2Ce680sww%2Ceoh%2Ceoah%2Ceric%2Cflh%2Clxh%2Ccmedm%2Cmdc%2Crvh%2Cnsm%2Coah%2Cddu%2Clsdpd%2Cpbh%2Cbwh%2Cswh%2Csih&amp;limiters=None&amp;q=money%20laundering%20in%20spain&amp;searchMode=boolean</w:t>
      </w:r>
    </w:p>
    <w:p w14:paraId="17890904" w14:textId="77777777" w:rsidR="00C145A8" w:rsidRDefault="00C145A8" w:rsidP="00C145A8">
      <w:pPr>
        <w:pStyle w:val="NormalWeb"/>
        <w:spacing w:before="0" w:beforeAutospacing="0" w:after="0" w:afterAutospacing="0" w:line="480" w:lineRule="auto"/>
        <w:ind w:left="720" w:hanging="720"/>
      </w:pPr>
      <w:r>
        <w:t xml:space="preserve">Gabinete de Prensa de la Dirección General de la Policía. (2025, February 19). Desarticulada una red de la mafia rusa que blanqueaba dinero del crimen organizado en España. </w:t>
      </w:r>
      <w:r>
        <w:rPr>
          <w:i/>
          <w:iCs/>
        </w:rPr>
        <w:t>Ministerio Del Interior</w:t>
      </w:r>
      <w:r>
        <w:t>. https://policia.es/_es/comunicacion_prensa_detalle.php?ID=16469#</w:t>
      </w:r>
    </w:p>
    <w:p w14:paraId="7F2B9838" w14:textId="77777777" w:rsidR="00C145A8" w:rsidRDefault="00C145A8" w:rsidP="00C145A8">
      <w:pPr>
        <w:pStyle w:val="NormalWeb"/>
        <w:spacing w:before="0" w:beforeAutospacing="0" w:after="0" w:afterAutospacing="0" w:line="480" w:lineRule="auto"/>
        <w:ind w:left="720" w:hanging="720"/>
      </w:pPr>
      <w:r>
        <w:lastRenderedPageBreak/>
        <w:t xml:space="preserve">Gil Soriano, A. (2016). Spain: financial ownership file and money laundering prevention. </w:t>
      </w:r>
      <w:r>
        <w:rPr>
          <w:i/>
          <w:iCs/>
        </w:rPr>
        <w:t>Journal of Money Laundering Control</w:t>
      </w:r>
      <w:r>
        <w:t xml:space="preserve">, </w:t>
      </w:r>
      <w:r>
        <w:rPr>
          <w:i/>
          <w:iCs/>
        </w:rPr>
        <w:t>19</w:t>
      </w:r>
      <w:r>
        <w:t>(3), 238–248. https://doi.org/10.1108/jmlc-10-2014-0030</w:t>
      </w:r>
    </w:p>
    <w:p w14:paraId="467B9E45" w14:textId="77777777" w:rsidR="00C145A8" w:rsidRDefault="00C145A8" w:rsidP="00C145A8">
      <w:pPr>
        <w:pStyle w:val="NormalWeb"/>
        <w:spacing w:before="0" w:beforeAutospacing="0" w:after="0" w:afterAutospacing="0" w:line="480" w:lineRule="auto"/>
        <w:ind w:left="720" w:hanging="720"/>
      </w:pPr>
      <w:r>
        <w:t xml:space="preserve">Jafri, A. (2025, May 14). </w:t>
      </w:r>
      <w:r>
        <w:rPr>
          <w:i/>
          <w:iCs/>
        </w:rPr>
        <w:t>Europol, Spanish police dismantle “mafia crypto bank” laundering funds across continents</w:t>
      </w:r>
      <w:r>
        <w:t>. CryptoSlate. https://cryptoslate.com/europol-spanish-police-dismantle-mafia-crypto-bank-laundering-funds-across-continents/</w:t>
      </w:r>
    </w:p>
    <w:p w14:paraId="0F73958F" w14:textId="77777777" w:rsidR="00C145A8" w:rsidRDefault="00C145A8" w:rsidP="00C145A8">
      <w:pPr>
        <w:pStyle w:val="NormalWeb"/>
        <w:spacing w:before="0" w:beforeAutospacing="0" w:after="0" w:afterAutospacing="0" w:line="480" w:lineRule="auto"/>
        <w:ind w:left="720" w:hanging="720"/>
      </w:pPr>
      <w:r>
        <w:t xml:space="preserve">Law 10/2010 of 28 April on the prevention of money laundering and terrorist financing. </w:t>
      </w:r>
      <w:r>
        <w:rPr>
          <w:i/>
          <w:iCs/>
        </w:rPr>
        <w:t>(Boletín Oficial del Estado, No. 103, 29 April 2010). </w:t>
      </w:r>
      <w:r>
        <w:t xml:space="preserve">https://www.boe.es/buscar/act.php?id=BOE-A-2010-6737 </w:t>
      </w:r>
    </w:p>
    <w:p w14:paraId="603D5648" w14:textId="77777777" w:rsidR="00C145A8" w:rsidRDefault="00C145A8" w:rsidP="00C145A8">
      <w:pPr>
        <w:pStyle w:val="NormalWeb"/>
        <w:spacing w:before="0" w:beforeAutospacing="0" w:after="0" w:afterAutospacing="0" w:line="480" w:lineRule="auto"/>
        <w:ind w:left="720" w:hanging="720"/>
      </w:pPr>
      <w:r>
        <w:t xml:space="preserve">Lesenfants Ramos, N. (2025, February 21). </w:t>
      </w:r>
      <w:r>
        <w:rPr>
          <w:i/>
          <w:iCs/>
        </w:rPr>
        <w:t>Spain, Portugal Bust Russian-Led Money Laundering Ring</w:t>
      </w:r>
      <w:r>
        <w:t>. OCCRP. https://www.occrp.org/en/news/spain-portugal-bust-russian-led-money-laundering-ring</w:t>
      </w:r>
    </w:p>
    <w:p w14:paraId="2C23DF00" w14:textId="77777777" w:rsidR="00C145A8" w:rsidRDefault="00C145A8" w:rsidP="00C145A8">
      <w:pPr>
        <w:pStyle w:val="NormalWeb"/>
        <w:spacing w:before="0" w:beforeAutospacing="0" w:after="0" w:afterAutospacing="0" w:line="480" w:lineRule="auto"/>
        <w:ind w:left="720" w:hanging="720"/>
      </w:pPr>
      <w:r>
        <w:t xml:space="preserve">López Aguilar, J. F. (2025). Estrategia europea anticorrupción y antiblanqueo de capitales: Marco UE de estado de derecho y actos legislativos. </w:t>
      </w:r>
      <w:r>
        <w:rPr>
          <w:i/>
          <w:iCs/>
        </w:rPr>
        <w:t>Encuentros Multidisciplinares</w:t>
      </w:r>
      <w:r>
        <w:t xml:space="preserve">, </w:t>
      </w:r>
      <w:r>
        <w:rPr>
          <w:i/>
          <w:iCs/>
        </w:rPr>
        <w:t>27</w:t>
      </w:r>
      <w:r>
        <w:t>(79). https://dialnet.unirioja.es/servlet/articulo?codigo=10138993</w:t>
      </w:r>
    </w:p>
    <w:p w14:paraId="772ECA7B" w14:textId="77777777" w:rsidR="00C145A8" w:rsidRDefault="00C145A8" w:rsidP="00C145A8">
      <w:pPr>
        <w:pStyle w:val="NormalWeb"/>
        <w:spacing w:before="0" w:beforeAutospacing="0" w:after="0" w:afterAutospacing="0" w:line="480" w:lineRule="auto"/>
        <w:ind w:left="720" w:hanging="720"/>
      </w:pPr>
      <w:r>
        <w:t xml:space="preserve">López, D. G. (2025). </w:t>
      </w:r>
      <w:r>
        <w:rPr>
          <w:i/>
          <w:iCs/>
        </w:rPr>
        <w:t>Inteligencia y toma de decisiones perspectivas actuales</w:t>
      </w:r>
      <w:r>
        <w:t>. Colex. https://www.colexopenaccess.com/libros/inteligencia-y-toma-decisiones-perspectivas-actuales-8200</w:t>
      </w:r>
    </w:p>
    <w:p w14:paraId="591AB576" w14:textId="77777777" w:rsidR="00C145A8" w:rsidRDefault="00C145A8" w:rsidP="00C145A8">
      <w:pPr>
        <w:pStyle w:val="NormalWeb"/>
        <w:spacing w:before="0" w:beforeAutospacing="0" w:after="0" w:afterAutospacing="0" w:line="480" w:lineRule="auto"/>
        <w:ind w:left="720" w:hanging="720"/>
      </w:pPr>
      <w:r>
        <w:t xml:space="preserve">Mat Isa, Y., Mohd Sanusi, Z., Prabowo, H. Y., &amp; Tarjo, T. (2025). Routine activity theory and the dynamics of money laundering: reassessing emerging threats in banking operations. </w:t>
      </w:r>
      <w:r>
        <w:rPr>
          <w:i/>
          <w:iCs/>
        </w:rPr>
        <w:t>Journal of Money Laundering Control</w:t>
      </w:r>
      <w:r>
        <w:t xml:space="preserve">, </w:t>
      </w:r>
      <w:r>
        <w:rPr>
          <w:i/>
          <w:iCs/>
        </w:rPr>
        <w:t>28</w:t>
      </w:r>
      <w:r>
        <w:t>(6), 764–775. https://doi.org/10.1108/jmlc-06-2025-0106</w:t>
      </w:r>
    </w:p>
    <w:p w14:paraId="70B0558B" w14:textId="77777777" w:rsidR="00C145A8" w:rsidRDefault="00C145A8" w:rsidP="00C145A8">
      <w:pPr>
        <w:pStyle w:val="NormalWeb"/>
        <w:spacing w:before="0" w:beforeAutospacing="0" w:after="0" w:afterAutospacing="0" w:line="480" w:lineRule="auto"/>
        <w:ind w:left="720" w:hanging="720"/>
      </w:pPr>
      <w:r>
        <w:t xml:space="preserve">Ministerio del Interior. (2025, February 13). </w:t>
      </w:r>
      <w:r>
        <w:rPr>
          <w:i/>
          <w:iCs/>
        </w:rPr>
        <w:t>Detenidas cinco personas por violación del embargo de productos químicos a Rusia</w:t>
      </w:r>
      <w:r>
        <w:t xml:space="preserve">. Interior.gob.es; Ministerio del Interior. </w:t>
      </w:r>
      <w:r>
        <w:lastRenderedPageBreak/>
        <w:t>https://www.interior.gob.es/opencms/es/detalle/articulo/Detenidas-cinco-personas-por-violacion-del-embargo-de-productos-quimicos-a-Rusia</w:t>
      </w:r>
    </w:p>
    <w:p w14:paraId="37CEA1FE" w14:textId="77777777" w:rsidR="00C145A8" w:rsidRDefault="00C145A8" w:rsidP="00C145A8">
      <w:pPr>
        <w:pStyle w:val="NormalWeb"/>
        <w:spacing w:before="0" w:beforeAutospacing="0" w:after="0" w:afterAutospacing="0" w:line="480" w:lineRule="auto"/>
        <w:ind w:left="720" w:hanging="720"/>
      </w:pPr>
      <w:r>
        <w:t xml:space="preserve">Nieto-Montero, J. J. (2021). Money Laundering and Tax Crimes in Spain: Doctrine and Jurisprudence. </w:t>
      </w:r>
      <w:r>
        <w:rPr>
          <w:i/>
          <w:iCs/>
        </w:rPr>
        <w:t>International Annals of Criminology</w:t>
      </w:r>
      <w:r>
        <w:t xml:space="preserve">, </w:t>
      </w:r>
      <w:r>
        <w:rPr>
          <w:i/>
          <w:iCs/>
        </w:rPr>
        <w:t>59</w:t>
      </w:r>
      <w:r>
        <w:t>(1), 73–87. https://doi.org/10.1017/cri.2021.8</w:t>
      </w:r>
    </w:p>
    <w:p w14:paraId="0D2967B7" w14:textId="77777777" w:rsidR="00C145A8" w:rsidRDefault="00C145A8" w:rsidP="00C145A8">
      <w:pPr>
        <w:pStyle w:val="NormalWeb"/>
        <w:spacing w:before="0" w:beforeAutospacing="0" w:after="0" w:afterAutospacing="0" w:line="480" w:lineRule="auto"/>
        <w:ind w:left="720" w:hanging="720"/>
      </w:pPr>
      <w:r>
        <w:t xml:space="preserve">O’Donoghue, P. (2025, February 19). NEWS: 14 arrested in €300k a day Russian Hawala money laundering-as-a-service ring in Spain, Portugal - AML Intelligence. </w:t>
      </w:r>
      <w:r>
        <w:rPr>
          <w:i/>
          <w:iCs/>
        </w:rPr>
        <w:t>AML Intelligence</w:t>
      </w:r>
      <w:r>
        <w:t>. https://www.amlintelligence.com/2025/02/news-14-arrested-as-spain-and-portugal-hit-e300k-a-day-russian-money-laundering-gang/</w:t>
      </w:r>
    </w:p>
    <w:p w14:paraId="087C942D" w14:textId="77777777" w:rsidR="00C145A8" w:rsidRDefault="00C145A8" w:rsidP="00C145A8">
      <w:pPr>
        <w:pStyle w:val="NormalWeb"/>
        <w:spacing w:before="0" w:beforeAutospacing="0" w:after="0" w:afterAutospacing="0" w:line="480" w:lineRule="auto"/>
        <w:ind w:left="720" w:hanging="720"/>
      </w:pPr>
      <w:r>
        <w:t xml:space="preserve">Parandeh, S. C. (2009). Hawala: The fund transfer methodology that evades surbeillance. </w:t>
      </w:r>
      <w:r>
        <w:rPr>
          <w:i/>
          <w:iCs/>
        </w:rPr>
        <w:t>Journal of Corporate Treasury Management</w:t>
      </w:r>
      <w:r>
        <w:t xml:space="preserve">, </w:t>
      </w:r>
      <w:r>
        <w:rPr>
          <w:i/>
          <w:iCs/>
        </w:rPr>
        <w:t>3</w:t>
      </w:r>
      <w:r>
        <w:t>(1), 22–32. https://research.ebsco.com/c/ixu5zv/search/details/l4yd3zrxc5?db=a9h%2Cpsyh%2Crfh%2Cbth%2Cccm%2Cnlebk%2Ce680sww%2Ceoh%2Ceoah%2Ceric%2Cflh%2Clxh%2Ccmedm%2Cmdc%2Crvh%2Cnsm%2Coah%2Cddu%2Clsdpd%2Cpbh%2Cbwh%2Cswh%2Csih&amp;limiters=None&amp;q=Hawala%3A%20The%20fund%20transfer%20methodology%20that%20evades%20surveillance&amp;searchMode=boolean</w:t>
      </w:r>
    </w:p>
    <w:p w14:paraId="2E4D3AC5" w14:textId="77777777" w:rsidR="00C145A8" w:rsidRDefault="00C145A8" w:rsidP="00C145A8">
      <w:pPr>
        <w:pStyle w:val="NormalWeb"/>
        <w:spacing w:before="0" w:beforeAutospacing="0" w:after="0" w:afterAutospacing="0" w:line="480" w:lineRule="auto"/>
        <w:ind w:left="720" w:hanging="720"/>
      </w:pPr>
      <w:r>
        <w:t xml:space="preserve">Policía Nacional. (2025). Desarticulada una red de la mafia rusa que blanqueaba dinero del crimen organizado en España. In </w:t>
      </w:r>
      <w:r>
        <w:rPr>
          <w:i/>
          <w:iCs/>
        </w:rPr>
        <w:t>YouTube</w:t>
      </w:r>
      <w:r>
        <w:t>. https://www.youtube.com/watch?v=IrHudg93SNE</w:t>
      </w:r>
    </w:p>
    <w:p w14:paraId="63D468C9" w14:textId="77777777" w:rsidR="00C145A8" w:rsidRDefault="00C145A8" w:rsidP="00C145A8">
      <w:pPr>
        <w:pStyle w:val="NormalWeb"/>
        <w:spacing w:before="0" w:beforeAutospacing="0" w:after="0" w:afterAutospacing="0" w:line="480" w:lineRule="auto"/>
        <w:ind w:left="720" w:hanging="720"/>
      </w:pPr>
      <w:r>
        <w:t xml:space="preserve">United Nations Office on Drugs and Crime. (2011). </w:t>
      </w:r>
      <w:r>
        <w:rPr>
          <w:i/>
          <w:iCs/>
        </w:rPr>
        <w:t>Estimating illicit financial flows resulting from drug trafficking and other transnational organized crimess</w:t>
      </w:r>
      <w:r>
        <w:t>. https://www.unodc.org/documents/data-and-analysis/Studies/Illicit_financial_flows_2011_web.pdf</w:t>
      </w:r>
    </w:p>
    <w:p w14:paraId="66C4E353" w14:textId="77777777" w:rsidR="00C145A8" w:rsidRDefault="00C145A8" w:rsidP="00C145A8">
      <w:pPr>
        <w:pStyle w:val="NormalWeb"/>
        <w:spacing w:before="0" w:beforeAutospacing="0" w:after="0" w:afterAutospacing="0" w:line="480" w:lineRule="auto"/>
        <w:ind w:left="720" w:hanging="720"/>
      </w:pPr>
      <w:r>
        <w:lastRenderedPageBreak/>
        <w:t xml:space="preserve">United Nations Office on Drugs and Crime. (2023). The Hawala system: Its operations and misuse by opiate traffickers and migrant smugglers. In </w:t>
      </w:r>
      <w:r>
        <w:rPr>
          <w:i/>
          <w:iCs/>
        </w:rPr>
        <w:t>UNODC</w:t>
      </w:r>
      <w:r>
        <w:t>. https://www.unodc.org/documents/data-and-analysis/AOTP/Hawala_Digital.pdf</w:t>
      </w:r>
    </w:p>
    <w:p w14:paraId="2A51CE1B" w14:textId="77777777" w:rsidR="00C145A8" w:rsidRDefault="00C145A8" w:rsidP="00C145A8">
      <w:pPr>
        <w:pStyle w:val="NormalWeb"/>
        <w:spacing w:before="0" w:beforeAutospacing="0" w:after="0" w:afterAutospacing="0" w:line="480" w:lineRule="auto"/>
        <w:ind w:left="720" w:hanging="720"/>
      </w:pPr>
      <w:r>
        <w:t xml:space="preserve">Webster, E. (2025, February 19). Russian mafia money-laundering gang broken up in Spain. </w:t>
      </w:r>
      <w:r>
        <w:rPr>
          <w:i/>
          <w:iCs/>
        </w:rPr>
        <w:t>BBC</w:t>
      </w:r>
      <w:r>
        <w:t>. https://www.bbc.com/news/articles/c8d4pl7lemyo</w:t>
      </w:r>
    </w:p>
    <w:p w14:paraId="29538091" w14:textId="77777777" w:rsidR="00C145A8" w:rsidRPr="00B83739" w:rsidRDefault="00C145A8" w:rsidP="00B83739">
      <w:pPr>
        <w:rPr>
          <w:lang w:val="en-ES"/>
        </w:rPr>
      </w:pPr>
    </w:p>
    <w:sectPr w:rsidR="00C145A8" w:rsidRPr="00B83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39"/>
    <w:rsid w:val="00012DDE"/>
    <w:rsid w:val="000E1B56"/>
    <w:rsid w:val="00132ADC"/>
    <w:rsid w:val="002F774C"/>
    <w:rsid w:val="003E6B90"/>
    <w:rsid w:val="004A1640"/>
    <w:rsid w:val="004A56CD"/>
    <w:rsid w:val="004D099B"/>
    <w:rsid w:val="00597E88"/>
    <w:rsid w:val="00673C99"/>
    <w:rsid w:val="00693238"/>
    <w:rsid w:val="007761B8"/>
    <w:rsid w:val="00826235"/>
    <w:rsid w:val="00831DAE"/>
    <w:rsid w:val="00867CA3"/>
    <w:rsid w:val="008A42E1"/>
    <w:rsid w:val="00AE6794"/>
    <w:rsid w:val="00B16192"/>
    <w:rsid w:val="00B76785"/>
    <w:rsid w:val="00B83739"/>
    <w:rsid w:val="00B94139"/>
    <w:rsid w:val="00BA4480"/>
    <w:rsid w:val="00BB0409"/>
    <w:rsid w:val="00BD4488"/>
    <w:rsid w:val="00BE7FC4"/>
    <w:rsid w:val="00C145A8"/>
    <w:rsid w:val="00CA7A15"/>
    <w:rsid w:val="00CB42FB"/>
    <w:rsid w:val="00D207ED"/>
    <w:rsid w:val="00D46587"/>
    <w:rsid w:val="00DD77F0"/>
    <w:rsid w:val="00DF1D18"/>
    <w:rsid w:val="00FB3F94"/>
    <w:rsid w:val="00FD3BAD"/>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46975F80"/>
  <w15:chartTrackingRefBased/>
  <w15:docId w15:val="{434190C8-49B6-4C44-A34A-187CDDD0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739"/>
    <w:pPr>
      <w:spacing w:line="480" w:lineRule="auto"/>
      <w:ind w:firstLine="720"/>
    </w:pPr>
    <w:rPr>
      <w:rFonts w:ascii="Times New Roman" w:hAnsi="Times New Roman"/>
      <w:lang w:val="en-GB"/>
    </w:rPr>
  </w:style>
  <w:style w:type="paragraph" w:styleId="Heading1">
    <w:name w:val="heading 1"/>
    <w:basedOn w:val="Normal"/>
    <w:next w:val="Normal"/>
    <w:link w:val="Heading1Char"/>
    <w:autoRedefine/>
    <w:uiPriority w:val="9"/>
    <w:qFormat/>
    <w:rsid w:val="00B83739"/>
    <w:pPr>
      <w:keepNext/>
      <w:keepLines/>
      <w:spacing w:before="360" w:after="80"/>
      <w:ind w:firstLine="0"/>
      <w:outlineLvl w:val="0"/>
    </w:pPr>
    <w:rPr>
      <w:rFonts w:eastAsiaTheme="majorEastAsia" w:cstheme="majorBidi"/>
      <w:b/>
      <w:color w:val="0F4761" w:themeColor="accent1" w:themeShade="BF"/>
      <w:szCs w:val="40"/>
    </w:rPr>
  </w:style>
  <w:style w:type="paragraph" w:styleId="Heading2">
    <w:name w:val="heading 2"/>
    <w:basedOn w:val="Normal"/>
    <w:next w:val="Normal"/>
    <w:link w:val="Heading2Char"/>
    <w:autoRedefine/>
    <w:uiPriority w:val="9"/>
    <w:unhideWhenUsed/>
    <w:qFormat/>
    <w:rsid w:val="00B83739"/>
    <w:pPr>
      <w:keepNext/>
      <w:keepLines/>
      <w:spacing w:before="160" w:after="80"/>
      <w:outlineLvl w:val="1"/>
    </w:pPr>
    <w:rPr>
      <w:rFonts w:eastAsiaTheme="majorEastAsia" w:cstheme="majorBidi"/>
      <w:color w:val="0F4761" w:themeColor="accent1" w:themeShade="BF"/>
      <w:szCs w:val="32"/>
      <w:u w:val="single"/>
    </w:rPr>
  </w:style>
  <w:style w:type="paragraph" w:styleId="Heading3">
    <w:name w:val="heading 3"/>
    <w:basedOn w:val="Normal"/>
    <w:next w:val="Normal"/>
    <w:link w:val="Heading3Char"/>
    <w:uiPriority w:val="9"/>
    <w:semiHidden/>
    <w:unhideWhenUsed/>
    <w:qFormat/>
    <w:rsid w:val="00B83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739"/>
    <w:rPr>
      <w:rFonts w:ascii="Times New Roman" w:eastAsiaTheme="majorEastAsia" w:hAnsi="Times New Roman" w:cstheme="majorBidi"/>
      <w:b/>
      <w:color w:val="0F4761" w:themeColor="accent1" w:themeShade="BF"/>
      <w:szCs w:val="40"/>
      <w:lang w:val="en-GB"/>
    </w:rPr>
  </w:style>
  <w:style w:type="character" w:customStyle="1" w:styleId="Heading2Char">
    <w:name w:val="Heading 2 Char"/>
    <w:basedOn w:val="DefaultParagraphFont"/>
    <w:link w:val="Heading2"/>
    <w:uiPriority w:val="9"/>
    <w:rsid w:val="00B83739"/>
    <w:rPr>
      <w:rFonts w:ascii="Times New Roman" w:eastAsiaTheme="majorEastAsia" w:hAnsi="Times New Roman" w:cstheme="majorBidi"/>
      <w:color w:val="0F4761" w:themeColor="accent1" w:themeShade="BF"/>
      <w:szCs w:val="32"/>
      <w:u w:val="single"/>
      <w:lang w:val="en-GB"/>
    </w:rPr>
  </w:style>
  <w:style w:type="character" w:customStyle="1" w:styleId="Heading3Char">
    <w:name w:val="Heading 3 Char"/>
    <w:basedOn w:val="DefaultParagraphFont"/>
    <w:link w:val="Heading3"/>
    <w:uiPriority w:val="9"/>
    <w:semiHidden/>
    <w:rsid w:val="00B8373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8373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8373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8373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8373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8373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8373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83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73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83739"/>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73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83739"/>
    <w:pPr>
      <w:spacing w:before="160"/>
      <w:jc w:val="center"/>
    </w:pPr>
    <w:rPr>
      <w:i/>
      <w:iCs/>
      <w:color w:val="404040" w:themeColor="text1" w:themeTint="BF"/>
    </w:rPr>
  </w:style>
  <w:style w:type="character" w:customStyle="1" w:styleId="QuoteChar">
    <w:name w:val="Quote Char"/>
    <w:basedOn w:val="DefaultParagraphFont"/>
    <w:link w:val="Quote"/>
    <w:uiPriority w:val="29"/>
    <w:rsid w:val="00B83739"/>
    <w:rPr>
      <w:i/>
      <w:iCs/>
      <w:color w:val="404040" w:themeColor="text1" w:themeTint="BF"/>
      <w:lang w:val="en-GB"/>
    </w:rPr>
  </w:style>
  <w:style w:type="paragraph" w:styleId="ListParagraph">
    <w:name w:val="List Paragraph"/>
    <w:basedOn w:val="Normal"/>
    <w:uiPriority w:val="34"/>
    <w:qFormat/>
    <w:rsid w:val="00B83739"/>
    <w:pPr>
      <w:ind w:left="720"/>
      <w:contextualSpacing/>
    </w:pPr>
  </w:style>
  <w:style w:type="character" w:styleId="IntenseEmphasis">
    <w:name w:val="Intense Emphasis"/>
    <w:basedOn w:val="DefaultParagraphFont"/>
    <w:uiPriority w:val="21"/>
    <w:qFormat/>
    <w:rsid w:val="00B83739"/>
    <w:rPr>
      <w:i/>
      <w:iCs/>
      <w:color w:val="0F4761" w:themeColor="accent1" w:themeShade="BF"/>
    </w:rPr>
  </w:style>
  <w:style w:type="paragraph" w:styleId="IntenseQuote">
    <w:name w:val="Intense Quote"/>
    <w:basedOn w:val="Normal"/>
    <w:next w:val="Normal"/>
    <w:link w:val="IntenseQuoteChar"/>
    <w:uiPriority w:val="30"/>
    <w:qFormat/>
    <w:rsid w:val="00B83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739"/>
    <w:rPr>
      <w:i/>
      <w:iCs/>
      <w:color w:val="0F4761" w:themeColor="accent1" w:themeShade="BF"/>
      <w:lang w:val="en-GB"/>
    </w:rPr>
  </w:style>
  <w:style w:type="character" w:styleId="IntenseReference">
    <w:name w:val="Intense Reference"/>
    <w:basedOn w:val="DefaultParagraphFont"/>
    <w:uiPriority w:val="32"/>
    <w:qFormat/>
    <w:rsid w:val="00B83739"/>
    <w:rPr>
      <w:b/>
      <w:bCs/>
      <w:smallCaps/>
      <w:color w:val="0F4761" w:themeColor="accent1" w:themeShade="BF"/>
      <w:spacing w:val="5"/>
    </w:rPr>
  </w:style>
  <w:style w:type="paragraph" w:styleId="TOCHeading">
    <w:name w:val="TOC Heading"/>
    <w:basedOn w:val="Heading1"/>
    <w:next w:val="Normal"/>
    <w:uiPriority w:val="39"/>
    <w:unhideWhenUsed/>
    <w:qFormat/>
    <w:rsid w:val="00B83739"/>
    <w:pPr>
      <w:spacing w:before="480" w:after="0" w:line="276" w:lineRule="auto"/>
      <w:outlineLvl w:val="9"/>
    </w:pPr>
    <w:rPr>
      <w:b w:val="0"/>
      <w:bCs/>
      <w:kern w:val="0"/>
      <w:sz w:val="28"/>
      <w:szCs w:val="28"/>
      <w:lang w:val="en-US"/>
      <w14:ligatures w14:val="none"/>
    </w:rPr>
  </w:style>
  <w:style w:type="paragraph" w:styleId="TOC1">
    <w:name w:val="toc 1"/>
    <w:basedOn w:val="Normal"/>
    <w:next w:val="Normal"/>
    <w:autoRedefine/>
    <w:uiPriority w:val="39"/>
    <w:unhideWhenUsed/>
    <w:rsid w:val="00B83739"/>
    <w:pPr>
      <w:spacing w:before="120" w:after="120"/>
    </w:pPr>
    <w:rPr>
      <w:b/>
      <w:bCs/>
      <w:caps/>
      <w:sz w:val="20"/>
      <w:szCs w:val="20"/>
    </w:rPr>
  </w:style>
  <w:style w:type="paragraph" w:styleId="TOC2">
    <w:name w:val="toc 2"/>
    <w:basedOn w:val="Normal"/>
    <w:next w:val="Normal"/>
    <w:autoRedefine/>
    <w:uiPriority w:val="39"/>
    <w:unhideWhenUsed/>
    <w:rsid w:val="00B83739"/>
    <w:pPr>
      <w:spacing w:after="0"/>
      <w:ind w:left="240"/>
    </w:pPr>
    <w:rPr>
      <w:smallCaps/>
      <w:sz w:val="20"/>
      <w:szCs w:val="20"/>
    </w:rPr>
  </w:style>
  <w:style w:type="paragraph" w:styleId="TOC3">
    <w:name w:val="toc 3"/>
    <w:basedOn w:val="Normal"/>
    <w:next w:val="Normal"/>
    <w:autoRedefine/>
    <w:uiPriority w:val="39"/>
    <w:semiHidden/>
    <w:unhideWhenUsed/>
    <w:rsid w:val="00B83739"/>
    <w:pPr>
      <w:spacing w:after="0"/>
      <w:ind w:left="480"/>
    </w:pPr>
    <w:rPr>
      <w:i/>
      <w:iCs/>
      <w:sz w:val="20"/>
      <w:szCs w:val="20"/>
    </w:rPr>
  </w:style>
  <w:style w:type="paragraph" w:styleId="TOC4">
    <w:name w:val="toc 4"/>
    <w:basedOn w:val="Normal"/>
    <w:next w:val="Normal"/>
    <w:autoRedefine/>
    <w:uiPriority w:val="39"/>
    <w:semiHidden/>
    <w:unhideWhenUsed/>
    <w:rsid w:val="00B83739"/>
    <w:pPr>
      <w:spacing w:after="0"/>
      <w:ind w:left="720"/>
    </w:pPr>
    <w:rPr>
      <w:sz w:val="18"/>
      <w:szCs w:val="18"/>
    </w:rPr>
  </w:style>
  <w:style w:type="paragraph" w:styleId="TOC5">
    <w:name w:val="toc 5"/>
    <w:basedOn w:val="Normal"/>
    <w:next w:val="Normal"/>
    <w:autoRedefine/>
    <w:uiPriority w:val="39"/>
    <w:semiHidden/>
    <w:unhideWhenUsed/>
    <w:rsid w:val="00B83739"/>
    <w:pPr>
      <w:spacing w:after="0"/>
      <w:ind w:left="960"/>
    </w:pPr>
    <w:rPr>
      <w:sz w:val="18"/>
      <w:szCs w:val="18"/>
    </w:rPr>
  </w:style>
  <w:style w:type="paragraph" w:styleId="TOC6">
    <w:name w:val="toc 6"/>
    <w:basedOn w:val="Normal"/>
    <w:next w:val="Normal"/>
    <w:autoRedefine/>
    <w:uiPriority w:val="39"/>
    <w:semiHidden/>
    <w:unhideWhenUsed/>
    <w:rsid w:val="00B83739"/>
    <w:pPr>
      <w:spacing w:after="0"/>
      <w:ind w:left="1200"/>
    </w:pPr>
    <w:rPr>
      <w:sz w:val="18"/>
      <w:szCs w:val="18"/>
    </w:rPr>
  </w:style>
  <w:style w:type="paragraph" w:styleId="TOC7">
    <w:name w:val="toc 7"/>
    <w:basedOn w:val="Normal"/>
    <w:next w:val="Normal"/>
    <w:autoRedefine/>
    <w:uiPriority w:val="39"/>
    <w:semiHidden/>
    <w:unhideWhenUsed/>
    <w:rsid w:val="00B83739"/>
    <w:pPr>
      <w:spacing w:after="0"/>
      <w:ind w:left="1440"/>
    </w:pPr>
    <w:rPr>
      <w:sz w:val="18"/>
      <w:szCs w:val="18"/>
    </w:rPr>
  </w:style>
  <w:style w:type="paragraph" w:styleId="TOC8">
    <w:name w:val="toc 8"/>
    <w:basedOn w:val="Normal"/>
    <w:next w:val="Normal"/>
    <w:autoRedefine/>
    <w:uiPriority w:val="39"/>
    <w:semiHidden/>
    <w:unhideWhenUsed/>
    <w:rsid w:val="00B83739"/>
    <w:pPr>
      <w:spacing w:after="0"/>
      <w:ind w:left="1680"/>
    </w:pPr>
    <w:rPr>
      <w:sz w:val="18"/>
      <w:szCs w:val="18"/>
    </w:rPr>
  </w:style>
  <w:style w:type="paragraph" w:styleId="TOC9">
    <w:name w:val="toc 9"/>
    <w:basedOn w:val="Normal"/>
    <w:next w:val="Normal"/>
    <w:autoRedefine/>
    <w:uiPriority w:val="39"/>
    <w:semiHidden/>
    <w:unhideWhenUsed/>
    <w:rsid w:val="00B83739"/>
    <w:pPr>
      <w:spacing w:after="0"/>
      <w:ind w:left="1920"/>
    </w:pPr>
    <w:rPr>
      <w:sz w:val="18"/>
      <w:szCs w:val="18"/>
    </w:rPr>
  </w:style>
  <w:style w:type="paragraph" w:styleId="NormalWeb">
    <w:name w:val="Normal (Web)"/>
    <w:basedOn w:val="Normal"/>
    <w:uiPriority w:val="99"/>
    <w:semiHidden/>
    <w:unhideWhenUsed/>
    <w:rsid w:val="00C145A8"/>
    <w:pPr>
      <w:spacing w:before="100" w:beforeAutospacing="1" w:after="100" w:afterAutospacing="1" w:line="240" w:lineRule="auto"/>
      <w:ind w:firstLine="0"/>
    </w:pPr>
    <w:rPr>
      <w:rFonts w:eastAsia="Times New Roman" w:cs="Times New Roman"/>
      <w:kern w:val="0"/>
      <w:lang w:val="en-ES" w:eastAsia="en-GB"/>
      <w14:ligatures w14:val="none"/>
    </w:rPr>
  </w:style>
  <w:style w:type="character" w:styleId="Hyperlink">
    <w:name w:val="Hyperlink"/>
    <w:basedOn w:val="DefaultParagraphFont"/>
    <w:uiPriority w:val="99"/>
    <w:unhideWhenUsed/>
    <w:rsid w:val="00C145A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418C-D05F-A343-9BB0-8DF11471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7649</Words>
  <Characters>43603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Sanz von Bomhard</dc:creator>
  <cp:keywords/>
  <dc:description/>
  <cp:lastModifiedBy>Elena Sanz von Bomhard</cp:lastModifiedBy>
  <cp:revision>2</cp:revision>
  <dcterms:created xsi:type="dcterms:W3CDTF">2026-05-22T12:16:00Z</dcterms:created>
  <dcterms:modified xsi:type="dcterms:W3CDTF">2026-05-22T12:16:00Z</dcterms:modified>
</cp:coreProperties>
</file>