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831A3" w14:textId="77777777" w:rsidR="00CA171A" w:rsidRPr="00CA171A" w:rsidRDefault="00CA171A" w:rsidP="00CA171A">
      <w:pPr>
        <w:jc w:val="center"/>
        <w:rPr>
          <w:rFonts w:ascii="Times New Roman" w:hAnsi="Times New Roman" w:cs="Times New Roman"/>
          <w:b/>
          <w:bCs/>
        </w:rPr>
      </w:pPr>
      <w:r w:rsidRPr="00CA171A">
        <w:rPr>
          <w:rFonts w:ascii="Times New Roman" w:hAnsi="Times New Roman" w:cs="Times New Roman"/>
          <w:b/>
          <w:bCs/>
        </w:rPr>
        <w:t>IL RUOLO DELLE BANCHE NEL FINANZIAMENTO DELLA CRISI IN SPAGNA</w:t>
      </w:r>
    </w:p>
    <w:p w14:paraId="68E505BE" w14:textId="77777777" w:rsidR="00CA171A" w:rsidRPr="00CA171A" w:rsidRDefault="00CA171A" w:rsidP="00CA171A">
      <w:pPr>
        <w:jc w:val="both"/>
        <w:rPr>
          <w:rFonts w:ascii="Times New Roman" w:hAnsi="Times New Roman" w:cs="Times New Roman"/>
          <w:b/>
          <w:bCs/>
        </w:rPr>
      </w:pPr>
    </w:p>
    <w:p w14:paraId="351A2776" w14:textId="77777777" w:rsidR="00CA171A" w:rsidRPr="00CA171A" w:rsidRDefault="00CA171A" w:rsidP="00CA171A">
      <w:pPr>
        <w:jc w:val="right"/>
        <w:rPr>
          <w:rFonts w:ascii="Times New Roman" w:hAnsi="Times New Roman" w:cs="Times New Roman"/>
        </w:rPr>
      </w:pPr>
      <w:r w:rsidRPr="00CA171A">
        <w:rPr>
          <w:rFonts w:ascii="Times New Roman" w:hAnsi="Times New Roman" w:cs="Times New Roman"/>
        </w:rPr>
        <w:t>Miguel Martínez Muñoz</w:t>
      </w:r>
    </w:p>
    <w:p w14:paraId="4768A0C0" w14:textId="77777777" w:rsidR="00CA171A" w:rsidRPr="00CA171A" w:rsidRDefault="00CA171A" w:rsidP="00CA171A">
      <w:pPr>
        <w:jc w:val="right"/>
        <w:rPr>
          <w:rFonts w:ascii="Times New Roman" w:hAnsi="Times New Roman" w:cs="Times New Roman"/>
        </w:rPr>
      </w:pPr>
      <w:r w:rsidRPr="00CA171A">
        <w:rPr>
          <w:rFonts w:ascii="Times New Roman" w:hAnsi="Times New Roman" w:cs="Times New Roman"/>
        </w:rPr>
        <w:t>Professore di Diritto Commerciale</w:t>
      </w:r>
    </w:p>
    <w:p w14:paraId="13EBB926" w14:textId="77777777" w:rsidR="00CA171A" w:rsidRPr="00CA171A" w:rsidRDefault="00CA171A" w:rsidP="00CA171A">
      <w:pPr>
        <w:jc w:val="right"/>
        <w:rPr>
          <w:rFonts w:ascii="Times New Roman" w:hAnsi="Times New Roman" w:cs="Times New Roman"/>
        </w:rPr>
      </w:pPr>
      <w:r w:rsidRPr="00CA171A">
        <w:rPr>
          <w:rFonts w:ascii="Times New Roman" w:hAnsi="Times New Roman" w:cs="Times New Roman"/>
        </w:rPr>
        <w:t>Università Pontificia Comillas</w:t>
      </w:r>
    </w:p>
    <w:p w14:paraId="552AA0A6" w14:textId="77777777" w:rsidR="00CA171A" w:rsidRPr="00CA171A" w:rsidRDefault="00CA171A" w:rsidP="00CA171A">
      <w:pPr>
        <w:jc w:val="both"/>
        <w:rPr>
          <w:rFonts w:ascii="Times New Roman" w:hAnsi="Times New Roman" w:cs="Times New Roman"/>
        </w:rPr>
      </w:pPr>
    </w:p>
    <w:p w14:paraId="251927E2" w14:textId="4948001C" w:rsidR="00C82020" w:rsidRPr="00CA171A" w:rsidRDefault="00CA171A" w:rsidP="00CA171A">
      <w:pPr>
        <w:jc w:val="both"/>
        <w:rPr>
          <w:rFonts w:ascii="Times New Roman" w:hAnsi="Times New Roman" w:cs="Times New Roman"/>
        </w:rPr>
      </w:pPr>
      <w:r w:rsidRPr="00CA171A">
        <w:rPr>
          <w:rFonts w:ascii="Times New Roman" w:hAnsi="Times New Roman" w:cs="Times New Roman"/>
        </w:rPr>
        <w:t>Sommario: I. INTRODUZIONE. II. LA FORMAZIONE DELLE CLASSI E IL TRASCINAMENTO DEI CREDITORI. III. LA DENATURALIZZAZIONE DELLA FUNZIONE DELLE GARANZIE REALI. IV. NUOVO FINANZIAMENTO E FINANZIAMENTO INTERINALE. V. CONCLUSIONI.</w:t>
      </w:r>
    </w:p>
    <w:p w14:paraId="6A39203D" w14:textId="77777777" w:rsidR="00CA171A" w:rsidRPr="00043B85" w:rsidRDefault="00CA171A" w:rsidP="00CA171A">
      <w:pPr>
        <w:jc w:val="both"/>
        <w:rPr>
          <w:rFonts w:ascii="Times New Roman" w:hAnsi="Times New Roman" w:cs="Times New Roman"/>
        </w:rPr>
      </w:pPr>
    </w:p>
    <w:p w14:paraId="33EF9F78" w14:textId="598C0FBA" w:rsidR="00C82020" w:rsidRPr="00274330" w:rsidRDefault="00C82020" w:rsidP="00043B85">
      <w:pPr>
        <w:pStyle w:val="Prrafodelista"/>
        <w:numPr>
          <w:ilvl w:val="0"/>
          <w:numId w:val="1"/>
        </w:numPr>
        <w:jc w:val="both"/>
        <w:rPr>
          <w:rFonts w:ascii="Times New Roman" w:hAnsi="Times New Roman" w:cs="Times New Roman"/>
          <w:b/>
          <w:bCs/>
        </w:rPr>
      </w:pPr>
      <w:r w:rsidRPr="00274330">
        <w:rPr>
          <w:rFonts w:ascii="Times New Roman" w:hAnsi="Times New Roman" w:cs="Times New Roman"/>
          <w:b/>
          <w:bCs/>
        </w:rPr>
        <w:t>INTRODU</w:t>
      </w:r>
      <w:r w:rsidR="00CA171A">
        <w:rPr>
          <w:rFonts w:ascii="Times New Roman" w:hAnsi="Times New Roman" w:cs="Times New Roman"/>
          <w:b/>
          <w:bCs/>
        </w:rPr>
        <w:t>ZIONE</w:t>
      </w:r>
    </w:p>
    <w:p w14:paraId="5727E0C5" w14:textId="2AC7682D" w:rsidR="00C82020" w:rsidRPr="00043B85" w:rsidRDefault="00C82020" w:rsidP="00043B85">
      <w:pPr>
        <w:jc w:val="both"/>
        <w:rPr>
          <w:rFonts w:ascii="Times New Roman" w:hAnsi="Times New Roman" w:cs="Times New Roman"/>
        </w:rPr>
      </w:pPr>
    </w:p>
    <w:p w14:paraId="3EF4486F" w14:textId="12AF8882" w:rsidR="00C82020" w:rsidRPr="00043B85" w:rsidRDefault="00CA171A" w:rsidP="00CA171A">
      <w:pPr>
        <w:jc w:val="both"/>
        <w:rPr>
          <w:rFonts w:ascii="Times New Roman" w:hAnsi="Times New Roman" w:cs="Times New Roman"/>
        </w:rPr>
      </w:pPr>
      <w:r w:rsidRPr="00CA171A">
        <w:rPr>
          <w:rFonts w:ascii="Times New Roman" w:hAnsi="Times New Roman" w:cs="Times New Roman"/>
        </w:rPr>
        <w:t>Le banche nel sistema finanziario svolgono un ruolo fondamentale in quanto sono solitamente i principali finanziatori delle imprese e, pertanto, creditori nella maggior parte dei processi di ristrutturazione o fallimentari. Sia come creditori finanziari che come creditori spesso dotati di garanzie reali e, quindi, privilegiati, rivestono un'importanza strategica. Non va dimenticato che, inoltre, grazie a questa posizione, hanno accesso a gran parte delle informazioni dell'azienda e possono imporre determinati obblighi ai debitori nei contratti di finanziamento che rasentano la qualifica di amministrazione di fatto</w:t>
      </w:r>
      <w:r w:rsidR="00052390" w:rsidRPr="00043B85">
        <w:rPr>
          <w:rStyle w:val="Refdenotaalpie"/>
          <w:rFonts w:ascii="Times New Roman" w:hAnsi="Times New Roman" w:cs="Times New Roman"/>
        </w:rPr>
        <w:footnoteReference w:id="1"/>
      </w:r>
      <w:r w:rsidR="00052390" w:rsidRPr="00043B85">
        <w:rPr>
          <w:rFonts w:ascii="Times New Roman" w:hAnsi="Times New Roman" w:cs="Times New Roman"/>
        </w:rPr>
        <w:t>.</w:t>
      </w:r>
    </w:p>
    <w:p w14:paraId="28A1B0EE" w14:textId="5E0D5C2C" w:rsidR="00052390" w:rsidRPr="00043B85" w:rsidRDefault="00052390" w:rsidP="00043B85">
      <w:pPr>
        <w:jc w:val="both"/>
        <w:rPr>
          <w:rFonts w:ascii="Times New Roman" w:hAnsi="Times New Roman" w:cs="Times New Roman"/>
        </w:rPr>
      </w:pPr>
    </w:p>
    <w:p w14:paraId="16B82C9F" w14:textId="77777777" w:rsidR="00CA171A" w:rsidRPr="00CA171A" w:rsidRDefault="00CA171A" w:rsidP="00CA171A">
      <w:pPr>
        <w:jc w:val="both"/>
        <w:rPr>
          <w:rFonts w:ascii="Times New Roman" w:hAnsi="Times New Roman" w:cs="Times New Roman"/>
        </w:rPr>
      </w:pPr>
      <w:r w:rsidRPr="00CA171A">
        <w:rPr>
          <w:rFonts w:ascii="Times New Roman" w:hAnsi="Times New Roman" w:cs="Times New Roman"/>
        </w:rPr>
        <w:t>Nonostante questo scenario comune a tutti i paesi dell'Unione Europea, la Direttiva 2019/1023 sui quadri di ristrutturazione preventiva ha dato un colpo di scena e alterato il naturale equilibrio dei poteri nel finanziamento della crisi. Infatti, la nuova normativa europea limita molti dei precedenti poteri e privilegi dei creditori bancari e, in un certo senso, li sottopone al fine superiore di una ristrutturazione di successo per evitare la crisi aziendale e l'inevitabile procedura concorsuale. Ora, è lecito chiedersi se, in questo scenario, le banche continueranno ad essere disposte a finanziare le imprese e, in particolare, quali saranno le loro strategie nei nuovi processi di ristrutturazione per evitare questa perdita di potere.</w:t>
      </w:r>
    </w:p>
    <w:p w14:paraId="329490F3" w14:textId="77777777" w:rsidR="00CA171A" w:rsidRPr="00CA171A" w:rsidRDefault="00CA171A" w:rsidP="00CA171A">
      <w:pPr>
        <w:jc w:val="both"/>
        <w:rPr>
          <w:rFonts w:ascii="Times New Roman" w:hAnsi="Times New Roman" w:cs="Times New Roman"/>
        </w:rPr>
      </w:pPr>
    </w:p>
    <w:p w14:paraId="2B689014" w14:textId="4B59F205" w:rsidR="00C82020" w:rsidRDefault="00CA171A" w:rsidP="00043B85">
      <w:pPr>
        <w:jc w:val="both"/>
        <w:rPr>
          <w:rFonts w:ascii="Times New Roman" w:hAnsi="Times New Roman" w:cs="Times New Roman"/>
        </w:rPr>
      </w:pPr>
      <w:r w:rsidRPr="00CA171A">
        <w:rPr>
          <w:rFonts w:ascii="Times New Roman" w:hAnsi="Times New Roman" w:cs="Times New Roman"/>
        </w:rPr>
        <w:t>In questo breve lavoro cercheremo di fornire alcune indicazioni su questo tema e, a tal fine, studieremo la questione della formazione delle classi e del trascinamento dei creditori, elementi chiave nel nuovo panorama di ristrutturazione, nonché la snaturazione della funzione delle garanzie reali e le possibilità di recuperare parte del potere perduto attraverso il nuovo finanziamento o il finanziamento provvisorio.</w:t>
      </w:r>
    </w:p>
    <w:p w14:paraId="54A67EDC" w14:textId="77777777" w:rsidR="00CA171A" w:rsidRPr="00043B85" w:rsidRDefault="00CA171A" w:rsidP="00043B85">
      <w:pPr>
        <w:jc w:val="both"/>
        <w:rPr>
          <w:rFonts w:ascii="Times New Roman" w:hAnsi="Times New Roman" w:cs="Times New Roman"/>
        </w:rPr>
      </w:pPr>
    </w:p>
    <w:p w14:paraId="1B583C0E" w14:textId="1AD1825A" w:rsidR="00C82020" w:rsidRPr="00274330" w:rsidRDefault="00CA171A" w:rsidP="00043B85">
      <w:pPr>
        <w:pStyle w:val="Prrafodelista"/>
        <w:numPr>
          <w:ilvl w:val="0"/>
          <w:numId w:val="1"/>
        </w:numPr>
        <w:jc w:val="both"/>
        <w:rPr>
          <w:rFonts w:ascii="Times New Roman" w:hAnsi="Times New Roman" w:cs="Times New Roman"/>
          <w:b/>
          <w:bCs/>
        </w:rPr>
      </w:pPr>
      <w:r w:rsidRPr="00CA171A">
        <w:rPr>
          <w:rFonts w:ascii="Times New Roman" w:hAnsi="Times New Roman" w:cs="Times New Roman"/>
          <w:b/>
          <w:bCs/>
        </w:rPr>
        <w:t>LA FORMAZIONE DELLE CLASSI E IL TRASCINAMENTO DEI CREDITORI</w:t>
      </w:r>
    </w:p>
    <w:p w14:paraId="0EB451F8" w14:textId="77777777" w:rsidR="00274330" w:rsidRDefault="00274330" w:rsidP="00043B85">
      <w:pPr>
        <w:jc w:val="both"/>
        <w:rPr>
          <w:rFonts w:ascii="Times New Roman" w:hAnsi="Times New Roman" w:cs="Times New Roman"/>
          <w:highlight w:val="yellow"/>
        </w:rPr>
      </w:pPr>
    </w:p>
    <w:p w14:paraId="5B0277CF" w14:textId="4C856D08" w:rsidR="00274330" w:rsidRDefault="00FE134A" w:rsidP="00274330">
      <w:pPr>
        <w:jc w:val="both"/>
        <w:rPr>
          <w:rFonts w:ascii="Times New Roman" w:hAnsi="Times New Roman" w:cs="Times New Roman"/>
        </w:rPr>
      </w:pPr>
      <w:r w:rsidRPr="00FE134A">
        <w:rPr>
          <w:rFonts w:ascii="Times New Roman" w:hAnsi="Times New Roman" w:cs="Times New Roman"/>
        </w:rPr>
        <w:t xml:space="preserve">Il raggiungimento della ristrutturazione e il salvataggio dell'azienda costituiscono il valore principale della nuova normativa europea (e nazionale di ciascuno Stato) e, a tal fine, viene orchestrato un sistema di intervento giudiziario minimo e di adozione maggioritaria dei piani di ristrutturazione. Saranno quindi gli stessi creditori, insieme al debitore e ai soci, a </w:t>
      </w:r>
      <w:r w:rsidRPr="00FE134A">
        <w:rPr>
          <w:rFonts w:ascii="Times New Roman" w:hAnsi="Times New Roman" w:cs="Times New Roman"/>
        </w:rPr>
        <w:lastRenderedPageBreak/>
        <w:t>concordare le misure e gli strumenti che condurranno l'azienda sulla via della redditività, dovendo necessariamente raggiungere una determinata maggioranza all'interno di ciascuna classe di creditori. Se ciò sarà possibile, si avrà un piano di ristrutturazione consensuale, che sarà efficace tra le parti interessate che lo accettano e quelle dissenzienti all'interno di ciascuna classe di creditori in virtù del trascinamento orizzontale o intraclasse. Da parte sua, la normativa fallimentare prevede come novità, a seguito del recepimento della direttiva 2019/1023, la ristrutturazione forzata del debito nel caso in cui non sia possibile l'approvazione di un piano consensuale e, a tal fine, si basa sul trascinamento verticale o tra classi come mezzo per imporre la ristrutturazione alle parti interessate dissenzienti, purché siano soddisfatti determinati requisiti.</w:t>
      </w:r>
      <w:r w:rsidR="00274330" w:rsidRPr="00A66EDD">
        <w:rPr>
          <w:rStyle w:val="Refdenotaalpie"/>
          <w:rFonts w:ascii="Times New Roman" w:hAnsi="Times New Roman" w:cs="Times New Roman"/>
        </w:rPr>
        <w:footnoteReference w:id="2"/>
      </w:r>
      <w:r w:rsidR="00274330" w:rsidRPr="00A66EDD">
        <w:rPr>
          <w:rFonts w:ascii="Times New Roman" w:hAnsi="Times New Roman" w:cs="Times New Roman"/>
        </w:rPr>
        <w:t>.</w:t>
      </w:r>
    </w:p>
    <w:p w14:paraId="00E6CCC1" w14:textId="7ADCC97A" w:rsidR="00274330" w:rsidRDefault="00274330" w:rsidP="00043B85">
      <w:pPr>
        <w:jc w:val="both"/>
        <w:rPr>
          <w:rFonts w:ascii="Times New Roman" w:hAnsi="Times New Roman" w:cs="Times New Roman"/>
        </w:rPr>
      </w:pPr>
    </w:p>
    <w:p w14:paraId="709A3507" w14:textId="38E754E7" w:rsidR="00CD73F1" w:rsidRDefault="00FE134A" w:rsidP="00043B85">
      <w:pPr>
        <w:jc w:val="both"/>
        <w:rPr>
          <w:rFonts w:ascii="Times New Roman" w:hAnsi="Times New Roman" w:cs="Times New Roman"/>
        </w:rPr>
      </w:pPr>
      <w:r w:rsidRPr="00FE134A">
        <w:rPr>
          <w:rFonts w:ascii="Times New Roman" w:hAnsi="Times New Roman" w:cs="Times New Roman"/>
        </w:rPr>
        <w:t>Logicamente, in un piano consensuale i creditori finanziari conservano tutti i loro diritti e, in un certo senso, il loro potere, poiché tutte le classi di creditori avranno votato a favore del piano. Al contrario, se non esiste un accordo tra le classi, un piano di ristrutturazione potrà essere imposto dalla minoranza, il che potrebbe significare che i creditori bancari sarebbero costretti ad accettare condizioni da loro non gradite. Poiché la votazione dei piani e la conseguente imposizione avvengono nelle classi, che sono le unità decisionali, è fondamentale formarle in modo adeguato.</w:t>
      </w:r>
    </w:p>
    <w:p w14:paraId="1DB0F4B7" w14:textId="77777777" w:rsidR="00FE134A" w:rsidRDefault="00FE134A" w:rsidP="00043B85">
      <w:pPr>
        <w:jc w:val="both"/>
        <w:rPr>
          <w:rFonts w:ascii="Times New Roman" w:hAnsi="Times New Roman" w:cs="Times New Roman"/>
        </w:rPr>
      </w:pPr>
    </w:p>
    <w:p w14:paraId="52F58E38" w14:textId="4EAABEA8" w:rsidR="00CD73F1" w:rsidRDefault="00FE134A" w:rsidP="00CD73F1">
      <w:pPr>
        <w:jc w:val="both"/>
        <w:rPr>
          <w:rFonts w:ascii="Times New Roman" w:hAnsi="Times New Roman" w:cs="Times New Roman"/>
        </w:rPr>
      </w:pPr>
      <w:r w:rsidRPr="00FE134A">
        <w:rPr>
          <w:rFonts w:ascii="Times New Roman" w:hAnsi="Times New Roman" w:cs="Times New Roman"/>
        </w:rPr>
        <w:t>La proposta originaria della direttiva 2019/1023 conteneva una definizione di formazione di classi nell'articolo 2 che recitava: “</w:t>
      </w:r>
      <w:r w:rsidRPr="00FE134A">
        <w:rPr>
          <w:rFonts w:ascii="Times New Roman" w:hAnsi="Times New Roman" w:cs="Times New Roman"/>
          <w:i/>
          <w:iCs/>
        </w:rPr>
        <w:t>il raggruppamento dei creditori e dei soci interessati da un piano di ristrutturazione in modo tale da riflettere i diritti e il rango dei crediti e delle partecipazioni interessati, tenendo conto dei possibili diritti contrattuali esistenti, dei diritti reali o degli accordi tra creditori, nonché del loro trattamento nell'ambito del piano di ristrutturazion</w:t>
      </w:r>
      <w:r w:rsidRPr="00FE134A">
        <w:rPr>
          <w:rFonts w:ascii="Times New Roman" w:hAnsi="Times New Roman" w:cs="Times New Roman"/>
        </w:rPr>
        <w:t>e”. Tuttavia, la versione definitiva ha eliminato questo concetto perché alcuni Stati membri lo hanno ritenuto eccessivo in quanto interferiva con le loro categorie fallimentari, stabilendo nel considerando 44 della direttiva 2019/1023 una definizione più ampia che prevede che “</w:t>
      </w:r>
      <w:r w:rsidRPr="00FE134A">
        <w:rPr>
          <w:rFonts w:ascii="Times New Roman" w:hAnsi="Times New Roman" w:cs="Times New Roman"/>
          <w:i/>
          <w:iCs/>
        </w:rPr>
        <w:t>la classificazione in categorie significa il raggruppamento delle parti interessate allo scopo di adottare un piano in modo tale da riflettere i loro diritti e il grado di priorità dei loro crediti e interessi</w:t>
      </w:r>
      <w:r w:rsidRPr="00FE134A">
        <w:rPr>
          <w:rFonts w:ascii="Times New Roman" w:hAnsi="Times New Roman" w:cs="Times New Roman"/>
        </w:rPr>
        <w:t>”.</w:t>
      </w:r>
    </w:p>
    <w:p w14:paraId="07610934" w14:textId="77777777" w:rsidR="00FE134A" w:rsidRPr="00A66EDD" w:rsidRDefault="00FE134A" w:rsidP="00CD73F1">
      <w:pPr>
        <w:jc w:val="both"/>
        <w:rPr>
          <w:rFonts w:ascii="Times New Roman" w:hAnsi="Times New Roman" w:cs="Times New Roman"/>
        </w:rPr>
      </w:pPr>
    </w:p>
    <w:p w14:paraId="76BBEB17" w14:textId="2F3C5B4F" w:rsidR="00CD73F1" w:rsidRDefault="00581C96" w:rsidP="00CD73F1">
      <w:pPr>
        <w:jc w:val="both"/>
        <w:rPr>
          <w:rFonts w:ascii="Times New Roman" w:hAnsi="Times New Roman" w:cs="Times New Roman"/>
        </w:rPr>
      </w:pPr>
      <w:r w:rsidRPr="00581C96">
        <w:rPr>
          <w:rFonts w:ascii="Times New Roman" w:hAnsi="Times New Roman" w:cs="Times New Roman"/>
        </w:rPr>
        <w:t>In ogni caso, è certo che la formazione delle classi riveste un'importanza straordinaria in quanto tale procedura determinerà il perimetro di applicazione della ristrutturazione, per cui non può essere stabilita in modo arbitrario o artificioso in nessun caso. Infatti, affinché diritti sostanzialmente simili ricevano lo stesso trattamento e i piani di ristrutturazione possano essere adottati senza pregiudicare ingiustamente i diritti delle parti interessate, queste ultime devono essere trattate in categorie separate secondo i criteri di classificazione delle diverse categorie stabiliti dalla normativa nazionale. Pertanto, dovranno essere seguiti criteri giuridici precedentemente stabiliti nelle legislazioni di ciascuno degli Stati membri, poiché ciò influirà sul trasferimento dei creditori e sul successo della ristrutturazione in generale.</w:t>
      </w:r>
    </w:p>
    <w:p w14:paraId="3987A158" w14:textId="77777777" w:rsidR="00581C96" w:rsidRPr="00A66EDD" w:rsidRDefault="00581C96" w:rsidP="00CD73F1">
      <w:pPr>
        <w:jc w:val="both"/>
        <w:rPr>
          <w:rFonts w:ascii="Times New Roman" w:hAnsi="Times New Roman" w:cs="Times New Roman"/>
        </w:rPr>
      </w:pPr>
    </w:p>
    <w:p w14:paraId="2236C186" w14:textId="005BD64B" w:rsidR="00CD73F1" w:rsidRPr="00A66EDD" w:rsidRDefault="00581C96" w:rsidP="00CD73F1">
      <w:pPr>
        <w:jc w:val="both"/>
        <w:rPr>
          <w:rFonts w:ascii="Times New Roman" w:hAnsi="Times New Roman" w:cs="Times New Roman"/>
        </w:rPr>
      </w:pPr>
      <w:r w:rsidRPr="00581C96">
        <w:rPr>
          <w:rFonts w:ascii="Times New Roman" w:hAnsi="Times New Roman" w:cs="Times New Roman"/>
        </w:rPr>
        <w:t xml:space="preserve">A questo punto, la direttiva lasciava agli Stati membri la libertà di regolamentare la formazione delle classi, pur stabilendo una serie di norme minime (articolo 9, paragrafo 4, della direttiva 2019/1023). In primo luogo, occorre garantire che le parti interessate siano </w:t>
      </w:r>
      <w:r w:rsidRPr="00581C96">
        <w:rPr>
          <w:rFonts w:ascii="Times New Roman" w:hAnsi="Times New Roman" w:cs="Times New Roman"/>
        </w:rPr>
        <w:lastRenderedPageBreak/>
        <w:t>trattate in categorie separate che riflettano una sufficiente comunanza di interessi basata su criteri verificabili in conformità con la normativa nazionale. Questo requisito è fondamentale, poiché i creditori che hanno diritti simili devono essere trattati allo stesso modo affinché non vi sia alcun pregiudizio nell'ambito del piano di ristrutturazione. Allo stesso modo, la conclusione precedente implica anche che i creditori con diritti diversi siano collocati in categorie distinte, poiché non ha senso riservare lo stesso trattamento a soggetti che non sono uguali. In altre parole, non avrebbe alcun senso raggruppare insieme creditori eterogenei, come ad esempio un creditore ipotecario con un creditore subordinato o, addirittura, un creditore pubblico con un socio del debitore. Le categorie di creditori devono rispondere a criteri di classificazione razionali e, in ogni caso, omogenei per evitare danni inutili</w:t>
      </w:r>
      <w:r w:rsidR="00CD73F1">
        <w:rPr>
          <w:rStyle w:val="Refdenotaalpie"/>
          <w:rFonts w:ascii="Times New Roman" w:hAnsi="Times New Roman" w:cs="Times New Roman"/>
        </w:rPr>
        <w:footnoteReference w:id="3"/>
      </w:r>
      <w:r w:rsidR="00CD73F1" w:rsidRPr="00A66EDD">
        <w:rPr>
          <w:rFonts w:ascii="Times New Roman" w:hAnsi="Times New Roman" w:cs="Times New Roman"/>
        </w:rPr>
        <w:t>.</w:t>
      </w:r>
    </w:p>
    <w:p w14:paraId="29AB0860" w14:textId="77777777" w:rsidR="00CD73F1" w:rsidRPr="00A66EDD" w:rsidRDefault="00CD73F1" w:rsidP="00CD73F1">
      <w:pPr>
        <w:jc w:val="both"/>
        <w:rPr>
          <w:rFonts w:ascii="Times New Roman" w:hAnsi="Times New Roman" w:cs="Times New Roman"/>
        </w:rPr>
      </w:pPr>
    </w:p>
    <w:p w14:paraId="216D046C" w14:textId="731C957F" w:rsidR="00CD73F1" w:rsidRPr="00A66EDD" w:rsidRDefault="00581C96" w:rsidP="00CD73F1">
      <w:pPr>
        <w:jc w:val="both"/>
        <w:rPr>
          <w:rFonts w:ascii="Times New Roman" w:hAnsi="Times New Roman" w:cs="Times New Roman"/>
        </w:rPr>
      </w:pPr>
      <w:r w:rsidRPr="00581C96">
        <w:rPr>
          <w:rFonts w:ascii="Times New Roman" w:hAnsi="Times New Roman" w:cs="Times New Roman"/>
        </w:rPr>
        <w:t>In secondo luogo, la direttiva 2019/1023 richiede anche che, come minimo, i creditori garantiti e non garantiti siano trattati come categorie separate ai fini dell'adozione di un piano di ristrutturazione. Questa norma, in senso stretto, non sarebbe necessaria sulla base della regola precedente, in quanto gli interessi di un creditore garantito e non garantito sono tangenzialmente opposti data la forza e l'efficacia del diritto di garanzia. Inoltre, anche tra i creditori garantiti, non avrebbe senso trattare allo stesso modo il creditore titolare di una garanzia reale e quello titolare di una garanzia personale, in quanto la protezione offerta dall'una e dall'altra ha una portata diversa</w:t>
      </w:r>
      <w:r w:rsidR="00CD73F1" w:rsidRPr="00A66EDD">
        <w:rPr>
          <w:rStyle w:val="Refdenotaalpie"/>
          <w:rFonts w:ascii="Times New Roman" w:hAnsi="Times New Roman" w:cs="Times New Roman"/>
        </w:rPr>
        <w:footnoteReference w:id="4"/>
      </w:r>
      <w:r w:rsidR="00CD73F1" w:rsidRPr="00A66EDD">
        <w:rPr>
          <w:rFonts w:ascii="Times New Roman" w:hAnsi="Times New Roman" w:cs="Times New Roman"/>
        </w:rPr>
        <w:t xml:space="preserve">. </w:t>
      </w:r>
    </w:p>
    <w:p w14:paraId="6E4F69E4" w14:textId="77777777" w:rsidR="00CD73F1" w:rsidRPr="00A66EDD" w:rsidRDefault="00CD73F1" w:rsidP="00CD73F1">
      <w:pPr>
        <w:jc w:val="both"/>
        <w:rPr>
          <w:rFonts w:ascii="Times New Roman" w:hAnsi="Times New Roman" w:cs="Times New Roman"/>
        </w:rPr>
      </w:pPr>
    </w:p>
    <w:p w14:paraId="0B57E3EF" w14:textId="206F4842" w:rsidR="00CD73F1" w:rsidRDefault="00581C96" w:rsidP="00CD73F1">
      <w:pPr>
        <w:jc w:val="both"/>
        <w:rPr>
          <w:rFonts w:ascii="Times New Roman" w:hAnsi="Times New Roman" w:cs="Times New Roman"/>
        </w:rPr>
      </w:pPr>
      <w:r w:rsidRPr="00581C96">
        <w:rPr>
          <w:rFonts w:ascii="Times New Roman" w:hAnsi="Times New Roman" w:cs="Times New Roman"/>
        </w:rPr>
        <w:t>Infine, si stabilisce che gli Stati membri possono disporre che i crediti dei lavoratori siano trattati come una categoria a sé stante, nonché che i creditori che non hanno interessi sufficientemente comuni, come le amministrazioni fiscali o previdenziali, siano inseriti in classi separate, potendo anche essere adottate misure adeguate per garantire che la classificazione in categorie sia effettuata in modo da tenere conto della protezione dei creditori vulnerabili, come i piccoli fornitori.</w:t>
      </w:r>
    </w:p>
    <w:p w14:paraId="6833C4B2" w14:textId="77777777" w:rsidR="00581C96" w:rsidRDefault="00581C96" w:rsidP="00CD73F1">
      <w:pPr>
        <w:jc w:val="both"/>
        <w:rPr>
          <w:rFonts w:ascii="Times New Roman" w:hAnsi="Times New Roman" w:cs="Times New Roman"/>
        </w:rPr>
      </w:pPr>
    </w:p>
    <w:p w14:paraId="45D010E1" w14:textId="78E228FB" w:rsidR="00CD73F1" w:rsidRDefault="00581C96" w:rsidP="00CD73F1">
      <w:pPr>
        <w:jc w:val="both"/>
        <w:rPr>
          <w:rFonts w:ascii="Times New Roman" w:hAnsi="Times New Roman" w:cs="Times New Roman"/>
        </w:rPr>
      </w:pPr>
      <w:r w:rsidRPr="00581C96">
        <w:rPr>
          <w:rFonts w:ascii="Times New Roman" w:hAnsi="Times New Roman" w:cs="Times New Roman"/>
        </w:rPr>
        <w:t>Seguendo queste linee guida, il Testo Rinnovato della Legge Fallimentare spagnola prevede negli articoli da 622 a 624 bis una serie di regole per la configurazione delle classi di creditori</w:t>
      </w:r>
      <w:r w:rsidR="00CD73F1">
        <w:rPr>
          <w:rStyle w:val="Refdenotaalpie"/>
          <w:rFonts w:ascii="Times New Roman" w:hAnsi="Times New Roman" w:cs="Times New Roman"/>
        </w:rPr>
        <w:footnoteReference w:id="5"/>
      </w:r>
      <w:r w:rsidR="00CD73F1">
        <w:rPr>
          <w:rFonts w:ascii="Times New Roman" w:hAnsi="Times New Roman" w:cs="Times New Roman"/>
        </w:rPr>
        <w:t xml:space="preserve">. </w:t>
      </w:r>
      <w:r w:rsidRPr="00581C96">
        <w:rPr>
          <w:rFonts w:ascii="Times New Roman" w:hAnsi="Times New Roman" w:cs="Times New Roman"/>
        </w:rPr>
        <w:t>In primo luogo, la formazione delle classi deve tenere conto dell'esistenza di un interesse comune ai membri di ciascuna classe determinato in base a criteri oggettivi, come stabilito dalla direttiva 2019/1023. In particolare, si prevede che esista un interesse comune tra i crediti di pari rango determinato dall'ordine di pagamento nella procedura concorsuale, sebbene questo non sia l'unico criterio da prendere in considerazione. A loro volta, i crediti dello stesso rango fallimentare possono essere separati in classi diverse quando vi siano motivi sufficienti che lo giustifichino</w:t>
      </w:r>
      <w:r w:rsidR="00CD73F1">
        <w:rPr>
          <w:rStyle w:val="Refdenotaalpie"/>
          <w:rFonts w:ascii="Times New Roman" w:hAnsi="Times New Roman" w:cs="Times New Roman"/>
        </w:rPr>
        <w:footnoteReference w:id="6"/>
      </w:r>
      <w:r w:rsidR="00CD73F1" w:rsidRPr="00687AF1">
        <w:rPr>
          <w:rFonts w:ascii="Times New Roman" w:hAnsi="Times New Roman" w:cs="Times New Roman"/>
        </w:rPr>
        <w:t xml:space="preserve">. </w:t>
      </w:r>
      <w:r w:rsidRPr="00581C96">
        <w:rPr>
          <w:rFonts w:ascii="Times New Roman" w:hAnsi="Times New Roman" w:cs="Times New Roman"/>
        </w:rPr>
        <w:t xml:space="preserve">A tal fine si potrà tenere conto, in particolare, della </w:t>
      </w:r>
      <w:r w:rsidRPr="00581C96">
        <w:rPr>
          <w:rFonts w:ascii="Times New Roman" w:hAnsi="Times New Roman" w:cs="Times New Roman"/>
        </w:rPr>
        <w:lastRenderedPageBreak/>
        <w:t>natura finanziaria o non finanziaria del credito, del conflitto di interessi che potrebbero avere i creditori appartenenti a classi diverse, o di come i crediti saranno influenzati dal piano di ristrutturazione</w:t>
      </w:r>
      <w:r w:rsidR="00CD73F1">
        <w:rPr>
          <w:rStyle w:val="Refdenotaalpie"/>
          <w:rFonts w:ascii="Times New Roman" w:hAnsi="Times New Roman" w:cs="Times New Roman"/>
        </w:rPr>
        <w:footnoteReference w:id="7"/>
      </w:r>
      <w:r w:rsidR="00CD73F1" w:rsidRPr="00687AF1">
        <w:rPr>
          <w:rFonts w:ascii="Times New Roman" w:hAnsi="Times New Roman" w:cs="Times New Roman"/>
        </w:rPr>
        <w:t xml:space="preserve">. </w:t>
      </w:r>
    </w:p>
    <w:p w14:paraId="5A246566" w14:textId="77777777" w:rsidR="00CD73F1" w:rsidRDefault="00CD73F1" w:rsidP="00CD73F1">
      <w:pPr>
        <w:jc w:val="both"/>
        <w:rPr>
          <w:rFonts w:ascii="Times New Roman" w:hAnsi="Times New Roman" w:cs="Times New Roman"/>
        </w:rPr>
      </w:pPr>
    </w:p>
    <w:p w14:paraId="2DF6CBD9" w14:textId="77777777" w:rsidR="00581C96" w:rsidRPr="00581C96" w:rsidRDefault="00581C96" w:rsidP="00581C96">
      <w:pPr>
        <w:jc w:val="both"/>
        <w:rPr>
          <w:rFonts w:ascii="Times New Roman" w:hAnsi="Times New Roman" w:cs="Times New Roman"/>
        </w:rPr>
      </w:pPr>
      <w:r w:rsidRPr="00581C96">
        <w:rPr>
          <w:rFonts w:ascii="Times New Roman" w:hAnsi="Times New Roman" w:cs="Times New Roman"/>
        </w:rPr>
        <w:t xml:space="preserve">Da parte loro, i crediti garantiti da beni del debitore costituiranno un'unica classe, salvo che l'eterogeneità dei beni o dei diritti gravati giustifichi la loro separazione in due o più classi. In altre parole, potrebbe esserci una classe di creditori ipotecari, un'altra di creditori pignoratizi, una classe di creditori con garanzia personale, ecc. Inoltre, i crediti di diritto pubblico costituiranno una classe separata tra le classi dello stesso rango concorsuale. </w:t>
      </w:r>
    </w:p>
    <w:p w14:paraId="6FF71F77" w14:textId="77777777" w:rsidR="00581C96" w:rsidRPr="00581C96" w:rsidRDefault="00581C96" w:rsidP="00581C96">
      <w:pPr>
        <w:jc w:val="both"/>
        <w:rPr>
          <w:rFonts w:ascii="Times New Roman" w:hAnsi="Times New Roman" w:cs="Times New Roman"/>
        </w:rPr>
      </w:pPr>
    </w:p>
    <w:p w14:paraId="5DB40DF8" w14:textId="77777777" w:rsidR="00581C96" w:rsidRPr="00581C96" w:rsidRDefault="00581C96" w:rsidP="00581C96">
      <w:pPr>
        <w:jc w:val="both"/>
        <w:rPr>
          <w:rFonts w:ascii="Times New Roman" w:hAnsi="Times New Roman" w:cs="Times New Roman"/>
        </w:rPr>
      </w:pPr>
      <w:r w:rsidRPr="00581C96">
        <w:rPr>
          <w:rFonts w:ascii="Times New Roman" w:hAnsi="Times New Roman" w:cs="Times New Roman"/>
        </w:rPr>
        <w:t>L'importante, in ogni caso, è che ogni categoria di creditori interessati rifletta un minimo comune e che essi siano titolari di diritti o interessi simili, poiché solo in questo modo avrà senso applicare il principio maggioritario all'interno di ciascuna classe per l'approvazione di un piano di ristrutturazione. Se tali classi non fossero configurate correttamente, si otterrebbero carenze nell'applicazione del principio di maggioranza perché le parti eterogenee all'interno della stessa classe partirebbero da aspettative diverse per quanto riguarda il loro trattamento nell'ambito del piano, potendo spazzare via ingiustamente, al di là del trascinamento, alcuni creditori</w:t>
      </w:r>
      <w:r w:rsidR="00CD73F1" w:rsidRPr="00A66EDD">
        <w:rPr>
          <w:rStyle w:val="Refdenotaalpie"/>
          <w:rFonts w:ascii="Times New Roman" w:hAnsi="Times New Roman" w:cs="Times New Roman"/>
        </w:rPr>
        <w:footnoteReference w:id="8"/>
      </w:r>
      <w:r w:rsidR="00CD73F1" w:rsidRPr="00A66EDD">
        <w:rPr>
          <w:rFonts w:ascii="Times New Roman" w:hAnsi="Times New Roman" w:cs="Times New Roman"/>
        </w:rPr>
        <w:t xml:space="preserve">. </w:t>
      </w:r>
      <w:r w:rsidRPr="00581C96">
        <w:rPr>
          <w:rFonts w:ascii="Times New Roman" w:hAnsi="Times New Roman" w:cs="Times New Roman"/>
        </w:rPr>
        <w:t>L'approvazione dei piani di ristrutturazione deve in ogni caso partire da categorie di creditori eterogenee tra loro, ma omogenee al loro interno, che riflettano i diversi interessi in gioco e consentano il trascinamento alle condizioni previste dalla legge.</w:t>
      </w:r>
    </w:p>
    <w:p w14:paraId="5F88D270" w14:textId="77777777" w:rsidR="00581C96" w:rsidRPr="00581C96" w:rsidRDefault="00581C96" w:rsidP="00581C96">
      <w:pPr>
        <w:jc w:val="both"/>
        <w:rPr>
          <w:rFonts w:ascii="Times New Roman" w:hAnsi="Times New Roman" w:cs="Times New Roman"/>
        </w:rPr>
      </w:pPr>
    </w:p>
    <w:p w14:paraId="1EFDE962" w14:textId="77777777" w:rsidR="00581C96" w:rsidRPr="00581C96" w:rsidRDefault="00581C96" w:rsidP="00581C96">
      <w:pPr>
        <w:jc w:val="both"/>
        <w:rPr>
          <w:rFonts w:ascii="Times New Roman" w:hAnsi="Times New Roman" w:cs="Times New Roman"/>
        </w:rPr>
      </w:pPr>
      <w:r w:rsidRPr="00581C96">
        <w:rPr>
          <w:rFonts w:ascii="Times New Roman" w:hAnsi="Times New Roman" w:cs="Times New Roman"/>
        </w:rPr>
        <w:t>A questo proposito, secondo la normativa europea e spagnola, si osserva che i creditori bancari saranno sempre considerati classi indipendenti rispetto agli altri creditori, sia per la loro natura finanziaria, sia per il fatto che quasi sempre vantano garanzie reali. Pertanto, sebbene il loro peso rispetto al passivo totale e interessato dalla ristrutturazione sarà rilevante, esso potrà essere neutralizzato dal fatto stesso del trascinamento dei creditori. Logicamente, sebbene sia il proponente del piano a formare le classi in base ai criteri indicati, tale procedura non può rispondere a una strategia volta a conferire maggiore potere di voto alle banche, poiché i giudici controlleranno la formazione e potrebbero invalidare il piano per questo motivo.</w:t>
      </w:r>
    </w:p>
    <w:p w14:paraId="0EAC29B9" w14:textId="77777777" w:rsidR="00581C96" w:rsidRDefault="00581C96" w:rsidP="00581C96">
      <w:pPr>
        <w:jc w:val="both"/>
        <w:rPr>
          <w:rFonts w:ascii="Times New Roman" w:hAnsi="Times New Roman" w:cs="Times New Roman"/>
        </w:rPr>
      </w:pPr>
    </w:p>
    <w:p w14:paraId="0A09C9BA" w14:textId="129CE08A" w:rsidR="00043B85" w:rsidRPr="00DC34E6" w:rsidRDefault="00581C96" w:rsidP="00581C96">
      <w:pPr>
        <w:jc w:val="both"/>
        <w:rPr>
          <w:rFonts w:ascii="Times New Roman" w:hAnsi="Times New Roman" w:cs="Times New Roman"/>
        </w:rPr>
      </w:pPr>
      <w:r w:rsidRPr="00581C96">
        <w:rPr>
          <w:rFonts w:ascii="Times New Roman" w:hAnsi="Times New Roman" w:cs="Times New Roman"/>
        </w:rPr>
        <w:t xml:space="preserve">Da parte sua, è stato chiarito che il trasferimento di classi in un piano non consensuale sarà possibile solo se tale piano è omologato dall'autorità giudiziaria, poiché tale requisito formale sarà indispensabile quando si intenda estendere gli effetti a creditori o classi di creditori dissenzienti o ai soci del debitore persona giuridica; quando si intenda risolvere i contratti </w:t>
      </w:r>
      <w:r w:rsidRPr="00581C96">
        <w:rPr>
          <w:rFonts w:ascii="Times New Roman" w:hAnsi="Times New Roman" w:cs="Times New Roman"/>
        </w:rPr>
        <w:lastRenderedPageBreak/>
        <w:t>nell'interesse della ristrutturazione; e quando si intenda proteggere il finanziamento provvisorio e il nuovo finanziamento, nonché gli atti, le operazioni o gli affari realizzati nel contesto del piano da azioni revocatorie e riconoscere a tale finanziamento le preferenze di pagamento previste dalla legge</w:t>
      </w:r>
      <w:r w:rsidR="00043B85" w:rsidRPr="00DC34E6">
        <w:rPr>
          <w:rStyle w:val="Refdenotaalpie"/>
          <w:rFonts w:ascii="Times New Roman" w:hAnsi="Times New Roman" w:cs="Times New Roman"/>
        </w:rPr>
        <w:footnoteReference w:id="9"/>
      </w:r>
      <w:r w:rsidR="00171186" w:rsidRPr="00DC34E6">
        <w:rPr>
          <w:rFonts w:ascii="Times New Roman" w:hAnsi="Times New Roman" w:cs="Times New Roman"/>
        </w:rPr>
        <w:t>.</w:t>
      </w:r>
    </w:p>
    <w:p w14:paraId="46D01397" w14:textId="162F52AA" w:rsidR="00171186" w:rsidRDefault="00171186" w:rsidP="00043B85">
      <w:pPr>
        <w:jc w:val="both"/>
        <w:rPr>
          <w:rFonts w:ascii="Times New Roman" w:hAnsi="Times New Roman" w:cs="Times New Roman"/>
          <w:highlight w:val="yellow"/>
        </w:rPr>
      </w:pPr>
    </w:p>
    <w:p w14:paraId="17755320" w14:textId="77777777" w:rsidR="00581C96" w:rsidRPr="00581C96" w:rsidRDefault="00581C96" w:rsidP="00581C96">
      <w:pPr>
        <w:jc w:val="both"/>
        <w:rPr>
          <w:rFonts w:ascii="Times New Roman" w:hAnsi="Times New Roman" w:cs="Times New Roman"/>
        </w:rPr>
      </w:pPr>
      <w:r w:rsidRPr="00581C96">
        <w:rPr>
          <w:rFonts w:ascii="Times New Roman" w:hAnsi="Times New Roman" w:cs="Times New Roman"/>
        </w:rPr>
        <w:t>Pertanto, l'omologazione di un piano di ristrutturazione non consensuale da parte dell'autorità giudiziaria avrà luogo solo quando sarà stato approvato da:</w:t>
      </w:r>
    </w:p>
    <w:p w14:paraId="0B02C26D" w14:textId="77777777" w:rsidR="00581C96" w:rsidRPr="00581C96" w:rsidRDefault="00581C96" w:rsidP="00581C96">
      <w:pPr>
        <w:jc w:val="both"/>
        <w:rPr>
          <w:rFonts w:ascii="Times New Roman" w:hAnsi="Times New Roman" w:cs="Times New Roman"/>
        </w:rPr>
      </w:pPr>
    </w:p>
    <w:p w14:paraId="03E9943C" w14:textId="77777777" w:rsidR="00581C96" w:rsidRPr="00581C96" w:rsidRDefault="00581C96" w:rsidP="00581C96">
      <w:pPr>
        <w:jc w:val="both"/>
        <w:rPr>
          <w:rFonts w:ascii="Times New Roman" w:hAnsi="Times New Roman" w:cs="Times New Roman"/>
        </w:rPr>
      </w:pPr>
      <w:r w:rsidRPr="00581C96">
        <w:rPr>
          <w:rFonts w:ascii="Times New Roman" w:hAnsi="Times New Roman" w:cs="Times New Roman"/>
        </w:rPr>
        <w:t>1. Una maggioranza semplice delle classi, a condizione che almeno una di esse sia una classe di crediti che nella procedura concorsuale sarebbero stati qualificati come crediti con privilegio speciale o generale; o, in mancanza di ciò, da</w:t>
      </w:r>
    </w:p>
    <w:p w14:paraId="32E883F6" w14:textId="77777777" w:rsidR="00581C96" w:rsidRPr="00581C96" w:rsidRDefault="00581C96" w:rsidP="00581C96">
      <w:pPr>
        <w:jc w:val="both"/>
        <w:rPr>
          <w:rFonts w:ascii="Times New Roman" w:hAnsi="Times New Roman" w:cs="Times New Roman"/>
        </w:rPr>
      </w:pPr>
    </w:p>
    <w:p w14:paraId="3CD8E1A8" w14:textId="38106168" w:rsidR="00C16334" w:rsidRPr="00F934A5" w:rsidRDefault="00581C96" w:rsidP="00581C96">
      <w:pPr>
        <w:jc w:val="both"/>
        <w:rPr>
          <w:rFonts w:ascii="Times New Roman" w:hAnsi="Times New Roman" w:cs="Times New Roman"/>
        </w:rPr>
      </w:pPr>
      <w:r w:rsidRPr="00581C96">
        <w:rPr>
          <w:rFonts w:ascii="Times New Roman" w:hAnsi="Times New Roman" w:cs="Times New Roman"/>
        </w:rPr>
        <w:t>2. Almeno una classe che, in base alla classificazione dei crediti prevista dalla legislazione fallimentare, si possa ragionevolmente presumere avrebbe ricevuto un pagamento dopo una valutazione del debitore come impresa in attività. In questo caso, l'omologazione del piano richiederà che la domanda sia accompagnata da una relazione dell'esperto in ristrutturazione sul valore del debitore come impresa in attività</w:t>
      </w:r>
      <w:r w:rsidR="00C16334">
        <w:rPr>
          <w:rStyle w:val="Refdenotaalpie"/>
          <w:rFonts w:ascii="Times New Roman" w:hAnsi="Times New Roman" w:cs="Times New Roman"/>
        </w:rPr>
        <w:footnoteReference w:id="10"/>
      </w:r>
      <w:r w:rsidR="00C16334" w:rsidRPr="00F934A5">
        <w:rPr>
          <w:rFonts w:ascii="Times New Roman" w:hAnsi="Times New Roman" w:cs="Times New Roman"/>
        </w:rPr>
        <w:t>.</w:t>
      </w:r>
    </w:p>
    <w:p w14:paraId="6755CF68" w14:textId="77777777" w:rsidR="00C16334" w:rsidRPr="00F934A5" w:rsidRDefault="00C16334" w:rsidP="00C16334">
      <w:pPr>
        <w:jc w:val="both"/>
        <w:rPr>
          <w:rFonts w:ascii="Times New Roman" w:hAnsi="Times New Roman" w:cs="Times New Roman"/>
        </w:rPr>
      </w:pPr>
    </w:p>
    <w:p w14:paraId="33C424E1" w14:textId="77777777" w:rsidR="00581C96" w:rsidRDefault="00581C96" w:rsidP="00C16334">
      <w:pPr>
        <w:jc w:val="both"/>
        <w:rPr>
          <w:rFonts w:ascii="Times New Roman" w:hAnsi="Times New Roman" w:cs="Times New Roman"/>
        </w:rPr>
      </w:pPr>
      <w:r w:rsidRPr="00581C96">
        <w:rPr>
          <w:rFonts w:ascii="Times New Roman" w:hAnsi="Times New Roman" w:cs="Times New Roman"/>
        </w:rPr>
        <w:t xml:space="preserve">In altre parole, in quest'ultimo caso, il trascinamento verticale o cross-class cram-down potrà verificarsi quando esista almeno una categoria di creditori in the money che abbia approvato il piano di ristrutturazione. In questo modo, si otterrebbe il risultato che una classe inferiore per rango e importanza rispetto ai creditori bancari trascinasse questi ultimi, senza che ai fini del presente caso abbiano importanza il loro potere, la percentuale del passivo interessato dalla ristrutturazione o le garanzie reali di cui dispongono. In effetti, esistono già esempi nella pratica di ristrutturazione spagnola in cui il 15% delle passività interessate ha trascinato il restante 85% in modo valido ai sensi della normativa. </w:t>
      </w:r>
    </w:p>
    <w:p w14:paraId="3392772A" w14:textId="77777777" w:rsidR="00581C96" w:rsidRDefault="00581C96" w:rsidP="00C16334">
      <w:pPr>
        <w:jc w:val="both"/>
        <w:rPr>
          <w:rFonts w:ascii="Times New Roman" w:hAnsi="Times New Roman" w:cs="Times New Roman"/>
        </w:rPr>
      </w:pPr>
    </w:p>
    <w:p w14:paraId="4F497F95" w14:textId="6CCB362A" w:rsidR="00C16334" w:rsidRDefault="00581C96" w:rsidP="00C16334">
      <w:pPr>
        <w:jc w:val="both"/>
        <w:rPr>
          <w:rFonts w:ascii="Times New Roman" w:hAnsi="Times New Roman" w:cs="Times New Roman"/>
        </w:rPr>
      </w:pPr>
      <w:r w:rsidRPr="00581C96">
        <w:rPr>
          <w:rFonts w:ascii="Times New Roman" w:hAnsi="Times New Roman" w:cs="Times New Roman"/>
        </w:rPr>
        <w:t xml:space="preserve">Nonostante questa inevitabile situazione di perdita della propria posizione, la Direttiva 2019/1023 prevede una serie di precauzioni per proteggere tutti i creditori, non solo quelli bancari, da questo cross-class cram-down. Pertanto, l'articolo 655 del Testo Rinnovato della Legge Fallimentare spagnola prevede che l'ordinanza di omologazione di un piano di ristrutturazione che non sia stato approvato da tutte le classi di crediti possa essere impugnata per i motivi previsti dall'articolo 654 del Testo Rinnovato della Legge Fallimentare dai creditori che non hanno votato a favore del piano, indipendentemente dal fatto che appartengano o meno a una classe che ha approvato tale piano. Allo stesso modo, può essere impugnato anche dai titolari dei crediti interessati che non hanno votato a favore del piano e appartengono a una classe che non lo ha approvato per i seguenti motivi: (i) Non sia stato approvato dalla classe o dalle classi necessarie in conformità con quanto previsto dalla norma; (ii) Una classe di crediti mantenga o riceva, in conformità con il piano, diritti, azioni o partecipazioni di valore superiore all'importo dei propri crediti; (iii) La classe alla quale appartiene il creditore o i creditori contestanti riceva un trattamento meno favorevole rispetto </w:t>
      </w:r>
      <w:r w:rsidRPr="00581C96">
        <w:rPr>
          <w:rFonts w:ascii="Times New Roman" w:hAnsi="Times New Roman" w:cs="Times New Roman"/>
        </w:rPr>
        <w:lastRenderedPageBreak/>
        <w:t>a qualsiasi altra classe dello stesso rango; (iv) Che la classe alla quale appartiene il creditore o i creditori contestanti mantenga o riceva diritti, azioni o partecipazioni di valore inferiore all'importo dei propri crediti se una classe di rango inferiore o i soci riceveranno qualsiasi pagamento o conserveranno qualsiasi diritto, azione o partecipazione nel debitore in virtù del piano di ristrutturazione; e (v) Nel caso in cui il piano incida sul credito pubblico, che il debitore abbia violato l'obbligo di essere in regola con il pagamento delle imposte e dei contributi previdenziali.</w:t>
      </w:r>
    </w:p>
    <w:p w14:paraId="4AE9CB0A" w14:textId="77777777" w:rsidR="00581C96" w:rsidRPr="00F934A5" w:rsidRDefault="00581C96" w:rsidP="00C16334">
      <w:pPr>
        <w:jc w:val="both"/>
        <w:rPr>
          <w:rFonts w:ascii="Times New Roman" w:hAnsi="Times New Roman" w:cs="Times New Roman"/>
        </w:rPr>
      </w:pPr>
    </w:p>
    <w:p w14:paraId="51B04E0C" w14:textId="2194E922" w:rsidR="00C16334" w:rsidRDefault="00C93C05" w:rsidP="00C16334">
      <w:pPr>
        <w:jc w:val="both"/>
        <w:rPr>
          <w:rFonts w:ascii="Times New Roman" w:hAnsi="Times New Roman" w:cs="Times New Roman"/>
        </w:rPr>
      </w:pPr>
      <w:r w:rsidRPr="00C93C05">
        <w:rPr>
          <w:rFonts w:ascii="Times New Roman" w:hAnsi="Times New Roman" w:cs="Times New Roman"/>
        </w:rPr>
        <w:t xml:space="preserve">A tal fine, e soprattutto, per procedere alla ristrutturazione forzata sarà necessario garantire che le categorie di voto dissenzienti dei creditori interessati ricevano un trattamento almeno altrettanto favorevole di quello riservato a qualsiasi altra categoria dello stesso rango e più favorevole di quello riservato a qualsiasi categoria di rango inferiore, nonché che nell'ambito del piano di ristrutturazione nessuna categoria delle parti interessate possa ricevere o mantenere più dell'importo totale dei propri crediti o interessi. Questo presupposto, che in realtà ne racchiude due, è ciò che viene definito test di equità o </w:t>
      </w:r>
      <w:r w:rsidRPr="00C93C05">
        <w:rPr>
          <w:rFonts w:ascii="Times New Roman" w:hAnsi="Times New Roman" w:cs="Times New Roman"/>
          <w:i/>
          <w:iCs/>
        </w:rPr>
        <w:t>fairness tes</w:t>
      </w:r>
      <w:r w:rsidRPr="00C93C05">
        <w:rPr>
          <w:rFonts w:ascii="Times New Roman" w:hAnsi="Times New Roman" w:cs="Times New Roman"/>
        </w:rPr>
        <w:t>t, i cui elementi costitutivi sono: la regola della priorità assoluta, il corollario a tale regola e il divieto di discriminazione ingiusta tra classi dello stesso rango, che stabilisce la necessità che le classi con rango identico siano trattate pari-passu nel piano di ristrutturazione</w:t>
      </w:r>
      <w:r w:rsidR="00C16334">
        <w:rPr>
          <w:rStyle w:val="Refdenotaalpie"/>
          <w:rFonts w:ascii="Times New Roman" w:hAnsi="Times New Roman" w:cs="Times New Roman"/>
        </w:rPr>
        <w:footnoteReference w:id="11"/>
      </w:r>
      <w:r w:rsidR="00C16334" w:rsidRPr="00F934A5">
        <w:rPr>
          <w:rFonts w:ascii="Times New Roman" w:hAnsi="Times New Roman" w:cs="Times New Roman"/>
        </w:rPr>
        <w:t>.</w:t>
      </w:r>
      <w:r w:rsidR="00C16334">
        <w:rPr>
          <w:rFonts w:ascii="Times New Roman" w:hAnsi="Times New Roman" w:cs="Times New Roman"/>
        </w:rPr>
        <w:t xml:space="preserve"> </w:t>
      </w:r>
    </w:p>
    <w:p w14:paraId="73AEF0CE" w14:textId="77777777" w:rsidR="00C16334" w:rsidRDefault="00C16334" w:rsidP="00C16334">
      <w:pPr>
        <w:jc w:val="both"/>
        <w:rPr>
          <w:rFonts w:ascii="Times New Roman" w:hAnsi="Times New Roman" w:cs="Times New Roman"/>
        </w:rPr>
      </w:pPr>
    </w:p>
    <w:p w14:paraId="5928270D" w14:textId="1059A81A" w:rsidR="00274330" w:rsidRDefault="00D86F68" w:rsidP="00274330">
      <w:pPr>
        <w:jc w:val="both"/>
        <w:rPr>
          <w:rFonts w:ascii="Times New Roman" w:hAnsi="Times New Roman" w:cs="Times New Roman"/>
        </w:rPr>
      </w:pPr>
      <w:r w:rsidRPr="00D86F68">
        <w:rPr>
          <w:rFonts w:ascii="Times New Roman" w:hAnsi="Times New Roman" w:cs="Times New Roman"/>
        </w:rPr>
        <w:t>In base a tali precauzioni, i creditori bancari non sarebbero in alcun modo espropriati né posticipati nel pagamento, poiché saranno pagati alle stesse condizioni dei creditori dello stesso rango e sempre in misura maggiore e a condizioni migliori rispetto alle classi di rango inferiore alla loro, che saranno normalmente privilegiate. L'aspetto rilevante della nuova normativa europea e spagnola è che i creditori bancari non possono più imporre le loro pretese ai debitori, passando anche sopra ad altri creditori, il che avrà senza dubbio conseguenze sul futuro finanziamento delle imprese.</w:t>
      </w:r>
    </w:p>
    <w:p w14:paraId="5A92ADF5" w14:textId="77777777" w:rsidR="00D86F68" w:rsidRDefault="00D86F68" w:rsidP="00274330">
      <w:pPr>
        <w:jc w:val="both"/>
        <w:rPr>
          <w:rFonts w:ascii="Times New Roman" w:hAnsi="Times New Roman" w:cs="Times New Roman"/>
        </w:rPr>
      </w:pPr>
    </w:p>
    <w:p w14:paraId="3E8D1AE5" w14:textId="5FD83F25" w:rsidR="00C82020" w:rsidRPr="00B952E4" w:rsidRDefault="00D86F68" w:rsidP="00043B85">
      <w:pPr>
        <w:pStyle w:val="Prrafodelista"/>
        <w:numPr>
          <w:ilvl w:val="0"/>
          <w:numId w:val="1"/>
        </w:numPr>
        <w:jc w:val="both"/>
        <w:rPr>
          <w:rFonts w:ascii="Times New Roman" w:hAnsi="Times New Roman" w:cs="Times New Roman"/>
          <w:b/>
          <w:bCs/>
        </w:rPr>
      </w:pPr>
      <w:r w:rsidRPr="00D86F68">
        <w:rPr>
          <w:rFonts w:ascii="Times New Roman" w:hAnsi="Times New Roman" w:cs="Times New Roman"/>
          <w:b/>
          <w:bCs/>
        </w:rPr>
        <w:t>LA DENATURALIZZAZIONE DELLA FUNZIONE DELLE GARANZIE REALI</w:t>
      </w:r>
    </w:p>
    <w:p w14:paraId="6CC13AF9" w14:textId="7641E7AB" w:rsidR="000E660C" w:rsidRDefault="000E660C" w:rsidP="000E660C">
      <w:pPr>
        <w:jc w:val="both"/>
        <w:rPr>
          <w:rFonts w:ascii="Times New Roman" w:hAnsi="Times New Roman" w:cs="Times New Roman"/>
        </w:rPr>
      </w:pPr>
    </w:p>
    <w:p w14:paraId="729341AB" w14:textId="4821FD2B" w:rsidR="00B952E4" w:rsidRDefault="00D86F68" w:rsidP="000E660C">
      <w:pPr>
        <w:jc w:val="both"/>
        <w:rPr>
          <w:rFonts w:ascii="Times New Roman" w:hAnsi="Times New Roman" w:cs="Times New Roman"/>
        </w:rPr>
      </w:pPr>
      <w:r w:rsidRPr="00D86F68">
        <w:rPr>
          <w:rFonts w:ascii="Times New Roman" w:hAnsi="Times New Roman" w:cs="Times New Roman"/>
        </w:rPr>
        <w:t>Nonostante la fine della ristrutturazione di cui abbiamo parlato, la tecnica del trascinamento dei creditori pone delle eccezioni ai principi generali di pacta sunt servanda, relatività dei contratti e par conditio creditorum, oltre a mettere in discussione la ripercussibilità e il carattere assoluto e immediato delle garanzie reali</w:t>
      </w:r>
      <w:r w:rsidR="000E660C">
        <w:rPr>
          <w:rStyle w:val="Refdenotaalpie"/>
          <w:rFonts w:ascii="Times New Roman" w:hAnsi="Times New Roman" w:cs="Times New Roman"/>
        </w:rPr>
        <w:footnoteReference w:id="12"/>
      </w:r>
      <w:r w:rsidR="000E660C">
        <w:rPr>
          <w:rFonts w:ascii="Times New Roman" w:hAnsi="Times New Roman" w:cs="Times New Roman"/>
        </w:rPr>
        <w:t xml:space="preserve">. </w:t>
      </w:r>
    </w:p>
    <w:p w14:paraId="5CBF0A74" w14:textId="77777777" w:rsidR="00B952E4" w:rsidRDefault="00B952E4" w:rsidP="000E660C">
      <w:pPr>
        <w:jc w:val="both"/>
        <w:rPr>
          <w:rFonts w:ascii="Times New Roman" w:hAnsi="Times New Roman" w:cs="Times New Roman"/>
        </w:rPr>
      </w:pPr>
    </w:p>
    <w:p w14:paraId="3CA0AB50" w14:textId="7070C1C7" w:rsidR="000E660C" w:rsidRDefault="00D86F68" w:rsidP="000E660C">
      <w:pPr>
        <w:jc w:val="both"/>
        <w:rPr>
          <w:rFonts w:ascii="Times New Roman" w:hAnsi="Times New Roman" w:cs="Times New Roman"/>
        </w:rPr>
      </w:pPr>
      <w:r w:rsidRPr="00D86F68">
        <w:rPr>
          <w:rFonts w:ascii="Times New Roman" w:hAnsi="Times New Roman" w:cs="Times New Roman"/>
        </w:rPr>
        <w:t>In tal senso, il legislatore spagnolo (ed europeo) riconosce e accetta che l'estensione coattiva degli effetti al creditore dissenziente o che non accetta un piano di ristrutturazione costituisce una sorta di sacrificio, una riduzione dei diritti che l'ordinamento gli attribuisce in generale, ma è disposto ad accettarlo nell'interesse della continuazione dell'attività del debitore che consenta di evitare il fallimento, con l'unica esigenza che, alla luce delle circostanze concorrenti, tale sacrificio non sia sproporzionato per il creditore dissenziente</w:t>
      </w:r>
      <w:r w:rsidR="000E660C">
        <w:rPr>
          <w:rStyle w:val="Refdenotaalpie"/>
          <w:rFonts w:ascii="Times New Roman" w:hAnsi="Times New Roman" w:cs="Times New Roman"/>
        </w:rPr>
        <w:footnoteReference w:id="13"/>
      </w:r>
      <w:r w:rsidR="000E660C">
        <w:rPr>
          <w:rFonts w:ascii="Times New Roman" w:hAnsi="Times New Roman" w:cs="Times New Roman"/>
        </w:rPr>
        <w:t xml:space="preserve">. </w:t>
      </w:r>
      <w:r w:rsidRPr="00D86F68">
        <w:rPr>
          <w:rFonts w:ascii="Times New Roman" w:hAnsi="Times New Roman" w:cs="Times New Roman"/>
        </w:rPr>
        <w:lastRenderedPageBreak/>
        <w:t xml:space="preserve">Naturalmente, il sacrificio del creditore dissenziente sarà sproporzionato quando non viene rispettato il </w:t>
      </w:r>
      <w:r w:rsidRPr="00D86F68">
        <w:rPr>
          <w:rFonts w:ascii="Times New Roman" w:hAnsi="Times New Roman" w:cs="Times New Roman"/>
          <w:i/>
          <w:iCs/>
        </w:rPr>
        <w:t>best interest test</w:t>
      </w:r>
      <w:r w:rsidRPr="00D86F68">
        <w:rPr>
          <w:rFonts w:ascii="Times New Roman" w:hAnsi="Times New Roman" w:cs="Times New Roman"/>
        </w:rPr>
        <w:t>, ovvero quando la quota risultante dal trascinamento dei creditori dissenzienti in una ristrutturazione è inferiore a quella che si otterrebbe o si prevedeva di ottenere dopo la liquidazione fallimentare della società.</w:t>
      </w:r>
      <w:r w:rsidR="000E660C">
        <w:rPr>
          <w:rStyle w:val="Refdenotaalpie"/>
          <w:rFonts w:ascii="Times New Roman" w:hAnsi="Times New Roman" w:cs="Times New Roman"/>
        </w:rPr>
        <w:footnoteReference w:id="14"/>
      </w:r>
      <w:r w:rsidR="000E660C">
        <w:rPr>
          <w:rFonts w:ascii="Times New Roman" w:hAnsi="Times New Roman" w:cs="Times New Roman"/>
        </w:rPr>
        <w:t xml:space="preserve">.  </w:t>
      </w:r>
    </w:p>
    <w:p w14:paraId="5EAAFA9C" w14:textId="77777777" w:rsidR="00B952E4" w:rsidRDefault="00B952E4" w:rsidP="000E660C">
      <w:pPr>
        <w:jc w:val="both"/>
        <w:rPr>
          <w:rFonts w:ascii="Times New Roman" w:hAnsi="Times New Roman" w:cs="Times New Roman"/>
        </w:rPr>
      </w:pPr>
    </w:p>
    <w:p w14:paraId="1B666098" w14:textId="4551C9D0" w:rsidR="00805AEA" w:rsidRDefault="00281F7A" w:rsidP="000E660C">
      <w:pPr>
        <w:jc w:val="both"/>
        <w:rPr>
          <w:rFonts w:ascii="Times New Roman" w:hAnsi="Times New Roman" w:cs="Times New Roman"/>
        </w:rPr>
      </w:pPr>
      <w:r w:rsidRPr="00281F7A">
        <w:rPr>
          <w:rFonts w:ascii="Times New Roman" w:hAnsi="Times New Roman" w:cs="Times New Roman"/>
        </w:rPr>
        <w:t>Nonostante tutte le eccezioni e le (possibili) violazioni sopra menzionate, ciò che emerge chiaramente dal trasferimento dei creditori, sia nella legge spagnola che nella direttiva europea, è una snaturazione del valore delle garanzie reali in ambito commerciale e, più specificamente, nel contesto delle ristrutturazioni aziendali. Se un creditore bancario negozia con un'impresa fornita di garanzie reali che assicurano il suo investimento nella seconda, ma, attraverso il trascinamento, tali garanzie non lo proteggono in alcun modo, è lecito chiedersi se la loro efficacia sia messa in discussione in questi casi e, cosa ancora più importante, se ciò possa avere un impatto sulla concessione futura del credito o portare a un ripensamento del sistema di garanzie. È vero che questa presunta inefficacia del sistema di garanzie non è prevedibile solo nell'ambito preconcorsuale, ma anche nel sistema concorsuale stesso, in quanto è possibile imporre un determinato accordo al creditore reale con il concorso di maggioranze e che si possa anche procedere alla vendita del bene o del diritto oggetto della garanzia reale seguendo determinati canali.</w:t>
      </w:r>
    </w:p>
    <w:p w14:paraId="6DB8150A" w14:textId="77777777" w:rsidR="00281F7A" w:rsidRDefault="00281F7A" w:rsidP="000E660C">
      <w:pPr>
        <w:jc w:val="both"/>
        <w:rPr>
          <w:rFonts w:ascii="Times New Roman" w:hAnsi="Times New Roman" w:cs="Times New Roman"/>
        </w:rPr>
      </w:pPr>
    </w:p>
    <w:p w14:paraId="2A80049F" w14:textId="5BA69D2D" w:rsidR="00805AEA" w:rsidRDefault="00281F7A" w:rsidP="00805AEA">
      <w:pPr>
        <w:jc w:val="both"/>
        <w:rPr>
          <w:rFonts w:ascii="Times New Roman" w:hAnsi="Times New Roman" w:cs="Times New Roman"/>
        </w:rPr>
      </w:pPr>
      <w:r w:rsidRPr="00281F7A">
        <w:rPr>
          <w:rFonts w:ascii="Times New Roman" w:hAnsi="Times New Roman" w:cs="Times New Roman"/>
        </w:rPr>
        <w:t>Per cercare di mitigare questi effetti e, naturalmente, al fine di proteggere e continuare a valorizzare i titolari di garanzie reali, principalmente i creditori bancari, il Testo Rinnovato della Legge Fallimentare Spagnola prevede all'articolo 651 una sorta di protezione speciale nonostante il trascinamento dei creditori. In tal senso, i creditori titolari di diritti di garanzia reale che abbiano votato contro il piano e appartengano a una classe in cui il voto favorevole sarebbe stato inferiore al voto dissenziente, avranno il diritto di richiedere la realizzazione dei beni o dei diritti gravati entro un mese dalla pubblicazione del decreto di omologazione nel Registro pubblico fallimentare. L'esercizio di tale diritto comporterà la scadenza del credito originario garantito.</w:t>
      </w:r>
    </w:p>
    <w:p w14:paraId="21E8A144" w14:textId="77777777" w:rsidR="00281F7A" w:rsidRDefault="00281F7A" w:rsidP="00805AEA">
      <w:pPr>
        <w:jc w:val="both"/>
        <w:rPr>
          <w:rFonts w:ascii="Times New Roman" w:hAnsi="Times New Roman" w:cs="Times New Roman"/>
        </w:rPr>
      </w:pPr>
    </w:p>
    <w:p w14:paraId="6F80B870" w14:textId="77777777" w:rsidR="00281F7A" w:rsidRPr="00281F7A" w:rsidRDefault="00281F7A" w:rsidP="00281F7A">
      <w:pPr>
        <w:jc w:val="both"/>
        <w:rPr>
          <w:rFonts w:ascii="Times New Roman" w:hAnsi="Times New Roman" w:cs="Times New Roman"/>
        </w:rPr>
      </w:pPr>
      <w:r w:rsidRPr="00281F7A">
        <w:rPr>
          <w:rFonts w:ascii="Times New Roman" w:hAnsi="Times New Roman" w:cs="Times New Roman"/>
        </w:rPr>
        <w:t>Si osservi come i creditori bancari appartenenti a una classe che sia stata trascinata potranno eseguire tali garanzie entro un mese dalla pubblicazione dell'ordinanza di omologazione e riscuotere il capitale e gli interessi dei loro crediti fino al valore coperto dalla garanzia. È inoltre previsto che il piano possa prevedere la sostituzione di tale diritto con la possibilità di riscuotere in contanti, entro un termine non superiore a centoventi giorni, la parte del credito coperta dal valore della garanzia, recuperando il diritto all'esecuzione di tale garanzia in caso di mancato pagamento del credito.</w:t>
      </w:r>
    </w:p>
    <w:p w14:paraId="38309E58" w14:textId="77777777" w:rsidR="00281F7A" w:rsidRPr="00281F7A" w:rsidRDefault="00281F7A" w:rsidP="00281F7A">
      <w:pPr>
        <w:jc w:val="both"/>
        <w:rPr>
          <w:rFonts w:ascii="Times New Roman" w:hAnsi="Times New Roman" w:cs="Times New Roman"/>
        </w:rPr>
      </w:pPr>
    </w:p>
    <w:p w14:paraId="3C3760F9" w14:textId="77777777" w:rsidR="00281F7A" w:rsidRPr="00281F7A" w:rsidRDefault="00281F7A" w:rsidP="00281F7A">
      <w:pPr>
        <w:jc w:val="both"/>
        <w:rPr>
          <w:rFonts w:ascii="Times New Roman" w:hAnsi="Times New Roman" w:cs="Times New Roman"/>
        </w:rPr>
      </w:pPr>
      <w:r w:rsidRPr="00281F7A">
        <w:rPr>
          <w:rFonts w:ascii="Times New Roman" w:hAnsi="Times New Roman" w:cs="Times New Roman"/>
        </w:rPr>
        <w:t>Da parte sua, si prevede che se l'importo ottenuto dalla realizzazione dei beni o dei diritti gravati fosse inferiore al debito garantito, ma superiore al valore della garanzia previsto nel piano di ristrutturazione, l'esecutante si approprierà dell'intero importo risultante dall'esecuzione. La differenza tra tale importo e il valore della garanzia sarà dedotta da quanto, eventualmente, avrebbe ricevuto o dovrebbe ricevere in base al piano di ristrutturazione per la parte del credito non garantita. Al contrario, se l'importo ottenuto fosse inferiore al valore della garanzia, il creditore si approprierà dell'intero importo risultante dall'esecuzione e la parte restante rimarrà insoddisfatta.</w:t>
      </w:r>
    </w:p>
    <w:p w14:paraId="31052ACE" w14:textId="44F5A4DB" w:rsidR="000E660C" w:rsidRDefault="00281F7A" w:rsidP="000E660C">
      <w:pPr>
        <w:jc w:val="both"/>
        <w:rPr>
          <w:rFonts w:ascii="Times New Roman" w:hAnsi="Times New Roman" w:cs="Times New Roman"/>
        </w:rPr>
      </w:pPr>
      <w:r w:rsidRPr="00281F7A">
        <w:rPr>
          <w:rFonts w:ascii="Times New Roman" w:hAnsi="Times New Roman" w:cs="Times New Roman"/>
        </w:rPr>
        <w:lastRenderedPageBreak/>
        <w:t>Stando così le cose, sebbene questa norma cerchi di mitigare l'effetto, la verità è che il trascinamento produce una totale snaturazione del sistema di garanzie, privandolo di efficacia, il che potrebbe influire sul finanziamento futuro di molte imprese, poiché le banche non dispongono di garanzie sufficienti né si sentono privilegiate dal potere che tradizionalmente conferiva una garanzia reale.</w:t>
      </w:r>
    </w:p>
    <w:p w14:paraId="1EC23B34" w14:textId="77777777" w:rsidR="00281F7A" w:rsidRPr="000E660C" w:rsidRDefault="00281F7A" w:rsidP="000E660C">
      <w:pPr>
        <w:jc w:val="both"/>
        <w:rPr>
          <w:rFonts w:ascii="Times New Roman" w:hAnsi="Times New Roman" w:cs="Times New Roman"/>
        </w:rPr>
      </w:pPr>
    </w:p>
    <w:p w14:paraId="2A1E8D8B" w14:textId="66248D83" w:rsidR="00C82020" w:rsidRPr="00C43203" w:rsidRDefault="00281F7A" w:rsidP="00043B85">
      <w:pPr>
        <w:pStyle w:val="Prrafodelista"/>
        <w:numPr>
          <w:ilvl w:val="0"/>
          <w:numId w:val="1"/>
        </w:numPr>
        <w:jc w:val="both"/>
        <w:rPr>
          <w:rFonts w:ascii="Times New Roman" w:hAnsi="Times New Roman" w:cs="Times New Roman"/>
          <w:b/>
          <w:bCs/>
        </w:rPr>
      </w:pPr>
      <w:r w:rsidRPr="00281F7A">
        <w:rPr>
          <w:rFonts w:ascii="Times New Roman" w:hAnsi="Times New Roman" w:cs="Times New Roman"/>
          <w:b/>
          <w:bCs/>
        </w:rPr>
        <w:t xml:space="preserve">NUOVO FINANZIAMENTO E FINANZIAMENTO INTERINALE </w:t>
      </w:r>
    </w:p>
    <w:p w14:paraId="7DAFEA88" w14:textId="11872B2B" w:rsidR="00CD73F1" w:rsidRDefault="00CD73F1" w:rsidP="00CD73F1">
      <w:pPr>
        <w:jc w:val="both"/>
        <w:rPr>
          <w:rFonts w:ascii="Times New Roman" w:hAnsi="Times New Roman" w:cs="Times New Roman"/>
        </w:rPr>
      </w:pPr>
    </w:p>
    <w:p w14:paraId="639553EC" w14:textId="6B49AFC4" w:rsidR="00980ECC" w:rsidRDefault="00281F7A" w:rsidP="00503200">
      <w:pPr>
        <w:jc w:val="both"/>
        <w:rPr>
          <w:rFonts w:ascii="Times New Roman" w:hAnsi="Times New Roman" w:cs="Times New Roman"/>
        </w:rPr>
      </w:pPr>
      <w:r w:rsidRPr="00281F7A">
        <w:rPr>
          <w:rFonts w:ascii="Times New Roman" w:hAnsi="Times New Roman" w:cs="Times New Roman"/>
        </w:rPr>
        <w:t xml:space="preserve">I concetti di nuovo finanziamento e finanziamento provvisorio sono relativamente nuovi nel Testo Rinnovato della Legge Fallimentare spagnola, anche se in precedenza veniva utilizzato il concetto di </w:t>
      </w:r>
      <w:r w:rsidRPr="00281F7A">
        <w:rPr>
          <w:rFonts w:ascii="Times New Roman" w:hAnsi="Times New Roman" w:cs="Times New Roman"/>
          <w:i/>
          <w:iCs/>
        </w:rPr>
        <w:t>fresh money</w:t>
      </w:r>
      <w:r w:rsidRPr="00281F7A">
        <w:rPr>
          <w:rFonts w:ascii="Times New Roman" w:hAnsi="Times New Roman" w:cs="Times New Roman"/>
        </w:rPr>
        <w:t xml:space="preserve"> per gli accordi di rifinanziamento. Attraverso queste categorie, i creditori bancari possono ottenere più potere in una ristrutturazione e in una successiva procedura concorsuale, soprattutto se il piano viene omologato, poiché tale finanziamento non potrà essere revocato se sono soddisfatti i requisiti dell'articolo 667. Inoltre, la pratica di ristrutturazione spagnola sta dimostrando come il finanziamento provvisorio e il nuovo finanziamento possano costituire una o più classi nella procedura di ristrutturazione, avvantaggiando così alcuni istituti bancari che possono costituire i propri crediti in classi diverse, con il conseguente aumento del potere di voto che ciò comporta.</w:t>
      </w:r>
    </w:p>
    <w:p w14:paraId="04E8F0D6" w14:textId="77777777" w:rsidR="00281F7A" w:rsidRDefault="00281F7A" w:rsidP="00503200">
      <w:pPr>
        <w:jc w:val="both"/>
        <w:rPr>
          <w:rFonts w:ascii="Times New Roman" w:hAnsi="Times New Roman" w:cs="Times New Roman"/>
        </w:rPr>
      </w:pPr>
    </w:p>
    <w:p w14:paraId="573506D2" w14:textId="77777777" w:rsidR="00281F7A" w:rsidRPr="00281F7A" w:rsidRDefault="00281F7A" w:rsidP="00281F7A">
      <w:pPr>
        <w:jc w:val="both"/>
        <w:rPr>
          <w:rFonts w:ascii="Times New Roman" w:hAnsi="Times New Roman" w:cs="Times New Roman"/>
        </w:rPr>
      </w:pPr>
      <w:r w:rsidRPr="00281F7A">
        <w:rPr>
          <w:rFonts w:ascii="Times New Roman" w:hAnsi="Times New Roman" w:cs="Times New Roman"/>
        </w:rPr>
        <w:t xml:space="preserve">In ogni caso, è considerato finanziamento provvisorio quello concesso da chi non era creditore o da un creditore preesistente se, al momento della concessione, era ragionevole e immediatamente necessario, sia per garantire la continuità totale o parziale dell'attività imprenditoriale o professionale del debitore durante le trattative con i creditori fino all'omologazione di tale piano, o per preservare o migliorare il valore che avevano alla data di inizio di tali negoziazioni l'insieme dell'impresa o una o più unità produttive. Da parte sua, sarà considerato nuovo finanziamento quello concesso da chi non era creditore o da un creditore preesistente che, essendo previsto nel piano di ristrutturazione, risulti necessario per l'adempimento di tale piano. </w:t>
      </w:r>
    </w:p>
    <w:p w14:paraId="285391F6" w14:textId="77777777" w:rsidR="00281F7A" w:rsidRPr="00281F7A" w:rsidRDefault="00281F7A" w:rsidP="00281F7A">
      <w:pPr>
        <w:jc w:val="both"/>
        <w:rPr>
          <w:rFonts w:ascii="Times New Roman" w:hAnsi="Times New Roman" w:cs="Times New Roman"/>
        </w:rPr>
      </w:pPr>
    </w:p>
    <w:p w14:paraId="1F9E6D04" w14:textId="6FF11B64" w:rsidR="00503200" w:rsidRDefault="00281F7A" w:rsidP="00281F7A">
      <w:pPr>
        <w:jc w:val="both"/>
        <w:rPr>
          <w:rFonts w:ascii="Times New Roman" w:hAnsi="Times New Roman" w:cs="Times New Roman"/>
        </w:rPr>
      </w:pPr>
      <w:r w:rsidRPr="00281F7A">
        <w:rPr>
          <w:rFonts w:ascii="Times New Roman" w:hAnsi="Times New Roman" w:cs="Times New Roman"/>
        </w:rPr>
        <w:t>Come abbiamo detto, la presenza di finanziamenti provvisori o nuovi sarà relativamente frequente, per non dire che sarà sempre presente nei piani di ristrutturazione attuali, motivo per cui i giudici li controlleranno ugualmente attraverso l'omologazione del piano. Infatti, il giudice deve verificare anche il rispetto di tutti i requisiti relativi al finanziamento provvisorio e al nuovo finanziamento e, in quest'ultimo caso, che esso non leda ingiustamente gli interessi dei creditori (articolo 669 del Testo Unico della Legge Fallimentare</w:t>
      </w:r>
      <w:r w:rsidR="00503200">
        <w:rPr>
          <w:rStyle w:val="Refdenotaalpie"/>
          <w:rFonts w:ascii="Times New Roman" w:hAnsi="Times New Roman" w:cs="Times New Roman"/>
        </w:rPr>
        <w:footnoteReference w:id="15"/>
      </w:r>
      <w:r w:rsidR="00503200">
        <w:rPr>
          <w:rFonts w:ascii="Times New Roman" w:hAnsi="Times New Roman" w:cs="Times New Roman"/>
        </w:rPr>
        <w:t xml:space="preserve">). </w:t>
      </w:r>
      <w:r w:rsidRPr="00281F7A">
        <w:rPr>
          <w:rFonts w:ascii="Times New Roman" w:hAnsi="Times New Roman" w:cs="Times New Roman"/>
        </w:rPr>
        <w:t>Il fondamento per procedere al controllo di tale finanziamento risiede nella necessità di evitare comportamenti espropriativi di valore all'interno della struttura del capitale, poiché entrambi i tipi di finanziamento aumentano il passivo, il che farà sì che i creditori preesistenti vedano la loro posizione nella struttura subordinata</w:t>
      </w:r>
      <w:r w:rsidR="00503200">
        <w:rPr>
          <w:rStyle w:val="Refdenotaalpie"/>
          <w:rFonts w:ascii="Times New Roman" w:hAnsi="Times New Roman" w:cs="Times New Roman"/>
        </w:rPr>
        <w:footnoteReference w:id="16"/>
      </w:r>
      <w:r w:rsidR="00503200">
        <w:rPr>
          <w:rFonts w:ascii="Times New Roman" w:hAnsi="Times New Roman" w:cs="Times New Roman"/>
        </w:rPr>
        <w:t xml:space="preserve">. </w:t>
      </w:r>
      <w:r w:rsidRPr="00281F7A">
        <w:rPr>
          <w:rFonts w:ascii="Times New Roman" w:hAnsi="Times New Roman" w:cs="Times New Roman"/>
        </w:rPr>
        <w:t>In questo modo, il controllo del finanziamento provvisorio e del nuovo finanziamento è sottoposto a un doppio controllo: da un lato, al controllo dei creditori stessi e, dall'altro, al controllo giudiziario.</w:t>
      </w:r>
    </w:p>
    <w:p w14:paraId="1BC8FEBC" w14:textId="77777777" w:rsidR="00503200" w:rsidRDefault="00503200" w:rsidP="00503200">
      <w:pPr>
        <w:jc w:val="both"/>
        <w:rPr>
          <w:rFonts w:ascii="Times New Roman" w:hAnsi="Times New Roman" w:cs="Times New Roman"/>
        </w:rPr>
      </w:pPr>
    </w:p>
    <w:p w14:paraId="748BCFFB" w14:textId="77777777" w:rsidR="00CE0A48" w:rsidRPr="00CE0A48" w:rsidRDefault="00CE0A48" w:rsidP="00CE0A48">
      <w:pPr>
        <w:jc w:val="both"/>
        <w:rPr>
          <w:rFonts w:ascii="Times New Roman" w:hAnsi="Times New Roman" w:cs="Times New Roman"/>
        </w:rPr>
      </w:pPr>
      <w:r w:rsidRPr="00CE0A48">
        <w:rPr>
          <w:rFonts w:ascii="Times New Roman" w:hAnsi="Times New Roman" w:cs="Times New Roman"/>
        </w:rPr>
        <w:lastRenderedPageBreak/>
        <w:t>Per quanto riguarda il controllo esercitato dai creditori stessi, esso sarà effettuato sulla base dell'approvazione del piano di ristrutturazione che contiene questo tipo di misure. Pertanto, affinché il piano di ristrutturazione sia approvato, sarà necessario raggiungere una maggioranza di due terzi all'interno di ciascuna classe o di tre quarti nelle classi con garanzie reali. Inoltre, la protezione contro le azioni revocatorie in caso di successiva procedura concorsuale richiederà che i crediti interessati da un piano di ristrutturazione omologato siano rappresentativi di almeno il 51% del passivo totale del debitore (articolo 667 del Testo Rinnovato della Legge Fallimentare) o il 60% del passivo totale al netto dei crediti delle persone particolarmente correlate quando il finanziamento provvisorio o quello nuovo siano stati concessi da tali soggetti (articolo 668 del Testo Rinnovato della Legge Fallimentare).</w:t>
      </w:r>
    </w:p>
    <w:p w14:paraId="32B6B8A3" w14:textId="77777777" w:rsidR="00CE0A48" w:rsidRPr="00CE0A48" w:rsidRDefault="00CE0A48" w:rsidP="00CE0A48">
      <w:pPr>
        <w:jc w:val="both"/>
        <w:rPr>
          <w:rFonts w:ascii="Times New Roman" w:hAnsi="Times New Roman" w:cs="Times New Roman"/>
        </w:rPr>
      </w:pPr>
    </w:p>
    <w:p w14:paraId="43915C5D" w14:textId="74D641C3" w:rsidR="00503200" w:rsidRDefault="00CE0A48" w:rsidP="00CE0A48">
      <w:pPr>
        <w:jc w:val="both"/>
        <w:rPr>
          <w:rFonts w:ascii="Times New Roman" w:hAnsi="Times New Roman" w:cs="Times New Roman"/>
        </w:rPr>
      </w:pPr>
      <w:r w:rsidRPr="00CE0A48">
        <w:rPr>
          <w:rFonts w:ascii="Times New Roman" w:hAnsi="Times New Roman" w:cs="Times New Roman"/>
        </w:rPr>
        <w:t>Il controllo giudiziario, da parte sua, sarà effettuato attraverso la procedura di omologazione del piano di ristrutturazione che contiene questo tipo di misure e la sua protezione in sede fallimentare, analizzando non solo la presenza delle maggioranze necessarie, ma anche la necessità del piano di ristrutturazione per evitare il fallimento e garantire la redditività a breve e medio termine</w:t>
      </w:r>
      <w:r w:rsidR="00503200">
        <w:rPr>
          <w:rStyle w:val="Refdenotaalpie"/>
          <w:rFonts w:ascii="Times New Roman" w:hAnsi="Times New Roman" w:cs="Times New Roman"/>
        </w:rPr>
        <w:footnoteReference w:id="17"/>
      </w:r>
      <w:r w:rsidR="00503200">
        <w:rPr>
          <w:rFonts w:ascii="Times New Roman" w:hAnsi="Times New Roman" w:cs="Times New Roman"/>
        </w:rPr>
        <w:t xml:space="preserve">. </w:t>
      </w:r>
      <w:r w:rsidRPr="00CE0A48">
        <w:rPr>
          <w:rFonts w:ascii="Times New Roman" w:hAnsi="Times New Roman" w:cs="Times New Roman"/>
        </w:rPr>
        <w:t>Inoltre, si richiede che il nuovo finanziamento non danneggi ingiustamente gli interessi dei creditori, concetto questo del tutto indeterminato e che ricorda l'antico sacrificio patrimoniale sproporzionato della legislazione precedente. Il giudice effettuerà in questo contesto un controllo puramente superficiale sulla base dell'impossibilità di conoscerlo, almeno nei casi in cui non vi sia stata una fase di contraddittorio preliminare. Tuttavia, va detto che se tale finanziamento è necessario per l'adempimento del piano ed è destinato a finanziare le esigenze derivanti dal piano di redditività, esso non sarà di per sé pregiudizievole per i creditori, in quanto salvaguarda l'attività per pagare i crediti interessati dalla ristrutturazione</w:t>
      </w:r>
      <w:r w:rsidR="00503200">
        <w:rPr>
          <w:rStyle w:val="Refdenotaalpie"/>
          <w:rFonts w:ascii="Times New Roman" w:hAnsi="Times New Roman" w:cs="Times New Roman"/>
        </w:rPr>
        <w:footnoteReference w:id="18"/>
      </w:r>
      <w:r w:rsidR="00503200">
        <w:rPr>
          <w:rFonts w:ascii="Times New Roman" w:hAnsi="Times New Roman" w:cs="Times New Roman"/>
        </w:rPr>
        <w:t xml:space="preserve">. </w:t>
      </w:r>
    </w:p>
    <w:p w14:paraId="3A913F24" w14:textId="77777777" w:rsidR="00503200" w:rsidRDefault="00503200" w:rsidP="00503200">
      <w:pPr>
        <w:jc w:val="both"/>
        <w:rPr>
          <w:rFonts w:ascii="Times New Roman" w:hAnsi="Times New Roman" w:cs="Times New Roman"/>
        </w:rPr>
      </w:pPr>
    </w:p>
    <w:p w14:paraId="0DD3B153" w14:textId="77777777" w:rsidR="00CE0A48" w:rsidRPr="00CE0A48" w:rsidRDefault="00CE0A48" w:rsidP="00CE0A48">
      <w:pPr>
        <w:jc w:val="both"/>
        <w:rPr>
          <w:rFonts w:ascii="Times New Roman" w:hAnsi="Times New Roman" w:cs="Times New Roman"/>
        </w:rPr>
      </w:pPr>
      <w:r w:rsidRPr="00CE0A48">
        <w:rPr>
          <w:rFonts w:ascii="Times New Roman" w:hAnsi="Times New Roman" w:cs="Times New Roman"/>
        </w:rPr>
        <w:t>Come abbiamo detto, negli ultimi anni si sta verificando la tendenza che questi due tipi di finanziamento, in particolare quello provvisorio, siano interessati dalla ristrutturazione e, di conseguenza, costituiscano una classe separata, che vota e ha il suo peso, il che consente, come abbiamo già anticipato, alle istituzioni finanziarie di acquisire maggiore potere nelle ristrutturazioni. In effetti, vi sono casi in cui l'impatto del finanziamento provvisorio ha permesso di ottenere la maggioranza delle classi a favore, sia come classe ordinaria (caso Das Photonics), sia come</w:t>
      </w:r>
    </w:p>
    <w:p w14:paraId="098FBFD5" w14:textId="6205660A" w:rsidR="00CD73F1" w:rsidRDefault="00CE0A48" w:rsidP="00CE0A48">
      <w:pPr>
        <w:jc w:val="both"/>
        <w:rPr>
          <w:rFonts w:ascii="Times New Roman" w:hAnsi="Times New Roman" w:cs="Times New Roman"/>
        </w:rPr>
      </w:pPr>
      <w:r w:rsidRPr="00CE0A48">
        <w:rPr>
          <w:rFonts w:ascii="Times New Roman" w:hAnsi="Times New Roman" w:cs="Times New Roman"/>
        </w:rPr>
        <w:t>classe subordinata (caso Real Murcia). In altri casi, invece, la sua condizione di classe privilegiata ha potuto essere determinante, anche se c'erano altre classi privilegiate che hanno votato a favore (caso Alimentos El Arco); oppure è stata di fatto determinante, perché era l'unica classe privilegiata (caso Novoline)</w:t>
      </w:r>
      <w:r w:rsidR="0072609C">
        <w:rPr>
          <w:rStyle w:val="Refdenotaalpie"/>
          <w:rFonts w:ascii="Times New Roman" w:hAnsi="Times New Roman" w:cs="Times New Roman"/>
        </w:rPr>
        <w:footnoteReference w:id="19"/>
      </w:r>
      <w:r w:rsidR="0072609C" w:rsidRPr="0072609C">
        <w:rPr>
          <w:rFonts w:ascii="Times New Roman" w:hAnsi="Times New Roman" w:cs="Times New Roman"/>
        </w:rPr>
        <w:t xml:space="preserve">. </w:t>
      </w:r>
    </w:p>
    <w:p w14:paraId="0D74E55E" w14:textId="77777777" w:rsidR="00503200" w:rsidRDefault="00503200" w:rsidP="00CD73F1">
      <w:pPr>
        <w:jc w:val="both"/>
        <w:rPr>
          <w:rFonts w:ascii="Times New Roman" w:hAnsi="Times New Roman" w:cs="Times New Roman"/>
        </w:rPr>
      </w:pPr>
    </w:p>
    <w:p w14:paraId="28EDB054" w14:textId="7DA3AB94" w:rsidR="00CD73F1" w:rsidRDefault="000C2858" w:rsidP="00CD73F1">
      <w:pPr>
        <w:jc w:val="both"/>
        <w:rPr>
          <w:rFonts w:ascii="Times New Roman" w:hAnsi="Times New Roman" w:cs="Times New Roman"/>
        </w:rPr>
      </w:pPr>
      <w:r w:rsidRPr="000C2858">
        <w:rPr>
          <w:rFonts w:ascii="Times New Roman" w:hAnsi="Times New Roman" w:cs="Times New Roman"/>
        </w:rPr>
        <w:t>Ancora una volta, come già sottolineato e in base alle regole di formazione delle classi, la loro configurazione spetterà al proponente del piano, generalmente il debitore, anche se l'esperto e il revisore dovranno certificare la presenza delle maggioranze per procedere all'omologazione sulla base delle classi stabilite dal richiedente. La formazione delle classi deve inoltre rispondere a criteri oggettivi e giustificati per non generare classi artificiose, protette dalle norme di legge, con cui forzare le maggioranze per il successo della ristrutturazione, poiché, come accadeva con il perimetro di applicazione, il principio di non discriminazione potrebbe essere violato</w:t>
      </w:r>
      <w:r w:rsidR="00CD73F1">
        <w:rPr>
          <w:rStyle w:val="Refdenotaalpie"/>
          <w:rFonts w:ascii="Times New Roman" w:hAnsi="Times New Roman" w:cs="Times New Roman"/>
        </w:rPr>
        <w:footnoteReference w:id="20"/>
      </w:r>
      <w:r w:rsidR="00CD73F1">
        <w:rPr>
          <w:rFonts w:ascii="Times New Roman" w:hAnsi="Times New Roman" w:cs="Times New Roman"/>
        </w:rPr>
        <w:t xml:space="preserve">. </w:t>
      </w:r>
      <w:r w:rsidRPr="000C2858">
        <w:rPr>
          <w:rFonts w:ascii="Times New Roman" w:hAnsi="Times New Roman" w:cs="Times New Roman"/>
        </w:rPr>
        <w:t>Pertanto, qualora sussista una ragione valida per costituire tali classi, queste potranno votare, ma non potranno essere costituite con finalità strategiche volte a conferire maggiore potere agli istituti finanziari e determinare in tal modo il successo di una ristrutturazione.</w:t>
      </w:r>
    </w:p>
    <w:p w14:paraId="0AFA4B06" w14:textId="77777777" w:rsidR="000C2858" w:rsidRPr="00CD73F1" w:rsidRDefault="000C2858" w:rsidP="00CD73F1">
      <w:pPr>
        <w:jc w:val="both"/>
        <w:rPr>
          <w:rFonts w:ascii="Times New Roman" w:hAnsi="Times New Roman" w:cs="Times New Roman"/>
        </w:rPr>
      </w:pPr>
    </w:p>
    <w:p w14:paraId="5B7DA029" w14:textId="4C696266" w:rsidR="00C82020" w:rsidRPr="00B448FE" w:rsidRDefault="00C82020" w:rsidP="00043B85">
      <w:pPr>
        <w:pStyle w:val="Prrafodelista"/>
        <w:numPr>
          <w:ilvl w:val="0"/>
          <w:numId w:val="1"/>
        </w:numPr>
        <w:jc w:val="both"/>
        <w:rPr>
          <w:rFonts w:ascii="Times New Roman" w:hAnsi="Times New Roman" w:cs="Times New Roman"/>
          <w:b/>
          <w:bCs/>
        </w:rPr>
      </w:pPr>
      <w:r w:rsidRPr="00B448FE">
        <w:rPr>
          <w:rFonts w:ascii="Times New Roman" w:hAnsi="Times New Roman" w:cs="Times New Roman"/>
          <w:b/>
          <w:bCs/>
        </w:rPr>
        <w:t>CONCLUSI</w:t>
      </w:r>
      <w:r w:rsidR="000C2858">
        <w:rPr>
          <w:rFonts w:ascii="Times New Roman" w:hAnsi="Times New Roman" w:cs="Times New Roman"/>
          <w:b/>
          <w:bCs/>
        </w:rPr>
        <w:t>N</w:t>
      </w:r>
      <w:r w:rsidRPr="00B448FE">
        <w:rPr>
          <w:rFonts w:ascii="Times New Roman" w:hAnsi="Times New Roman" w:cs="Times New Roman"/>
          <w:b/>
          <w:bCs/>
        </w:rPr>
        <w:t>O</w:t>
      </w:r>
      <w:r w:rsidR="000C2858">
        <w:rPr>
          <w:rFonts w:ascii="Times New Roman" w:hAnsi="Times New Roman" w:cs="Times New Roman"/>
          <w:b/>
          <w:bCs/>
        </w:rPr>
        <w:t>I</w:t>
      </w:r>
    </w:p>
    <w:p w14:paraId="245DB4AD" w14:textId="77777777" w:rsidR="00BD7E46" w:rsidRDefault="00BD7E46" w:rsidP="00BD7E46">
      <w:pPr>
        <w:jc w:val="both"/>
        <w:rPr>
          <w:rFonts w:ascii="Times New Roman" w:hAnsi="Times New Roman" w:cs="Times New Roman"/>
        </w:rPr>
      </w:pPr>
    </w:p>
    <w:p w14:paraId="5E042A30" w14:textId="77777777" w:rsidR="000C2858" w:rsidRPr="000C2858" w:rsidRDefault="000C2858" w:rsidP="000C2858">
      <w:pPr>
        <w:jc w:val="both"/>
        <w:rPr>
          <w:rFonts w:ascii="Times New Roman" w:hAnsi="Times New Roman" w:cs="Times New Roman"/>
        </w:rPr>
      </w:pPr>
      <w:r w:rsidRPr="000C2858">
        <w:rPr>
          <w:rFonts w:ascii="Times New Roman" w:hAnsi="Times New Roman" w:cs="Times New Roman"/>
        </w:rPr>
        <w:t>Con queste brevi considerazioni abbiamo cercato di evidenziare come la posizione delle banche sia cambiata in senso di perdita di influenza e potere a seguito delle successive riforme della legislazione fallimentare. Se prima i loro privilegi, la loro posizione e la riserva legale di non considerazione dell'amministrazione di fatto erano confermati, oggi la situazione è molto diversa.</w:t>
      </w:r>
    </w:p>
    <w:p w14:paraId="60D34E8C" w14:textId="77777777" w:rsidR="000C2858" w:rsidRPr="000C2858" w:rsidRDefault="000C2858" w:rsidP="000C2858">
      <w:pPr>
        <w:jc w:val="both"/>
        <w:rPr>
          <w:rFonts w:ascii="Times New Roman" w:hAnsi="Times New Roman" w:cs="Times New Roman"/>
        </w:rPr>
      </w:pPr>
    </w:p>
    <w:p w14:paraId="4E5F4AC3" w14:textId="396FACC3" w:rsidR="00364E5E" w:rsidRDefault="000C2858" w:rsidP="000C2858">
      <w:pPr>
        <w:jc w:val="both"/>
        <w:rPr>
          <w:rFonts w:ascii="Times New Roman" w:hAnsi="Times New Roman" w:cs="Times New Roman"/>
        </w:rPr>
      </w:pPr>
      <w:r w:rsidRPr="000C2858">
        <w:rPr>
          <w:rFonts w:ascii="Times New Roman" w:hAnsi="Times New Roman" w:cs="Times New Roman"/>
        </w:rPr>
        <w:t>Come abbiamo detto, la formazione delle classi deve rispondere a criteri oggettivi che saranno controllati giudizialmente, in modo tale che questo processo non possa rispondere a una strategia. Inoltre, il fatto che il piano di ristrutturazione sia approvato riunendo le maggioranze di tutte le classi di crediti interessati, non solo quelli finanziari come avveniva nella legislazione abrogata con gli accordi di rifinanziamento, nonché la possibilità di trascinamento, riduce notevolmente il potere di azione degli istituti bancari. Ciò, logicamente, può influire a medio e lungo termine sul finanziamento del settore imprenditoriale, poiché se nemmeno le garanzie reali assicurano agli istituti di credito il controllo della ristrutturazione, la sfiducia è assicurata.</w:t>
      </w:r>
    </w:p>
    <w:p w14:paraId="0C438970" w14:textId="77777777" w:rsidR="000C2858" w:rsidRDefault="000C2858" w:rsidP="000C2858">
      <w:pPr>
        <w:jc w:val="both"/>
        <w:rPr>
          <w:rFonts w:ascii="Times New Roman" w:hAnsi="Times New Roman" w:cs="Times New Roman"/>
        </w:rPr>
      </w:pPr>
    </w:p>
    <w:p w14:paraId="768438C8" w14:textId="77777777" w:rsidR="000C2858" w:rsidRPr="000C2858" w:rsidRDefault="000C2858" w:rsidP="000C2858">
      <w:pPr>
        <w:jc w:val="both"/>
        <w:rPr>
          <w:rFonts w:ascii="Times New Roman" w:hAnsi="Times New Roman" w:cs="Times New Roman"/>
        </w:rPr>
      </w:pPr>
      <w:r w:rsidRPr="000C2858">
        <w:rPr>
          <w:rFonts w:ascii="Times New Roman" w:hAnsi="Times New Roman" w:cs="Times New Roman"/>
        </w:rPr>
        <w:t>Consapevole di questo rischio, il legislatore non solo ha previsto misure cautelative per la tutela dei creditori dal trascinamento, ma anche la possibilità che i creditori dotati di garanzie reali che potrebbero essere costretti a farlo possano richiedere l'esecuzione separata, aspetti che rafforzano, in una certa misura, la posizione già indebolita dei creditori finanziari.</w:t>
      </w:r>
    </w:p>
    <w:p w14:paraId="498343E5" w14:textId="77777777" w:rsidR="000C2858" w:rsidRPr="000C2858" w:rsidRDefault="000C2858" w:rsidP="000C2858">
      <w:pPr>
        <w:jc w:val="both"/>
        <w:rPr>
          <w:rFonts w:ascii="Times New Roman" w:hAnsi="Times New Roman" w:cs="Times New Roman"/>
        </w:rPr>
      </w:pPr>
    </w:p>
    <w:p w14:paraId="293D1227" w14:textId="4BD0901E" w:rsidR="00BD7E46" w:rsidRPr="00BD7E46" w:rsidRDefault="000C2858" w:rsidP="000C2858">
      <w:pPr>
        <w:jc w:val="both"/>
        <w:rPr>
          <w:rFonts w:ascii="Times New Roman" w:hAnsi="Times New Roman" w:cs="Times New Roman"/>
        </w:rPr>
      </w:pPr>
      <w:r w:rsidRPr="000C2858">
        <w:rPr>
          <w:rFonts w:ascii="Times New Roman" w:hAnsi="Times New Roman" w:cs="Times New Roman"/>
        </w:rPr>
        <w:lastRenderedPageBreak/>
        <w:t>Sarà necessario continuare ad analizzare alla luce della pratica di ristrutturazione le nuove strategie e misure che questo tipo di creditori privilegiati adotteranno di fronte alla ristrutturazione dei debitori.</w:t>
      </w:r>
    </w:p>
    <w:sectPr w:rsidR="00BD7E46" w:rsidRPr="00BD7E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1C77" w14:textId="77777777" w:rsidR="00044621" w:rsidRDefault="00044621" w:rsidP="00052390">
      <w:r>
        <w:separator/>
      </w:r>
    </w:p>
  </w:endnote>
  <w:endnote w:type="continuationSeparator" w:id="0">
    <w:p w14:paraId="6B643680" w14:textId="77777777" w:rsidR="00044621" w:rsidRDefault="00044621" w:rsidP="0005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FC18" w14:textId="77777777" w:rsidR="00044621" w:rsidRDefault="00044621" w:rsidP="00052390">
      <w:r>
        <w:separator/>
      </w:r>
    </w:p>
  </w:footnote>
  <w:footnote w:type="continuationSeparator" w:id="0">
    <w:p w14:paraId="57CC657E" w14:textId="77777777" w:rsidR="00044621" w:rsidRDefault="00044621" w:rsidP="00052390">
      <w:r>
        <w:continuationSeparator/>
      </w:r>
    </w:p>
  </w:footnote>
  <w:footnote w:id="1">
    <w:p w14:paraId="6A6F6B8B" w14:textId="7A04ABBA" w:rsidR="00052390" w:rsidRPr="00043B85" w:rsidRDefault="00052390" w:rsidP="00043B85">
      <w:pPr>
        <w:pStyle w:val="Textonotapie"/>
        <w:jc w:val="both"/>
        <w:rPr>
          <w:rFonts w:ascii="Times New Roman" w:hAnsi="Times New Roman" w:cs="Times New Roman"/>
        </w:rPr>
      </w:pPr>
      <w:r w:rsidRPr="00043B85">
        <w:rPr>
          <w:rStyle w:val="Refdenotaalpie"/>
          <w:rFonts w:ascii="Times New Roman" w:hAnsi="Times New Roman" w:cs="Times New Roman"/>
        </w:rPr>
        <w:footnoteRef/>
      </w:r>
      <w:r w:rsidRPr="00043B85">
        <w:rPr>
          <w:rFonts w:ascii="Times New Roman" w:hAnsi="Times New Roman" w:cs="Times New Roman"/>
        </w:rPr>
        <w:t xml:space="preserve"> </w:t>
      </w:r>
      <w:r w:rsidR="00B96977">
        <w:rPr>
          <w:rFonts w:ascii="Times New Roman" w:hAnsi="Times New Roman" w:cs="Times New Roman"/>
        </w:rPr>
        <w:t xml:space="preserve">VEIGA COPO/MARTÍNEZ MUÑOZ, </w:t>
      </w:r>
      <w:r w:rsidR="00B96977" w:rsidRPr="001F4F13">
        <w:rPr>
          <w:rFonts w:ascii="Times New Roman" w:hAnsi="Times New Roman" w:cs="Times New Roman"/>
          <w:i/>
          <w:iCs/>
        </w:rPr>
        <w:t>Entidades financieras y administración de hecho en la reestructuración empresarial</w:t>
      </w:r>
      <w:r w:rsidR="001F4F13">
        <w:rPr>
          <w:rFonts w:ascii="Times New Roman" w:hAnsi="Times New Roman" w:cs="Times New Roman"/>
        </w:rPr>
        <w:t>, in</w:t>
      </w:r>
      <w:r w:rsidR="00B96977">
        <w:rPr>
          <w:rFonts w:ascii="Times New Roman" w:hAnsi="Times New Roman" w:cs="Times New Roman"/>
        </w:rPr>
        <w:t xml:space="preserve"> </w:t>
      </w:r>
      <w:r w:rsidR="00B96977" w:rsidRPr="00B96977">
        <w:rPr>
          <w:rFonts w:ascii="Times New Roman" w:hAnsi="Times New Roman" w:cs="Times New Roman"/>
          <w:i/>
          <w:iCs/>
        </w:rPr>
        <w:t>Revista de Derecho Concursal y Paraconcursal</w:t>
      </w:r>
      <w:r w:rsidR="00B96977">
        <w:rPr>
          <w:rFonts w:ascii="Times New Roman" w:hAnsi="Times New Roman" w:cs="Times New Roman"/>
        </w:rPr>
        <w:t>, núm. 28, 2018,</w:t>
      </w:r>
      <w:r w:rsidR="0067624B">
        <w:rPr>
          <w:rFonts w:ascii="Times New Roman" w:hAnsi="Times New Roman" w:cs="Times New Roman"/>
        </w:rPr>
        <w:t xml:space="preserve"> </w:t>
      </w:r>
      <w:r w:rsidR="00B96977">
        <w:rPr>
          <w:rFonts w:ascii="Times New Roman" w:hAnsi="Times New Roman" w:cs="Times New Roman"/>
        </w:rPr>
        <w:t>17-36.</w:t>
      </w:r>
    </w:p>
  </w:footnote>
  <w:footnote w:id="2">
    <w:p w14:paraId="11945064" w14:textId="193E0916" w:rsidR="00274330" w:rsidRPr="005A51BD" w:rsidRDefault="00274330" w:rsidP="00274330">
      <w:pPr>
        <w:pStyle w:val="Textonotapie"/>
        <w:jc w:val="both"/>
        <w:rPr>
          <w:rFonts w:ascii="Times New Roman" w:hAnsi="Times New Roman" w:cs="Times New Roman"/>
          <w:color w:val="000000" w:themeColor="text1"/>
        </w:rPr>
      </w:pPr>
      <w:r w:rsidRPr="005A51BD">
        <w:rPr>
          <w:rStyle w:val="Refdenotaalpie"/>
          <w:rFonts w:ascii="Times New Roman" w:hAnsi="Times New Roman" w:cs="Times New Roman"/>
          <w:color w:val="000000" w:themeColor="text1"/>
        </w:rPr>
        <w:footnoteRef/>
      </w:r>
      <w:r w:rsidRPr="005A51BD">
        <w:rPr>
          <w:rFonts w:ascii="Times New Roman" w:hAnsi="Times New Roman" w:cs="Times New Roman"/>
          <w:color w:val="000000" w:themeColor="text1"/>
        </w:rPr>
        <w:t xml:space="preserve"> </w:t>
      </w:r>
      <w:r w:rsidRPr="005A51BD">
        <w:rPr>
          <w:rFonts w:ascii="Times New Roman" w:hAnsi="Times New Roman" w:cs="Times New Roman"/>
        </w:rPr>
        <w:t xml:space="preserve">MARTÍNEZ MUÑOZ, </w:t>
      </w:r>
      <w:r w:rsidRPr="001F4F13">
        <w:rPr>
          <w:rFonts w:ascii="Times New Roman" w:hAnsi="Times New Roman" w:cs="Times New Roman"/>
          <w:i/>
          <w:iCs/>
        </w:rPr>
        <w:t>La reestructuración forzosa</w:t>
      </w:r>
      <w:r w:rsidR="001F4F13">
        <w:rPr>
          <w:rFonts w:ascii="Times New Roman" w:hAnsi="Times New Roman" w:cs="Times New Roman"/>
        </w:rPr>
        <w:t>, in</w:t>
      </w:r>
      <w:r w:rsidRPr="005A51BD">
        <w:rPr>
          <w:rFonts w:ascii="Times New Roman" w:hAnsi="Times New Roman" w:cs="Times New Roman"/>
        </w:rPr>
        <w:t xml:space="preserve"> </w:t>
      </w:r>
      <w:r w:rsidRPr="005A51BD">
        <w:rPr>
          <w:rFonts w:ascii="Times New Roman" w:hAnsi="Times New Roman" w:cs="Times New Roman"/>
          <w:i/>
          <w:iCs/>
        </w:rPr>
        <w:t>Anuario de Derecho Concursal</w:t>
      </w:r>
      <w:r w:rsidRPr="005A51BD">
        <w:rPr>
          <w:rFonts w:ascii="Times New Roman" w:hAnsi="Times New Roman" w:cs="Times New Roman"/>
        </w:rPr>
        <w:t>, núm. 58, 2023,</w:t>
      </w:r>
      <w:r>
        <w:rPr>
          <w:rFonts w:ascii="Times New Roman" w:hAnsi="Times New Roman" w:cs="Times New Roman"/>
        </w:rPr>
        <w:t xml:space="preserve"> </w:t>
      </w:r>
      <w:r w:rsidRPr="005A51BD">
        <w:rPr>
          <w:rFonts w:ascii="Times New Roman" w:hAnsi="Times New Roman" w:cs="Times New Roman"/>
        </w:rPr>
        <w:t xml:space="preserve">386-388. </w:t>
      </w:r>
    </w:p>
  </w:footnote>
  <w:footnote w:id="3">
    <w:p w14:paraId="217A70B5" w14:textId="3E1184A4"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MARTÍNEZ MUÑOZ, </w:t>
      </w:r>
      <w:r w:rsidR="00B96977" w:rsidRPr="0054007B">
        <w:rPr>
          <w:rFonts w:ascii="Times New Roman" w:hAnsi="Times New Roman" w:cs="Times New Roman"/>
          <w:i/>
          <w:iCs/>
        </w:rPr>
        <w:t>El arrastre de acreedores en la Directiva UE 2019/1023 sobre marcos de reestructuración preventiva y su transposición al Derecho preconcursal español</w:t>
      </w:r>
      <w:r w:rsidR="0054007B">
        <w:rPr>
          <w:rFonts w:ascii="Times New Roman" w:hAnsi="Times New Roman" w:cs="Times New Roman"/>
        </w:rPr>
        <w:t>, in</w:t>
      </w:r>
      <w:r w:rsidR="00B96977">
        <w:rPr>
          <w:rFonts w:ascii="Times New Roman" w:hAnsi="Times New Roman" w:cs="Times New Roman"/>
        </w:rPr>
        <w:t xml:space="preserve"> </w:t>
      </w:r>
      <w:r w:rsidR="00B96977" w:rsidRPr="0067624B">
        <w:rPr>
          <w:rFonts w:ascii="Times New Roman" w:hAnsi="Times New Roman" w:cs="Times New Roman"/>
          <w:i/>
          <w:iCs/>
        </w:rPr>
        <w:t>Cuadernos Europeos de Deusto</w:t>
      </w:r>
      <w:r w:rsidR="00B96977">
        <w:rPr>
          <w:rFonts w:ascii="Times New Roman" w:hAnsi="Times New Roman" w:cs="Times New Roman"/>
        </w:rPr>
        <w:t xml:space="preserve">, núm. 66, 2022, </w:t>
      </w:r>
      <w:r w:rsidRPr="005A51BD">
        <w:rPr>
          <w:rFonts w:ascii="Times New Roman" w:hAnsi="Times New Roman" w:cs="Times New Roman"/>
        </w:rPr>
        <w:t xml:space="preserve">144-145. </w:t>
      </w:r>
    </w:p>
  </w:footnote>
  <w:footnote w:id="4">
    <w:p w14:paraId="7142851A" w14:textId="0C532A77"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DAMMANN, </w:t>
      </w:r>
      <w:r w:rsidRPr="0054007B">
        <w:rPr>
          <w:rFonts w:ascii="Times New Roman" w:hAnsi="Times New Roman" w:cs="Times New Roman"/>
          <w:i/>
          <w:iCs/>
          <w:color w:val="000000" w:themeColor="text1"/>
          <w:lang w:val="en-US"/>
        </w:rPr>
        <w:t>Article 9. Adoption of restructuring plans</w:t>
      </w:r>
      <w:r w:rsidR="0054007B">
        <w:rPr>
          <w:rFonts w:ascii="Times New Roman" w:hAnsi="Times New Roman" w:cs="Times New Roman"/>
          <w:color w:val="000000" w:themeColor="text1"/>
          <w:lang w:val="en-US"/>
        </w:rPr>
        <w:t>, i</w:t>
      </w:r>
      <w:r w:rsidRPr="00A760A8">
        <w:rPr>
          <w:rFonts w:ascii="Times New Roman" w:hAnsi="Times New Roman" w:cs="Times New Roman"/>
          <w:color w:val="000000" w:themeColor="text1"/>
          <w:lang w:val="en-US"/>
        </w:rPr>
        <w:t xml:space="preserve">n </w:t>
      </w:r>
      <w:r w:rsidRPr="00A760A8">
        <w:rPr>
          <w:rFonts w:ascii="Times New Roman" w:hAnsi="Times New Roman" w:cs="Times New Roman"/>
          <w:i/>
          <w:iCs/>
          <w:color w:val="000000" w:themeColor="text1"/>
          <w:lang w:val="en-US"/>
        </w:rPr>
        <w:t>European Preventive Restructuring</w:t>
      </w:r>
      <w:r w:rsidRPr="00A760A8">
        <w:rPr>
          <w:rFonts w:ascii="Times New Roman" w:hAnsi="Times New Roman" w:cs="Times New Roman"/>
          <w:color w:val="000000" w:themeColor="text1"/>
          <w:lang w:val="en-US"/>
        </w:rPr>
        <w:t xml:space="preserve">, Munich, 2021, </w:t>
      </w:r>
      <w:r w:rsidRPr="005A51BD">
        <w:rPr>
          <w:rFonts w:ascii="Times New Roman" w:hAnsi="Times New Roman" w:cs="Times New Roman"/>
        </w:rPr>
        <w:t>158-159.</w:t>
      </w:r>
    </w:p>
  </w:footnote>
  <w:footnote w:id="5">
    <w:p w14:paraId="1FF91CE0" w14:textId="4CCFB263"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VILLORIA RIVERA,</w:t>
      </w:r>
      <w:r w:rsidR="0054007B">
        <w:rPr>
          <w:rFonts w:ascii="Times New Roman" w:hAnsi="Times New Roman" w:cs="Times New Roman"/>
        </w:rPr>
        <w:t xml:space="preserve"> </w:t>
      </w:r>
      <w:r w:rsidRPr="0054007B">
        <w:rPr>
          <w:rFonts w:ascii="Times New Roman" w:hAnsi="Times New Roman" w:cs="Times New Roman"/>
          <w:i/>
          <w:iCs/>
        </w:rPr>
        <w:t>El control judicial del perímetro y de la formación de clases en la homologación de planes de reestructuración</w:t>
      </w:r>
      <w:r w:rsidRPr="00A710FC">
        <w:rPr>
          <w:rFonts w:ascii="Times New Roman" w:hAnsi="Times New Roman" w:cs="Times New Roman"/>
        </w:rPr>
        <w:t>,</w:t>
      </w:r>
      <w:r w:rsidR="0054007B">
        <w:rPr>
          <w:rFonts w:ascii="Times New Roman" w:hAnsi="Times New Roman" w:cs="Times New Roman"/>
        </w:rPr>
        <w:t xml:space="preserve"> in</w:t>
      </w:r>
      <w:r w:rsidRPr="00A710FC">
        <w:rPr>
          <w:rFonts w:ascii="Times New Roman" w:hAnsi="Times New Roman" w:cs="Times New Roman"/>
        </w:rPr>
        <w:t xml:space="preserve"> </w:t>
      </w:r>
      <w:r w:rsidRPr="00A710FC">
        <w:rPr>
          <w:rFonts w:ascii="Times New Roman" w:hAnsi="Times New Roman" w:cs="Times New Roman"/>
          <w:i/>
          <w:iCs/>
        </w:rPr>
        <w:t>Revista General de Insolvencias &amp; Reestructuraciones</w:t>
      </w:r>
      <w:r w:rsidRPr="00A710FC">
        <w:rPr>
          <w:rFonts w:ascii="Times New Roman" w:hAnsi="Times New Roman" w:cs="Times New Roman"/>
        </w:rPr>
        <w:t>, núm. 15, 2025,</w:t>
      </w:r>
      <w:r w:rsidRPr="005A51BD">
        <w:rPr>
          <w:rFonts w:ascii="Times New Roman" w:hAnsi="Times New Roman" w:cs="Times New Roman"/>
        </w:rPr>
        <w:t xml:space="preserve"> 141 y ss.; </w:t>
      </w:r>
      <w:r w:rsidRPr="005A51BD">
        <w:rPr>
          <w:rFonts w:ascii="Times New Roman" w:hAnsi="Times New Roman" w:cs="Times New Roman"/>
          <w:color w:val="000000" w:themeColor="text1"/>
        </w:rPr>
        <w:t xml:space="preserve">THERY, </w:t>
      </w:r>
      <w:r w:rsidRPr="0054007B">
        <w:rPr>
          <w:rFonts w:ascii="Times New Roman" w:hAnsi="Times New Roman" w:cs="Times New Roman"/>
          <w:i/>
          <w:iCs/>
          <w:color w:val="000000" w:themeColor="text1"/>
        </w:rPr>
        <w:t>Artículos 622 a 624 bis</w:t>
      </w:r>
      <w:r w:rsidR="0054007B">
        <w:rPr>
          <w:rFonts w:ascii="Times New Roman" w:hAnsi="Times New Roman" w:cs="Times New Roman"/>
          <w:color w:val="000000" w:themeColor="text1"/>
        </w:rPr>
        <w:t>,</w:t>
      </w:r>
      <w:r w:rsidRPr="005A51BD">
        <w:rPr>
          <w:rFonts w:ascii="Times New Roman" w:hAnsi="Times New Roman" w:cs="Times New Roman"/>
          <w:color w:val="000000" w:themeColor="text1"/>
        </w:rPr>
        <w:t xml:space="preserve"> </w:t>
      </w:r>
      <w:r w:rsidR="0054007B">
        <w:rPr>
          <w:rFonts w:ascii="Times New Roman" w:hAnsi="Times New Roman" w:cs="Times New Roman"/>
        </w:rPr>
        <w:t>i</w:t>
      </w:r>
      <w:r w:rsidRPr="005A51BD">
        <w:rPr>
          <w:rFonts w:ascii="Times New Roman" w:hAnsi="Times New Roman" w:cs="Times New Roman"/>
        </w:rPr>
        <w:t xml:space="preserve">n </w:t>
      </w:r>
      <w:r w:rsidRPr="005A51BD">
        <w:rPr>
          <w:rFonts w:ascii="Times New Roman" w:hAnsi="Times New Roman" w:cs="Times New Roman"/>
          <w:i/>
          <w:iCs/>
        </w:rPr>
        <w:t>Comentario a la Ley Concursal</w:t>
      </w:r>
      <w:r w:rsidRPr="005A51BD">
        <w:rPr>
          <w:rFonts w:ascii="Times New Roman" w:hAnsi="Times New Roman" w:cs="Times New Roman"/>
        </w:rPr>
        <w:t>, tomo II, Madrid, 2023, 1006-1053.</w:t>
      </w:r>
    </w:p>
  </w:footnote>
  <w:footnote w:id="6">
    <w:p w14:paraId="32D57C8A" w14:textId="3571FBB8"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w:t>
      </w:r>
      <w:r w:rsidR="00F2503A" w:rsidRPr="00F2503A">
        <w:rPr>
          <w:rFonts w:ascii="Times New Roman" w:hAnsi="Times New Roman" w:cs="Times New Roman"/>
        </w:rPr>
        <w:t xml:space="preserve">La sentenza della Corte Provinciale di Barcellona del 16 ottobre 2024 (caso Ecolumber) stabilisce quanto segue in merito alla creazione di classi distinte per crediti dello stesso rango concorsuale: </w:t>
      </w:r>
      <w:r w:rsidR="00F2503A">
        <w:rPr>
          <w:rFonts w:ascii="Times New Roman" w:hAnsi="Times New Roman" w:cs="Times New Roman"/>
        </w:rPr>
        <w:t>“</w:t>
      </w:r>
      <w:r w:rsidR="00F2503A" w:rsidRPr="00F2503A">
        <w:rPr>
          <w:rFonts w:ascii="Times New Roman" w:hAnsi="Times New Roman" w:cs="Times New Roman"/>
          <w:i/>
          <w:iCs/>
        </w:rPr>
        <w:t xml:space="preserve">Come abbiamo indicato, la regola generale è quella di raggruppare in un'unica classe i crediti con lo stesso rango concorsuale; l'eccezione è la disaggregazione o la separazione delle classi all'interno di tale rango, che richiede una giustificazione </w:t>
      </w:r>
      <w:r w:rsidR="00F2503A">
        <w:rPr>
          <w:rFonts w:ascii="Times New Roman" w:hAnsi="Times New Roman" w:cs="Times New Roman"/>
          <w:i/>
          <w:iCs/>
        </w:rPr>
        <w:t>suficiente</w:t>
      </w:r>
      <w:r w:rsidR="00F2503A">
        <w:rPr>
          <w:rFonts w:ascii="Times New Roman" w:hAnsi="Times New Roman" w:cs="Times New Roman"/>
        </w:rPr>
        <w:t>”</w:t>
      </w:r>
      <w:r w:rsidR="00F2503A" w:rsidRPr="00F2503A">
        <w:rPr>
          <w:rFonts w:ascii="Times New Roman" w:hAnsi="Times New Roman" w:cs="Times New Roman"/>
        </w:rPr>
        <w:t xml:space="preserve">, affinché ciò non avvenga in modo artificiale al solo scopo di ottenere la maggioranza per l'omologazione. Allo stesso modo, l'ordinanza del Tribunale commerciale n. 2 di Siviglia del 6 marzo 2024 stabilisce: </w:t>
      </w:r>
      <w:r w:rsidR="00F2503A">
        <w:rPr>
          <w:rFonts w:ascii="Times New Roman" w:hAnsi="Times New Roman" w:cs="Times New Roman"/>
        </w:rPr>
        <w:t>“</w:t>
      </w:r>
      <w:r w:rsidR="00F2503A" w:rsidRPr="00F2503A">
        <w:rPr>
          <w:rFonts w:ascii="Times New Roman" w:hAnsi="Times New Roman" w:cs="Times New Roman"/>
          <w:i/>
          <w:iCs/>
        </w:rPr>
        <w:t>(...) non può essere il capriccio o l'interesse spurio di chi promuove la ristrutturazione a determinare la formazione delle classi. Pertanto, l'obiettività non deve essere predicata dal criterio utilizzato per distribuire i creditori in una o nell'altra classe, ma dalla delimitazione dell'interesse che li raggruppa (...) E per questo non è sufficiente utilizzare un criterio oggettivo, poiché qualsiasi criterio oggettivo darà luogo alla delimitazione di un interesse comune ai creditori raggruppati in quella classe e sufficientemente distinto da quello degli altri</w:t>
      </w:r>
      <w:r w:rsidR="00F2503A">
        <w:rPr>
          <w:rFonts w:ascii="Times New Roman" w:hAnsi="Times New Roman" w:cs="Times New Roman"/>
        </w:rPr>
        <w:t>”</w:t>
      </w:r>
      <w:r w:rsidR="00F2503A" w:rsidRPr="00F2503A">
        <w:rPr>
          <w:rFonts w:ascii="Times New Roman" w:hAnsi="Times New Roman" w:cs="Times New Roman"/>
        </w:rPr>
        <w:t>.</w:t>
      </w:r>
    </w:p>
  </w:footnote>
  <w:footnote w:id="7">
    <w:p w14:paraId="431798B1" w14:textId="3934EEDB"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Véase las consideraciones de VILLORIA RIVERA, cit., 143 y ss. </w:t>
      </w:r>
    </w:p>
  </w:footnote>
  <w:footnote w:id="8">
    <w:p w14:paraId="7B49A0FA" w14:textId="261A4591" w:rsidR="00CD73F1" w:rsidRPr="005A51BD" w:rsidRDefault="00CD73F1" w:rsidP="00CD73F1">
      <w:pPr>
        <w:pStyle w:val="Textonotapie"/>
        <w:jc w:val="both"/>
        <w:rPr>
          <w:rFonts w:ascii="Times New Roman" w:hAnsi="Times New Roman" w:cs="Times New Roman"/>
          <w:color w:val="000000" w:themeColor="text1"/>
        </w:rPr>
      </w:pPr>
      <w:r w:rsidRPr="005A51BD">
        <w:rPr>
          <w:rStyle w:val="Refdenotaalpie"/>
          <w:rFonts w:ascii="Times New Roman" w:hAnsi="Times New Roman" w:cs="Times New Roman"/>
          <w:color w:val="000000" w:themeColor="text1"/>
        </w:rPr>
        <w:footnoteRef/>
      </w:r>
      <w:r w:rsidRPr="005A51BD">
        <w:rPr>
          <w:rFonts w:ascii="Times New Roman" w:hAnsi="Times New Roman" w:cs="Times New Roman"/>
          <w:color w:val="000000" w:themeColor="text1"/>
        </w:rPr>
        <w:t xml:space="preserve"> THERY, </w:t>
      </w:r>
      <w:r w:rsidR="00F256DB" w:rsidRPr="00F80648">
        <w:rPr>
          <w:rFonts w:ascii="Times New Roman" w:hAnsi="Times New Roman" w:cs="Times New Roman"/>
          <w:i/>
          <w:iCs/>
          <w:color w:val="000000" w:themeColor="text1"/>
        </w:rPr>
        <w:t>Directiva de reestructuraciones, capitalización de créditos y gobierno corporativo</w:t>
      </w:r>
      <w:r w:rsidR="00F256DB" w:rsidRPr="00F256DB">
        <w:rPr>
          <w:rFonts w:ascii="Times New Roman" w:hAnsi="Times New Roman" w:cs="Times New Roman"/>
          <w:color w:val="000000" w:themeColor="text1"/>
        </w:rPr>
        <w:t>,</w:t>
      </w:r>
      <w:r w:rsidR="00F80648">
        <w:rPr>
          <w:rFonts w:ascii="Times New Roman" w:hAnsi="Times New Roman" w:cs="Times New Roman"/>
          <w:color w:val="000000" w:themeColor="text1"/>
        </w:rPr>
        <w:t xml:space="preserve"> in</w:t>
      </w:r>
      <w:r w:rsidR="00F256DB" w:rsidRPr="00F256DB">
        <w:rPr>
          <w:rFonts w:ascii="Times New Roman" w:hAnsi="Times New Roman" w:cs="Times New Roman"/>
          <w:color w:val="000000" w:themeColor="text1"/>
        </w:rPr>
        <w:t xml:space="preserve"> </w:t>
      </w:r>
      <w:r w:rsidR="00F256DB" w:rsidRPr="00F256DB">
        <w:rPr>
          <w:rFonts w:ascii="Times New Roman" w:hAnsi="Times New Roman" w:cs="Times New Roman"/>
          <w:i/>
          <w:iCs/>
          <w:color w:val="000000" w:themeColor="text1"/>
        </w:rPr>
        <w:t>Revista de Derecho Concursal y Paraconcursal</w:t>
      </w:r>
      <w:r w:rsidR="00F256DB" w:rsidRPr="00F256DB">
        <w:rPr>
          <w:rFonts w:ascii="Times New Roman" w:hAnsi="Times New Roman" w:cs="Times New Roman"/>
          <w:color w:val="000000" w:themeColor="text1"/>
        </w:rPr>
        <w:t xml:space="preserve">, núm. 31, 2019, </w:t>
      </w:r>
      <w:r w:rsidRPr="005A51BD">
        <w:rPr>
          <w:rFonts w:ascii="Times New Roman" w:hAnsi="Times New Roman" w:cs="Times New Roman"/>
          <w:color w:val="000000" w:themeColor="text1"/>
        </w:rPr>
        <w:t>76-77.</w:t>
      </w:r>
    </w:p>
  </w:footnote>
  <w:footnote w:id="9">
    <w:p w14:paraId="1E83CA29" w14:textId="2AEFF2E5" w:rsidR="00043B85" w:rsidRPr="00043B85" w:rsidRDefault="00043B85" w:rsidP="00043B85">
      <w:pPr>
        <w:pStyle w:val="Textonotapie"/>
        <w:jc w:val="both"/>
        <w:rPr>
          <w:rFonts w:ascii="Times New Roman" w:hAnsi="Times New Roman" w:cs="Times New Roman"/>
        </w:rPr>
      </w:pPr>
      <w:r w:rsidRPr="00043B85">
        <w:rPr>
          <w:rStyle w:val="Refdenotaalpie"/>
          <w:rFonts w:ascii="Times New Roman" w:hAnsi="Times New Roman" w:cs="Times New Roman"/>
        </w:rPr>
        <w:footnoteRef/>
      </w:r>
      <w:r w:rsidRPr="00043B85">
        <w:rPr>
          <w:rFonts w:ascii="Times New Roman" w:hAnsi="Times New Roman" w:cs="Times New Roman"/>
        </w:rPr>
        <w:t xml:space="preserve"> Véase con carácter general PULGAR EZQUERRA, </w:t>
      </w:r>
      <w:r w:rsidRPr="00E418F4">
        <w:rPr>
          <w:rFonts w:ascii="Times New Roman" w:hAnsi="Times New Roman" w:cs="Times New Roman"/>
          <w:i/>
          <w:iCs/>
        </w:rPr>
        <w:t>Artículo 635. Homologación judicial</w:t>
      </w:r>
      <w:r w:rsidRPr="00043B85">
        <w:rPr>
          <w:rFonts w:ascii="Times New Roman" w:hAnsi="Times New Roman" w:cs="Times New Roman"/>
        </w:rPr>
        <w:t xml:space="preserve">, </w:t>
      </w:r>
      <w:r w:rsidR="00E418F4">
        <w:rPr>
          <w:rFonts w:ascii="Times New Roman" w:hAnsi="Times New Roman" w:cs="Times New Roman"/>
        </w:rPr>
        <w:t>i</w:t>
      </w:r>
      <w:r w:rsidRPr="00043B85">
        <w:rPr>
          <w:rFonts w:ascii="Times New Roman" w:hAnsi="Times New Roman" w:cs="Times New Roman"/>
        </w:rPr>
        <w:t xml:space="preserve">n </w:t>
      </w:r>
      <w:r w:rsidRPr="00043B85">
        <w:rPr>
          <w:rFonts w:ascii="Times New Roman" w:hAnsi="Times New Roman" w:cs="Times New Roman"/>
          <w:i/>
          <w:iCs/>
        </w:rPr>
        <w:t>Comentario a la Ley Concursal</w:t>
      </w:r>
      <w:r w:rsidRPr="00043B85">
        <w:rPr>
          <w:rFonts w:ascii="Times New Roman" w:hAnsi="Times New Roman" w:cs="Times New Roman"/>
        </w:rPr>
        <w:t>, tomo II, Madrid, 2023,</w:t>
      </w:r>
      <w:r w:rsidR="00B448FE">
        <w:rPr>
          <w:rFonts w:ascii="Times New Roman" w:hAnsi="Times New Roman" w:cs="Times New Roman"/>
        </w:rPr>
        <w:t xml:space="preserve"> </w:t>
      </w:r>
      <w:r w:rsidRPr="00043B85">
        <w:rPr>
          <w:rFonts w:ascii="Times New Roman" w:hAnsi="Times New Roman" w:cs="Times New Roman"/>
        </w:rPr>
        <w:t xml:space="preserve">1146 y ss.; VILLORIA RIVERA, cit., 132. </w:t>
      </w:r>
    </w:p>
  </w:footnote>
  <w:footnote w:id="10">
    <w:p w14:paraId="1A5F2185" w14:textId="50DF7BFE" w:rsidR="00C16334" w:rsidRPr="005A51BD" w:rsidRDefault="00C16334" w:rsidP="00C16334">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PULGAR EZQUERRA, </w:t>
      </w:r>
      <w:r w:rsidRPr="00E418F4">
        <w:rPr>
          <w:rFonts w:ascii="Times New Roman" w:hAnsi="Times New Roman" w:cs="Times New Roman"/>
          <w:i/>
          <w:iCs/>
        </w:rPr>
        <w:t>Artículo 639. Requisitos para la homologación del plan de reestructuración no aprobado por todas las clases de acreedores</w:t>
      </w:r>
      <w:r w:rsidRPr="005A51BD">
        <w:rPr>
          <w:rFonts w:ascii="Times New Roman" w:hAnsi="Times New Roman" w:cs="Times New Roman"/>
        </w:rPr>
        <w:t xml:space="preserve">, </w:t>
      </w:r>
      <w:r w:rsidR="00E418F4">
        <w:rPr>
          <w:rFonts w:ascii="Times New Roman" w:hAnsi="Times New Roman" w:cs="Times New Roman"/>
        </w:rPr>
        <w:t>i</w:t>
      </w:r>
      <w:r w:rsidRPr="005A51BD">
        <w:rPr>
          <w:rFonts w:ascii="Times New Roman" w:hAnsi="Times New Roman" w:cs="Times New Roman"/>
        </w:rPr>
        <w:t xml:space="preserve">n </w:t>
      </w:r>
      <w:r w:rsidRPr="005A51BD">
        <w:rPr>
          <w:rFonts w:ascii="Times New Roman" w:hAnsi="Times New Roman" w:cs="Times New Roman"/>
          <w:i/>
          <w:iCs/>
        </w:rPr>
        <w:t>Comentario a la Ley Concursal</w:t>
      </w:r>
      <w:r w:rsidRPr="005A51BD">
        <w:rPr>
          <w:rFonts w:ascii="Times New Roman" w:hAnsi="Times New Roman" w:cs="Times New Roman"/>
        </w:rPr>
        <w:t xml:space="preserve">, tomo II, Madrid, 2023, 1198 y ss. </w:t>
      </w:r>
    </w:p>
  </w:footnote>
  <w:footnote w:id="11">
    <w:p w14:paraId="4E95AD07" w14:textId="35E943EC" w:rsidR="00C16334" w:rsidRPr="005A51BD" w:rsidRDefault="00C16334" w:rsidP="00C16334">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Véase extensamente MARTÍNEZ MUÑOZ, </w:t>
      </w:r>
      <w:r w:rsidRPr="00E418F4">
        <w:rPr>
          <w:rFonts w:ascii="Times New Roman" w:hAnsi="Times New Roman" w:cs="Times New Roman"/>
          <w:i/>
          <w:iCs/>
        </w:rPr>
        <w:t>La reestructuración</w:t>
      </w:r>
      <w:r w:rsidRPr="005A51BD">
        <w:rPr>
          <w:rFonts w:ascii="Times New Roman" w:hAnsi="Times New Roman" w:cs="Times New Roman"/>
        </w:rPr>
        <w:t xml:space="preserve">…, cit., </w:t>
      </w:r>
      <w:r>
        <w:rPr>
          <w:rFonts w:ascii="Times New Roman" w:hAnsi="Times New Roman" w:cs="Times New Roman"/>
          <w:lang w:val="en-US"/>
        </w:rPr>
        <w:t>402-405</w:t>
      </w:r>
      <w:r w:rsidRPr="005A51BD">
        <w:rPr>
          <w:rFonts w:ascii="Times New Roman" w:hAnsi="Times New Roman" w:cs="Times New Roman"/>
          <w:lang w:val="en-US"/>
        </w:rPr>
        <w:t xml:space="preserve">; </w:t>
      </w:r>
      <w:r w:rsidRPr="005A51BD">
        <w:rPr>
          <w:rFonts w:ascii="Times New Roman" w:hAnsi="Times New Roman" w:cs="Times New Roman"/>
          <w:color w:val="000000" w:themeColor="text1"/>
          <w:lang w:val="en-US"/>
        </w:rPr>
        <w:t xml:space="preserve">VEDER, </w:t>
      </w:r>
      <w:r w:rsidRPr="00E418F4">
        <w:rPr>
          <w:rFonts w:ascii="Times New Roman" w:hAnsi="Times New Roman" w:cs="Times New Roman"/>
          <w:i/>
          <w:iCs/>
          <w:color w:val="000000" w:themeColor="text1"/>
          <w:lang w:val="en-US"/>
        </w:rPr>
        <w:t>Article 11. Cross-class cram-down</w:t>
      </w:r>
      <w:r w:rsidRPr="005A51BD">
        <w:rPr>
          <w:rFonts w:ascii="Times New Roman" w:hAnsi="Times New Roman" w:cs="Times New Roman"/>
          <w:color w:val="000000" w:themeColor="text1"/>
          <w:lang w:val="en-US"/>
        </w:rPr>
        <w:t xml:space="preserve">, </w:t>
      </w:r>
      <w:r w:rsidR="00E418F4">
        <w:rPr>
          <w:rFonts w:ascii="Times New Roman" w:hAnsi="Times New Roman" w:cs="Times New Roman"/>
          <w:color w:val="000000" w:themeColor="text1"/>
          <w:lang w:val="en-US"/>
        </w:rPr>
        <w:t>i</w:t>
      </w:r>
      <w:r w:rsidRPr="005A51BD">
        <w:rPr>
          <w:rFonts w:ascii="Times New Roman" w:hAnsi="Times New Roman" w:cs="Times New Roman"/>
          <w:color w:val="000000" w:themeColor="text1"/>
          <w:lang w:val="en-US"/>
        </w:rPr>
        <w:t xml:space="preserve">n </w:t>
      </w:r>
      <w:r w:rsidRPr="005A51BD">
        <w:rPr>
          <w:rFonts w:ascii="Times New Roman" w:hAnsi="Times New Roman" w:cs="Times New Roman"/>
          <w:i/>
          <w:iCs/>
          <w:color w:val="000000" w:themeColor="text1"/>
          <w:lang w:val="en-US"/>
        </w:rPr>
        <w:t>European Preventive Restructuring</w:t>
      </w:r>
      <w:r w:rsidRPr="005A51BD">
        <w:rPr>
          <w:rFonts w:ascii="Times New Roman" w:hAnsi="Times New Roman" w:cs="Times New Roman"/>
          <w:color w:val="000000" w:themeColor="text1"/>
          <w:lang w:val="en-US"/>
        </w:rPr>
        <w:t>, Munich, 2021,</w:t>
      </w:r>
      <w:r w:rsidR="00B448FE">
        <w:rPr>
          <w:rFonts w:ascii="Times New Roman" w:hAnsi="Times New Roman" w:cs="Times New Roman"/>
          <w:color w:val="000000" w:themeColor="text1"/>
          <w:lang w:val="en-US"/>
        </w:rPr>
        <w:t xml:space="preserve"> </w:t>
      </w:r>
      <w:r w:rsidRPr="005A51BD">
        <w:rPr>
          <w:rFonts w:ascii="Times New Roman" w:hAnsi="Times New Roman" w:cs="Times New Roman"/>
          <w:color w:val="000000" w:themeColor="text1"/>
        </w:rPr>
        <w:t xml:space="preserve">184-185. </w:t>
      </w:r>
    </w:p>
  </w:footnote>
  <w:footnote w:id="12">
    <w:p w14:paraId="6F1F5EF1" w14:textId="76100A48" w:rsidR="000E660C" w:rsidRPr="00E16AAA" w:rsidRDefault="000E660C" w:rsidP="000E660C">
      <w:pPr>
        <w:pStyle w:val="Textonotapie"/>
        <w:jc w:val="both"/>
        <w:rPr>
          <w:rFonts w:ascii="Times New Roman" w:hAnsi="Times New Roman" w:cs="Times New Roman"/>
        </w:rPr>
      </w:pPr>
      <w:r w:rsidRPr="00E16AAA">
        <w:rPr>
          <w:rStyle w:val="Refdenotaalpie"/>
          <w:rFonts w:ascii="Times New Roman" w:hAnsi="Times New Roman" w:cs="Times New Roman"/>
        </w:rPr>
        <w:footnoteRef/>
      </w:r>
      <w:r w:rsidRPr="00E16AAA">
        <w:rPr>
          <w:rFonts w:ascii="Times New Roman" w:hAnsi="Times New Roman" w:cs="Times New Roman"/>
        </w:rPr>
        <w:t xml:space="preserve"> THERY MARTÍ, </w:t>
      </w:r>
      <w:r w:rsidRPr="00E418F4">
        <w:rPr>
          <w:rFonts w:ascii="Times New Roman" w:hAnsi="Times New Roman" w:cs="Times New Roman"/>
          <w:i/>
          <w:iCs/>
        </w:rPr>
        <w:t>Los marcos de reestructuración en la propuesta de Directiva de la Comisión europea de 22 de noviembre de 2016 (I)</w:t>
      </w:r>
      <w:r w:rsidRPr="00E16AAA">
        <w:rPr>
          <w:rFonts w:ascii="Times New Roman" w:hAnsi="Times New Roman" w:cs="Times New Roman"/>
        </w:rPr>
        <w:t>,</w:t>
      </w:r>
      <w:r w:rsidR="00E418F4">
        <w:rPr>
          <w:rFonts w:ascii="Times New Roman" w:hAnsi="Times New Roman" w:cs="Times New Roman"/>
        </w:rPr>
        <w:t xml:space="preserve"> in</w:t>
      </w:r>
      <w:r w:rsidRPr="00E16AAA">
        <w:rPr>
          <w:rFonts w:ascii="Times New Roman" w:hAnsi="Times New Roman" w:cs="Times New Roman"/>
        </w:rPr>
        <w:t xml:space="preserve"> </w:t>
      </w:r>
      <w:r w:rsidRPr="00E16AAA">
        <w:rPr>
          <w:rFonts w:ascii="Times New Roman" w:hAnsi="Times New Roman" w:cs="Times New Roman"/>
          <w:i/>
          <w:iCs/>
        </w:rPr>
        <w:t>R</w:t>
      </w:r>
      <w:r w:rsidR="0079272F">
        <w:rPr>
          <w:rFonts w:ascii="Times New Roman" w:hAnsi="Times New Roman" w:cs="Times New Roman"/>
          <w:i/>
          <w:iCs/>
        </w:rPr>
        <w:t xml:space="preserve">evista de Derecho </w:t>
      </w:r>
      <w:r w:rsidRPr="00E16AAA">
        <w:rPr>
          <w:rFonts w:ascii="Times New Roman" w:hAnsi="Times New Roman" w:cs="Times New Roman"/>
          <w:i/>
          <w:iCs/>
        </w:rPr>
        <w:t>C</w:t>
      </w:r>
      <w:r w:rsidR="0079272F">
        <w:rPr>
          <w:rFonts w:ascii="Times New Roman" w:hAnsi="Times New Roman" w:cs="Times New Roman"/>
          <w:i/>
          <w:iCs/>
        </w:rPr>
        <w:t xml:space="preserve">oncursal y </w:t>
      </w:r>
      <w:r w:rsidRPr="00E16AAA">
        <w:rPr>
          <w:rFonts w:ascii="Times New Roman" w:hAnsi="Times New Roman" w:cs="Times New Roman"/>
          <w:i/>
          <w:iCs/>
        </w:rPr>
        <w:t>P</w:t>
      </w:r>
      <w:r w:rsidR="0079272F">
        <w:rPr>
          <w:rFonts w:ascii="Times New Roman" w:hAnsi="Times New Roman" w:cs="Times New Roman"/>
          <w:i/>
          <w:iCs/>
        </w:rPr>
        <w:t>araconcursal</w:t>
      </w:r>
      <w:r w:rsidRPr="00E16AAA">
        <w:rPr>
          <w:rFonts w:ascii="Times New Roman" w:hAnsi="Times New Roman" w:cs="Times New Roman"/>
        </w:rPr>
        <w:t>, núm. 27, 2017, versión electrónica,</w:t>
      </w:r>
      <w:r w:rsidR="00B448FE">
        <w:rPr>
          <w:rFonts w:ascii="Times New Roman" w:hAnsi="Times New Roman" w:cs="Times New Roman"/>
        </w:rPr>
        <w:t xml:space="preserve"> </w:t>
      </w:r>
      <w:r w:rsidRPr="00E16AAA">
        <w:rPr>
          <w:rFonts w:ascii="Times New Roman" w:hAnsi="Times New Roman" w:cs="Times New Roman"/>
        </w:rPr>
        <w:t xml:space="preserve">5-6. </w:t>
      </w:r>
    </w:p>
  </w:footnote>
  <w:footnote w:id="13">
    <w:p w14:paraId="218A4075" w14:textId="10EAD58C" w:rsidR="000E660C" w:rsidRPr="00D56BB3" w:rsidRDefault="000E660C" w:rsidP="000E660C">
      <w:pPr>
        <w:pStyle w:val="Textonotapie"/>
        <w:jc w:val="both"/>
        <w:rPr>
          <w:rFonts w:ascii="Times New Roman" w:hAnsi="Times New Roman" w:cs="Times New Roman"/>
        </w:rPr>
      </w:pPr>
      <w:r w:rsidRPr="00D56BB3">
        <w:rPr>
          <w:rStyle w:val="Refdenotaalpie"/>
          <w:rFonts w:ascii="Times New Roman" w:hAnsi="Times New Roman" w:cs="Times New Roman"/>
        </w:rPr>
        <w:footnoteRef/>
      </w:r>
      <w:r w:rsidRPr="00D56BB3">
        <w:rPr>
          <w:rFonts w:ascii="Times New Roman" w:hAnsi="Times New Roman" w:cs="Times New Roman"/>
        </w:rPr>
        <w:t xml:space="preserve"> AZOFRA VEGAS, </w:t>
      </w:r>
      <w:r w:rsidR="00BA0C01" w:rsidRPr="00C05CA4">
        <w:rPr>
          <w:rFonts w:ascii="Times New Roman" w:hAnsi="Times New Roman" w:cs="Times New Roman"/>
          <w:i/>
          <w:iCs/>
        </w:rPr>
        <w:t>La homologación judicial de acuerdos de refinanciación</w:t>
      </w:r>
      <w:r w:rsidR="00BA0C01" w:rsidRPr="00EB100F">
        <w:rPr>
          <w:rFonts w:ascii="Times New Roman" w:hAnsi="Times New Roman" w:cs="Times New Roman"/>
        </w:rPr>
        <w:t>, 2ª ed., Madrid, 2017</w:t>
      </w:r>
      <w:r w:rsidR="00BA0C01">
        <w:rPr>
          <w:rFonts w:ascii="Times New Roman" w:hAnsi="Times New Roman" w:cs="Times New Roman"/>
        </w:rPr>
        <w:t xml:space="preserve">, </w:t>
      </w:r>
      <w:r w:rsidRPr="00D56BB3">
        <w:rPr>
          <w:rFonts w:ascii="Times New Roman" w:hAnsi="Times New Roman" w:cs="Times New Roman"/>
        </w:rPr>
        <w:t xml:space="preserve">128 y ss. </w:t>
      </w:r>
    </w:p>
  </w:footnote>
  <w:footnote w:id="14">
    <w:p w14:paraId="4FD79A8D" w14:textId="6022BEE9" w:rsidR="000E660C" w:rsidRPr="0063236A" w:rsidRDefault="000E660C" w:rsidP="000E660C">
      <w:pPr>
        <w:pStyle w:val="Textonotapie"/>
        <w:jc w:val="both"/>
        <w:rPr>
          <w:rFonts w:ascii="Times New Roman" w:hAnsi="Times New Roman" w:cs="Times New Roman"/>
        </w:rPr>
      </w:pPr>
      <w:r w:rsidRPr="0063236A">
        <w:rPr>
          <w:rStyle w:val="Refdenotaalpie"/>
          <w:rFonts w:ascii="Times New Roman" w:hAnsi="Times New Roman" w:cs="Times New Roman"/>
        </w:rPr>
        <w:footnoteRef/>
      </w:r>
      <w:r w:rsidRPr="0063236A">
        <w:rPr>
          <w:rFonts w:ascii="Times New Roman" w:hAnsi="Times New Roman" w:cs="Times New Roman"/>
        </w:rPr>
        <w:t xml:space="preserve"> AZOFRA VEGAS, </w:t>
      </w:r>
      <w:r w:rsidRPr="0063236A">
        <w:rPr>
          <w:rFonts w:ascii="Times New Roman" w:hAnsi="Times New Roman" w:cs="Times New Roman"/>
          <w:i/>
          <w:iCs/>
        </w:rPr>
        <w:t>La homologación</w:t>
      </w:r>
      <w:r w:rsidRPr="0063236A">
        <w:rPr>
          <w:rFonts w:ascii="Times New Roman" w:hAnsi="Times New Roman" w:cs="Times New Roman"/>
        </w:rPr>
        <w:t>…, cit., 130.</w:t>
      </w:r>
    </w:p>
  </w:footnote>
  <w:footnote w:id="15">
    <w:p w14:paraId="71301C5F" w14:textId="6B09BC32" w:rsidR="00503200" w:rsidRPr="005A51BD" w:rsidRDefault="00503200" w:rsidP="00503200">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BUIL ALDANA, </w:t>
      </w:r>
      <w:r w:rsidRPr="00B448FE">
        <w:rPr>
          <w:rFonts w:ascii="Times New Roman" w:hAnsi="Times New Roman" w:cs="Times New Roman"/>
          <w:i/>
          <w:iCs/>
        </w:rPr>
        <w:t>Artículo 669. Control judicial</w:t>
      </w:r>
      <w:r w:rsidRPr="005A51BD">
        <w:rPr>
          <w:rFonts w:ascii="Times New Roman" w:hAnsi="Times New Roman" w:cs="Times New Roman"/>
        </w:rPr>
        <w:t xml:space="preserve">, </w:t>
      </w:r>
      <w:r w:rsidR="00B448FE">
        <w:rPr>
          <w:rFonts w:ascii="Times New Roman" w:hAnsi="Times New Roman" w:cs="Times New Roman"/>
        </w:rPr>
        <w:t>i</w:t>
      </w:r>
      <w:r w:rsidRPr="005A51BD">
        <w:rPr>
          <w:rFonts w:ascii="Times New Roman" w:hAnsi="Times New Roman" w:cs="Times New Roman"/>
        </w:rPr>
        <w:t xml:space="preserve">n </w:t>
      </w:r>
      <w:r w:rsidRPr="005A51BD">
        <w:rPr>
          <w:rFonts w:ascii="Times New Roman" w:hAnsi="Times New Roman" w:cs="Times New Roman"/>
          <w:i/>
          <w:iCs/>
        </w:rPr>
        <w:t>Comentario a la Ley Concursal</w:t>
      </w:r>
      <w:r w:rsidRPr="005A51BD">
        <w:rPr>
          <w:rFonts w:ascii="Times New Roman" w:hAnsi="Times New Roman" w:cs="Times New Roman"/>
        </w:rPr>
        <w:t>, tomo II, Madrid, 2023,</w:t>
      </w:r>
      <w:r w:rsidR="00B448FE">
        <w:rPr>
          <w:rFonts w:ascii="Times New Roman" w:hAnsi="Times New Roman" w:cs="Times New Roman"/>
        </w:rPr>
        <w:t xml:space="preserve"> </w:t>
      </w:r>
      <w:r w:rsidRPr="005A51BD">
        <w:rPr>
          <w:rFonts w:ascii="Times New Roman" w:hAnsi="Times New Roman" w:cs="Times New Roman"/>
        </w:rPr>
        <w:t>1412-1416.</w:t>
      </w:r>
    </w:p>
  </w:footnote>
  <w:footnote w:id="16">
    <w:p w14:paraId="5DBD4F9D" w14:textId="30FE0DE7" w:rsidR="00503200" w:rsidRPr="005A51BD" w:rsidRDefault="00503200" w:rsidP="00503200">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BUIL ALDANA, 1413. </w:t>
      </w:r>
    </w:p>
  </w:footnote>
  <w:footnote w:id="17">
    <w:p w14:paraId="42A4117A" w14:textId="1B4DD65C" w:rsidR="00503200" w:rsidRPr="005A51BD" w:rsidRDefault="00503200" w:rsidP="00503200">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BUIL ALDANA,</w:t>
      </w:r>
      <w:r w:rsidR="00B448FE">
        <w:rPr>
          <w:rFonts w:ascii="Times New Roman" w:hAnsi="Times New Roman" w:cs="Times New Roman"/>
        </w:rPr>
        <w:t xml:space="preserve"> </w:t>
      </w:r>
      <w:r w:rsidRPr="005A51BD">
        <w:rPr>
          <w:rFonts w:ascii="Times New Roman" w:hAnsi="Times New Roman" w:cs="Times New Roman"/>
        </w:rPr>
        <w:t xml:space="preserve">1414. Señala a </w:t>
      </w:r>
      <w:r w:rsidR="00BD7E46" w:rsidRPr="005A51BD">
        <w:rPr>
          <w:rFonts w:ascii="Times New Roman" w:hAnsi="Times New Roman" w:cs="Times New Roman"/>
        </w:rPr>
        <w:t>este respecto</w:t>
      </w:r>
      <w:r w:rsidRPr="005A51BD">
        <w:rPr>
          <w:rFonts w:ascii="Times New Roman" w:hAnsi="Times New Roman" w:cs="Times New Roman"/>
        </w:rPr>
        <w:t xml:space="preserve"> PULGAR EZQUERRA, Artículo 638</w:t>
      </w:r>
      <w:r w:rsidR="009B1919">
        <w:rPr>
          <w:rFonts w:ascii="Times New Roman" w:hAnsi="Times New Roman" w:cs="Times New Roman"/>
        </w:rPr>
        <w:t xml:space="preserve">. </w:t>
      </w:r>
      <w:r w:rsidR="009B1919" w:rsidRPr="00B448FE">
        <w:rPr>
          <w:rFonts w:ascii="Times New Roman" w:hAnsi="Times New Roman" w:cs="Times New Roman"/>
          <w:i/>
          <w:iCs/>
        </w:rPr>
        <w:t>Requisitos para la homologación del plan de reestructuración aprobado por todas las clases de acreedores</w:t>
      </w:r>
      <w:r w:rsidRPr="005A51BD">
        <w:rPr>
          <w:rFonts w:ascii="Times New Roman" w:hAnsi="Times New Roman" w:cs="Times New Roman"/>
        </w:rPr>
        <w:t xml:space="preserve">, </w:t>
      </w:r>
      <w:r w:rsidR="00B448FE">
        <w:rPr>
          <w:rFonts w:ascii="Times New Roman" w:hAnsi="Times New Roman" w:cs="Times New Roman"/>
        </w:rPr>
        <w:t>i</w:t>
      </w:r>
      <w:r w:rsidR="009B1919" w:rsidRPr="005A51BD">
        <w:rPr>
          <w:rFonts w:ascii="Times New Roman" w:hAnsi="Times New Roman" w:cs="Times New Roman"/>
        </w:rPr>
        <w:t xml:space="preserve">n </w:t>
      </w:r>
      <w:r w:rsidR="009B1919" w:rsidRPr="005A51BD">
        <w:rPr>
          <w:rFonts w:ascii="Times New Roman" w:hAnsi="Times New Roman" w:cs="Times New Roman"/>
          <w:i/>
          <w:iCs/>
        </w:rPr>
        <w:t>Comentario a la Ley Concursal</w:t>
      </w:r>
      <w:r w:rsidR="009B1919" w:rsidRPr="005A51BD">
        <w:rPr>
          <w:rFonts w:ascii="Times New Roman" w:hAnsi="Times New Roman" w:cs="Times New Roman"/>
        </w:rPr>
        <w:t>, tomo II, Madrid, 2023</w:t>
      </w:r>
      <w:r w:rsidR="009B1919">
        <w:rPr>
          <w:rFonts w:ascii="Times New Roman" w:hAnsi="Times New Roman" w:cs="Times New Roman"/>
        </w:rPr>
        <w:t>,</w:t>
      </w:r>
      <w:r w:rsidR="00B448FE">
        <w:rPr>
          <w:rFonts w:ascii="Times New Roman" w:hAnsi="Times New Roman" w:cs="Times New Roman"/>
        </w:rPr>
        <w:t xml:space="preserve"> </w:t>
      </w:r>
      <w:r w:rsidRPr="005A51BD">
        <w:rPr>
          <w:rFonts w:ascii="Times New Roman" w:hAnsi="Times New Roman" w:cs="Times New Roman"/>
        </w:rPr>
        <w:t>1197: “</w:t>
      </w:r>
      <w:r w:rsidRPr="005A51BD">
        <w:rPr>
          <w:rFonts w:ascii="Times New Roman" w:hAnsi="Times New Roman" w:cs="Times New Roman"/>
          <w:i/>
          <w:iCs/>
        </w:rPr>
        <w:t>Se establece por tanto un control judicial de oficia ex ante vía homologación, común respecto de la financiación interina -condicionado en este caso a que llegue a haber plan de reestructuración no estableciéndose controles ex ante de otro modo respecto de esta financiación- y la nueva financiación, en lo relativo a la concurrencia de los requisitos y mayorías legalmente establecidas para su protección y un plus de control propio y específico solo para la nueva financiación, situado en que esta “no perjudique injustamente los intereses de los acreedores” (doubl</w:t>
      </w:r>
      <w:r w:rsidR="0079272F">
        <w:rPr>
          <w:rFonts w:ascii="Times New Roman" w:hAnsi="Times New Roman" w:cs="Times New Roman"/>
          <w:i/>
          <w:iCs/>
        </w:rPr>
        <w:t>e</w:t>
      </w:r>
      <w:r w:rsidRPr="005A51BD">
        <w:rPr>
          <w:rFonts w:ascii="Times New Roman" w:hAnsi="Times New Roman" w:cs="Times New Roman"/>
          <w:i/>
          <w:iCs/>
        </w:rPr>
        <w:t xml:space="preserve"> check)</w:t>
      </w:r>
      <w:r w:rsidRPr="005A51BD">
        <w:rPr>
          <w:rFonts w:ascii="Times New Roman" w:hAnsi="Times New Roman" w:cs="Times New Roman"/>
        </w:rPr>
        <w:t>”.</w:t>
      </w:r>
    </w:p>
  </w:footnote>
  <w:footnote w:id="18">
    <w:p w14:paraId="2B3F4E30" w14:textId="3527021E" w:rsidR="00503200" w:rsidRPr="005A51BD" w:rsidRDefault="00503200" w:rsidP="00503200">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PULGAR EZQUERRA, </w:t>
      </w:r>
      <w:r w:rsidRPr="00B448FE">
        <w:rPr>
          <w:rFonts w:ascii="Times New Roman" w:hAnsi="Times New Roman" w:cs="Times New Roman"/>
          <w:i/>
          <w:iCs/>
        </w:rPr>
        <w:t>Artículo 638…</w:t>
      </w:r>
      <w:r w:rsidRPr="005A51BD">
        <w:rPr>
          <w:rFonts w:ascii="Times New Roman" w:hAnsi="Times New Roman" w:cs="Times New Roman"/>
        </w:rPr>
        <w:t xml:space="preserve"> cit., 1198; BUIL ALDANA</w:t>
      </w:r>
      <w:r w:rsidR="00B448FE">
        <w:rPr>
          <w:rFonts w:ascii="Times New Roman" w:hAnsi="Times New Roman" w:cs="Times New Roman"/>
        </w:rPr>
        <w:t>,</w:t>
      </w:r>
      <w:r w:rsidRPr="005A51BD">
        <w:rPr>
          <w:rFonts w:ascii="Times New Roman" w:hAnsi="Times New Roman" w:cs="Times New Roman"/>
        </w:rPr>
        <w:t xml:space="preserve"> cit., 1414-1416.</w:t>
      </w:r>
    </w:p>
  </w:footnote>
  <w:footnote w:id="19">
    <w:p w14:paraId="5167D48A" w14:textId="5718FC5F" w:rsidR="0072609C" w:rsidRPr="0072609C" w:rsidRDefault="0072609C" w:rsidP="0072609C">
      <w:pPr>
        <w:pStyle w:val="Textonotapie"/>
        <w:jc w:val="both"/>
        <w:rPr>
          <w:rFonts w:ascii="Times New Roman" w:hAnsi="Times New Roman" w:cs="Times New Roman"/>
        </w:rPr>
      </w:pPr>
      <w:r w:rsidRPr="0072609C">
        <w:rPr>
          <w:rStyle w:val="Refdenotaalpie"/>
          <w:rFonts w:ascii="Times New Roman" w:hAnsi="Times New Roman" w:cs="Times New Roman"/>
        </w:rPr>
        <w:footnoteRef/>
      </w:r>
      <w:r w:rsidRPr="0072609C">
        <w:rPr>
          <w:rFonts w:ascii="Times New Roman" w:hAnsi="Times New Roman" w:cs="Times New Roman"/>
        </w:rPr>
        <w:t xml:space="preserve"> Véase CUATRECASAS, </w:t>
      </w:r>
      <w:r w:rsidRPr="00B448FE">
        <w:rPr>
          <w:rFonts w:ascii="Times New Roman" w:hAnsi="Times New Roman" w:cs="Times New Roman"/>
          <w:i/>
          <w:iCs/>
        </w:rPr>
        <w:t>La reestructuración de empresas: balance del segundo año de aplicación de la reforma concursal</w:t>
      </w:r>
      <w:r w:rsidRPr="0072609C">
        <w:rPr>
          <w:rFonts w:ascii="Times New Roman" w:hAnsi="Times New Roman" w:cs="Times New Roman"/>
        </w:rPr>
        <w:t>, noviembre 2024,</w:t>
      </w:r>
      <w:r w:rsidR="00B448FE">
        <w:rPr>
          <w:rFonts w:ascii="Times New Roman" w:hAnsi="Times New Roman" w:cs="Times New Roman"/>
        </w:rPr>
        <w:t xml:space="preserve"> </w:t>
      </w:r>
      <w:r w:rsidRPr="0072609C">
        <w:rPr>
          <w:rFonts w:ascii="Times New Roman" w:hAnsi="Times New Roman" w:cs="Times New Roman"/>
        </w:rPr>
        <w:t xml:space="preserve">33-34, disponible en: </w:t>
      </w:r>
      <w:hyperlink r:id="rId1" w:history="1">
        <w:r w:rsidRPr="0072609C">
          <w:rPr>
            <w:rStyle w:val="Hipervnculo"/>
            <w:rFonts w:ascii="Times New Roman" w:hAnsi="Times New Roman" w:cs="Times New Roman"/>
          </w:rPr>
          <w:t>https://www.cuatrecasas.com/resources/reestructuraciones-text-67336133a5ad2768789730.pdf?v1.82.0.20241025</w:t>
        </w:r>
      </w:hyperlink>
    </w:p>
  </w:footnote>
  <w:footnote w:id="20">
    <w:p w14:paraId="7123E941" w14:textId="2501DBD6" w:rsidR="00CD73F1" w:rsidRPr="005A51BD" w:rsidRDefault="00CD73F1" w:rsidP="00CD73F1">
      <w:pPr>
        <w:pStyle w:val="Textonotapie"/>
        <w:jc w:val="both"/>
        <w:rPr>
          <w:rFonts w:ascii="Times New Roman" w:hAnsi="Times New Roman" w:cs="Times New Roman"/>
        </w:rPr>
      </w:pPr>
      <w:r w:rsidRPr="005A51BD">
        <w:rPr>
          <w:rStyle w:val="Refdenotaalpie"/>
          <w:rFonts w:ascii="Times New Roman" w:hAnsi="Times New Roman" w:cs="Times New Roman"/>
        </w:rPr>
        <w:footnoteRef/>
      </w:r>
      <w:r w:rsidRPr="005A51BD">
        <w:rPr>
          <w:rFonts w:ascii="Times New Roman" w:hAnsi="Times New Roman" w:cs="Times New Roman"/>
        </w:rPr>
        <w:t xml:space="preserve"> </w:t>
      </w:r>
      <w:r w:rsidR="004E42C9" w:rsidRPr="004E42C9">
        <w:rPr>
          <w:rFonts w:ascii="Times New Roman" w:hAnsi="Times New Roman" w:cs="Times New Roman"/>
        </w:rPr>
        <w:t>Ad esempio, ciò è avvenuto nella sentenza della Corte Provinciale di Pontevedra del 10 aprile 2023 (caso Xeldist), in cui è stato riscontrato un trattamento discriminatorio. Allo stesso modo, la sentenza del Tribunale di primo grado e di istruzione n. 1 di Palencia del 14 aprile 2024 (caso Farming Agricola) ha respinto il piano per violazione della regola di equità, ritenendo che, sebbene vi fossero due classi apparentemente ben definite e chiaramente differenziate, il trattamento diverso tra l'una e l'altra era sproporzionato e, quindi, ingiusto, indicando: “</w:t>
      </w:r>
      <w:r w:rsidR="004E42C9" w:rsidRPr="004E42C9">
        <w:rPr>
          <w:rFonts w:ascii="Times New Roman" w:hAnsi="Times New Roman" w:cs="Times New Roman"/>
          <w:i/>
          <w:iCs/>
        </w:rPr>
        <w:t>Esiste una chiara violazione dell'art. 655.2.3º del TRLC nel PR presentato, avendo trattato in modo sfavorevole i creditori della classe Creditori Finanziari rispetto ai creditori della classe Fornitori Essenziali, rendendo sproporzionata la ripartizione dei tagli o delle perdite economiche, sproporzione che la rende ingiusta e non supera il test di equità</w:t>
      </w:r>
      <w:r w:rsidR="004E42C9" w:rsidRPr="004E42C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E5DE8"/>
    <w:multiLevelType w:val="hybridMultilevel"/>
    <w:tmpl w:val="733C60C6"/>
    <w:lvl w:ilvl="0" w:tplc="6BDC4DF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20"/>
    <w:rsid w:val="00043B85"/>
    <w:rsid w:val="00044621"/>
    <w:rsid w:val="00052390"/>
    <w:rsid w:val="000C2858"/>
    <w:rsid w:val="000E660C"/>
    <w:rsid w:val="00106D84"/>
    <w:rsid w:val="00171186"/>
    <w:rsid w:val="0019611B"/>
    <w:rsid w:val="001F4F13"/>
    <w:rsid w:val="001F7270"/>
    <w:rsid w:val="00237B49"/>
    <w:rsid w:val="00274330"/>
    <w:rsid w:val="00281F7A"/>
    <w:rsid w:val="002C3E22"/>
    <w:rsid w:val="002E71FE"/>
    <w:rsid w:val="00312ECD"/>
    <w:rsid w:val="00364E5E"/>
    <w:rsid w:val="004E014B"/>
    <w:rsid w:val="004E42C9"/>
    <w:rsid w:val="00503200"/>
    <w:rsid w:val="0054007B"/>
    <w:rsid w:val="005452FE"/>
    <w:rsid w:val="00581C96"/>
    <w:rsid w:val="005A7042"/>
    <w:rsid w:val="0067624B"/>
    <w:rsid w:val="0072609C"/>
    <w:rsid w:val="00763C27"/>
    <w:rsid w:val="0079272F"/>
    <w:rsid w:val="00805AEA"/>
    <w:rsid w:val="00980ECC"/>
    <w:rsid w:val="00984FC4"/>
    <w:rsid w:val="009B1919"/>
    <w:rsid w:val="009D2301"/>
    <w:rsid w:val="00A94EA5"/>
    <w:rsid w:val="00AD49FA"/>
    <w:rsid w:val="00AE6BB2"/>
    <w:rsid w:val="00B448FE"/>
    <w:rsid w:val="00B952E4"/>
    <w:rsid w:val="00B96977"/>
    <w:rsid w:val="00BA0C01"/>
    <w:rsid w:val="00BD7E46"/>
    <w:rsid w:val="00C16334"/>
    <w:rsid w:val="00C43203"/>
    <w:rsid w:val="00C55ECD"/>
    <w:rsid w:val="00C82020"/>
    <w:rsid w:val="00C93C05"/>
    <w:rsid w:val="00CA171A"/>
    <w:rsid w:val="00CD6A98"/>
    <w:rsid w:val="00CD73F1"/>
    <w:rsid w:val="00CE0A48"/>
    <w:rsid w:val="00D46F6F"/>
    <w:rsid w:val="00D86F68"/>
    <w:rsid w:val="00DC34E6"/>
    <w:rsid w:val="00E418F4"/>
    <w:rsid w:val="00E66309"/>
    <w:rsid w:val="00EE29E2"/>
    <w:rsid w:val="00F2503A"/>
    <w:rsid w:val="00F256DB"/>
    <w:rsid w:val="00F548AF"/>
    <w:rsid w:val="00F80648"/>
    <w:rsid w:val="00FE1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3A03"/>
  <w15:chartTrackingRefBased/>
  <w15:docId w15:val="{DB77C76C-5441-1446-B9B3-DB9D8A6E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2020"/>
    <w:pPr>
      <w:ind w:left="720"/>
      <w:contextualSpacing/>
    </w:pPr>
  </w:style>
  <w:style w:type="paragraph" w:styleId="Textonotapie">
    <w:name w:val="footnote text"/>
    <w:aliases w:val="Footnote Text Char Char Char Char Char,Footnote Text Char Char Char Char,Footnote reference,FA Fu,texto de nota al pie,Car,FN Char,FN Car Char Char Char,FN Car Char Char,FN Car Char,Texto nota pie Car Car Car Car"/>
    <w:basedOn w:val="Normal"/>
    <w:link w:val="TextonotapieCar"/>
    <w:uiPriority w:val="99"/>
    <w:unhideWhenUsed/>
    <w:qFormat/>
    <w:rsid w:val="00052390"/>
    <w:rPr>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FN Char Car,FN Car Char Char Char Car,FN Car Char Char Car,FN Car Char Car"/>
    <w:basedOn w:val="Fuentedeprrafopredeter"/>
    <w:link w:val="Textonotapie"/>
    <w:uiPriority w:val="99"/>
    <w:rsid w:val="00052390"/>
    <w:rPr>
      <w:sz w:val="20"/>
      <w:szCs w:val="20"/>
    </w:rPr>
  </w:style>
  <w:style w:type="character" w:styleId="Refdenotaalpie">
    <w:name w:val="footnote reference"/>
    <w:basedOn w:val="Fuentedeprrafopredeter"/>
    <w:uiPriority w:val="99"/>
    <w:unhideWhenUsed/>
    <w:rsid w:val="00052390"/>
    <w:rPr>
      <w:vertAlign w:val="superscript"/>
    </w:rPr>
  </w:style>
  <w:style w:type="paragraph" w:styleId="Textodeglobo">
    <w:name w:val="Balloon Text"/>
    <w:basedOn w:val="Normal"/>
    <w:link w:val="TextodegloboCar"/>
    <w:uiPriority w:val="99"/>
    <w:semiHidden/>
    <w:unhideWhenUsed/>
    <w:rsid w:val="00C16334"/>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16334"/>
    <w:rPr>
      <w:rFonts w:ascii="Times New Roman" w:hAnsi="Times New Roman" w:cs="Times New Roman"/>
      <w:sz w:val="18"/>
      <w:szCs w:val="18"/>
    </w:rPr>
  </w:style>
  <w:style w:type="character" w:styleId="Hipervnculo">
    <w:name w:val="Hyperlink"/>
    <w:basedOn w:val="Fuentedeprrafopredeter"/>
    <w:uiPriority w:val="99"/>
    <w:unhideWhenUsed/>
    <w:rsid w:val="0072609C"/>
    <w:rPr>
      <w:color w:val="0563C1" w:themeColor="hyperlink"/>
      <w:u w:val="single"/>
    </w:rPr>
  </w:style>
  <w:style w:type="character" w:styleId="Mencinsinresolver">
    <w:name w:val="Unresolved Mention"/>
    <w:basedOn w:val="Fuentedeprrafopredeter"/>
    <w:uiPriority w:val="99"/>
    <w:semiHidden/>
    <w:unhideWhenUsed/>
    <w:rsid w:val="0072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uatrecasas.com/resources/reestructuraciones-text-67336133a5ad2768789730.pdf?v1.82.0.202410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9B91A-73F1-E844-A1D0-7368E975B494}">
  <ds:schemaRefs>
    <ds:schemaRef ds:uri="http://schemas.openxmlformats.org/officeDocument/2006/bibliography"/>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11</Pages>
  <Words>4722</Words>
  <Characters>25972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2025-09-14T08:37:00Z</dcterms:created>
  <dcterms:modified xsi:type="dcterms:W3CDTF">2025-09-14T09:00:00Z</dcterms:modified>
</cp:coreProperties>
</file>