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24"/>
          <w:lang w:val="en-US"/>
        </w:rPr>
      </w:pPr>
      <w:r>
        <w:rPr>
          <w:b/>
          <w:sz w:val="24"/>
          <w:lang w:val="en-US"/>
        </w:rPr>
        <w:t>Title (no more than 9 words)</w:t>
      </w:r>
    </w:p>
    <w:p>
      <w:pPr>
        <w:rPr>
          <w:sz w:val="24"/>
          <w:lang w:val="en-US"/>
        </w:rPr>
      </w:pPr>
      <w:r>
        <w:rPr>
          <w:sz w:val="24"/>
          <w:lang w:val="en-US"/>
        </w:rPr>
        <w:t xml:space="preserve">Using emotional intelligence to empower online students </w:t>
      </w:r>
    </w:p>
    <w:p>
      <w:pPr>
        <w:rPr>
          <w:b/>
          <w:sz w:val="24"/>
        </w:rPr>
      </w:pPr>
      <w:r>
        <w:rPr>
          <w:b/>
          <w:sz w:val="24"/>
        </w:rPr>
        <w:t>Authors:</w:t>
      </w:r>
    </w:p>
    <w:p>
      <w:pPr>
        <w:spacing w:after="0" w:line="240" w:lineRule="auto"/>
        <w:rPr>
          <w:sz w:val="24"/>
        </w:rPr>
      </w:pPr>
      <w:r>
        <w:rPr>
          <w:sz w:val="24"/>
        </w:rPr>
        <w:t>Ana Isabel Díaz Garrido</w:t>
      </w:r>
    </w:p>
    <w:p>
      <w:pPr>
        <w:spacing w:after="0" w:line="240" w:lineRule="auto"/>
        <w:rPr>
          <w:sz w:val="24"/>
        </w:rPr>
      </w:pPr>
      <w:r>
        <w:rPr>
          <w:sz w:val="24"/>
        </w:rPr>
        <w:t>Birgit Strotmann</w:t>
      </w:r>
    </w:p>
    <w:p>
      <w:pPr>
        <w:rPr>
          <w:b/>
          <w:sz w:val="24"/>
        </w:rPr>
      </w:pPr>
    </w:p>
    <w:p>
      <w:pPr>
        <w:rPr>
          <w:b/>
          <w:sz w:val="24"/>
          <w:lang w:val="en-US"/>
        </w:rPr>
      </w:pPr>
      <w:r>
        <w:rPr>
          <w:b/>
          <w:sz w:val="24"/>
          <w:lang w:val="en-US"/>
        </w:rPr>
        <w:t xml:space="preserve">Abstract (60 words): </w:t>
      </w:r>
    </w:p>
    <w:p>
      <w:pPr>
        <w:jc w:val="both"/>
        <w:rPr>
          <w:sz w:val="24"/>
          <w:lang w:val="en-US"/>
        </w:rPr>
      </w:pPr>
      <w:r>
        <w:rPr>
          <w:sz w:val="24"/>
          <w:lang w:val="en-US"/>
        </w:rPr>
        <w:t>Students in online English programs often feel isolated and cut off from their teacher and their fellow students. Based on the presenters’ experience, this practical workshop will explore how instructors can mitigate negative attitudes and expectations of students by incorporating skills related to emotional intelligence into their classroom practice.</w:t>
      </w:r>
    </w:p>
    <w:p>
      <w:pPr>
        <w:jc w:val="both"/>
        <w:rPr>
          <w:b/>
          <w:sz w:val="24"/>
          <w:lang w:val="en-US"/>
        </w:rPr>
      </w:pPr>
      <w:r>
        <w:rPr>
          <w:b/>
          <w:sz w:val="24"/>
          <w:lang w:val="en-US"/>
        </w:rPr>
        <w:t>Outline (250-300 words)</w:t>
      </w:r>
    </w:p>
    <w:p>
      <w:pPr>
        <w:numPr>
          <w:ilvl w:val="0"/>
          <w:numId w:val="1"/>
        </w:numPr>
        <w:spacing w:after="0" w:line="240" w:lineRule="auto"/>
        <w:jc w:val="both"/>
        <w:rPr>
          <w:rFonts w:ascii="Arial" w:hAnsi="Arial" w:eastAsia="Times New Roman" w:cs="Arial"/>
          <w:bCs/>
          <w:sz w:val="16"/>
          <w:szCs w:val="20"/>
          <w:lang w:val="en-GB" w:eastAsia="es-ES"/>
        </w:rPr>
      </w:pPr>
      <w:r>
        <w:rPr>
          <w:rFonts w:ascii="Arial" w:hAnsi="Arial" w:eastAsia="Times New Roman" w:cs="Arial"/>
          <w:bCs/>
          <w:sz w:val="16"/>
          <w:szCs w:val="20"/>
          <w:lang w:val="en-GB" w:eastAsia="es-ES"/>
        </w:rPr>
        <w:t>clearly state the overall objectives of the presentation</w:t>
      </w:r>
    </w:p>
    <w:p>
      <w:pPr>
        <w:numPr>
          <w:ilvl w:val="0"/>
          <w:numId w:val="1"/>
        </w:numPr>
        <w:spacing w:after="0" w:line="240" w:lineRule="auto"/>
        <w:jc w:val="both"/>
        <w:rPr>
          <w:rFonts w:ascii="Arial" w:hAnsi="Arial" w:eastAsia="Times New Roman" w:cs="Arial"/>
          <w:bCs/>
          <w:sz w:val="16"/>
          <w:szCs w:val="20"/>
          <w:lang w:val="en-GB" w:eastAsia="es-ES"/>
        </w:rPr>
      </w:pPr>
      <w:r>
        <w:rPr>
          <w:rFonts w:ascii="Arial" w:hAnsi="Arial" w:eastAsia="Times New Roman" w:cs="Arial"/>
          <w:bCs/>
          <w:sz w:val="16"/>
          <w:szCs w:val="20"/>
          <w:lang w:val="en-GB" w:eastAsia="es-ES"/>
        </w:rPr>
        <w:t>demonstrate an awareness of current issues and trends in ELT</w:t>
      </w:r>
    </w:p>
    <w:p>
      <w:pPr>
        <w:numPr>
          <w:ilvl w:val="0"/>
          <w:numId w:val="1"/>
        </w:numPr>
        <w:spacing w:after="0" w:line="240" w:lineRule="auto"/>
        <w:rPr>
          <w:rFonts w:ascii="Arial" w:hAnsi="Arial" w:eastAsia="Times New Roman" w:cs="Arial"/>
          <w:bCs/>
          <w:sz w:val="16"/>
          <w:szCs w:val="16"/>
          <w:lang w:val="en-GB" w:eastAsia="es-ES"/>
        </w:rPr>
      </w:pPr>
      <w:r>
        <w:rPr>
          <w:rFonts w:ascii="Arial" w:hAnsi="Arial" w:eastAsia="Times New Roman" w:cs="Arial"/>
          <w:bCs/>
          <w:sz w:val="16"/>
          <w:szCs w:val="16"/>
          <w:lang w:val="en-GB" w:eastAsia="es-ES"/>
        </w:rPr>
        <w:t xml:space="preserve">provide a step-by-step procedural explanation of the presentation. </w:t>
      </w:r>
    </w:p>
    <w:p>
      <w:pPr>
        <w:numPr>
          <w:ilvl w:val="0"/>
          <w:numId w:val="1"/>
        </w:numPr>
        <w:spacing w:after="0" w:line="240" w:lineRule="auto"/>
        <w:rPr>
          <w:rFonts w:ascii="Arial" w:hAnsi="Arial" w:eastAsia="Times New Roman" w:cs="Arial"/>
          <w:color w:val="000080"/>
          <w:sz w:val="16"/>
          <w:szCs w:val="16"/>
          <w:lang w:val="en-GB" w:eastAsia="es-ES"/>
        </w:rPr>
      </w:pPr>
      <w:r>
        <w:rPr>
          <w:rFonts w:ascii="Arial" w:hAnsi="Arial" w:eastAsia="Times New Roman" w:cs="Arial"/>
          <w:sz w:val="16"/>
          <w:szCs w:val="16"/>
          <w:lang w:val="en-GB" w:eastAsia="es-ES"/>
        </w:rPr>
        <w:t>show awareness of how your presentation will be relevant to your intended audience</w:t>
      </w:r>
    </w:p>
    <w:p>
      <w:pPr>
        <w:jc w:val="both"/>
        <w:rPr>
          <w:sz w:val="24"/>
          <w:lang w:val="en-GB"/>
        </w:rPr>
      </w:pPr>
    </w:p>
    <w:p>
      <w:pPr>
        <w:jc w:val="both"/>
        <w:rPr>
          <w:sz w:val="24"/>
          <w:lang w:val="en-US"/>
        </w:rPr>
      </w:pPr>
      <w:r>
        <w:rPr>
          <w:sz w:val="24"/>
          <w:lang w:val="en-US"/>
        </w:rPr>
        <w:t xml:space="preserve">This workshop aims to share good practice in the teaching of online English language courses by introducing emotional intelligence (EI) into the language classroom.  The concept of EI goes back to Howard Gardner’s multiple intelligence theory and was made famous by Daniel Goleman in the 1990s. It refers to “the ability to identify, assess and control one’s own emotions, the emotions of others, and that [sic] of groups” [retrieved from </w:t>
      </w:r>
      <w:r>
        <w:fldChar w:fldCharType="begin"/>
      </w:r>
      <w:r>
        <w:instrText xml:space="preserve"> HYPERLINK "http://www.learning-theories.com/emotional-intelligence-goleman.html" </w:instrText>
      </w:r>
      <w:r>
        <w:fldChar w:fldCharType="separate"/>
      </w:r>
      <w:r>
        <w:rPr>
          <w:rStyle w:val="4"/>
          <w:sz w:val="24"/>
          <w:lang w:val="en-US"/>
        </w:rPr>
        <w:t>http://www.learning-theories.com/emotional-intelligence-goleman.html</w:t>
      </w:r>
      <w:r>
        <w:rPr>
          <w:rStyle w:val="4"/>
          <w:sz w:val="24"/>
          <w:lang w:val="en-US"/>
        </w:rPr>
        <w:fldChar w:fldCharType="end"/>
      </w:r>
      <w:r>
        <w:rPr>
          <w:sz w:val="24"/>
          <w:lang w:val="en-US"/>
        </w:rPr>
        <w:t>.] EI empowers students to express their feelings towards teacher, peers, content and methodology and thus creates an inclusive classroom environment.</w:t>
      </w:r>
    </w:p>
    <w:p>
      <w:pPr>
        <w:jc w:val="both"/>
        <w:rPr>
          <w:sz w:val="24"/>
          <w:lang w:val="en-US"/>
        </w:rPr>
      </w:pPr>
      <w:r>
        <w:rPr>
          <w:sz w:val="24"/>
          <w:lang w:val="en-US"/>
        </w:rPr>
        <w:t>During this workshop, participants will explore how they can work with their students on the 5 core EI skills, which are: self-awareness, self-regulation, social skill, empathy and motivation.</w:t>
      </w:r>
      <w:r>
        <w:rPr>
          <w:lang w:val="en-US"/>
        </w:rPr>
        <w:t xml:space="preserve"> </w:t>
      </w:r>
      <w:r>
        <w:rPr>
          <w:sz w:val="24"/>
          <w:lang w:val="en-US"/>
        </w:rPr>
        <w:t>This is especially important in online environments, where challenges often include low student motivation, high drop-out rates, students’ apprehensions regarding IT and fear of isolation.</w:t>
      </w:r>
    </w:p>
    <w:p>
      <w:pPr>
        <w:jc w:val="both"/>
        <w:rPr>
          <w:sz w:val="24"/>
          <w:lang w:val="en-US"/>
        </w:rPr>
      </w:pPr>
      <w:r>
        <w:rPr>
          <w:sz w:val="24"/>
          <w:lang w:val="en-US"/>
        </w:rPr>
        <w:t>Though much has been published on EI in general (Gardner, 1985; Goleman, 1995; Cherniss &amp; Adler, 2000; Cherniss, 2010), and ample literature is also available on EI in teaching (Sucaromana, 2012; Goleman &amp; Senge, 2014), research on EI in online environments is less common.</w:t>
      </w:r>
    </w:p>
    <w:p>
      <w:pPr>
        <w:jc w:val="both"/>
        <w:rPr>
          <w:sz w:val="24"/>
          <w:lang w:val="en-US"/>
        </w:rPr>
      </w:pPr>
      <w:r>
        <w:rPr>
          <w:sz w:val="24"/>
          <w:lang w:val="en-US"/>
        </w:rPr>
        <w:t>The step-by-step outline of this workshop is as follows:</w:t>
      </w:r>
    </w:p>
    <w:p>
      <w:pPr>
        <w:jc w:val="both"/>
        <w:rPr>
          <w:sz w:val="24"/>
          <w:lang w:val="en-US"/>
        </w:rPr>
      </w:pPr>
    </w:p>
    <w:p>
      <w:pPr>
        <w:pStyle w:val="7"/>
        <w:numPr>
          <w:ilvl w:val="0"/>
          <w:numId w:val="2"/>
        </w:numPr>
        <w:jc w:val="both"/>
        <w:rPr>
          <w:color w:val="FF0000"/>
          <w:sz w:val="24"/>
          <w:lang w:val="en-US"/>
        </w:rPr>
      </w:pPr>
      <w:r>
        <w:rPr>
          <w:sz w:val="24"/>
          <w:lang w:val="en-US"/>
        </w:rPr>
        <w:t>Debate on the importance of EI in online language teaching</w:t>
      </w:r>
    </w:p>
    <w:p>
      <w:pPr>
        <w:pStyle w:val="7"/>
        <w:numPr>
          <w:ilvl w:val="0"/>
          <w:numId w:val="2"/>
        </w:numPr>
        <w:jc w:val="both"/>
        <w:rPr>
          <w:color w:val="FF0000"/>
          <w:sz w:val="24"/>
          <w:lang w:val="en-US"/>
        </w:rPr>
      </w:pPr>
      <w:r>
        <w:rPr>
          <w:sz w:val="24"/>
          <w:lang w:val="en-US"/>
        </w:rPr>
        <w:t>Overview of recent trends in EI and online language teaching</w:t>
      </w:r>
    </w:p>
    <w:p>
      <w:pPr>
        <w:pStyle w:val="7"/>
        <w:numPr>
          <w:ilvl w:val="0"/>
          <w:numId w:val="2"/>
        </w:numPr>
        <w:rPr>
          <w:sz w:val="24"/>
          <w:lang w:val="en-US"/>
        </w:rPr>
      </w:pPr>
      <w:r>
        <w:rPr>
          <w:sz w:val="24"/>
          <w:lang w:val="en-US"/>
        </w:rPr>
        <w:t xml:space="preserve">Applications of EI to online language teaching:  sample activities and lesson plans </w:t>
      </w:r>
    </w:p>
    <w:p>
      <w:pPr>
        <w:pStyle w:val="7"/>
        <w:numPr>
          <w:ilvl w:val="0"/>
          <w:numId w:val="2"/>
        </w:numPr>
        <w:jc w:val="both"/>
        <w:rPr>
          <w:color w:val="FF0000"/>
          <w:sz w:val="24"/>
          <w:lang w:val="en-US"/>
        </w:rPr>
      </w:pPr>
      <w:r>
        <w:rPr>
          <w:sz w:val="24"/>
          <w:lang w:val="en-US"/>
        </w:rPr>
        <w:t>Case studies in groups</w:t>
      </w:r>
    </w:p>
    <w:p>
      <w:pPr>
        <w:pStyle w:val="7"/>
        <w:numPr>
          <w:ilvl w:val="0"/>
          <w:numId w:val="2"/>
        </w:numPr>
        <w:jc w:val="both"/>
        <w:rPr>
          <w:color w:val="FF0000"/>
          <w:sz w:val="24"/>
          <w:lang w:val="en-US"/>
        </w:rPr>
      </w:pPr>
      <w:r>
        <w:rPr>
          <w:sz w:val="24"/>
          <w:lang w:val="en-US"/>
        </w:rPr>
        <w:t>Conclusions</w:t>
      </w:r>
    </w:p>
    <w:p>
      <w:pPr>
        <w:jc w:val="both"/>
        <w:rPr>
          <w:sz w:val="24"/>
          <w:lang w:val="en-US"/>
        </w:rPr>
      </w:pPr>
      <w:r>
        <w:rPr>
          <w:sz w:val="24"/>
          <w:lang w:val="en-US"/>
        </w:rPr>
        <w:t xml:space="preserve">After this workshop, participants will be able to incorporate EI into their daily teaching practice by using or adapting the sample activities provided. </w:t>
      </w:r>
    </w:p>
    <w:p>
      <w:pPr>
        <w:spacing w:after="0" w:line="240" w:lineRule="auto"/>
        <w:jc w:val="center"/>
        <w:rPr>
          <w:rFonts w:ascii="Arial" w:hAnsi="Arial" w:eastAsia="Times New Roman" w:cs="Arial"/>
          <w:b/>
          <w:sz w:val="16"/>
          <w:szCs w:val="20"/>
          <w:lang w:val="en-GB" w:eastAsia="es-ES"/>
        </w:rPr>
      </w:pPr>
    </w:p>
    <w:p>
      <w:pPr>
        <w:spacing w:after="0" w:line="240" w:lineRule="auto"/>
        <w:jc w:val="both"/>
        <w:rPr>
          <w:rFonts w:ascii="Arial" w:hAnsi="Arial" w:eastAsia="Times New Roman" w:cs="Arial"/>
          <w:b/>
          <w:sz w:val="16"/>
          <w:szCs w:val="20"/>
          <w:lang w:val="en-GB" w:eastAsia="es-ES"/>
        </w:rPr>
      </w:pPr>
    </w:p>
    <w:p>
      <w:pPr>
        <w:spacing w:after="0" w:line="240" w:lineRule="auto"/>
        <w:jc w:val="both"/>
        <w:rPr>
          <w:rFonts w:ascii="Arial" w:hAnsi="Arial" w:eastAsia="Times New Roman" w:cs="Arial"/>
          <w:b/>
          <w:sz w:val="16"/>
          <w:szCs w:val="20"/>
          <w:lang w:val="en-GB" w:eastAsia="es-ES"/>
        </w:rPr>
      </w:pPr>
    </w:p>
    <w:p>
      <w:pPr>
        <w:spacing w:after="0" w:line="240" w:lineRule="auto"/>
        <w:jc w:val="both"/>
        <w:rPr>
          <w:rFonts w:ascii="Arial" w:hAnsi="Arial" w:eastAsia="Times New Roman" w:cs="Arial"/>
          <w:b/>
          <w:szCs w:val="20"/>
          <w:lang w:val="en-GB" w:eastAsia="es-ES"/>
        </w:rPr>
      </w:pPr>
      <w:r>
        <w:rPr>
          <w:rFonts w:ascii="Arial" w:hAnsi="Arial" w:eastAsia="Times New Roman" w:cs="Arial"/>
          <w:b/>
          <w:szCs w:val="20"/>
          <w:lang w:val="en-GB" w:eastAsia="es-ES"/>
        </w:rPr>
        <w:t>BIBLIOGRAPHY</w:t>
      </w:r>
    </w:p>
    <w:p>
      <w:pPr>
        <w:spacing w:after="0" w:line="240" w:lineRule="auto"/>
        <w:jc w:val="both"/>
        <w:rPr>
          <w:rFonts w:ascii="Arial" w:hAnsi="Arial" w:eastAsia="Times New Roman" w:cs="Arial"/>
          <w:b/>
          <w:szCs w:val="20"/>
          <w:lang w:val="en-GB" w:eastAsia="es-ES"/>
        </w:rPr>
      </w:pPr>
    </w:p>
    <w:p>
      <w:pPr>
        <w:spacing w:after="0" w:line="240" w:lineRule="auto"/>
        <w:rPr>
          <w:rFonts w:ascii="Arial" w:hAnsi="Arial" w:cs="Arial"/>
          <w:color w:val="333333"/>
          <w:sz w:val="24"/>
          <w:szCs w:val="24"/>
          <w:lang w:val="en-US"/>
        </w:rPr>
      </w:pPr>
      <w:r>
        <w:rPr>
          <w:rFonts w:ascii="Arial" w:hAnsi="Arial" w:cs="Arial"/>
          <w:color w:val="333333"/>
          <w:sz w:val="24"/>
          <w:szCs w:val="24"/>
          <w:lang w:val="en-US"/>
        </w:rPr>
        <w:t xml:space="preserve">Gardner, H. (1985). Frames of mind: The theory of multiple intelligences. New York: Basic </w:t>
      </w:r>
    </w:p>
    <w:p>
      <w:pPr>
        <w:spacing w:after="0" w:line="240" w:lineRule="auto"/>
        <w:rPr>
          <w:rFonts w:ascii="Verdana" w:hAnsi="Verdana"/>
          <w:color w:val="333333"/>
          <w:sz w:val="18"/>
          <w:szCs w:val="18"/>
          <w:lang w:val="en-US"/>
        </w:rPr>
      </w:pPr>
    </w:p>
    <w:p>
      <w:pPr>
        <w:spacing w:after="0" w:line="240" w:lineRule="auto"/>
        <w:rPr>
          <w:rFonts w:ascii="Arial" w:hAnsi="Arial" w:cs="Arial"/>
          <w:color w:val="333333"/>
          <w:sz w:val="24"/>
          <w:szCs w:val="24"/>
          <w:lang w:val="en-US"/>
        </w:rPr>
      </w:pPr>
      <w:r>
        <w:rPr>
          <w:rFonts w:ascii="Arial" w:hAnsi="Arial" w:cs="Arial"/>
          <w:color w:val="333333"/>
          <w:sz w:val="24"/>
          <w:szCs w:val="24"/>
          <w:lang w:val="en-US"/>
        </w:rPr>
        <w:t xml:space="preserve">Goleman, D. (1995). Emotional intelligence: Why it can matter more than IQ. New York: Bantam. </w:t>
      </w:r>
    </w:p>
    <w:p>
      <w:pPr>
        <w:spacing w:after="0" w:line="240" w:lineRule="auto"/>
        <w:rPr>
          <w:rFonts w:ascii="Arial" w:hAnsi="Arial" w:cs="Arial"/>
          <w:color w:val="333333"/>
          <w:sz w:val="24"/>
          <w:szCs w:val="24"/>
          <w:lang w:val="en-US"/>
        </w:rPr>
      </w:pPr>
    </w:p>
    <w:p>
      <w:pPr>
        <w:spacing w:after="0" w:line="240" w:lineRule="auto"/>
        <w:rPr>
          <w:rFonts w:ascii="Arial" w:hAnsi="Arial" w:cs="Arial"/>
          <w:color w:val="333333"/>
          <w:sz w:val="24"/>
          <w:szCs w:val="24"/>
          <w:lang w:val="en-US"/>
        </w:rPr>
      </w:pPr>
      <w:r>
        <w:rPr>
          <w:rFonts w:ascii="Arial" w:hAnsi="Arial" w:cs="Arial"/>
          <w:color w:val="333333"/>
          <w:sz w:val="24"/>
          <w:szCs w:val="24"/>
          <w:lang w:val="en-US"/>
        </w:rPr>
        <w:t>Cherniss, C. &amp; Adler, M. (2000). Promoting emotional intelligence in organizations: Making training in emotional intelligence effective. Alexandria, VA: American Society for Training and Development.</w:t>
      </w:r>
    </w:p>
    <w:p>
      <w:pPr>
        <w:spacing w:after="0" w:line="240" w:lineRule="auto"/>
        <w:rPr>
          <w:rFonts w:ascii="Arial" w:hAnsi="Arial" w:eastAsia="Times New Roman" w:cs="Arial"/>
          <w:sz w:val="24"/>
          <w:szCs w:val="24"/>
          <w:lang w:val="en-GB" w:eastAsia="es-ES"/>
        </w:rPr>
      </w:pPr>
    </w:p>
    <w:p>
      <w:pPr>
        <w:spacing w:after="0" w:line="240" w:lineRule="auto"/>
        <w:jc w:val="both"/>
        <w:rPr>
          <w:rFonts w:ascii="Arial" w:hAnsi="Arial" w:cs="Arial"/>
          <w:color w:val="333333"/>
          <w:sz w:val="24"/>
          <w:szCs w:val="24"/>
          <w:lang w:val="en-US"/>
        </w:rPr>
      </w:pPr>
      <w:r>
        <w:rPr>
          <w:rFonts w:ascii="Arial" w:hAnsi="Arial" w:cs="Arial"/>
          <w:color w:val="333333"/>
          <w:sz w:val="24"/>
          <w:szCs w:val="24"/>
          <w:lang w:val="en-US"/>
        </w:rPr>
        <w:t xml:space="preserve">Cherniss, C. (2010). Emotional intelligence: Towards clarification of a concept. </w:t>
      </w:r>
      <w:r>
        <w:rPr>
          <w:rStyle w:val="3"/>
          <w:rFonts w:ascii="Arial" w:hAnsi="Arial" w:cs="Arial"/>
          <w:color w:val="333333"/>
          <w:sz w:val="24"/>
          <w:szCs w:val="24"/>
          <w:lang w:val="en-US"/>
        </w:rPr>
        <w:t>Industrial and Organizational Psychology: Perspectives on Science and Practice</w:t>
      </w:r>
      <w:r>
        <w:rPr>
          <w:rFonts w:ascii="Arial" w:hAnsi="Arial" w:cs="Arial"/>
          <w:color w:val="333333"/>
          <w:sz w:val="24"/>
          <w:szCs w:val="24"/>
          <w:lang w:val="en-US"/>
        </w:rPr>
        <w:t>, 3, 110-126.</w:t>
      </w:r>
    </w:p>
    <w:p>
      <w:pPr>
        <w:spacing w:after="0" w:line="240" w:lineRule="auto"/>
        <w:jc w:val="both"/>
        <w:rPr>
          <w:rFonts w:ascii="Arial" w:hAnsi="Arial" w:cs="Arial"/>
          <w:color w:val="333333"/>
          <w:sz w:val="24"/>
          <w:szCs w:val="24"/>
          <w:lang w:val="en-US"/>
        </w:rPr>
      </w:pPr>
    </w:p>
    <w:p>
      <w:pPr>
        <w:spacing w:after="0" w:line="240" w:lineRule="auto"/>
        <w:jc w:val="both"/>
        <w:rPr>
          <w:rFonts w:ascii="Arial" w:hAnsi="Arial" w:cs="Arial"/>
          <w:color w:val="333333"/>
          <w:sz w:val="24"/>
          <w:szCs w:val="24"/>
          <w:lang w:val="en-US"/>
        </w:rPr>
      </w:pPr>
      <w:r>
        <w:rPr>
          <w:rFonts w:hint="eastAsia" w:ascii="Arial" w:hAnsi="Arial" w:cs="Arial"/>
          <w:color w:val="333333"/>
          <w:sz w:val="24"/>
          <w:szCs w:val="24"/>
          <w:lang w:val="de-DE"/>
        </w:rPr>
        <w:t xml:space="preserve">Goleman, D., &amp; Senge, P. M. (2014). </w:t>
      </w:r>
      <w:r>
        <w:rPr>
          <w:rFonts w:hint="eastAsia" w:ascii="Arial" w:hAnsi="Arial" w:cs="Arial"/>
          <w:color w:val="333333"/>
          <w:sz w:val="24"/>
          <w:szCs w:val="24"/>
          <w:lang w:val="en-US"/>
        </w:rPr>
        <w:t>The triple focus: A new approach to education.</w:t>
      </w:r>
      <w:r>
        <w:rPr>
          <w:rFonts w:ascii="Arial" w:hAnsi="Arial" w:cs="Arial"/>
          <w:color w:val="333333"/>
          <w:sz w:val="24"/>
          <w:szCs w:val="24"/>
          <w:lang w:val="en-US"/>
        </w:rPr>
        <w:t xml:space="preserve"> Florence, MA. </w:t>
      </w:r>
    </w:p>
    <w:p>
      <w:pPr>
        <w:spacing w:after="0" w:line="240" w:lineRule="auto"/>
        <w:jc w:val="both"/>
        <w:rPr>
          <w:rFonts w:ascii="Arial" w:hAnsi="Arial" w:cs="Arial"/>
          <w:color w:val="333333"/>
          <w:sz w:val="24"/>
          <w:szCs w:val="24"/>
          <w:lang w:val="en-US"/>
        </w:rPr>
      </w:pPr>
    </w:p>
    <w:p>
      <w:pPr>
        <w:spacing w:after="0" w:line="240" w:lineRule="auto"/>
        <w:jc w:val="both"/>
        <w:rPr>
          <w:rFonts w:ascii="Arial" w:hAnsi="Arial" w:cs="Arial"/>
          <w:color w:val="FF0000"/>
          <w:sz w:val="24"/>
          <w:szCs w:val="24"/>
          <w:lang w:val="en-US"/>
        </w:rPr>
      </w:pPr>
      <w:r>
        <w:rPr>
          <w:rFonts w:ascii="Arial" w:hAnsi="Arial" w:cs="Arial"/>
          <w:color w:val="auto"/>
          <w:sz w:val="24"/>
          <w:szCs w:val="24"/>
          <w:lang w:val="en-US"/>
        </w:rPr>
        <w:t>Usaporn Sucaromana. Contribution to Language Teaching and Learning: A Review of Emotional Intelligence. English Language Teaching; Vol. 5, No. 9. 2012</w:t>
      </w:r>
      <w:r>
        <w:rPr>
          <w:rFonts w:ascii="Arial" w:hAnsi="Arial" w:cs="Arial"/>
          <w:color w:val="FF0000"/>
          <w:sz w:val="24"/>
          <w:szCs w:val="24"/>
          <w:lang w:val="en-US"/>
        </w:rPr>
        <w:t>.</w:t>
      </w:r>
    </w:p>
    <w:p>
      <w:pPr>
        <w:spacing w:after="0" w:line="240" w:lineRule="auto"/>
        <w:jc w:val="both"/>
        <w:rPr>
          <w:rFonts w:ascii="Arial" w:hAnsi="Arial" w:cs="Arial"/>
          <w:color w:val="FF0000"/>
          <w:sz w:val="24"/>
          <w:szCs w:val="24"/>
          <w:lang w:val="en-US"/>
        </w:rPr>
      </w:pPr>
    </w:p>
    <w:p>
      <w:pPr>
        <w:rPr>
          <w:lang w:val="en-US"/>
        </w:rPr>
      </w:pPr>
      <w:bookmarkStart w:id="0" w:name="_GoBack"/>
      <w:bookmarkEnd w:id="0"/>
    </w:p>
    <w:sectPr>
      <w:pgSz w:w="11906" w:h="16838"/>
      <w:pgMar w:top="1417" w:right="1701" w:bottom="1417" w:left="1701"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86"/>
    <w:family w:val="swiss"/>
    <w:pitch w:val="default"/>
    <w:sig w:usb0="E0002A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Verdana">
    <w:panose1 w:val="020B0604030504040204"/>
    <w:charset w:val="00"/>
    <w:family w:val="swiss"/>
    <w:pitch w:val="default"/>
    <w:sig w:usb0="A10006FF" w:usb1="4000205B" w:usb2="00000010" w:usb3="00000000" w:csb0="2000019F" w:csb1="00000000"/>
  </w:font>
  <w:font w:name="Calibri">
    <w:panose1 w:val="020F0502020204030204"/>
    <w:charset w:val="00"/>
    <w:family w:val="auto"/>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BC7D0B"/>
    <w:multiLevelType w:val="multilevel"/>
    <w:tmpl w:val="1DBC7D0B"/>
    <w:lvl w:ilvl="0" w:tentative="0">
      <w:start w:val="1"/>
      <w:numFmt w:val="decimal"/>
      <w:lvlText w:val="%1."/>
      <w:lvlJc w:val="left"/>
      <w:pPr>
        <w:ind w:left="720" w:hanging="360"/>
      </w:pPr>
      <w:rPr>
        <w:rFonts w:hint="default"/>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539845FC"/>
    <w:multiLevelType w:val="multilevel"/>
    <w:tmpl w:val="539845FC"/>
    <w:lvl w:ilvl="0" w:tentative="0">
      <w:start w:val="1"/>
      <w:numFmt w:val="bullet"/>
      <w:lvlText w:val=""/>
      <w:lvlJc w:val="left"/>
      <w:pPr>
        <w:tabs>
          <w:tab w:val="left" w:pos="360"/>
        </w:tabs>
        <w:ind w:left="360" w:hanging="360"/>
      </w:pPr>
      <w:rPr>
        <w:rFonts w:hint="default" w:ascii="Symbol" w:hAnsi="Symbol"/>
      </w:rPr>
    </w:lvl>
    <w:lvl w:ilvl="1" w:tentative="0">
      <w:start w:val="1"/>
      <w:numFmt w:val="bullet"/>
      <w:lvlText w:val="o"/>
      <w:lvlJc w:val="left"/>
      <w:pPr>
        <w:tabs>
          <w:tab w:val="left" w:pos="1080"/>
        </w:tabs>
        <w:ind w:left="1080" w:hanging="360"/>
      </w:pPr>
      <w:rPr>
        <w:rFonts w:hint="default" w:ascii="Courier New" w:hAnsi="Courier New"/>
      </w:rPr>
    </w:lvl>
    <w:lvl w:ilvl="2" w:tentative="0">
      <w:start w:val="1"/>
      <w:numFmt w:val="bullet"/>
      <w:lvlText w:val=""/>
      <w:lvlJc w:val="left"/>
      <w:pPr>
        <w:tabs>
          <w:tab w:val="left" w:pos="1800"/>
        </w:tabs>
        <w:ind w:left="1800" w:hanging="360"/>
      </w:pPr>
      <w:rPr>
        <w:rFonts w:hint="default" w:ascii="Wingdings" w:hAnsi="Wingdings"/>
      </w:rPr>
    </w:lvl>
    <w:lvl w:ilvl="3" w:tentative="0">
      <w:start w:val="1"/>
      <w:numFmt w:val="bullet"/>
      <w:lvlText w:val=""/>
      <w:lvlJc w:val="left"/>
      <w:pPr>
        <w:tabs>
          <w:tab w:val="left" w:pos="2520"/>
        </w:tabs>
        <w:ind w:left="2520" w:hanging="360"/>
      </w:pPr>
      <w:rPr>
        <w:rFonts w:hint="default" w:ascii="Symbol" w:hAnsi="Symbol"/>
      </w:rPr>
    </w:lvl>
    <w:lvl w:ilvl="4" w:tentative="0">
      <w:start w:val="1"/>
      <w:numFmt w:val="bullet"/>
      <w:lvlText w:val="o"/>
      <w:lvlJc w:val="left"/>
      <w:pPr>
        <w:tabs>
          <w:tab w:val="left" w:pos="3240"/>
        </w:tabs>
        <w:ind w:left="3240" w:hanging="360"/>
      </w:pPr>
      <w:rPr>
        <w:rFonts w:hint="default" w:ascii="Courier New" w:hAnsi="Courier New"/>
      </w:rPr>
    </w:lvl>
    <w:lvl w:ilvl="5" w:tentative="0">
      <w:start w:val="1"/>
      <w:numFmt w:val="bullet"/>
      <w:lvlText w:val=""/>
      <w:lvlJc w:val="left"/>
      <w:pPr>
        <w:tabs>
          <w:tab w:val="left" w:pos="3960"/>
        </w:tabs>
        <w:ind w:left="3960" w:hanging="360"/>
      </w:pPr>
      <w:rPr>
        <w:rFonts w:hint="default" w:ascii="Wingdings" w:hAnsi="Wingdings"/>
      </w:rPr>
    </w:lvl>
    <w:lvl w:ilvl="6" w:tentative="0">
      <w:start w:val="1"/>
      <w:numFmt w:val="bullet"/>
      <w:lvlText w:val=""/>
      <w:lvlJc w:val="left"/>
      <w:pPr>
        <w:tabs>
          <w:tab w:val="left" w:pos="4680"/>
        </w:tabs>
        <w:ind w:left="4680" w:hanging="360"/>
      </w:pPr>
      <w:rPr>
        <w:rFonts w:hint="default" w:ascii="Symbol" w:hAnsi="Symbol"/>
      </w:rPr>
    </w:lvl>
    <w:lvl w:ilvl="7" w:tentative="0">
      <w:start w:val="1"/>
      <w:numFmt w:val="bullet"/>
      <w:lvlText w:val="o"/>
      <w:lvlJc w:val="left"/>
      <w:pPr>
        <w:tabs>
          <w:tab w:val="left" w:pos="5400"/>
        </w:tabs>
        <w:ind w:left="5400" w:hanging="360"/>
      </w:pPr>
      <w:rPr>
        <w:rFonts w:hint="default" w:ascii="Courier New" w:hAnsi="Courier New"/>
      </w:rPr>
    </w:lvl>
    <w:lvl w:ilvl="8" w:tentative="0">
      <w:start w:val="1"/>
      <w:numFmt w:val="bullet"/>
      <w:lvlText w:val=""/>
      <w:lvlJc w:val="left"/>
      <w:pPr>
        <w:tabs>
          <w:tab w:val="left" w:pos="6120"/>
        </w:tabs>
        <w:ind w:left="6120" w:hanging="36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cumentProtection w:enforcement="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21DC"/>
    <w:rsid w:val="00005970"/>
    <w:rsid w:val="0011421E"/>
    <w:rsid w:val="001F5E8E"/>
    <w:rsid w:val="00313251"/>
    <w:rsid w:val="00350466"/>
    <w:rsid w:val="003F48D3"/>
    <w:rsid w:val="00422C9D"/>
    <w:rsid w:val="004F4295"/>
    <w:rsid w:val="005E3516"/>
    <w:rsid w:val="006E5459"/>
    <w:rsid w:val="007C00DC"/>
    <w:rsid w:val="007F41D5"/>
    <w:rsid w:val="0080383C"/>
    <w:rsid w:val="00835A95"/>
    <w:rsid w:val="008C7C05"/>
    <w:rsid w:val="009422CE"/>
    <w:rsid w:val="00965657"/>
    <w:rsid w:val="00A858D2"/>
    <w:rsid w:val="00A921DC"/>
    <w:rsid w:val="00AF27F3"/>
    <w:rsid w:val="00BC5417"/>
    <w:rsid w:val="00C24557"/>
    <w:rsid w:val="00CB10DD"/>
    <w:rsid w:val="00CB728F"/>
    <w:rsid w:val="00FF00D0"/>
    <w:rsid w:val="516E0206"/>
  </w:rsids>
  <m:mathPr>
    <m:lMargin m:val="0"/>
    <m:mathFont m:val="Cambria Math"/>
    <m:rMargin m:val="0"/>
    <m:wrapIndent m:val="1440"/>
    <m:brkBin m:val="before"/>
    <m:brkBinSub m:val="--"/>
    <m:defJc m:val="centerGroup"/>
    <m:intLim m:val="subSup"/>
    <m:naryLim m:val="undOvr"/>
    <m:smallFrac m:val="0"/>
    <m:dispDef/>
  </m:mathPr>
  <w:themeFontLang w:val="es-E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ES" w:eastAsia="en-US" w:bidi="ar-SA"/>
    </w:rPr>
  </w:style>
  <w:style w:type="character" w:default="1" w:styleId="2">
    <w:name w:val="Default Paragraph Font"/>
    <w:unhideWhenUsed/>
    <w:uiPriority w:val="1"/>
  </w:style>
  <w:style w:type="table" w:default="1" w:styleId="5">
    <w:name w:val="Normal Table"/>
    <w:unhideWhenUsed/>
    <w:uiPriority w:val="99"/>
    <w:tblPr>
      <w:tblLayout w:type="fixed"/>
      <w:tblCellMar>
        <w:top w:w="0" w:type="dxa"/>
        <w:left w:w="108" w:type="dxa"/>
        <w:bottom w:w="0" w:type="dxa"/>
        <w:right w:w="108" w:type="dxa"/>
      </w:tblCellMar>
    </w:tblPr>
  </w:style>
  <w:style w:type="character" w:styleId="3">
    <w:name w:val="Emphasis"/>
    <w:basedOn w:val="2"/>
    <w:qFormat/>
    <w:uiPriority w:val="20"/>
    <w:rPr>
      <w:i/>
      <w:iCs/>
    </w:rPr>
  </w:style>
  <w:style w:type="character" w:styleId="4">
    <w:name w:val="Hyperlink"/>
    <w:basedOn w:val="2"/>
    <w:unhideWhenUsed/>
    <w:uiPriority w:val="99"/>
    <w:rPr>
      <w:color w:val="0000FF" w:themeColor="hyperlink"/>
      <w:u w:val="single"/>
      <w14:textFill>
        <w14:solidFill>
          <w14:schemeClr w14:val="hlink"/>
        </w14:solidFill>
      </w14:textFill>
    </w:rPr>
  </w:style>
  <w:style w:type="table" w:styleId="6">
    <w:name w:val="Table Grid"/>
    <w:basedOn w:val="5"/>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7">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1228</Words>
  <Characters>6755</Characters>
  <Lines>56</Lines>
  <Paragraphs>15</Paragraphs>
  <TotalTime>0</TotalTime>
  <ScaleCrop>false</ScaleCrop>
  <LinksUpToDate>false</LinksUpToDate>
  <CharactersWithSpaces>7968</CharactersWithSpaces>
  <Application>WPS Office_10.1.0.5795_F1E327BC-269C-435d-A152-05C5408002CA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2014-10-30T17:54:00Z</dcterms:created>
  <dc:creator>BIRGIT STROTMANN</dc:creator>
  <cp:lastModifiedBy>usuario</cp:lastModifiedBy>
  <dcterms:modified xsi:type="dcterms:W3CDTF">2017-09-30T09:39:05Z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3082-10.1.0.5795</vt:lpwstr>
  </property>
</Properties>
</file>