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proofErr w:type="spellStart"/>
      <w:r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Ficha</w:t>
      </w:r>
      <w:proofErr w:type="spellEnd"/>
      <w:r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resumen</w:t>
      </w:r>
      <w:proofErr w:type="spellEnd"/>
      <w:r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</w:t>
      </w:r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hyperlink r:id="rId5" w:history="1">
        <w:r w:rsidRPr="007611A6">
          <w:rPr>
            <w:rStyle w:val="Hipervnculo"/>
            <w:rFonts w:ascii="Arial" w:eastAsia="Times New Roman" w:hAnsi="Arial" w:cs="Arial"/>
            <w:sz w:val="21"/>
            <w:szCs w:val="21"/>
            <w:lang w:val="en-US" w:eastAsia="es-ES"/>
          </w:rPr>
          <w:t>https://www.editorialreus.es/libros/alastria-mission-and-vision/9788429023121/</w:t>
        </w:r>
      </w:hyperlink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</w:p>
    <w:p w:rsidR="002D2F00" w:rsidRPr="002D2F00" w:rsidRDefault="002D2F00" w:rsidP="002D2F00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AD1034"/>
          <w:spacing w:val="-15"/>
          <w:kern w:val="36"/>
          <w:sz w:val="48"/>
          <w:szCs w:val="48"/>
          <w:lang w:val="en-US" w:eastAsia="es-ES"/>
        </w:rPr>
      </w:pPr>
      <w:r w:rsidRPr="002D2F00">
        <w:rPr>
          <w:rFonts w:ascii="Times New Roman" w:eastAsia="Times New Roman" w:hAnsi="Times New Roman" w:cs="Times New Roman"/>
          <w:b/>
          <w:bCs/>
          <w:color w:val="AD1034"/>
          <w:spacing w:val="-15"/>
          <w:kern w:val="36"/>
          <w:sz w:val="48"/>
          <w:szCs w:val="48"/>
          <w:lang w:val="en-US" w:eastAsia="es-ES"/>
        </w:rPr>
        <w:t>Alastria mission and vision</w:t>
      </w:r>
    </w:p>
    <w:p w:rsidR="002D2F00" w:rsidRPr="002D2F00" w:rsidRDefault="002D2F00" w:rsidP="002D2F00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aps/>
          <w:color w:val="626670"/>
          <w:sz w:val="29"/>
          <w:szCs w:val="29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aps/>
          <w:color w:val="626670"/>
          <w:sz w:val="29"/>
          <w:szCs w:val="29"/>
          <w:lang w:val="en-US" w:eastAsia="es-ES"/>
        </w:rPr>
        <w:t>A MULTIDISCIPLINARY RESEARCH</w:t>
      </w:r>
    </w:p>
    <w:p w:rsidR="002D2F00" w:rsidRP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 xml:space="preserve">Governance of permissioned </w:t>
      </w:r>
      <w:proofErr w:type="spellStart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>blockchains</w:t>
      </w:r>
      <w:proofErr w:type="spellEnd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 xml:space="preserve"> is a key issue for the short-term success and further development and consolidation of decentralized ledger technology (DL</w:t>
      </w:r>
      <w:r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>T) general-</w:t>
      </w:r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 xml:space="preserve">purpose networks. The present book, written by thirty authors and directed by Prof. Ibáñez, one of the </w:t>
      </w:r>
      <w:proofErr w:type="spellStart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>Consorcio</w:t>
      </w:r>
      <w:proofErr w:type="spellEnd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 xml:space="preserve"> Red Alastria </w:t>
      </w:r>
      <w:proofErr w:type="spellStart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  <w:t xml:space="preserve"> community cofounders, shows how this pioneer worldwide public-permissioned national ecosystem, Alastria, is to be governed and organized. </w:t>
      </w:r>
    </w:p>
    <w:p w:rsid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8C8C"/>
          <w:sz w:val="15"/>
          <w:szCs w:val="15"/>
          <w:lang w:eastAsia="es-ES"/>
        </w:rPr>
      </w:pPr>
    </w:p>
    <w:p w:rsidR="002D2F00" w:rsidRP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1922F"/>
          <w:sz w:val="15"/>
          <w:szCs w:val="15"/>
          <w:lang w:eastAsia="es-ES"/>
        </w:rPr>
      </w:pPr>
      <w:proofErr w:type="spellStart"/>
      <w:r w:rsidRPr="002D2F00">
        <w:rPr>
          <w:rFonts w:ascii="Arial" w:eastAsia="Times New Roman" w:hAnsi="Arial" w:cs="Arial"/>
          <w:b/>
          <w:bCs/>
          <w:color w:val="8D8C8C"/>
          <w:sz w:val="15"/>
          <w:szCs w:val="15"/>
          <w:lang w:eastAsia="es-ES"/>
        </w:rPr>
        <w:t>Coordina:</w:t>
      </w:r>
      <w:hyperlink r:id="rId6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Javier</w:t>
        </w:r>
        <w:proofErr w:type="spellEnd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 xml:space="preserve"> Wenceslao Ibáñez Jiménez</w:t>
        </w:r>
      </w:hyperlink>
    </w:p>
    <w:p w:rsidR="002D2F00" w:rsidRP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</w:pPr>
      <w:proofErr w:type="spellStart"/>
      <w:r w:rsidRPr="002D2F00">
        <w:rPr>
          <w:rFonts w:ascii="Arial" w:eastAsia="Times New Roman" w:hAnsi="Arial" w:cs="Arial"/>
          <w:b/>
          <w:bCs/>
          <w:color w:val="8D8C8C"/>
          <w:sz w:val="15"/>
          <w:szCs w:val="15"/>
          <w:lang w:eastAsia="es-ES"/>
        </w:rPr>
        <w:t>Autoría:</w:t>
      </w:r>
      <w:hyperlink r:id="rId7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Ismael</w:t>
        </w:r>
        <w:proofErr w:type="spellEnd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 xml:space="preserve"> Arribas Fontanillas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8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Ignacio Alamillo Domingo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9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Eva María Ibáñez Jiménez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0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Jimena Campuzano Gómez-Acebo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1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Pietro Marchionni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2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Miguel Ángel Bernal Blay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3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Jesús Sieira Gil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4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Javier Wenceslao Ibáñez Jiménez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5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Rocío Sáenz-Díez Rojas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6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Antonio D. Masegosa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7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 xml:space="preserve">David </w:t>
        </w:r>
        <w:proofErr w:type="spellStart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Alfaya</w:t>
        </w:r>
        <w:proofErr w:type="spellEnd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 xml:space="preserve"> Sánchez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8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Carlos Bellón Núñez-Mera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19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Julen Milan Roncero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eastAsia="es-ES"/>
        </w:rPr>
        <w:t>, </w:t>
      </w:r>
      <w:hyperlink r:id="rId20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eastAsia="es-ES"/>
          </w:rPr>
          <w:t>Israel Alonso Martínez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1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Mahmoud Aymo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proofErr w:type="spellStart"/>
      <w:r w:rsidRPr="002D2F00">
        <w:rPr>
          <w:rFonts w:ascii="Arial" w:eastAsia="Times New Roman" w:hAnsi="Arial" w:cs="Arial"/>
          <w:color w:val="E1922F"/>
          <w:spacing w:val="-15"/>
          <w:sz w:val="20"/>
          <w:szCs w:val="20"/>
          <w:lang w:eastAsia="es-ES"/>
        </w:rPr>
        <w:fldChar w:fldCharType="begin"/>
      </w:r>
      <w:r w:rsidRPr="002D2F00">
        <w:rPr>
          <w:rFonts w:ascii="Arial" w:eastAsia="Times New Roman" w:hAnsi="Arial" w:cs="Arial"/>
          <w:color w:val="E1922F"/>
          <w:spacing w:val="-15"/>
          <w:sz w:val="20"/>
          <w:szCs w:val="20"/>
          <w:lang w:val="en-US" w:eastAsia="es-ES"/>
        </w:rPr>
        <w:instrText xml:space="preserve"> HYPERLINK "https://www.editorialreus.es/autores/josep-lluis-de-la-rosa-esteva/2715/" </w:instrText>
      </w:r>
      <w:r w:rsidRPr="002D2F00">
        <w:rPr>
          <w:rFonts w:ascii="Arial" w:eastAsia="Times New Roman" w:hAnsi="Arial" w:cs="Arial"/>
          <w:color w:val="E1922F"/>
          <w:spacing w:val="-15"/>
          <w:sz w:val="20"/>
          <w:szCs w:val="20"/>
          <w:lang w:eastAsia="es-ES"/>
        </w:rPr>
        <w:fldChar w:fldCharType="separate"/>
      </w:r>
      <w:r w:rsidRPr="002D2F00">
        <w:rPr>
          <w:rFonts w:ascii="Arial" w:eastAsia="Times New Roman" w:hAnsi="Arial" w:cs="Arial"/>
          <w:color w:val="AD1034"/>
          <w:spacing w:val="-15"/>
          <w:sz w:val="18"/>
          <w:szCs w:val="18"/>
          <w:u w:val="single"/>
          <w:lang w:val="en-US" w:eastAsia="es-ES"/>
        </w:rPr>
        <w:t>Josep</w:t>
      </w:r>
      <w:proofErr w:type="spellEnd"/>
      <w:r w:rsidRPr="002D2F00">
        <w:rPr>
          <w:rFonts w:ascii="Arial" w:eastAsia="Times New Roman" w:hAnsi="Arial" w:cs="Arial"/>
          <w:color w:val="AD1034"/>
          <w:spacing w:val="-15"/>
          <w:sz w:val="18"/>
          <w:szCs w:val="18"/>
          <w:u w:val="single"/>
          <w:lang w:val="en-US" w:eastAsia="es-ES"/>
        </w:rPr>
        <w:t xml:space="preserve"> </w:t>
      </w:r>
      <w:proofErr w:type="spellStart"/>
      <w:r w:rsidRPr="002D2F00">
        <w:rPr>
          <w:rFonts w:ascii="Arial" w:eastAsia="Times New Roman" w:hAnsi="Arial" w:cs="Arial"/>
          <w:color w:val="AD1034"/>
          <w:spacing w:val="-15"/>
          <w:sz w:val="18"/>
          <w:szCs w:val="18"/>
          <w:u w:val="single"/>
          <w:lang w:val="en-US" w:eastAsia="es-ES"/>
        </w:rPr>
        <w:t>Lluis</w:t>
      </w:r>
      <w:proofErr w:type="spellEnd"/>
      <w:r w:rsidRPr="002D2F00">
        <w:rPr>
          <w:rFonts w:ascii="Arial" w:eastAsia="Times New Roman" w:hAnsi="Arial" w:cs="Arial"/>
          <w:color w:val="AD1034"/>
          <w:spacing w:val="-15"/>
          <w:sz w:val="18"/>
          <w:szCs w:val="18"/>
          <w:u w:val="single"/>
          <w:lang w:val="en-US" w:eastAsia="es-ES"/>
        </w:rPr>
        <w:t xml:space="preserve"> de la Rosa </w:t>
      </w:r>
      <w:proofErr w:type="spellStart"/>
      <w:r w:rsidRPr="002D2F00">
        <w:rPr>
          <w:rFonts w:ascii="Arial" w:eastAsia="Times New Roman" w:hAnsi="Arial" w:cs="Arial"/>
          <w:color w:val="AD1034"/>
          <w:spacing w:val="-15"/>
          <w:sz w:val="18"/>
          <w:szCs w:val="18"/>
          <w:u w:val="single"/>
          <w:lang w:val="en-US" w:eastAsia="es-ES"/>
        </w:rPr>
        <w:t>Esteva</w:t>
      </w:r>
      <w:proofErr w:type="spellEnd"/>
      <w:r w:rsidRPr="002D2F00">
        <w:rPr>
          <w:rFonts w:ascii="Arial" w:eastAsia="Times New Roman" w:hAnsi="Arial" w:cs="Arial"/>
          <w:color w:val="E1922F"/>
          <w:spacing w:val="-15"/>
          <w:sz w:val="20"/>
          <w:szCs w:val="20"/>
          <w:lang w:eastAsia="es-ES"/>
        </w:rPr>
        <w:fldChar w:fldCharType="end"/>
      </w:r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2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Salvatore Moccia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3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José Luis Gahete Díaz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4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Pedro Martín Jurado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5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Pablo Gallego Rodríguez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6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María de los Reyes Corripio Gil Delgado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7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David Contreras Bárcena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8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Elena Pilar Davara Fernández de Marcos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29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Teresa Alarcos Tamayo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30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 xml:space="preserve">Carlos de Cores </w:t>
        </w:r>
        <w:proofErr w:type="spellStart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Helguera</w:t>
        </w:r>
        <w:proofErr w:type="spellEnd"/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31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Moisés Barrio Andrés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32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 xml:space="preserve">Julián Valero </w:t>
        </w:r>
        <w:proofErr w:type="spellStart"/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Torrijos</w:t>
        </w:r>
        <w:proofErr w:type="spellEnd"/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33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Antonio Partal Ureña</w:t>
        </w:r>
      </w:hyperlink>
      <w:r w:rsidRPr="002D2F00">
        <w:rPr>
          <w:rFonts w:ascii="Arial" w:eastAsia="Times New Roman" w:hAnsi="Arial" w:cs="Arial"/>
          <w:color w:val="E1922F"/>
          <w:sz w:val="15"/>
          <w:szCs w:val="15"/>
          <w:lang w:val="en-US" w:eastAsia="es-ES"/>
        </w:rPr>
        <w:t>, </w:t>
      </w:r>
      <w:hyperlink r:id="rId34" w:history="1">
        <w:r w:rsidRPr="002D2F00">
          <w:rPr>
            <w:rFonts w:ascii="Arial" w:eastAsia="Times New Roman" w:hAnsi="Arial" w:cs="Arial"/>
            <w:color w:val="AD1034"/>
            <w:spacing w:val="-15"/>
            <w:sz w:val="18"/>
            <w:szCs w:val="18"/>
            <w:u w:val="single"/>
            <w:lang w:val="en-US" w:eastAsia="es-ES"/>
          </w:rPr>
          <w:t>Mirari Barrena Longarte</w:t>
        </w:r>
      </w:hyperlink>
    </w:p>
    <w:p w:rsid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8C8C"/>
          <w:sz w:val="15"/>
          <w:szCs w:val="15"/>
          <w:lang w:val="en-US" w:eastAsia="es-ES"/>
        </w:rPr>
      </w:pPr>
    </w:p>
    <w:p w:rsidR="002D2F00" w:rsidRPr="002D2F00" w:rsidRDefault="002D2F00" w:rsidP="002D2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670"/>
          <w:sz w:val="23"/>
          <w:szCs w:val="23"/>
          <w:lang w:val="en-US" w:eastAsia="es-ES"/>
        </w:rPr>
      </w:pPr>
      <w:bookmarkStart w:id="0" w:name="_GoBack"/>
      <w:bookmarkEnd w:id="0"/>
      <w:proofErr w:type="spellStart"/>
      <w:r w:rsidRPr="002D2F00">
        <w:rPr>
          <w:rFonts w:ascii="Arial" w:eastAsia="Times New Roman" w:hAnsi="Arial" w:cs="Arial"/>
          <w:b/>
          <w:bCs/>
          <w:color w:val="8D8C8C"/>
          <w:sz w:val="15"/>
          <w:szCs w:val="15"/>
          <w:lang w:val="en-US" w:eastAsia="es-ES"/>
        </w:rPr>
        <w:t>Colección</w:t>
      </w:r>
      <w:proofErr w:type="spellEnd"/>
      <w:r w:rsidRPr="002D2F00">
        <w:rPr>
          <w:rFonts w:ascii="Arial" w:eastAsia="Times New Roman" w:hAnsi="Arial" w:cs="Arial"/>
          <w:b/>
          <w:bCs/>
          <w:color w:val="8D8C8C"/>
          <w:sz w:val="15"/>
          <w:szCs w:val="15"/>
          <w:lang w:val="en-US" w:eastAsia="es-ES"/>
        </w:rPr>
        <w:t>:</w:t>
      </w:r>
    </w:p>
    <w:p w:rsidR="002D2F00" w:rsidRPr="002D2F00" w:rsidRDefault="002D2F00" w:rsidP="002D2F00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626670"/>
          <w:sz w:val="18"/>
          <w:szCs w:val="18"/>
          <w:lang w:val="en-US" w:eastAsia="es-ES"/>
        </w:rPr>
      </w:pPr>
      <w:hyperlink r:id="rId35" w:history="1"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 xml:space="preserve">Derecho de </w:t>
        </w:r>
        <w:proofErr w:type="spellStart"/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>blockchain</w:t>
        </w:r>
        <w:proofErr w:type="spellEnd"/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 xml:space="preserve"> y </w:t>
        </w:r>
        <w:proofErr w:type="spellStart"/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>digitalización</w:t>
        </w:r>
        <w:proofErr w:type="spellEnd"/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 xml:space="preserve"> de la </w:t>
        </w:r>
        <w:proofErr w:type="spellStart"/>
        <w:r w:rsidRPr="002D2F00">
          <w:rPr>
            <w:rFonts w:ascii="Arial" w:eastAsia="Times New Roman" w:hAnsi="Arial" w:cs="Arial"/>
            <w:color w:val="AD1034"/>
            <w:sz w:val="18"/>
            <w:szCs w:val="18"/>
            <w:u w:val="single"/>
            <w:lang w:val="en-US" w:eastAsia="es-ES"/>
          </w:rPr>
          <w:t>sociedad</w:t>
        </w:r>
        <w:proofErr w:type="spellEnd"/>
      </w:hyperlink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</w:p>
    <w:p w:rsid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Index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Foreword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PART ONE: Governance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Alternative dispute resolution mechanisms (as part of the Alastria governance) - Ismael Arribas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II. Definitions and characterization of ADR solutions in the permissioned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context       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The fundamentals of arbitration as an optimal solution in the permissioned-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governance context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A proposal for Alastria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Specimen of inception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Components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Minimal common legal requirements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 Challenges and recommendations for Alastria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5. Case of use: wine plantations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Alastria as a case of Internet governance - Moisés Barrio Andrés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From technical governance to social governance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2.1. ICANN’s creation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2.2. The creation of the Internet Governance Forum (IGF)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2.3. ICANN’s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globalisation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lastRenderedPageBreak/>
        <w:t xml:space="preserve">III. Concluding remarks: lessons from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cyberlaw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for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Alastria’s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governance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 Validation and Governance in an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Alastrian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Testnet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Node - David Contreras, José Luis Gahete, Israel Alonso, </w:t>
      </w:r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And</w:t>
      </w:r>
      <w:proofErr w:type="gram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David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Alfaya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 to Alastria architecture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Quorum consensus protocol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Transactions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Alastria members and nodes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Alastria Nodes Requirements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Alastria Nodes Configuration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Alastria Operation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Regular introspection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Network analysis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Results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Conclusions and future works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Alastria governance policies and ethics - Javier Ibáñez Jiménez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The relationship between agency problems, conflicts of interest and ethics from a general and legal societal perspective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Ethics beyond governance organization in DLT permissioned networks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The case of Alastria: conflicts of interest, implemented controls and alternative solutions in accordance with an ethical acceptable consensus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1. The bylaws of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Consorcio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Red Alastria, a private-law association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Conflicts of interest and related policies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Ethical code of the association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IV. Specific components of governance in the Alastria model: agency problems in Alastria as a DLT associative consortium and node community for the development of a permissioned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   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Authority of nodes and transaction validation in Alastria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Conflicts of interest in the Alastria on-chain governance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Off-chain governance and agency problems in the Alastria model, and their meta-juridical or extralegal ethical and social projection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Rewarding honest validators in Alastria - Pietro Marchionni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Introduction: consensus among nodes in DLT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Consensus algorithm in Alastria: fault tolerance and node voting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The need to define a rewarding system for validating activity in a permissioned network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Objectives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Alastria rewarding model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The optimal characteristics of a validator node as a prerequisite to set the optimal rewarding model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Alastria Rewarding Measure Algorithm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2.1. Key building elements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2.2. ARM formula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2.3. ARM calculation and simulation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2.4. Alastria Rewarding Measure strategy and marketing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The value of leadership in Alastria governance - Salvatore Moccia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Leadership as a matter of research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Analysis: the evolution of leadership standards and conception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lastRenderedPageBreak/>
        <w:t>III. Alastria governance seen from the entrepreneurial leadership viewpoint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Conclusion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 xml:space="preserve">PART </w:t>
      </w:r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TWO</w:t>
      </w:r>
      <w:proofErr w:type="gramEnd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: DIGITAL IDENTITY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The conceptual legal framework of Alastria identity - Ignacio Alamillo Domingo and Julián Valero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Torrijos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Contents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The convenience of a conceptual legal framework for the Alastria self-sovereign identity initiative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The alignment of the Alastria identity with the regulatory framework for the usage of identification systems by the national public sector bodies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 The influence of the interoperability framework for cross-border electronic identification in the European Union: the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eIDAS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Regulation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The convenience of offering support for compliance with the formal identification obligations contained in anti-money laundering regulations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Guidance for the Alastria trust framework and identity interoperability agreements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Characterization and importance of cyber-identity in permissioned networks - Elena Davara Fernández de Marcos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 to the concepts of cyber-identity and permissioned internet networks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Cyber-identity as a digital personal identity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Permissioned networks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II. Data security and vulnerabilities: the need of effectiveness in regulatory implementations, and the role of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within this context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The role of the DLT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Introductory GDPR issues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2.1. Profiles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2.2. Biometric data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Self-sovereign identity in the DLT context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 A word on the Alastria self-sovereign identity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The value of Alastria identity for public administrations - Pedro Martín Jurado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Blockchain and improvement of efficiency in Public Administrations       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The digital identification of citizens and the functions of public administrations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Self-sovereign identity in the relations between public administrations and citizens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The European Self-Sovereign Identity Framework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Some issues on the accreditation of European citizens, and the initiatives of the European Commission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 Reference to the Alastria network within the current public permissioned Blockchain identity context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 xml:space="preserve">PART </w:t>
      </w:r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THREE</w:t>
      </w:r>
      <w:proofErr w:type="gramEnd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: SUPERSTRUCTURES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Smart contracts and decentralized applications in Alastria: the case of Spanish wine - M. Aymo, C. Bellón, and R. Sáenz-Díaz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lastRenderedPageBreak/>
        <w:t>I. Idea in brief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The wine industry in Spain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Use case: exporting Rioja wine. Situation today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The Alastria Wine Solution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Supply Chain Management Issues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Alpha version of the Alastria Wine Solution. Application to Rioja wine exports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Conclusions for all stakeholders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The use of smart contracts for public tenders in the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Región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of Aragón (Spain) - M. A. Bernal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Blay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Blockchain for the public sector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 distributed ledger for offers in public procurement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Context and initial objective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Smart contracts for the evaluation of the offers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Some tips about the project: the public procurement of innovation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Other use cases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Accounting and non-financial firm data tokens in Alastria - E. M. Ibáñez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A word on tokens as a historic source of accountancy registration and record of transactions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DLT Utility in accountancy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III.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digital audit of accounting information in public permissioned networks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1. Stakeholder integration and benefits in public permissioned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by audit smart contracts: a preliminary consideration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 A sample of registered auditable transaction in the Alastria permissioned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Preliminary findings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Primary and secondary market tokens in Alastria: the case of olive oil tokens - Antonio Partal Ureña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Blockchain and Alastria market utilities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 word on market tokenization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A project for olive oil tokens on the Alastria T Network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Traceability functions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olive oil token market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Conclusion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 xml:space="preserve">PART </w:t>
      </w:r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FOUR</w:t>
      </w:r>
      <w:proofErr w:type="gramEnd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: Proofs of concept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Alastria smart contracts for the Women Startup Community (WSC) - Teresa Alarcos Tamayo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I.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Women Startup Community (WSC) and the feminine talent in the digital era, and the transformation of entrepreneurship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The goal of increasing the transformational and social power of women’s businesses and the inspiration of woman leaders in the digital era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III.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Alastria-WSC connection and the fundamentals of the TT Trust Token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lastRenderedPageBreak/>
        <w:t xml:space="preserve">Security, order and freedom in the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era: the case of Spain - Pablo Gallego Rodríguez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Foreword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Public order and security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III. Alastria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multisectorial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consortium and its contribution to guarantee effective protection of public constitutional order and public security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Rewarding recycling plastic proof of concept with tokenization and smart contracts in Alastria -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Josep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Lluis</w:t>
      </w:r>
      <w:proofErr w:type="spell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de la Rosa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Introduction: Issue at hand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Hypothesis and precedents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2.1. Discounts and presents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aren’t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working enough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2.2. Lotteries redistribute the individual rewards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2.3. Lotteries and rewards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programmes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need of transparency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Tokenization as a Type of Circular Economy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Minimum Valuable Product (MVP) Design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4.1. The proof of 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4.2.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Tokenising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the tax discount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4.3.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Tokenising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the Special Lotteries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4.4. Smart contracts for lotteries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4.5. Illustrative use case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The platform approach and implementation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VI. Results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VII. Conclusions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VIII. Acknowledgements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IX. About us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X.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Boosting coopetition through Alastria, data sharing and Artificial Intelligence - Julen Milan and Antonio D. Masegosa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Artificial intelligence and the data collection problem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The key role of Alastria in data sharing as a distributed ledger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Related 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V. Alastria for boosting coopetition through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data-sharing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and Artificial Intelligence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1. Coopetition and AI development challenges in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recent environments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The Alastria model and its advantages for the implementation of AI methods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Existing AI models replicable in the Alastria network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VI. Conclusions and future 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VII.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Blockchain, real estate asset tokenization and its protection by the land registry - Jesús Sieira and Jimena </w:t>
      </w:r>
      <w:proofErr w:type="spell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Campuzano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Tokenization of real estate assets under Spanish law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II. Taking real estate transactions to the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III. Land Registry: Legality control and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erga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omnes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protection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IV.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Land Registry as the link between the “on-chain” and “off-chain” world: Land Registry protection and publicity of tokenization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V. Legal configuration of tokens representing rights in rem on real estate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VI. Effects of the entry of Tokenized Rights in rem to the Land Registry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lastRenderedPageBreak/>
        <w:t>VII. Conclusion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VIII. References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 xml:space="preserve">PART </w:t>
      </w:r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FIVE</w:t>
      </w:r>
      <w:proofErr w:type="gramEnd"/>
      <w:r w:rsidRPr="002D2F00">
        <w:rPr>
          <w:rFonts w:ascii="Arial" w:eastAsia="Times New Roman" w:hAnsi="Arial" w:cs="Arial"/>
          <w:b/>
          <w:bCs/>
          <w:color w:val="626670"/>
          <w:sz w:val="36"/>
          <w:szCs w:val="36"/>
          <w:lang w:val="en-US" w:eastAsia="es-ES"/>
        </w:rPr>
        <w:t>: CIVIL LIABILITY AND RELATED LEGAL ISSUES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The principles of Alastria under </w:t>
      </w:r>
      <w:proofErr w:type="spellStart"/>
      <w:proofErr w:type="gramStart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spanish</w:t>
      </w:r>
      <w:proofErr w:type="spellEnd"/>
      <w:proofErr w:type="gramEnd"/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 xml:space="preserve"> civil law - Mirari Barrena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Legal entity: Association. The kind of legal institution chosen for Alastria constitution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II.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The</w:t>
      </w:r>
      <w:proofErr w:type="gram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Alastria legal principles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Open access of members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Open-source software development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Public and permissioned characterization of the network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4. National body of associated members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5. Technological neutrality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6. Multi-sectorial membership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7. Interoperability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8. Collaboration and incentive systems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9. Decentralization and distributed power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9.1. General Assembly: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9.2. Board of Directors: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9.3. Commissions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10. Public-service orientation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Alastria multilateral contract: a civil law approach - Carlos de Cores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I. Introduction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Collaborative nature of the Alastria consortium and its incidence on its liability model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New paradigms of liability in the information society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Multilateral contracts and Alastria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 Different models of liability according to different relationship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3.1 Relationships among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Alastria’s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members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3.2. Relationships with third parties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III. Liability related to the services rendered by the consortium and or its members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Concept of information society services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2. Taxonomy of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information society service providers</w:t>
      </w:r>
      <w:proofErr w:type="gram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3. Alastria as an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information society service provider</w:t>
      </w:r>
      <w:proofErr w:type="gram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4. Liability of </w:t>
      </w:r>
      <w:proofErr w:type="gram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society information service providers</w:t>
      </w:r>
      <w:proofErr w:type="gramEnd"/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5. Liability “by design”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IV. Conclusion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 </w:t>
      </w:r>
    </w:p>
    <w:p w:rsidR="002D2F00" w:rsidRPr="002D2F00" w:rsidRDefault="002D2F00" w:rsidP="002D2F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</w:pPr>
      <w:r w:rsidRPr="002D2F00">
        <w:rPr>
          <w:rFonts w:ascii="Arial" w:eastAsia="Times New Roman" w:hAnsi="Arial" w:cs="Arial"/>
          <w:b/>
          <w:bCs/>
          <w:color w:val="626670"/>
          <w:sz w:val="27"/>
          <w:szCs w:val="27"/>
          <w:lang w:val="en-US" w:eastAsia="es-ES"/>
        </w:rPr>
        <w:t>Robots, Smart contracts and civil liability in Alastria - M. Reyes Corripio Gil-Delgado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I. Robots and civil liability within a DLT or </w:t>
      </w:r>
      <w:proofErr w:type="spellStart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blockchain</w:t>
      </w:r>
      <w:proofErr w:type="spellEnd"/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 xml:space="preserve"> operative context: a preliminary approach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1. A civil personality for robots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2. A strict liability system</w:t>
      </w:r>
    </w:p>
    <w:p w:rsidR="002D2F00" w:rsidRPr="002D2F00" w:rsidRDefault="002D2F00" w:rsidP="002D2F0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</w:pPr>
      <w:r w:rsidRPr="002D2F00">
        <w:rPr>
          <w:rFonts w:ascii="Arial" w:eastAsia="Times New Roman" w:hAnsi="Arial" w:cs="Arial"/>
          <w:color w:val="626670"/>
          <w:sz w:val="21"/>
          <w:szCs w:val="21"/>
          <w:lang w:val="en-US" w:eastAsia="es-ES"/>
        </w:rPr>
        <w:t>II. Alastria Blockchain and Smart Contract</w:t>
      </w:r>
    </w:p>
    <w:p w:rsidR="0037685C" w:rsidRPr="002D2F00" w:rsidRDefault="002D2F00">
      <w:pPr>
        <w:rPr>
          <w:lang w:val="en-US"/>
        </w:rPr>
      </w:pPr>
    </w:p>
    <w:sectPr w:rsidR="0037685C" w:rsidRPr="002D2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E87"/>
    <w:multiLevelType w:val="multilevel"/>
    <w:tmpl w:val="BCE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0"/>
    <w:rsid w:val="002D2F00"/>
    <w:rsid w:val="0034394F"/>
    <w:rsid w:val="009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DB6D"/>
  <w15:chartTrackingRefBased/>
  <w15:docId w15:val="{E5E487A3-68B5-4DEF-B34D-125BCB2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reus.es/autores/ignacio-alamillo-domingo/2705/" TargetMode="External"/><Relationship Id="rId13" Type="http://schemas.openxmlformats.org/officeDocument/2006/relationships/hyperlink" Target="https://www.editorialreus.es/autores/jesus-sieira-gil/2718/" TargetMode="External"/><Relationship Id="rId18" Type="http://schemas.openxmlformats.org/officeDocument/2006/relationships/hyperlink" Target="https://www.editorialreus.es/autores/carlos-bellon-nunez-mera/2710/" TargetMode="External"/><Relationship Id="rId26" Type="http://schemas.openxmlformats.org/officeDocument/2006/relationships/hyperlink" Target="https://www.editorialreus.es/autores/maria-de-los-reyes-corripio-gil-delgado/24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itorialreus.es/autores/mahmoud-aymo/2709/" TargetMode="External"/><Relationship Id="rId34" Type="http://schemas.openxmlformats.org/officeDocument/2006/relationships/hyperlink" Target="https://www.editorialreus.es/autores/mirari-barrena-longarte/2720/" TargetMode="External"/><Relationship Id="rId7" Type="http://schemas.openxmlformats.org/officeDocument/2006/relationships/hyperlink" Target="https://www.editorialreus.es/autores/ismael-arribas-fontanillas/2699/" TargetMode="External"/><Relationship Id="rId12" Type="http://schemas.openxmlformats.org/officeDocument/2006/relationships/hyperlink" Target="https://www.editorialreus.es/autores/miguel-angel-bernal-blay/2712/" TargetMode="External"/><Relationship Id="rId17" Type="http://schemas.openxmlformats.org/officeDocument/2006/relationships/hyperlink" Target="https://www.editorialreus.es/autores/david-alfaya-sanchez/2703/" TargetMode="External"/><Relationship Id="rId25" Type="http://schemas.openxmlformats.org/officeDocument/2006/relationships/hyperlink" Target="https://www.editorialreus.es/autores/pablo-gallego-rodriguez/1018/" TargetMode="External"/><Relationship Id="rId33" Type="http://schemas.openxmlformats.org/officeDocument/2006/relationships/hyperlink" Target="https://www.editorialreus.es/autores/antonio-partal-urena/14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itorialreus.es/autores/antonio-d-masegosa/2717/" TargetMode="External"/><Relationship Id="rId20" Type="http://schemas.openxmlformats.org/officeDocument/2006/relationships/hyperlink" Target="https://www.editorialreus.es/autores/israel-alonso-martinez/2702/" TargetMode="External"/><Relationship Id="rId29" Type="http://schemas.openxmlformats.org/officeDocument/2006/relationships/hyperlink" Target="https://www.editorialreus.es/autores/teresa-alarcos-tamayo/27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itorialreus.es/autores/javier-wenceslao-ibanez-jimenez/1894/" TargetMode="External"/><Relationship Id="rId11" Type="http://schemas.openxmlformats.org/officeDocument/2006/relationships/hyperlink" Target="https://www.editorialreus.es/autores/pietro-marchionni/2704/" TargetMode="External"/><Relationship Id="rId24" Type="http://schemas.openxmlformats.org/officeDocument/2006/relationships/hyperlink" Target="https://www.editorialreus.es/autores/pedro-martin-jurado/2708/" TargetMode="External"/><Relationship Id="rId32" Type="http://schemas.openxmlformats.org/officeDocument/2006/relationships/hyperlink" Target="https://www.editorialreus.es/autores/julian-valero-torrijos/270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ditorialreus.es/libros/alastria-mission-and-vision/9788429023121/" TargetMode="External"/><Relationship Id="rId15" Type="http://schemas.openxmlformats.org/officeDocument/2006/relationships/hyperlink" Target="https://www.editorialreus.es/autores/rocio-saenz-diez-rojas/2711/" TargetMode="External"/><Relationship Id="rId23" Type="http://schemas.openxmlformats.org/officeDocument/2006/relationships/hyperlink" Target="https://www.editorialreus.es/autores/jose-luis-gahete-diaz/2701/" TargetMode="External"/><Relationship Id="rId28" Type="http://schemas.openxmlformats.org/officeDocument/2006/relationships/hyperlink" Target="https://www.editorialreus.es/autores/elena-pilar-davara-fernandez-de-marcos/270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ditorialreus.es/autores/jimena-campuzano-gomez-acebo/2719/" TargetMode="External"/><Relationship Id="rId19" Type="http://schemas.openxmlformats.org/officeDocument/2006/relationships/hyperlink" Target="https://www.editorialreus.es/autores/julen-milan-roncero/2716/" TargetMode="External"/><Relationship Id="rId31" Type="http://schemas.openxmlformats.org/officeDocument/2006/relationships/hyperlink" Target="https://www.editorialreus.es/autores/moises-barrio-andres/19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torialreus.es/autores/eva-maria-ibanez-jimenez/2713/" TargetMode="External"/><Relationship Id="rId14" Type="http://schemas.openxmlformats.org/officeDocument/2006/relationships/hyperlink" Target="https://www.editorialreus.es/autores/javier-wenceslao-ibanez-jimenez/1894/" TargetMode="External"/><Relationship Id="rId22" Type="http://schemas.openxmlformats.org/officeDocument/2006/relationships/hyperlink" Target="https://www.editorialreus.es/autores/salvatore-moccia/2721/" TargetMode="External"/><Relationship Id="rId27" Type="http://schemas.openxmlformats.org/officeDocument/2006/relationships/hyperlink" Target="https://www.editorialreus.es/autores/david-contreras-barcena/2700/" TargetMode="External"/><Relationship Id="rId30" Type="http://schemas.openxmlformats.org/officeDocument/2006/relationships/hyperlink" Target="https://www.editorialreus.es/autores/carlos-de-cores-helguera/11/" TargetMode="External"/><Relationship Id="rId35" Type="http://schemas.openxmlformats.org/officeDocument/2006/relationships/hyperlink" Target="https://www.editorialreus.es/libros/colecciones/derecho-de-blockchain-y-digitalizacion-de-la-sociedad/4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Wenceslao Ibanez Jimenez</dc:creator>
  <cp:keywords/>
  <dc:description/>
  <cp:lastModifiedBy>Javier Wenceslao Ibanez Jimenez</cp:lastModifiedBy>
  <cp:revision>1</cp:revision>
  <dcterms:created xsi:type="dcterms:W3CDTF">2021-02-23T08:57:00Z</dcterms:created>
  <dcterms:modified xsi:type="dcterms:W3CDTF">2021-02-23T09:00:00Z</dcterms:modified>
</cp:coreProperties>
</file>