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ABB1E" w14:textId="77777777" w:rsidR="00062AE0" w:rsidRDefault="00B33B33">
      <w:pPr>
        <w:jc w:val="center"/>
        <w:rPr>
          <w:rFonts w:ascii="Times New Roman" w:eastAsia="Times New Roman" w:hAnsi="Times New Roman" w:cs="Times New Roman"/>
          <w:sz w:val="44"/>
          <w:szCs w:val="44"/>
        </w:rPr>
      </w:pPr>
      <w:r>
        <w:rPr>
          <w:rFonts w:ascii="Times New Roman" w:eastAsia="Times New Roman" w:hAnsi="Times New Roman" w:cs="Times New Roman"/>
          <w:sz w:val="44"/>
          <w:szCs w:val="44"/>
        </w:rPr>
        <w:t>FACULTAD DE CIENCIAS HUMANAS Y SOCIALES</w:t>
      </w:r>
      <w:r>
        <w:rPr>
          <w:noProof/>
        </w:rPr>
        <w:drawing>
          <wp:anchor distT="0" distB="0" distL="114300" distR="114300" simplePos="0" relativeHeight="251658240" behindDoc="0" locked="0" layoutInCell="1" hidden="0" allowOverlap="1" wp14:anchorId="7D24FAAE" wp14:editId="0EB1D4A2">
            <wp:simplePos x="0" y="0"/>
            <wp:positionH relativeFrom="column">
              <wp:posOffset>795654</wp:posOffset>
            </wp:positionH>
            <wp:positionV relativeFrom="paragraph">
              <wp:posOffset>1905</wp:posOffset>
            </wp:positionV>
            <wp:extent cx="4140200" cy="2925445"/>
            <wp:effectExtent l="0" t="0" r="0" b="0"/>
            <wp:wrapSquare wrapText="bothSides" distT="0" distB="0" distL="114300" distR="11430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4140200" cy="2925445"/>
                    </a:xfrm>
                    <a:prstGeom prst="rect">
                      <a:avLst/>
                    </a:prstGeom>
                    <a:ln/>
                  </pic:spPr>
                </pic:pic>
              </a:graphicData>
            </a:graphic>
          </wp:anchor>
        </w:drawing>
      </w:r>
    </w:p>
    <w:p w14:paraId="1F995048" w14:textId="77777777" w:rsidR="00062AE0" w:rsidRDefault="00062AE0">
      <w:pPr>
        <w:jc w:val="center"/>
        <w:rPr>
          <w:rFonts w:ascii="Times New Roman" w:eastAsia="Times New Roman" w:hAnsi="Times New Roman" w:cs="Times New Roman"/>
          <w:b/>
          <w:sz w:val="36"/>
          <w:szCs w:val="36"/>
        </w:rPr>
      </w:pPr>
    </w:p>
    <w:p w14:paraId="57A9A096" w14:textId="77777777" w:rsidR="00062AE0" w:rsidRDefault="00B33B33">
      <w:pPr>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Dificultades en la Detección y Control del Ciberbullying en Comparación con el Bullying Tradicional</w:t>
      </w:r>
    </w:p>
    <w:p w14:paraId="218290CE" w14:textId="77777777" w:rsidR="00062AE0" w:rsidRDefault="00B33B33">
      <w:pPr>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Autor: Pedro Pereira Davila</w:t>
      </w:r>
    </w:p>
    <w:p w14:paraId="28FA0169" w14:textId="77777777" w:rsidR="00062AE0" w:rsidRDefault="00B33B33">
      <w:pPr>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 xml:space="preserve">Director/a: </w:t>
      </w:r>
    </w:p>
    <w:p w14:paraId="1A14D311" w14:textId="77777777" w:rsidR="00062AE0" w:rsidRDefault="00062AE0">
      <w:pPr>
        <w:jc w:val="center"/>
        <w:rPr>
          <w:rFonts w:ascii="Times New Roman" w:eastAsia="Times New Roman" w:hAnsi="Times New Roman" w:cs="Times New Roman"/>
          <w:sz w:val="36"/>
          <w:szCs w:val="36"/>
        </w:rPr>
      </w:pPr>
    </w:p>
    <w:p w14:paraId="2BF1F650" w14:textId="77777777" w:rsidR="00062AE0" w:rsidRDefault="00B33B33">
      <w:pPr>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Madrid</w:t>
      </w:r>
    </w:p>
    <w:p w14:paraId="7C832B4F" w14:textId="77777777" w:rsidR="00062AE0" w:rsidRDefault="00B33B33">
      <w:pPr>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2024/2025</w:t>
      </w:r>
    </w:p>
    <w:p w14:paraId="4F216425" w14:textId="77777777" w:rsidR="00062AE0" w:rsidRDefault="00062AE0">
      <w:pPr>
        <w:jc w:val="center"/>
        <w:rPr>
          <w:rFonts w:ascii="Times New Roman" w:eastAsia="Times New Roman" w:hAnsi="Times New Roman" w:cs="Times New Roman"/>
          <w:b/>
          <w:sz w:val="28"/>
          <w:szCs w:val="28"/>
        </w:rPr>
      </w:pPr>
    </w:p>
    <w:p w14:paraId="4F0BAF64" w14:textId="77777777" w:rsidR="00062AE0" w:rsidRDefault="00062AE0">
      <w:pPr>
        <w:rPr>
          <w:rFonts w:ascii="Times New Roman" w:eastAsia="Times New Roman" w:hAnsi="Times New Roman" w:cs="Times New Roman"/>
          <w:b/>
          <w:sz w:val="28"/>
          <w:szCs w:val="28"/>
        </w:rPr>
      </w:pPr>
    </w:p>
    <w:p w14:paraId="0E5461E7" w14:textId="77777777" w:rsidR="00062AE0" w:rsidRDefault="00062AE0">
      <w:pPr>
        <w:rPr>
          <w:rFonts w:ascii="Times New Roman" w:eastAsia="Times New Roman" w:hAnsi="Times New Roman" w:cs="Times New Roman"/>
          <w:b/>
          <w:sz w:val="28"/>
          <w:szCs w:val="28"/>
        </w:rPr>
      </w:pPr>
    </w:p>
    <w:p w14:paraId="563C94D6" w14:textId="77777777" w:rsidR="00062AE0" w:rsidRDefault="00062AE0">
      <w:pPr>
        <w:rPr>
          <w:rFonts w:ascii="Times New Roman" w:eastAsia="Times New Roman" w:hAnsi="Times New Roman" w:cs="Times New Roman"/>
          <w:b/>
          <w:sz w:val="28"/>
          <w:szCs w:val="28"/>
        </w:rPr>
      </w:pPr>
    </w:p>
    <w:p w14:paraId="6D26BF3D" w14:textId="77777777" w:rsidR="00062AE0" w:rsidRDefault="00062AE0">
      <w:pPr>
        <w:spacing w:line="360" w:lineRule="auto"/>
        <w:jc w:val="both"/>
        <w:rPr>
          <w:rFonts w:ascii="Times New Roman" w:eastAsia="Times New Roman" w:hAnsi="Times New Roman" w:cs="Times New Roman"/>
          <w:b/>
          <w:sz w:val="28"/>
          <w:szCs w:val="28"/>
        </w:rPr>
      </w:pPr>
    </w:p>
    <w:p w14:paraId="4A355F85" w14:textId="6F66B918" w:rsidR="008200AF" w:rsidRPr="00705932" w:rsidRDefault="00B33B33" w:rsidP="00705932">
      <w:pPr>
        <w:spacing w:line="360" w:lineRule="auto"/>
        <w:jc w:val="both"/>
        <w:rPr>
          <w:rFonts w:ascii="Times New Roman" w:eastAsia="Times New Roman" w:hAnsi="Times New Roman" w:cs="Times New Roman"/>
          <w:b/>
          <w:sz w:val="24"/>
          <w:szCs w:val="24"/>
        </w:rPr>
      </w:pPr>
      <w:r w:rsidRPr="00705932">
        <w:rPr>
          <w:rFonts w:ascii="Times New Roman" w:hAnsi="Times New Roman" w:cs="Times New Roman"/>
          <w:b/>
          <w:sz w:val="24"/>
          <w:szCs w:val="24"/>
        </w:rPr>
        <w:t xml:space="preserve">                     </w:t>
      </w:r>
    </w:p>
    <w:sdt>
      <w:sdtPr>
        <w:rPr>
          <w:rFonts w:ascii="Times New Roman" w:eastAsia="Calibri" w:hAnsi="Times New Roman" w:cs="Times New Roman"/>
          <w:color w:val="auto"/>
          <w:sz w:val="24"/>
          <w:szCs w:val="24"/>
        </w:rPr>
        <w:id w:val="-819494922"/>
        <w:docPartObj>
          <w:docPartGallery w:val="Table of Contents"/>
          <w:docPartUnique/>
        </w:docPartObj>
      </w:sdtPr>
      <w:sdtEndPr>
        <w:rPr>
          <w:b/>
          <w:bCs/>
        </w:rPr>
      </w:sdtEndPr>
      <w:sdtContent>
        <w:p w14:paraId="1E448D86" w14:textId="1E1E8AE1" w:rsidR="00684D17" w:rsidRPr="00705932" w:rsidRDefault="008200AF" w:rsidP="00705932">
          <w:pPr>
            <w:pStyle w:val="TtuloTDC"/>
            <w:spacing w:line="360" w:lineRule="auto"/>
            <w:rPr>
              <w:rFonts w:ascii="Times New Roman" w:hAnsi="Times New Roman" w:cs="Times New Roman"/>
              <w:color w:val="auto"/>
              <w:sz w:val="24"/>
              <w:szCs w:val="24"/>
            </w:rPr>
          </w:pPr>
          <w:r w:rsidRPr="00705932">
            <w:rPr>
              <w:rFonts w:ascii="Times New Roman" w:hAnsi="Times New Roman" w:cs="Times New Roman"/>
              <w:color w:val="auto"/>
              <w:sz w:val="24"/>
              <w:szCs w:val="24"/>
            </w:rPr>
            <w:t>ÍNDICE</w:t>
          </w:r>
        </w:p>
        <w:p w14:paraId="20FB44A6" w14:textId="41A7B87A" w:rsidR="00AB126E" w:rsidRPr="00705932" w:rsidRDefault="008200AF" w:rsidP="00705932">
          <w:pPr>
            <w:pStyle w:val="TDC1"/>
            <w:tabs>
              <w:tab w:val="left" w:pos="440"/>
              <w:tab w:val="right" w:leader="dot" w:pos="9016"/>
            </w:tabs>
            <w:spacing w:line="360" w:lineRule="auto"/>
            <w:rPr>
              <w:rFonts w:ascii="Times New Roman" w:eastAsiaTheme="minorEastAsia" w:hAnsi="Times New Roman" w:cs="Times New Roman"/>
              <w:noProof/>
              <w:kern w:val="2"/>
              <w:sz w:val="24"/>
              <w:szCs w:val="24"/>
              <w14:ligatures w14:val="standardContextual"/>
            </w:rPr>
          </w:pPr>
          <w:r w:rsidRPr="00705932">
            <w:rPr>
              <w:rFonts w:ascii="Times New Roman" w:hAnsi="Times New Roman" w:cs="Times New Roman"/>
              <w:sz w:val="24"/>
              <w:szCs w:val="24"/>
            </w:rPr>
            <w:fldChar w:fldCharType="begin"/>
          </w:r>
          <w:r w:rsidRPr="00705932">
            <w:rPr>
              <w:rFonts w:ascii="Times New Roman" w:hAnsi="Times New Roman" w:cs="Times New Roman"/>
              <w:sz w:val="24"/>
              <w:szCs w:val="24"/>
            </w:rPr>
            <w:instrText xml:space="preserve"> TOC \o "1-3" \h \z \u </w:instrText>
          </w:r>
          <w:r w:rsidRPr="00705932">
            <w:rPr>
              <w:rFonts w:ascii="Times New Roman" w:hAnsi="Times New Roman" w:cs="Times New Roman"/>
              <w:sz w:val="24"/>
              <w:szCs w:val="24"/>
            </w:rPr>
            <w:fldChar w:fldCharType="separate"/>
          </w:r>
          <w:hyperlink w:anchor="_Toc190964011" w:history="1">
            <w:r w:rsidR="00AB126E" w:rsidRPr="00705932">
              <w:rPr>
                <w:rStyle w:val="Hipervnculo"/>
                <w:rFonts w:ascii="Times New Roman" w:eastAsia="Times New Roman" w:hAnsi="Times New Roman" w:cs="Times New Roman"/>
                <w:noProof/>
                <w:sz w:val="24"/>
                <w:szCs w:val="24"/>
              </w:rPr>
              <w:t>1.Introducción</w:t>
            </w:r>
            <w:r w:rsidR="00AB126E" w:rsidRPr="00705932">
              <w:rPr>
                <w:rFonts w:ascii="Times New Roman" w:hAnsi="Times New Roman" w:cs="Times New Roman"/>
                <w:noProof/>
                <w:webHidden/>
                <w:sz w:val="24"/>
                <w:szCs w:val="24"/>
              </w:rPr>
              <w:tab/>
            </w:r>
            <w:r w:rsidR="00AB126E" w:rsidRPr="00705932">
              <w:rPr>
                <w:rFonts w:ascii="Times New Roman" w:hAnsi="Times New Roman" w:cs="Times New Roman"/>
                <w:noProof/>
                <w:webHidden/>
                <w:sz w:val="24"/>
                <w:szCs w:val="24"/>
              </w:rPr>
              <w:fldChar w:fldCharType="begin"/>
            </w:r>
            <w:r w:rsidR="00AB126E" w:rsidRPr="00705932">
              <w:rPr>
                <w:rFonts w:ascii="Times New Roman" w:hAnsi="Times New Roman" w:cs="Times New Roman"/>
                <w:noProof/>
                <w:webHidden/>
                <w:sz w:val="24"/>
                <w:szCs w:val="24"/>
              </w:rPr>
              <w:instrText xml:space="preserve"> PAGEREF _Toc190964011 \h </w:instrText>
            </w:r>
            <w:r w:rsidR="00AB126E" w:rsidRPr="00705932">
              <w:rPr>
                <w:rFonts w:ascii="Times New Roman" w:hAnsi="Times New Roman" w:cs="Times New Roman"/>
                <w:noProof/>
                <w:webHidden/>
                <w:sz w:val="24"/>
                <w:szCs w:val="24"/>
              </w:rPr>
            </w:r>
            <w:r w:rsidR="00AB126E"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3</w:t>
            </w:r>
            <w:r w:rsidR="00AB126E" w:rsidRPr="00705932">
              <w:rPr>
                <w:rFonts w:ascii="Times New Roman" w:hAnsi="Times New Roman" w:cs="Times New Roman"/>
                <w:noProof/>
                <w:webHidden/>
                <w:sz w:val="24"/>
                <w:szCs w:val="24"/>
              </w:rPr>
              <w:fldChar w:fldCharType="end"/>
            </w:r>
          </w:hyperlink>
        </w:p>
        <w:p w14:paraId="62855C9C" w14:textId="7DA5B7AA" w:rsidR="00AB126E" w:rsidRPr="00705932" w:rsidRDefault="00AB126E" w:rsidP="00705932">
          <w:pPr>
            <w:pStyle w:val="TDC2"/>
            <w:tabs>
              <w:tab w:val="left" w:pos="960"/>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12" w:history="1">
            <w:r w:rsidRPr="00705932">
              <w:rPr>
                <w:rStyle w:val="Hipervnculo"/>
                <w:rFonts w:ascii="Times New Roman" w:eastAsia="Times New Roman" w:hAnsi="Times New Roman" w:cs="Times New Roman"/>
                <w:noProof/>
                <w:sz w:val="24"/>
                <w:szCs w:val="24"/>
              </w:rPr>
              <w:t>1.1.Importancia en la actualidad</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_Toc190964012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3</w:t>
            </w:r>
            <w:r w:rsidRPr="00705932">
              <w:rPr>
                <w:rFonts w:ascii="Times New Roman" w:hAnsi="Times New Roman" w:cs="Times New Roman"/>
                <w:noProof/>
                <w:webHidden/>
                <w:sz w:val="24"/>
                <w:szCs w:val="24"/>
              </w:rPr>
              <w:fldChar w:fldCharType="end"/>
            </w:r>
          </w:hyperlink>
        </w:p>
        <w:p w14:paraId="313EB160" w14:textId="378A0568" w:rsidR="00AB126E" w:rsidRPr="00705932" w:rsidRDefault="00AB126E" w:rsidP="00705932">
          <w:pPr>
            <w:pStyle w:val="TDC2"/>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13" w:history="1">
            <w:r w:rsidRPr="00705932">
              <w:rPr>
                <w:rStyle w:val="Hipervnculo"/>
                <w:rFonts w:ascii="Times New Roman" w:hAnsi="Times New Roman" w:cs="Times New Roman"/>
                <w:noProof/>
                <w:sz w:val="24"/>
                <w:szCs w:val="24"/>
              </w:rPr>
              <w:t>1.2 Hipótesis</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_Toc190964013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4</w:t>
            </w:r>
            <w:r w:rsidRPr="00705932">
              <w:rPr>
                <w:rFonts w:ascii="Times New Roman" w:hAnsi="Times New Roman" w:cs="Times New Roman"/>
                <w:noProof/>
                <w:webHidden/>
                <w:sz w:val="24"/>
                <w:szCs w:val="24"/>
              </w:rPr>
              <w:fldChar w:fldCharType="end"/>
            </w:r>
          </w:hyperlink>
        </w:p>
        <w:p w14:paraId="4D278E82" w14:textId="67C2D3C9" w:rsidR="00AB126E" w:rsidRPr="00705932" w:rsidRDefault="00AB126E" w:rsidP="00705932">
          <w:pPr>
            <w:pStyle w:val="TDC2"/>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14" w:history="1">
            <w:r w:rsidRPr="00705932">
              <w:rPr>
                <w:rStyle w:val="Hipervnculo"/>
                <w:rFonts w:ascii="Times New Roman" w:eastAsia="Times New Roman" w:hAnsi="Times New Roman" w:cs="Times New Roman"/>
                <w:noProof/>
                <w:sz w:val="24"/>
                <w:szCs w:val="24"/>
              </w:rPr>
              <w:t>1.3 Objetivos del trabajo de fin de grado</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_Toc190964014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4</w:t>
            </w:r>
            <w:r w:rsidRPr="00705932">
              <w:rPr>
                <w:rFonts w:ascii="Times New Roman" w:hAnsi="Times New Roman" w:cs="Times New Roman"/>
                <w:noProof/>
                <w:webHidden/>
                <w:sz w:val="24"/>
                <w:szCs w:val="24"/>
              </w:rPr>
              <w:fldChar w:fldCharType="end"/>
            </w:r>
          </w:hyperlink>
        </w:p>
        <w:p w14:paraId="0192FAE1" w14:textId="1A96F033" w:rsidR="00AB126E" w:rsidRPr="00705932" w:rsidRDefault="00AB126E" w:rsidP="00705932">
          <w:pPr>
            <w:pStyle w:val="TDC1"/>
            <w:tabs>
              <w:tab w:val="left" w:pos="440"/>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15" w:history="1">
            <w:r w:rsidRPr="00705932">
              <w:rPr>
                <w:rStyle w:val="Hipervnculo"/>
                <w:rFonts w:ascii="Times New Roman" w:eastAsia="Times New Roman" w:hAnsi="Times New Roman" w:cs="Times New Roman"/>
                <w:noProof/>
                <w:sz w:val="24"/>
                <w:szCs w:val="24"/>
              </w:rPr>
              <w:t>2.MARCO TEÓRICO</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_Toc190964015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5</w:t>
            </w:r>
            <w:r w:rsidRPr="00705932">
              <w:rPr>
                <w:rFonts w:ascii="Times New Roman" w:hAnsi="Times New Roman" w:cs="Times New Roman"/>
                <w:noProof/>
                <w:webHidden/>
                <w:sz w:val="24"/>
                <w:szCs w:val="24"/>
              </w:rPr>
              <w:fldChar w:fldCharType="end"/>
            </w:r>
          </w:hyperlink>
        </w:p>
        <w:p w14:paraId="7EAF418E" w14:textId="5AED8996" w:rsidR="00AB126E" w:rsidRPr="00705932" w:rsidRDefault="00AB126E" w:rsidP="00705932">
          <w:pPr>
            <w:pStyle w:val="TDC2"/>
            <w:tabs>
              <w:tab w:val="left" w:pos="960"/>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16" w:history="1">
            <w:r w:rsidRPr="00705932">
              <w:rPr>
                <w:rStyle w:val="Hipervnculo"/>
                <w:rFonts w:ascii="Times New Roman" w:eastAsia="Times New Roman" w:hAnsi="Times New Roman" w:cs="Times New Roman"/>
                <w:noProof/>
                <w:sz w:val="24"/>
                <w:szCs w:val="24"/>
              </w:rPr>
              <w:t>2.1Bullying</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_Toc190964016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5</w:t>
            </w:r>
            <w:r w:rsidRPr="00705932">
              <w:rPr>
                <w:rFonts w:ascii="Times New Roman" w:hAnsi="Times New Roman" w:cs="Times New Roman"/>
                <w:noProof/>
                <w:webHidden/>
                <w:sz w:val="24"/>
                <w:szCs w:val="24"/>
              </w:rPr>
              <w:fldChar w:fldCharType="end"/>
            </w:r>
          </w:hyperlink>
        </w:p>
        <w:p w14:paraId="2472F128" w14:textId="337090FC" w:rsidR="00AB126E" w:rsidRPr="00705932" w:rsidRDefault="00AB126E" w:rsidP="00705932">
          <w:pPr>
            <w:pStyle w:val="TDC2"/>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17" w:history="1">
            <w:r w:rsidRPr="00705932">
              <w:rPr>
                <w:rStyle w:val="Hipervnculo"/>
                <w:rFonts w:ascii="Times New Roman" w:eastAsia="Times New Roman" w:hAnsi="Times New Roman" w:cs="Times New Roman"/>
                <w:noProof/>
                <w:sz w:val="24"/>
                <w:szCs w:val="24"/>
              </w:rPr>
              <w:t>2.2 Ciberbullying</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_Toc190964017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6</w:t>
            </w:r>
            <w:r w:rsidRPr="00705932">
              <w:rPr>
                <w:rFonts w:ascii="Times New Roman" w:hAnsi="Times New Roman" w:cs="Times New Roman"/>
                <w:noProof/>
                <w:webHidden/>
                <w:sz w:val="24"/>
                <w:szCs w:val="24"/>
              </w:rPr>
              <w:fldChar w:fldCharType="end"/>
            </w:r>
          </w:hyperlink>
        </w:p>
        <w:p w14:paraId="689A4141" w14:textId="6D69A18A" w:rsidR="00AB126E" w:rsidRPr="00705932" w:rsidRDefault="00AB126E" w:rsidP="00705932">
          <w:pPr>
            <w:pStyle w:val="TDC2"/>
            <w:tabs>
              <w:tab w:val="left" w:pos="960"/>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18" w:history="1">
            <w:r w:rsidRPr="00705932">
              <w:rPr>
                <w:rStyle w:val="Hipervnculo"/>
                <w:rFonts w:ascii="Times New Roman" w:eastAsia="Times New Roman" w:hAnsi="Times New Roman" w:cs="Times New Roman"/>
                <w:noProof/>
                <w:sz w:val="24"/>
                <w:szCs w:val="24"/>
              </w:rPr>
              <w:t>2.3Diferencias y semejanzas  clave entre bullying y ciberbullying</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_Toc190964018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7</w:t>
            </w:r>
            <w:r w:rsidRPr="00705932">
              <w:rPr>
                <w:rFonts w:ascii="Times New Roman" w:hAnsi="Times New Roman" w:cs="Times New Roman"/>
                <w:noProof/>
                <w:webHidden/>
                <w:sz w:val="24"/>
                <w:szCs w:val="24"/>
              </w:rPr>
              <w:fldChar w:fldCharType="end"/>
            </w:r>
          </w:hyperlink>
        </w:p>
        <w:p w14:paraId="00C63D86" w14:textId="777810A6" w:rsidR="00AB126E" w:rsidRPr="00705932" w:rsidRDefault="00AB126E" w:rsidP="00705932">
          <w:pPr>
            <w:pStyle w:val="TDC3"/>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19" w:history="1">
            <w:r w:rsidRPr="00705932">
              <w:rPr>
                <w:rStyle w:val="Hipervnculo"/>
                <w:rFonts w:ascii="Times New Roman" w:hAnsi="Times New Roman" w:cs="Times New Roman"/>
                <w:i/>
                <w:iCs/>
                <w:noProof/>
                <w:sz w:val="24"/>
                <w:szCs w:val="24"/>
              </w:rPr>
              <w:t>2.3.1 Semejanzas</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_Toc190964019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8</w:t>
            </w:r>
            <w:r w:rsidRPr="00705932">
              <w:rPr>
                <w:rFonts w:ascii="Times New Roman" w:hAnsi="Times New Roman" w:cs="Times New Roman"/>
                <w:noProof/>
                <w:webHidden/>
                <w:sz w:val="24"/>
                <w:szCs w:val="24"/>
              </w:rPr>
              <w:fldChar w:fldCharType="end"/>
            </w:r>
          </w:hyperlink>
        </w:p>
        <w:p w14:paraId="5032E82A" w14:textId="79A44C9F" w:rsidR="00AB126E" w:rsidRPr="00705932" w:rsidRDefault="00AB126E" w:rsidP="00705932">
          <w:pPr>
            <w:pStyle w:val="TDC3"/>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0" w:history="1">
            <w:r w:rsidRPr="00705932">
              <w:rPr>
                <w:rStyle w:val="Hipervnculo"/>
                <w:rFonts w:ascii="Times New Roman" w:hAnsi="Times New Roman" w:cs="Times New Roman"/>
                <w:noProof/>
                <w:sz w:val="24"/>
                <w:szCs w:val="24"/>
              </w:rPr>
              <w:t>2.3.2 Diferencias</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_Toc190964020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8</w:t>
            </w:r>
            <w:r w:rsidRPr="00705932">
              <w:rPr>
                <w:rFonts w:ascii="Times New Roman" w:hAnsi="Times New Roman" w:cs="Times New Roman"/>
                <w:noProof/>
                <w:webHidden/>
                <w:sz w:val="24"/>
                <w:szCs w:val="24"/>
              </w:rPr>
              <w:fldChar w:fldCharType="end"/>
            </w:r>
          </w:hyperlink>
        </w:p>
        <w:p w14:paraId="4C016CB9" w14:textId="6F53DBD2" w:rsidR="00AB126E" w:rsidRPr="00705932" w:rsidRDefault="00AB126E" w:rsidP="00705932">
          <w:pPr>
            <w:pStyle w:val="TDC2"/>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1" w:history="1">
            <w:r w:rsidRPr="00705932">
              <w:rPr>
                <w:rStyle w:val="Hipervnculo"/>
                <w:rFonts w:ascii="Times New Roman" w:eastAsia="Times New Roman" w:hAnsi="Times New Roman" w:cs="Times New Roman"/>
                <w:noProof/>
                <w:sz w:val="24"/>
                <w:szCs w:val="24"/>
              </w:rPr>
              <w:t>2.4 Regulación y tipificación del bullying y ciberbullying en España</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_Toc190964021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10</w:t>
            </w:r>
            <w:r w:rsidRPr="00705932">
              <w:rPr>
                <w:rFonts w:ascii="Times New Roman" w:hAnsi="Times New Roman" w:cs="Times New Roman"/>
                <w:noProof/>
                <w:webHidden/>
                <w:sz w:val="24"/>
                <w:szCs w:val="24"/>
              </w:rPr>
              <w:fldChar w:fldCharType="end"/>
            </w:r>
          </w:hyperlink>
        </w:p>
        <w:p w14:paraId="6DB4D5DD" w14:textId="46EB8925" w:rsidR="00AB126E" w:rsidRPr="00705932" w:rsidRDefault="00AB126E" w:rsidP="00705932">
          <w:pPr>
            <w:pStyle w:val="TDC2"/>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2" w:history="1">
            <w:r w:rsidRPr="00705932">
              <w:rPr>
                <w:rStyle w:val="Hipervnculo"/>
                <w:rFonts w:ascii="Times New Roman" w:eastAsia="Times New Roman" w:hAnsi="Times New Roman" w:cs="Times New Roman"/>
                <w:noProof/>
                <w:sz w:val="24"/>
                <w:szCs w:val="24"/>
              </w:rPr>
              <w:t>2.5 Pasos a seguir ante situaciones de bullying y ciberbullying</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_Toc190964022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12</w:t>
            </w:r>
            <w:r w:rsidRPr="00705932">
              <w:rPr>
                <w:rFonts w:ascii="Times New Roman" w:hAnsi="Times New Roman" w:cs="Times New Roman"/>
                <w:noProof/>
                <w:webHidden/>
                <w:sz w:val="24"/>
                <w:szCs w:val="24"/>
              </w:rPr>
              <w:fldChar w:fldCharType="end"/>
            </w:r>
          </w:hyperlink>
        </w:p>
        <w:p w14:paraId="4D7D6543" w14:textId="74177200" w:rsidR="00AB126E" w:rsidRPr="00705932" w:rsidRDefault="00AB126E" w:rsidP="00705932">
          <w:pPr>
            <w:pStyle w:val="TDC2"/>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3" w:history="1">
            <w:r w:rsidRPr="00705932">
              <w:rPr>
                <w:rStyle w:val="Hipervnculo"/>
                <w:rFonts w:ascii="Times New Roman" w:eastAsia="Times New Roman" w:hAnsi="Times New Roman" w:cs="Times New Roman"/>
                <w:noProof/>
                <w:sz w:val="24"/>
                <w:szCs w:val="24"/>
              </w:rPr>
              <w:t>2.6 Factores que hacen el ciberbullying más difícil de detectar y controlar</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_Toc190964023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13</w:t>
            </w:r>
            <w:r w:rsidRPr="00705932">
              <w:rPr>
                <w:rFonts w:ascii="Times New Roman" w:hAnsi="Times New Roman" w:cs="Times New Roman"/>
                <w:noProof/>
                <w:webHidden/>
                <w:sz w:val="24"/>
                <w:szCs w:val="24"/>
              </w:rPr>
              <w:fldChar w:fldCharType="end"/>
            </w:r>
          </w:hyperlink>
        </w:p>
        <w:p w14:paraId="5EA29D6B" w14:textId="5EEA6F73" w:rsidR="00AB126E" w:rsidRPr="00705932" w:rsidRDefault="00AB126E" w:rsidP="00705932">
          <w:pPr>
            <w:pStyle w:val="TDC1"/>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4" w:history="1">
            <w:r w:rsidRPr="00705932">
              <w:rPr>
                <w:rStyle w:val="Hipervnculo"/>
                <w:rFonts w:ascii="Times New Roman" w:hAnsi="Times New Roman" w:cs="Times New Roman"/>
                <w:noProof/>
                <w:sz w:val="24"/>
                <w:szCs w:val="24"/>
              </w:rPr>
              <w:t>3. Consecuencias del bullying y ciberbullying</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_Toc190964024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14</w:t>
            </w:r>
            <w:r w:rsidRPr="00705932">
              <w:rPr>
                <w:rFonts w:ascii="Times New Roman" w:hAnsi="Times New Roman" w:cs="Times New Roman"/>
                <w:noProof/>
                <w:webHidden/>
                <w:sz w:val="24"/>
                <w:szCs w:val="24"/>
              </w:rPr>
              <w:fldChar w:fldCharType="end"/>
            </w:r>
          </w:hyperlink>
        </w:p>
        <w:p w14:paraId="1F7E0929" w14:textId="57FA9E25" w:rsidR="00AB126E" w:rsidRPr="00705932" w:rsidRDefault="00AB126E" w:rsidP="00705932">
          <w:pPr>
            <w:pStyle w:val="TDC1"/>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5" w:history="1">
            <w:r w:rsidRPr="00705932">
              <w:rPr>
                <w:rStyle w:val="Hipervnculo"/>
                <w:rFonts w:ascii="Times New Roman" w:hAnsi="Times New Roman" w:cs="Times New Roman"/>
                <w:noProof/>
                <w:sz w:val="24"/>
                <w:szCs w:val="24"/>
              </w:rPr>
              <w:t>4. Formas de prevención y detección</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_Toc190964025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18</w:t>
            </w:r>
            <w:r w:rsidRPr="00705932">
              <w:rPr>
                <w:rFonts w:ascii="Times New Roman" w:hAnsi="Times New Roman" w:cs="Times New Roman"/>
                <w:noProof/>
                <w:webHidden/>
                <w:sz w:val="24"/>
                <w:szCs w:val="24"/>
              </w:rPr>
              <w:fldChar w:fldCharType="end"/>
            </w:r>
          </w:hyperlink>
        </w:p>
        <w:p w14:paraId="413223F7" w14:textId="2B8054AE" w:rsidR="00AB126E" w:rsidRPr="00705932" w:rsidRDefault="00AB126E" w:rsidP="00705932">
          <w:pPr>
            <w:pStyle w:val="TDC2"/>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6" w:history="1">
            <w:r w:rsidRPr="00705932">
              <w:rPr>
                <w:rStyle w:val="Hipervnculo"/>
                <w:rFonts w:ascii="Times New Roman" w:eastAsia="Times New Roman" w:hAnsi="Times New Roman" w:cs="Times New Roman"/>
                <w:noProof/>
                <w:sz w:val="24"/>
                <w:szCs w:val="24"/>
              </w:rPr>
              <w:t>4.1 Prevención en el ámbito escolar</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_Toc190964026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18</w:t>
            </w:r>
            <w:r w:rsidRPr="00705932">
              <w:rPr>
                <w:rFonts w:ascii="Times New Roman" w:hAnsi="Times New Roman" w:cs="Times New Roman"/>
                <w:noProof/>
                <w:webHidden/>
                <w:sz w:val="24"/>
                <w:szCs w:val="24"/>
              </w:rPr>
              <w:fldChar w:fldCharType="end"/>
            </w:r>
          </w:hyperlink>
        </w:p>
        <w:p w14:paraId="3B9A8BCE" w14:textId="4D1EDFD2" w:rsidR="00AB126E" w:rsidRPr="00705932" w:rsidRDefault="00AB126E" w:rsidP="00705932">
          <w:pPr>
            <w:pStyle w:val="TDC3"/>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7" w:history="1">
            <w:r w:rsidRPr="00705932">
              <w:rPr>
                <w:rStyle w:val="Hipervnculo"/>
                <w:rFonts w:ascii="Times New Roman" w:eastAsia="Times New Roman" w:hAnsi="Times New Roman" w:cs="Times New Roman"/>
                <w:bCs/>
                <w:i/>
                <w:iCs/>
                <w:noProof/>
                <w:sz w:val="24"/>
                <w:szCs w:val="24"/>
              </w:rPr>
              <w:t>4.1.1 Estrategias de prevención primaria</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_Toc190964027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19</w:t>
            </w:r>
            <w:r w:rsidRPr="00705932">
              <w:rPr>
                <w:rFonts w:ascii="Times New Roman" w:hAnsi="Times New Roman" w:cs="Times New Roman"/>
                <w:noProof/>
                <w:webHidden/>
                <w:sz w:val="24"/>
                <w:szCs w:val="24"/>
              </w:rPr>
              <w:fldChar w:fldCharType="end"/>
            </w:r>
          </w:hyperlink>
        </w:p>
        <w:p w14:paraId="32F225D8" w14:textId="4A67FFEE" w:rsidR="00AB126E" w:rsidRPr="00705932" w:rsidRDefault="00AB126E" w:rsidP="00705932">
          <w:pPr>
            <w:pStyle w:val="TDC3"/>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8" w:history="1">
            <w:r w:rsidRPr="00705932">
              <w:rPr>
                <w:rStyle w:val="Hipervnculo"/>
                <w:rFonts w:ascii="Times New Roman" w:eastAsia="Times New Roman" w:hAnsi="Times New Roman" w:cs="Times New Roman"/>
                <w:bCs/>
                <w:i/>
                <w:iCs/>
                <w:noProof/>
                <w:sz w:val="24"/>
                <w:szCs w:val="24"/>
              </w:rPr>
              <w:t>4.1.2 Estrategias de prevención secundaria: atención al alumnado en riesgo</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_Toc190964028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20</w:t>
            </w:r>
            <w:r w:rsidRPr="00705932">
              <w:rPr>
                <w:rFonts w:ascii="Times New Roman" w:hAnsi="Times New Roman" w:cs="Times New Roman"/>
                <w:noProof/>
                <w:webHidden/>
                <w:sz w:val="24"/>
                <w:szCs w:val="24"/>
              </w:rPr>
              <w:fldChar w:fldCharType="end"/>
            </w:r>
          </w:hyperlink>
        </w:p>
        <w:p w14:paraId="0EA2984D" w14:textId="25FDA6D5" w:rsidR="00AB126E" w:rsidRPr="00705932" w:rsidRDefault="00AB126E" w:rsidP="00705932">
          <w:pPr>
            <w:pStyle w:val="TDC3"/>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29" w:history="1">
            <w:r w:rsidRPr="00705932">
              <w:rPr>
                <w:rStyle w:val="Hipervnculo"/>
                <w:rFonts w:ascii="Times New Roman" w:hAnsi="Times New Roman" w:cs="Times New Roman"/>
                <w:i/>
                <w:iCs/>
                <w:noProof/>
                <w:sz w:val="24"/>
                <w:szCs w:val="24"/>
              </w:rPr>
              <w:t>4.1.3 Estrategias de prevención terciaria: la intervención propiamente dicha</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_Toc190964029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22</w:t>
            </w:r>
            <w:r w:rsidRPr="00705932">
              <w:rPr>
                <w:rFonts w:ascii="Times New Roman" w:hAnsi="Times New Roman" w:cs="Times New Roman"/>
                <w:noProof/>
                <w:webHidden/>
                <w:sz w:val="24"/>
                <w:szCs w:val="24"/>
              </w:rPr>
              <w:fldChar w:fldCharType="end"/>
            </w:r>
          </w:hyperlink>
        </w:p>
        <w:p w14:paraId="0EB98ABB" w14:textId="0EC839FD" w:rsidR="00AB126E" w:rsidRPr="00705932" w:rsidRDefault="00AB126E" w:rsidP="00705932">
          <w:pPr>
            <w:pStyle w:val="TDC2"/>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30" w:history="1">
            <w:r w:rsidRPr="00705932">
              <w:rPr>
                <w:rStyle w:val="Hipervnculo"/>
                <w:rFonts w:ascii="Times New Roman" w:eastAsia="Times New Roman" w:hAnsi="Times New Roman" w:cs="Times New Roman"/>
                <w:noProof/>
                <w:sz w:val="24"/>
                <w:szCs w:val="24"/>
              </w:rPr>
              <w:t>4.2 Prevención ámbito familiar</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_Toc190964030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23</w:t>
            </w:r>
            <w:r w:rsidRPr="00705932">
              <w:rPr>
                <w:rFonts w:ascii="Times New Roman" w:hAnsi="Times New Roman" w:cs="Times New Roman"/>
                <w:noProof/>
                <w:webHidden/>
                <w:sz w:val="24"/>
                <w:szCs w:val="24"/>
              </w:rPr>
              <w:fldChar w:fldCharType="end"/>
            </w:r>
          </w:hyperlink>
        </w:p>
        <w:p w14:paraId="7F0BE9B8" w14:textId="74612E45" w:rsidR="00AB126E" w:rsidRPr="00705932" w:rsidRDefault="00AB126E" w:rsidP="00705932">
          <w:pPr>
            <w:pStyle w:val="TDC3"/>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31" w:history="1">
            <w:r w:rsidRPr="00705932">
              <w:rPr>
                <w:rStyle w:val="Hipervnculo"/>
                <w:rFonts w:ascii="Times New Roman" w:hAnsi="Times New Roman" w:cs="Times New Roman"/>
                <w:i/>
                <w:iCs/>
                <w:noProof/>
                <w:sz w:val="24"/>
                <w:szCs w:val="24"/>
              </w:rPr>
              <w:t>4.2.1 Mantener un estilo educativo de apoyo</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_Toc190964031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23</w:t>
            </w:r>
            <w:r w:rsidRPr="00705932">
              <w:rPr>
                <w:rFonts w:ascii="Times New Roman" w:hAnsi="Times New Roman" w:cs="Times New Roman"/>
                <w:noProof/>
                <w:webHidden/>
                <w:sz w:val="24"/>
                <w:szCs w:val="24"/>
              </w:rPr>
              <w:fldChar w:fldCharType="end"/>
            </w:r>
          </w:hyperlink>
        </w:p>
        <w:p w14:paraId="0712241E" w14:textId="5BDE54E1" w:rsidR="00AB126E" w:rsidRPr="00705932" w:rsidRDefault="00AB126E" w:rsidP="00705932">
          <w:pPr>
            <w:pStyle w:val="TDC3"/>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32" w:history="1">
            <w:r w:rsidRPr="00705932">
              <w:rPr>
                <w:rStyle w:val="Hipervnculo"/>
                <w:rFonts w:ascii="Times New Roman" w:hAnsi="Times New Roman" w:cs="Times New Roman"/>
                <w:i/>
                <w:iCs/>
                <w:noProof/>
                <w:sz w:val="24"/>
                <w:szCs w:val="24"/>
              </w:rPr>
              <w:t>4.2.2 Enseñar a los hijos a hacer un uso correcto de las TIC</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_Toc190964032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24</w:t>
            </w:r>
            <w:r w:rsidRPr="00705932">
              <w:rPr>
                <w:rFonts w:ascii="Times New Roman" w:hAnsi="Times New Roman" w:cs="Times New Roman"/>
                <w:noProof/>
                <w:webHidden/>
                <w:sz w:val="24"/>
                <w:szCs w:val="24"/>
              </w:rPr>
              <w:fldChar w:fldCharType="end"/>
            </w:r>
          </w:hyperlink>
        </w:p>
        <w:p w14:paraId="5E005881" w14:textId="589D241D" w:rsidR="00AB126E" w:rsidRPr="00705932" w:rsidRDefault="00AB126E" w:rsidP="00705932">
          <w:pPr>
            <w:pStyle w:val="TDC1"/>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33" w:history="1">
            <w:r w:rsidRPr="00705932">
              <w:rPr>
                <w:rStyle w:val="Hipervnculo"/>
                <w:rFonts w:ascii="Times New Roman" w:eastAsia="Times New Roman" w:hAnsi="Times New Roman" w:cs="Times New Roman"/>
                <w:bCs/>
                <w:noProof/>
                <w:sz w:val="24"/>
                <w:szCs w:val="24"/>
              </w:rPr>
              <w:t>5.Noticias de Autolisis Relacionadas con Bullying y Cyberbullying</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_Toc190964033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25</w:t>
            </w:r>
            <w:r w:rsidRPr="00705932">
              <w:rPr>
                <w:rFonts w:ascii="Times New Roman" w:hAnsi="Times New Roman" w:cs="Times New Roman"/>
                <w:noProof/>
                <w:webHidden/>
                <w:sz w:val="24"/>
                <w:szCs w:val="24"/>
              </w:rPr>
              <w:fldChar w:fldCharType="end"/>
            </w:r>
          </w:hyperlink>
        </w:p>
        <w:p w14:paraId="4E504340" w14:textId="7367C3C4" w:rsidR="00AB126E" w:rsidRPr="00705932" w:rsidRDefault="00AB126E" w:rsidP="00705932">
          <w:pPr>
            <w:pStyle w:val="TDC1"/>
            <w:tabs>
              <w:tab w:val="left" w:pos="440"/>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34" w:history="1">
            <w:r w:rsidRPr="00705932">
              <w:rPr>
                <w:rStyle w:val="Hipervnculo"/>
                <w:rFonts w:ascii="Times New Roman" w:hAnsi="Times New Roman" w:cs="Times New Roman"/>
                <w:noProof/>
                <w:sz w:val="24"/>
                <w:szCs w:val="24"/>
              </w:rPr>
              <w:t>6.Discusión</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_Toc190964034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27</w:t>
            </w:r>
            <w:r w:rsidRPr="00705932">
              <w:rPr>
                <w:rFonts w:ascii="Times New Roman" w:hAnsi="Times New Roman" w:cs="Times New Roman"/>
                <w:noProof/>
                <w:webHidden/>
                <w:sz w:val="24"/>
                <w:szCs w:val="24"/>
              </w:rPr>
              <w:fldChar w:fldCharType="end"/>
            </w:r>
          </w:hyperlink>
        </w:p>
        <w:p w14:paraId="7830C7C9" w14:textId="74B72BCE" w:rsidR="00AB126E" w:rsidRPr="00705932" w:rsidRDefault="00AB126E" w:rsidP="00705932">
          <w:pPr>
            <w:pStyle w:val="TDC1"/>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35" w:history="1">
            <w:r w:rsidRPr="00705932">
              <w:rPr>
                <w:rStyle w:val="Hipervnculo"/>
                <w:rFonts w:ascii="Times New Roman" w:eastAsia="Times New Roman" w:hAnsi="Times New Roman" w:cs="Times New Roman"/>
                <w:noProof/>
                <w:sz w:val="24"/>
                <w:szCs w:val="24"/>
              </w:rPr>
              <w:t>7.Conclusión</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_Toc190964035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28</w:t>
            </w:r>
            <w:r w:rsidRPr="00705932">
              <w:rPr>
                <w:rFonts w:ascii="Times New Roman" w:hAnsi="Times New Roman" w:cs="Times New Roman"/>
                <w:noProof/>
                <w:webHidden/>
                <w:sz w:val="24"/>
                <w:szCs w:val="24"/>
              </w:rPr>
              <w:fldChar w:fldCharType="end"/>
            </w:r>
          </w:hyperlink>
        </w:p>
        <w:p w14:paraId="026D6C8C" w14:textId="707A1972" w:rsidR="00AB126E" w:rsidRPr="00705932" w:rsidRDefault="00AB126E" w:rsidP="00705932">
          <w:pPr>
            <w:pStyle w:val="TDC1"/>
            <w:tabs>
              <w:tab w:val="right" w:leader="dot" w:pos="9016"/>
            </w:tabs>
            <w:spacing w:line="360" w:lineRule="auto"/>
            <w:rPr>
              <w:rFonts w:ascii="Times New Roman" w:eastAsiaTheme="minorEastAsia" w:hAnsi="Times New Roman" w:cs="Times New Roman"/>
              <w:noProof/>
              <w:kern w:val="2"/>
              <w:sz w:val="24"/>
              <w:szCs w:val="24"/>
              <w14:ligatures w14:val="standardContextual"/>
            </w:rPr>
          </w:pPr>
          <w:hyperlink w:anchor="_Toc190964036" w:history="1">
            <w:r w:rsidRPr="00705932">
              <w:rPr>
                <w:rStyle w:val="Hipervnculo"/>
                <w:rFonts w:ascii="Times New Roman" w:hAnsi="Times New Roman" w:cs="Times New Roman"/>
                <w:noProof/>
                <w:sz w:val="24"/>
                <w:szCs w:val="24"/>
              </w:rPr>
              <w:t>7.Bibliografía</w:t>
            </w:r>
            <w:r w:rsidRPr="00705932">
              <w:rPr>
                <w:rFonts w:ascii="Times New Roman" w:hAnsi="Times New Roman" w:cs="Times New Roman"/>
                <w:noProof/>
                <w:webHidden/>
                <w:sz w:val="24"/>
                <w:szCs w:val="24"/>
              </w:rPr>
              <w:tab/>
            </w:r>
            <w:r w:rsidRPr="00705932">
              <w:rPr>
                <w:rFonts w:ascii="Times New Roman" w:hAnsi="Times New Roman" w:cs="Times New Roman"/>
                <w:noProof/>
                <w:webHidden/>
                <w:sz w:val="24"/>
                <w:szCs w:val="24"/>
              </w:rPr>
              <w:fldChar w:fldCharType="begin"/>
            </w:r>
            <w:r w:rsidRPr="00705932">
              <w:rPr>
                <w:rFonts w:ascii="Times New Roman" w:hAnsi="Times New Roman" w:cs="Times New Roman"/>
                <w:noProof/>
                <w:webHidden/>
                <w:sz w:val="24"/>
                <w:szCs w:val="24"/>
              </w:rPr>
              <w:instrText xml:space="preserve"> PAGEREF _Toc190964036 \h </w:instrText>
            </w:r>
            <w:r w:rsidRPr="00705932">
              <w:rPr>
                <w:rFonts w:ascii="Times New Roman" w:hAnsi="Times New Roman" w:cs="Times New Roman"/>
                <w:noProof/>
                <w:webHidden/>
                <w:sz w:val="24"/>
                <w:szCs w:val="24"/>
              </w:rPr>
            </w:r>
            <w:r w:rsidRPr="00705932">
              <w:rPr>
                <w:rFonts w:ascii="Times New Roman" w:hAnsi="Times New Roman" w:cs="Times New Roman"/>
                <w:noProof/>
                <w:webHidden/>
                <w:sz w:val="24"/>
                <w:szCs w:val="24"/>
              </w:rPr>
              <w:fldChar w:fldCharType="separate"/>
            </w:r>
            <w:r w:rsidR="00B33B33">
              <w:rPr>
                <w:rFonts w:ascii="Times New Roman" w:hAnsi="Times New Roman" w:cs="Times New Roman"/>
                <w:noProof/>
                <w:webHidden/>
                <w:sz w:val="24"/>
                <w:szCs w:val="24"/>
              </w:rPr>
              <w:t>31</w:t>
            </w:r>
            <w:r w:rsidRPr="00705932">
              <w:rPr>
                <w:rFonts w:ascii="Times New Roman" w:hAnsi="Times New Roman" w:cs="Times New Roman"/>
                <w:noProof/>
                <w:webHidden/>
                <w:sz w:val="24"/>
                <w:szCs w:val="24"/>
              </w:rPr>
              <w:fldChar w:fldCharType="end"/>
            </w:r>
          </w:hyperlink>
        </w:p>
        <w:p w14:paraId="437E5E00" w14:textId="52D7C89A" w:rsidR="00AB126E" w:rsidRPr="00705932" w:rsidRDefault="008200AF" w:rsidP="00705932">
          <w:pPr>
            <w:spacing w:line="360" w:lineRule="auto"/>
            <w:rPr>
              <w:rFonts w:ascii="Times New Roman" w:hAnsi="Times New Roman" w:cs="Times New Roman"/>
              <w:sz w:val="24"/>
              <w:szCs w:val="24"/>
            </w:rPr>
          </w:pPr>
          <w:r w:rsidRPr="00705932">
            <w:rPr>
              <w:rFonts w:ascii="Times New Roman" w:hAnsi="Times New Roman" w:cs="Times New Roman"/>
              <w:b/>
              <w:bCs/>
              <w:sz w:val="24"/>
              <w:szCs w:val="24"/>
            </w:rPr>
            <w:lastRenderedPageBreak/>
            <w:fldChar w:fldCharType="end"/>
          </w:r>
        </w:p>
      </w:sdtContent>
    </w:sdt>
    <w:bookmarkStart w:id="0" w:name="_Toc190964011" w:displacedByCustomXml="prev"/>
    <w:p w14:paraId="46932FC9" w14:textId="3CF83055" w:rsidR="00ED6FEB" w:rsidRPr="009478F4" w:rsidRDefault="00D5451A" w:rsidP="00937076">
      <w:pPr>
        <w:pStyle w:val="Ttulo1"/>
        <w:numPr>
          <w:ilvl w:val="0"/>
          <w:numId w:val="12"/>
        </w:numPr>
        <w:jc w:val="center"/>
        <w:rPr>
          <w:rFonts w:eastAsia="Times New Roman" w:cs="Times New Roman"/>
          <w:szCs w:val="24"/>
        </w:rPr>
      </w:pPr>
      <w:r w:rsidRPr="009478F4">
        <w:rPr>
          <w:rFonts w:eastAsia="Times New Roman" w:cs="Times New Roman"/>
          <w:szCs w:val="24"/>
        </w:rPr>
        <w:t>I</w:t>
      </w:r>
      <w:r>
        <w:rPr>
          <w:rFonts w:eastAsia="Times New Roman" w:cs="Times New Roman"/>
          <w:szCs w:val="24"/>
        </w:rPr>
        <w:t>ntroducción</w:t>
      </w:r>
      <w:bookmarkEnd w:id="0"/>
    </w:p>
    <w:p w14:paraId="22DFCA46" w14:textId="77777777" w:rsidR="00062AE0" w:rsidRPr="009478F4" w:rsidRDefault="00062AE0" w:rsidP="00937076">
      <w:pPr>
        <w:pBdr>
          <w:top w:val="nil"/>
          <w:left w:val="nil"/>
          <w:bottom w:val="nil"/>
          <w:right w:val="nil"/>
          <w:between w:val="nil"/>
        </w:pBdr>
        <w:spacing w:after="0" w:line="360" w:lineRule="auto"/>
        <w:jc w:val="both"/>
        <w:rPr>
          <w:rFonts w:ascii="Times New Roman" w:eastAsia="Times New Roman" w:hAnsi="Times New Roman" w:cs="Times New Roman"/>
          <w:b/>
          <w:sz w:val="24"/>
          <w:szCs w:val="24"/>
        </w:rPr>
      </w:pPr>
    </w:p>
    <w:p w14:paraId="3493224A" w14:textId="52EFF5A3" w:rsidR="00ED6FEB" w:rsidRPr="009478F4" w:rsidRDefault="00B33B33" w:rsidP="00937076">
      <w:pPr>
        <w:pStyle w:val="Ttulo2"/>
        <w:numPr>
          <w:ilvl w:val="1"/>
          <w:numId w:val="13"/>
        </w:numPr>
        <w:jc w:val="both"/>
        <w:rPr>
          <w:rFonts w:eastAsia="Times New Roman" w:cs="Times New Roman"/>
          <w:szCs w:val="24"/>
        </w:rPr>
      </w:pPr>
      <w:bookmarkStart w:id="1" w:name="_Toc190964012"/>
      <w:r w:rsidRPr="009478F4">
        <w:rPr>
          <w:rFonts w:eastAsia="Times New Roman" w:cs="Times New Roman"/>
          <w:szCs w:val="24"/>
        </w:rPr>
        <w:t xml:space="preserve">Importancia en la </w:t>
      </w:r>
      <w:r w:rsidR="00ED6FEB" w:rsidRPr="009478F4">
        <w:rPr>
          <w:rFonts w:eastAsia="Times New Roman" w:cs="Times New Roman"/>
          <w:szCs w:val="24"/>
        </w:rPr>
        <w:t>actualidad</w:t>
      </w:r>
      <w:bookmarkEnd w:id="1"/>
    </w:p>
    <w:p w14:paraId="3878E791" w14:textId="77777777" w:rsidR="00062AE0"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Los avances tecnológicos han transformado radicalmente la manera en que interactuamos y nos comunicamos hoy en día. El acceso a plataformas digitales y la fácil conectividad han creado nuevas formas de interacción social, pero también han generado nuevos riesgos, entre ellos, el ciberbullying. Las Nuevas Tecnologías han permitido que el acoso vaya más allá de los espacios físicos, proporcionando un entorno donde los agresores pueden actuar de manera anónima y seguir acosando sin las barreras que existían en el bullying tradicional. Estas características del ciberbullying presentan desafíos nuevos que complican su detección y control.</w:t>
      </w:r>
    </w:p>
    <w:p w14:paraId="11588583" w14:textId="77777777" w:rsidR="00062AE0"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Las situaciones de acoso que se desarrollan en entornos digitales permiten a los agresores actuar con anonimato y difundir contenido dañino a una audiencia mucho más grande y de una manera más rápida, intensificando las dificultades en la intervención y detección. </w:t>
      </w:r>
    </w:p>
    <w:p w14:paraId="0C06B248" w14:textId="77777777" w:rsidR="00062AE0"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 medida que estas problemáticas se han vuelto más comunes, las instituciones educativas y las plataformas digitales se enfrentan a importantes desafíos en la gestión y control de estas conductas. La falta de recursos y estrategias efectivas para abordar el acoso en entornos digitales dificulta una intervención temprana. La situación actual requiere un análisis profundo de las diferencias en la detección y control entre el acoso en entornos físicos y digitales, así como el impacto negativo que estas prácticas pueden tener en la vida de los jóvenes.</w:t>
      </w:r>
    </w:p>
    <w:p w14:paraId="77F236C4" w14:textId="77777777" w:rsidR="00062AE0"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Según un estudio realizado por Save the Children (2016) bajo la autoría del experto Calmaestra et al. (2016), a 21.487 estudiantes de Educación Secundaria Obligatoria (ESO) en España, se encontró que un 9,3% de los encuestados ha sido víctima de bullying tradicional y un 6,9% ha experimentado ciberacoso en los últimos dos meses. Además, un 3,7% de los estudiantes indicó haber sufrido ambas formas de acoso. Este estudio revela que las chicas son más afectadas que los chicos, con un 10,6% de víctimas de acoso tradicional frente al 8% de los chicos, y un 8,5% de ciberacoso en comparación con el 5,3% en chicos.</w:t>
      </w:r>
    </w:p>
    <w:p w14:paraId="0C030E60" w14:textId="77777777" w:rsidR="005822E3" w:rsidRPr="009478F4" w:rsidRDefault="005822E3" w:rsidP="00937076">
      <w:pPr>
        <w:spacing w:before="240" w:after="240" w:line="360" w:lineRule="auto"/>
        <w:ind w:firstLine="720"/>
        <w:jc w:val="both"/>
        <w:rPr>
          <w:rFonts w:ascii="Times New Roman" w:eastAsia="Times New Roman" w:hAnsi="Times New Roman" w:cs="Times New Roman"/>
          <w:sz w:val="24"/>
          <w:szCs w:val="24"/>
        </w:rPr>
      </w:pPr>
    </w:p>
    <w:p w14:paraId="469D4994" w14:textId="77777777" w:rsidR="00ED6FEB"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Estos datos subrayan la urgencia de abordar el ciberbullying y bullying como una problemática crítica que afecta a un número significativo de jóvenes en España. También enfatizan la necesidad de desarrollar e implementar estrategias de intervención y prevención más efectivas en entornos educativos. Es crucial que tanto las instituciones educativas como los padres y la sociedad en general tomen conciencia de esta situación y trabajen en conjunto para crear un entorno seguro y de apoyo para todos los menores, protegiéndolos de las consecuencias negativas del acoso en todas sus formas.</w:t>
      </w:r>
    </w:p>
    <w:p w14:paraId="29EF070C" w14:textId="0B54F0E8" w:rsidR="00ED6FEB" w:rsidRPr="009478F4" w:rsidRDefault="00ED6FEB" w:rsidP="00937076">
      <w:pPr>
        <w:pStyle w:val="Ttulo2"/>
        <w:jc w:val="both"/>
        <w:rPr>
          <w:rFonts w:cs="Times New Roman"/>
          <w:szCs w:val="24"/>
        </w:rPr>
      </w:pPr>
      <w:bookmarkStart w:id="2" w:name="_Toc190964013"/>
      <w:r w:rsidRPr="009478F4">
        <w:rPr>
          <w:rFonts w:cs="Times New Roman"/>
          <w:szCs w:val="24"/>
        </w:rPr>
        <w:t>1.2 Hipótesis</w:t>
      </w:r>
      <w:bookmarkEnd w:id="2"/>
    </w:p>
    <w:p w14:paraId="399BDAB9" w14:textId="144804DB" w:rsidR="00062AE0"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El presente trabajo se guiará por la hipótesis siguiente: "el ciberbullying es más difícil de detectar y controlar que el bullying tradicional, lo que dificulta la intervención temprana." </w:t>
      </w:r>
    </w:p>
    <w:p w14:paraId="2B22C87F" w14:textId="77777777" w:rsidR="00062AE0"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Esta hipótesis se fundamenta en la premisa de que las características inherentes al ciberbullying, tales como el anonimato del agresor, la difusión instantánea del contenido dañino y la posibilidad de que el acoso ocurra en cualquier momento y lugar, complican considerablemente la identificación de las víctimas y la intervención por parte de educadores, padres y profesionales de la salud.</w:t>
      </w:r>
    </w:p>
    <w:p w14:paraId="70726914" w14:textId="77777777" w:rsidR="00062AE0" w:rsidRPr="009478F4" w:rsidRDefault="00B33B33" w:rsidP="00937076">
      <w:pPr>
        <w:spacing w:before="240" w:after="240" w:line="360" w:lineRule="auto"/>
        <w:ind w:firstLine="720"/>
        <w:jc w:val="both"/>
        <w:rPr>
          <w:rFonts w:ascii="Times New Roman" w:eastAsia="Times New Roman" w:hAnsi="Times New Roman" w:cs="Times New Roman"/>
          <w:b/>
          <w:sz w:val="24"/>
          <w:szCs w:val="24"/>
        </w:rPr>
      </w:pPr>
      <w:r w:rsidRPr="009478F4">
        <w:rPr>
          <w:rFonts w:ascii="Times New Roman" w:eastAsia="Times New Roman" w:hAnsi="Times New Roman" w:cs="Times New Roman"/>
          <w:sz w:val="24"/>
          <w:szCs w:val="24"/>
        </w:rPr>
        <w:t>Esto genera un entorno en el que las víctimas pueden sentirse atrapadas y sin salida, lo que contribuye a que no se denuncien los episodios de acoso. Esta dinámica no solo afecta la capacidad de las instituciones para responder rápidamente, sino que también puede intensificar el sufrimiento de las víctimas, ya que el acoso puede continuar sin interrupciones.</w:t>
      </w:r>
    </w:p>
    <w:p w14:paraId="70362643" w14:textId="7FB8FA9D" w:rsidR="00062AE0" w:rsidRPr="009478F4" w:rsidRDefault="00ED6FEB" w:rsidP="00937076">
      <w:pPr>
        <w:pStyle w:val="Ttulo2"/>
        <w:jc w:val="both"/>
        <w:rPr>
          <w:rFonts w:eastAsia="Times New Roman" w:cs="Times New Roman"/>
          <w:szCs w:val="24"/>
        </w:rPr>
      </w:pPr>
      <w:bookmarkStart w:id="3" w:name="_Toc190964014"/>
      <w:r w:rsidRPr="009478F4">
        <w:rPr>
          <w:rFonts w:eastAsia="Times New Roman" w:cs="Times New Roman"/>
          <w:szCs w:val="24"/>
        </w:rPr>
        <w:t>1.3 Objetivos del trabajo de fin de grado</w:t>
      </w:r>
      <w:bookmarkEnd w:id="3"/>
    </w:p>
    <w:p w14:paraId="6866DE3C" w14:textId="77777777" w:rsidR="00062AE0"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Los objetivos de este trabajo serán analizar las diferencias clave entre el bullying y el ciberbullying, evaluando sus características, similitudes y diferencias en términos de métodos, contexto y consecuencias. Además, se busca evaluar los factores que hacen que el ciberbullying sea más difícil de detectar y controlar, como el anonimato de los agresores y la permanencia de las agresiones en el entorno digital. </w:t>
      </w:r>
    </w:p>
    <w:p w14:paraId="4D68946A" w14:textId="77777777" w:rsidR="00062AE0"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Asimismo, se explorarán formas de prevención y detección del ciberbullying, desarrollando estrategias específicas para la detección temprana tanto en el ámbito escolar como en el digital.</w:t>
      </w:r>
    </w:p>
    <w:p w14:paraId="138BE2B2" w14:textId="681D867A" w:rsidR="00E2733E"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Finalmente, se discutirán propuestas para superar las barreras actuales en la detección y prevención del ciberbullying, analizando la responsabilidad de las plataformas digitales y el papel de las instituciones educativas en la gestión de este fenómeno.</w:t>
      </w:r>
    </w:p>
    <w:p w14:paraId="25021DE2" w14:textId="44BEF1FF" w:rsidR="00E2733E" w:rsidRDefault="00B33B33" w:rsidP="00937076">
      <w:pPr>
        <w:pStyle w:val="Ttulo1"/>
        <w:numPr>
          <w:ilvl w:val="0"/>
          <w:numId w:val="13"/>
        </w:numPr>
        <w:jc w:val="center"/>
        <w:rPr>
          <w:rFonts w:eastAsia="Times New Roman" w:cs="Times New Roman"/>
          <w:szCs w:val="24"/>
        </w:rPr>
      </w:pPr>
      <w:bookmarkStart w:id="4" w:name="_Toc190964015"/>
      <w:r w:rsidRPr="009478F4">
        <w:rPr>
          <w:rFonts w:eastAsia="Times New Roman" w:cs="Times New Roman"/>
          <w:szCs w:val="24"/>
        </w:rPr>
        <w:t>MARCO TEÓRICO</w:t>
      </w:r>
      <w:bookmarkEnd w:id="4"/>
    </w:p>
    <w:p w14:paraId="5481E4DC" w14:textId="6F880460" w:rsidR="00E2733E" w:rsidRPr="009478F4" w:rsidRDefault="009478F4" w:rsidP="00937076">
      <w:pPr>
        <w:pStyle w:val="NormalWeb"/>
        <w:spacing w:line="360" w:lineRule="auto"/>
        <w:ind w:firstLine="720"/>
        <w:jc w:val="both"/>
      </w:pPr>
      <w:r>
        <w:t>En este apartado abordaremos el fenómeno del bullying y el ciberbullying, comenzando con sus definiciones y las principales diferencias y semejanzas entre ambos. También analizaremos su regulación legal en el Código Penal, los pasos a seguir ante estas situaciones y los factores que dificultan la detección y el control del ciberbullying.</w:t>
      </w:r>
    </w:p>
    <w:p w14:paraId="0A0F35F3" w14:textId="0A73DDE8" w:rsidR="00062AE0" w:rsidRPr="009478F4" w:rsidRDefault="00E2733E" w:rsidP="00937076">
      <w:pPr>
        <w:pStyle w:val="Ttulo2"/>
        <w:numPr>
          <w:ilvl w:val="1"/>
          <w:numId w:val="19"/>
        </w:numPr>
        <w:jc w:val="both"/>
        <w:rPr>
          <w:rFonts w:eastAsia="Times New Roman" w:cs="Times New Roman"/>
          <w:szCs w:val="24"/>
        </w:rPr>
      </w:pPr>
      <w:bookmarkStart w:id="5" w:name="_Toc190964016"/>
      <w:r w:rsidRPr="009478F4">
        <w:rPr>
          <w:rFonts w:eastAsia="Times New Roman" w:cs="Times New Roman"/>
          <w:szCs w:val="24"/>
        </w:rPr>
        <w:t>Bullying</w:t>
      </w:r>
      <w:bookmarkEnd w:id="5"/>
    </w:p>
    <w:p w14:paraId="04956C78"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término "bullying" proviene del inglés y comparte origen con el término "mobbing", aunque este último es utilizado de forma más técnica en el ámbito laboral. Aunque se podría pensar que "bullying" proviene de la palabra inglesa "bull" (toro), su verdadero origen se encuentra en la palabra holandesa "boel", que significa "amante" en un sentido peyorativo, utilizado para referirse a proxenetas.</w:t>
      </w:r>
    </w:p>
    <w:p w14:paraId="736EEC1E"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primero en utilizar el término "bullying" en el contexto de acoso escolar fue el investigador Dan Olweus, quien en la década de los 70 llevó a cabo un estudio a largo plazo en Suecia que resultó en un programa antiacoso aplicado en las escuelas de Noruega​ (Avilés, 2002, citado en Salas Picón, 2015).</w:t>
      </w:r>
    </w:p>
    <w:p w14:paraId="01652168"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De este modo, Olweus (1986 y 1991) fue quien estableció la definición de acoso escolar que ha obtenido mayor aceptación en el ámbito académico y educativo: “Un alumno es agredido o se convierte en víctima cuando está expuesto, de forma repetida y durante un tiempo a acciones negativas que lleva a cabo otro alumno o varios de ellos” (p.25).</w:t>
      </w:r>
    </w:p>
    <w:p w14:paraId="1FBF327A"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 Real Academia Española define el acoso como "perseguir sin darle tregua a una persona o un animal, consistiendo en un trato vejatorio y descalificador cuyo fin es desestabilizar a la víctima psicológicamente".</w:t>
      </w:r>
    </w:p>
    <w:p w14:paraId="050045CC"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En Estados Unidos, la ley "No Child Left Behind Act" de 2001 amplía el concepto, refiriéndose a comportamientos de acoso dirigidos a estudiantes basados en su identidad o percepciones relacionadas con su raza, género, discapacidad, orientación sexual, religión u </w:t>
      </w:r>
      <w:r w:rsidRPr="009478F4">
        <w:rPr>
          <w:rFonts w:ascii="Times New Roman" w:eastAsia="Times New Roman" w:hAnsi="Times New Roman" w:cs="Times New Roman"/>
          <w:sz w:val="24"/>
          <w:szCs w:val="24"/>
        </w:rPr>
        <w:lastRenderedPageBreak/>
        <w:t>otras características. Este tipo de conductas afecta significativamente la participación del alumno en actividades escolares, generando un temor razonable a sufrir agresiones físicas.</w:t>
      </w:r>
    </w:p>
    <w:p w14:paraId="7682490F"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Defensor del Menor de la Comunidad de Madrid define el acoso escolar como una acción repetida, ya sea física o psicológica, en la que una víctima se encuentra en una situación de inferioridad frente al agresor o grupo de agresores.</w:t>
      </w:r>
    </w:p>
    <w:p w14:paraId="7F39B181"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En definitiva, el bullying o acoso escolar se refiere a un comportamiento repetitivo y dañino, que ocurre en un entorno habitual y está marcado por un desequilibrio de poder entre el agresor y la víctima. Estas conductas, ya sean psicológicas, verbales o físicas, generan un impacto significativo en el bienestar de los estudiantes, lo que resalta la necesidad urgente de una detección e intervención tempranas para prevenir consecuencias duraderas en las víctimas.</w:t>
      </w:r>
    </w:p>
    <w:p w14:paraId="635B9D6B" w14:textId="75C2888C" w:rsidR="00062AE0" w:rsidRPr="009478F4" w:rsidRDefault="00E2733E" w:rsidP="00937076">
      <w:pPr>
        <w:pStyle w:val="Ttulo2"/>
        <w:jc w:val="both"/>
        <w:rPr>
          <w:rFonts w:eastAsia="Times New Roman" w:cs="Times New Roman"/>
          <w:szCs w:val="24"/>
        </w:rPr>
      </w:pPr>
      <w:bookmarkStart w:id="6" w:name="_Toc190964017"/>
      <w:r w:rsidRPr="009478F4">
        <w:rPr>
          <w:rFonts w:eastAsia="Times New Roman" w:cs="Times New Roman"/>
          <w:szCs w:val="24"/>
        </w:rPr>
        <w:t>2.2 Ciberbullying</w:t>
      </w:r>
      <w:bookmarkEnd w:id="6"/>
    </w:p>
    <w:p w14:paraId="4CB2FFF1"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El Cyberbullying se refiere al uso de tecnologías de la información y la comunicación, como el correo electrónico, los mensajes de texto o las redes sociales, para acosar de forma repetitiva y deliberada a una persona. Según Belsey (2005), el cyberbullying incluye el uso de estas tecnologías para insultar, amenazar o humillar de manera anónima, lo que hace más difícil identificar al agresor. </w:t>
      </w:r>
    </w:p>
    <w:p w14:paraId="0A1193E0"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Existen dos modalidades principales de este tipo de acoso: el que refuerza un bullying presencial ya existente y el que ocurre exclusivamente en el entorno digital, sin antecedentes de acoso físico. En ambos casos, el impacto del cyberbullying es severo, ya que, al amplificar el daño mediante la red, las víctimas experimentan una mayor exposición y vulnerabilidad.</w:t>
      </w:r>
    </w:p>
    <w:p w14:paraId="5F62AB40"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Nancy Knight (2005) describe el cyberbullying como una forma cobarde de acoso, comparándolo con ser "apuñalado por la espalda" sin poder identificar al agresor ni defenderse.</w:t>
      </w:r>
    </w:p>
    <w:p w14:paraId="67509CE6"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Otras definiciones propuestas por Gutiérrez Pérez (2017), organizadas de manera cronológica para observar su evolución, son las siguientes:</w:t>
      </w:r>
    </w:p>
    <w:p w14:paraId="1AA01DEA"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Willard (2006) “Cyberbullying consiste en ser cruel con otros enviando o publicando material dañino o utilizando otras formas de crueldad usando Internet u otras tecnologías digitales” (p. 1). </w:t>
      </w:r>
    </w:p>
    <w:p w14:paraId="0BA8653D"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 xml:space="preserve">Solano Fernández y Hernández Prados (2007) “Emplear cualquiera de las posibilidades de uso de las nuevas tecnologías de la información y de la comunicación para hostigar con ensañamiento su víctima (…) conducta violenta o de acoso altamente predeterminada e intencionada; que se encuentra fundamentada en una relación asimétrica de control y poder sobre el otro” (pp. 23-24). </w:t>
      </w:r>
    </w:p>
    <w:p w14:paraId="564096B9"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Mason, (2008) “Uso de la información y comunicación a través de la tecnología que un individuo o un grupo utiliza deliberadamente y de manera repetida para el acoso o amenaza hacia otro individuo o grupo mediante el envío o publicación de texto cruel y/o archivos gráficos a través de los medios tecnológicos” (p. 323).  </w:t>
      </w:r>
    </w:p>
    <w:p w14:paraId="06E30E94"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Garaigordobil (2011) “Consiste en utilizar las nuevas tecnologías de la información y la comunicación, principalmente Internet y el teléfono móvil, para hostigar y acosar a los compañeros” (p. 234).</w:t>
      </w:r>
    </w:p>
    <w:p w14:paraId="4FB2EF4C" w14:textId="77777777" w:rsidR="00062AE0" w:rsidRPr="009478F4" w:rsidRDefault="00B33B33" w:rsidP="00937076">
      <w:pPr>
        <w:pBdr>
          <w:top w:val="nil"/>
          <w:left w:val="nil"/>
          <w:bottom w:val="nil"/>
          <w:right w:val="nil"/>
          <w:between w:val="nil"/>
        </w:pBd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Hernández Serrano y Serrate González (2013) “Tipo de acoso que se produce mediante el empleo de las tecnologías a través del móvil o del ordenador, enviando mensajes (…) deliberadamente y de forma repetitiva y hostil pretendiendo dañar con injurias, calumnias (…) o cualquier otro acto desagradable o violento” (p. 83).</w:t>
      </w:r>
    </w:p>
    <w:p w14:paraId="0E5163B2" w14:textId="77777777" w:rsidR="00E2733E" w:rsidRPr="009478F4" w:rsidRDefault="00B33B33" w:rsidP="00937076">
      <w:pPr>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En resumen, el ciberbullying es un fenómeno de acoso que se lleva a cabo a través de tecnologías digitales, caracterizado por su naturaleza intencionada y repetida. Las definiciones analizadas evidencian su capacidad para amplificar el daño emocional a las víctimas, ya sea como una extensión del bullying presencial o de manera independiente. Este fenómeno exige una atención urgente y estrategias adecuadas de prevención e intervención para proteger a quienes lo sufren y fomentar un entorno digital seguro.</w:t>
      </w:r>
    </w:p>
    <w:p w14:paraId="0DFB9A26" w14:textId="197CA8B9" w:rsidR="00062AE0" w:rsidRDefault="00B33B33" w:rsidP="00AB126E">
      <w:pPr>
        <w:pStyle w:val="Ttulo2"/>
        <w:numPr>
          <w:ilvl w:val="1"/>
          <w:numId w:val="26"/>
        </w:numPr>
        <w:jc w:val="both"/>
        <w:rPr>
          <w:rFonts w:eastAsia="Times New Roman" w:cs="Times New Roman"/>
          <w:szCs w:val="24"/>
        </w:rPr>
      </w:pPr>
      <w:bookmarkStart w:id="7" w:name="_Toc190964018"/>
      <w:r w:rsidRPr="009478F4">
        <w:rPr>
          <w:rFonts w:eastAsia="Times New Roman" w:cs="Times New Roman"/>
          <w:szCs w:val="24"/>
        </w:rPr>
        <w:t>Diferencias y semejanzas  clave entre bullying y ciberbullying</w:t>
      </w:r>
      <w:bookmarkEnd w:id="7"/>
      <w:r w:rsidRPr="009478F4">
        <w:rPr>
          <w:rFonts w:eastAsia="Times New Roman" w:cs="Times New Roman"/>
          <w:szCs w:val="24"/>
        </w:rPr>
        <w:t xml:space="preserve"> </w:t>
      </w:r>
    </w:p>
    <w:p w14:paraId="38282B00" w14:textId="77777777" w:rsidR="00D5451A" w:rsidRPr="00D5451A" w:rsidRDefault="00D5451A" w:rsidP="00937076">
      <w:pPr>
        <w:pStyle w:val="Prrafodelista"/>
        <w:spacing w:after="0"/>
        <w:ind w:left="360"/>
        <w:jc w:val="both"/>
      </w:pPr>
    </w:p>
    <w:p w14:paraId="4B10ED33" w14:textId="2244BA4D" w:rsidR="00062AE0" w:rsidRDefault="00B33B3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r w:rsidRPr="00D5451A">
        <w:rPr>
          <w:rFonts w:ascii="Times New Roman" w:eastAsia="Times New Roman" w:hAnsi="Times New Roman" w:cs="Times New Roman"/>
          <w:sz w:val="24"/>
          <w:szCs w:val="24"/>
        </w:rPr>
        <w:t>El bullying y el ciberbullying</w:t>
      </w:r>
      <w:r w:rsidRPr="009478F4">
        <w:rPr>
          <w:rFonts w:ascii="Times New Roman" w:eastAsia="Times New Roman" w:hAnsi="Times New Roman" w:cs="Times New Roman"/>
          <w:sz w:val="24"/>
          <w:szCs w:val="24"/>
        </w:rPr>
        <w:t xml:space="preserve"> son fenómenos que comparten ciertas características pero que también presentan diferencias clave, derivadas de los contextos en los que se desarrollan y las dinámicas específicas de cada uno. </w:t>
      </w:r>
    </w:p>
    <w:p w14:paraId="79338A13" w14:textId="77777777" w:rsidR="005822E3" w:rsidRDefault="005822E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p>
    <w:p w14:paraId="72F55412" w14:textId="77777777" w:rsidR="005822E3" w:rsidRPr="009478F4" w:rsidRDefault="005822E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p>
    <w:p w14:paraId="6368AD52" w14:textId="1610109A" w:rsidR="00062AE0" w:rsidRDefault="00E2733E" w:rsidP="00937076">
      <w:pPr>
        <w:pStyle w:val="Ttulo3"/>
        <w:jc w:val="both"/>
        <w:rPr>
          <w:rFonts w:ascii="Times New Roman" w:hAnsi="Times New Roman" w:cs="Times New Roman"/>
          <w:i/>
          <w:iCs/>
          <w:sz w:val="24"/>
          <w:szCs w:val="24"/>
        </w:rPr>
      </w:pPr>
      <w:bookmarkStart w:id="8" w:name="_Toc190964019"/>
      <w:r w:rsidRPr="00D5451A">
        <w:rPr>
          <w:rFonts w:ascii="Times New Roman" w:hAnsi="Times New Roman" w:cs="Times New Roman"/>
          <w:i/>
          <w:iCs/>
          <w:sz w:val="24"/>
          <w:szCs w:val="24"/>
        </w:rPr>
        <w:lastRenderedPageBreak/>
        <w:t>2.3.1 Semejanzas</w:t>
      </w:r>
      <w:bookmarkEnd w:id="8"/>
    </w:p>
    <w:p w14:paraId="1C587B2A" w14:textId="77777777" w:rsidR="00D5451A" w:rsidRPr="00D5451A" w:rsidRDefault="00D5451A" w:rsidP="00937076">
      <w:pPr>
        <w:spacing w:after="0"/>
        <w:jc w:val="both"/>
      </w:pPr>
    </w:p>
    <w:p w14:paraId="166CFDA5" w14:textId="71FCE111" w:rsidR="00062AE0" w:rsidRPr="009478F4" w:rsidRDefault="00B33B3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Ambos implican comportamientos agresivos, repetitivos, una relación de poder desequilibrada entre el agresor y la víctima (Olweus, 2007) y una clara transgresión moral (Ortega-Ruiz, 2020), pero el modo de perpetración y la visibilidad del acto son aspectos distintivos. Es común que las personas involucradas en uno de los tipos de acoso participen también en el otro. Estudios han demostrado que existe una alta probabilidad de que los agresores y las víctimas del bullying tradicional también asuman esos roles en el ciberbullying (Dennehy et al., 2020; Hu et al., 2021; Wang et al., 2019).</w:t>
      </w:r>
    </w:p>
    <w:p w14:paraId="5555A712" w14:textId="51F73F05" w:rsidR="00E2733E" w:rsidRDefault="00E2733E" w:rsidP="00937076">
      <w:pPr>
        <w:pStyle w:val="Ttulo3"/>
        <w:jc w:val="both"/>
        <w:rPr>
          <w:rFonts w:ascii="Times New Roman" w:hAnsi="Times New Roman" w:cs="Times New Roman"/>
          <w:sz w:val="24"/>
          <w:szCs w:val="24"/>
        </w:rPr>
      </w:pPr>
      <w:bookmarkStart w:id="9" w:name="_Toc190964020"/>
      <w:r w:rsidRPr="009478F4">
        <w:rPr>
          <w:rFonts w:ascii="Times New Roman" w:hAnsi="Times New Roman" w:cs="Times New Roman"/>
          <w:sz w:val="24"/>
          <w:szCs w:val="24"/>
        </w:rPr>
        <w:t>2.3.2 Diferencias</w:t>
      </w:r>
      <w:bookmarkEnd w:id="9"/>
    </w:p>
    <w:p w14:paraId="5C1C78DF" w14:textId="77777777" w:rsidR="00D5451A" w:rsidRPr="00D5451A" w:rsidRDefault="00D5451A" w:rsidP="00937076">
      <w:pPr>
        <w:spacing w:after="0"/>
        <w:jc w:val="both"/>
      </w:pPr>
    </w:p>
    <w:p w14:paraId="469C1DAE" w14:textId="32CCEFDF" w:rsidR="00062AE0" w:rsidRPr="009478F4" w:rsidRDefault="00B33B3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Uno de los factores diferenciadores más importantes es el anonimato que ofrece el ciberbullying. Mientras que en el bullying tradicional los agresores y víctimas suelen conocerse personalmente, el ciberbullying permite a los agresores actuar sin ser identificados, lo cual puede reducir sus sentimientos de culpa y aumentar la desconexión moral (Romera et al., 2021; Wachs, 2012).</w:t>
      </w:r>
    </w:p>
    <w:p w14:paraId="6E2B8495" w14:textId="77777777" w:rsidR="00062AE0" w:rsidRPr="009478F4" w:rsidRDefault="00B33B3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Además, se ha identificado que la desconexión moral es más significativa en el ciberbullying debido a las características del entorno en línea, como la falta de contacto directo con la víctima, lo que hace más fácil ignorar las consecuencias del comportamiento agresivo (Gini et al., 2014; Zhao &amp; Yu, 2021).</w:t>
      </w:r>
    </w:p>
    <w:p w14:paraId="168A494F" w14:textId="77777777" w:rsidR="00062AE0" w:rsidRPr="009478F4" w:rsidRDefault="00062AE0"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p>
    <w:p w14:paraId="522B14DE" w14:textId="77777777" w:rsidR="00062AE0" w:rsidRPr="009478F4" w:rsidRDefault="00B33B3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El </w:t>
      </w:r>
      <w:r w:rsidRPr="009478F4">
        <w:rPr>
          <w:rFonts w:ascii="Times New Roman" w:eastAsia="Times New Roman" w:hAnsi="Times New Roman" w:cs="Times New Roman"/>
          <w:b/>
          <w:sz w:val="24"/>
          <w:szCs w:val="24"/>
        </w:rPr>
        <w:t>bullying tradicional</w:t>
      </w:r>
      <w:r w:rsidRPr="009478F4">
        <w:rPr>
          <w:rFonts w:ascii="Times New Roman" w:eastAsia="Times New Roman" w:hAnsi="Times New Roman" w:cs="Times New Roman"/>
          <w:sz w:val="24"/>
          <w:szCs w:val="24"/>
        </w:rPr>
        <w:t xml:space="preserve"> ocurre principalmente en contextos físicos, a través de interacciones cara a cara, mientras que el </w:t>
      </w:r>
      <w:r w:rsidRPr="009478F4">
        <w:rPr>
          <w:rFonts w:ascii="Times New Roman" w:eastAsia="Times New Roman" w:hAnsi="Times New Roman" w:cs="Times New Roman"/>
          <w:b/>
          <w:sz w:val="24"/>
          <w:szCs w:val="24"/>
        </w:rPr>
        <w:t>ciberbullying</w:t>
      </w:r>
      <w:r w:rsidRPr="009478F4">
        <w:rPr>
          <w:rFonts w:ascii="Times New Roman" w:eastAsia="Times New Roman" w:hAnsi="Times New Roman" w:cs="Times New Roman"/>
          <w:sz w:val="24"/>
          <w:szCs w:val="24"/>
        </w:rPr>
        <w:t xml:space="preserve"> se produce a través de dispositivos digitales, lo que permite que las agresiones sean indirectas y se difundan rápidamente en línea. Esto permite que el ciberbullying se extienda más allá del entorno escolar, lo que aumenta la exposición de la víctima.</w:t>
      </w:r>
    </w:p>
    <w:p w14:paraId="59CC7931" w14:textId="77777777" w:rsidR="00062AE0" w:rsidRPr="009478F4" w:rsidRDefault="00062AE0"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p>
    <w:p w14:paraId="1B50CB19" w14:textId="77777777" w:rsidR="005822E3" w:rsidRDefault="00B33B3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Hay </w:t>
      </w:r>
      <w:r w:rsidR="005822E3" w:rsidRPr="009478F4">
        <w:rPr>
          <w:rFonts w:ascii="Times New Roman" w:eastAsia="Times New Roman" w:hAnsi="Times New Roman" w:cs="Times New Roman"/>
          <w:sz w:val="24"/>
          <w:szCs w:val="24"/>
        </w:rPr>
        <w:t>una fluidez</w:t>
      </w:r>
      <w:r w:rsidRPr="009478F4">
        <w:rPr>
          <w:rFonts w:ascii="Times New Roman" w:eastAsia="Times New Roman" w:hAnsi="Times New Roman" w:cs="Times New Roman"/>
          <w:sz w:val="24"/>
          <w:szCs w:val="24"/>
        </w:rPr>
        <w:t xml:space="preserve"> en los roles entre el bullying y el ciberbullying, donde los individuos que son víctimas de bullying en persona pueden desarrollar comportamientos agresivos en línea, siguiendo la hipótesis de reversión de roles (Espino et al., 2022; Walters, 2021). </w:t>
      </w:r>
    </w:p>
    <w:p w14:paraId="6EE00669" w14:textId="77777777" w:rsidR="005822E3" w:rsidRDefault="005822E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p>
    <w:p w14:paraId="14521FE6" w14:textId="058C3529" w:rsidR="00062AE0" w:rsidRPr="009478F4" w:rsidRDefault="005822E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Además, varios estudios han demostrado que los alumnos que actúan como agresores en el bullying tradicional se convierten a su vez en víctimas de ciberbullying, y viceversa, que los escolares que son víctimas de bullying tienen más probabilidades de convertirse en agresores en línea (Chu et al., 2018; Li et al., 2020).</w:t>
      </w:r>
    </w:p>
    <w:p w14:paraId="2D9E7EE4" w14:textId="77777777" w:rsidR="00062AE0" w:rsidRPr="009478F4" w:rsidRDefault="00062AE0"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p>
    <w:p w14:paraId="3476BD7B" w14:textId="77777777" w:rsidR="00062AE0" w:rsidRPr="009478F4" w:rsidRDefault="00B33B3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Las consecuencias emocionales y sociales son diferentes entre ambos tipos de acoso. El bullying suele provocar problemas de ajuste social, como dificultades para interactuar en el entorno escolar. En contraste, el ciberbullying se asocia con una mayor rumiación de la ira y problemas de regulación emocional debido a su naturaleza persistente y omnipresente (Malamut &amp; Salmivalli, 2021; Camacho et al., 2021)​</w:t>
      </w:r>
    </w:p>
    <w:p w14:paraId="4A4FEA8E" w14:textId="77777777" w:rsidR="00062AE0" w:rsidRPr="009478F4" w:rsidRDefault="00062AE0"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p>
    <w:p w14:paraId="76E61F60" w14:textId="77777777" w:rsidR="00062AE0" w:rsidRPr="009478F4" w:rsidRDefault="00B33B33" w:rsidP="00937076">
      <w:pPr>
        <w:widowControl w:val="0"/>
        <w:tabs>
          <w:tab w:val="left" w:pos="1540"/>
          <w:tab w:val="left" w:pos="1541"/>
        </w:tabs>
        <w:spacing w:before="24" w:after="0" w:line="360" w:lineRule="auto"/>
        <w:ind w:right="1179"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Según Barlett (2019), el ciberacoso se distingue del bullying tradicional por cuatro características principales:</w:t>
      </w:r>
    </w:p>
    <w:p w14:paraId="754EA540" w14:textId="33BC81AB" w:rsidR="00062AE0" w:rsidRPr="005822E3" w:rsidRDefault="00B33B33" w:rsidP="00937076">
      <w:pPr>
        <w:pStyle w:val="Prrafodelista"/>
        <w:widowControl w:val="0"/>
        <w:numPr>
          <w:ilvl w:val="0"/>
          <w:numId w:val="24"/>
        </w:numPr>
        <w:tabs>
          <w:tab w:val="left" w:pos="1540"/>
          <w:tab w:val="left" w:pos="1541"/>
        </w:tabs>
        <w:spacing w:before="24" w:after="0" w:line="360" w:lineRule="auto"/>
        <w:ind w:right="1179"/>
        <w:jc w:val="both"/>
        <w:rPr>
          <w:rFonts w:ascii="Times New Roman" w:hAnsi="Times New Roman" w:cs="Times New Roman"/>
          <w:bCs/>
          <w:sz w:val="24"/>
          <w:szCs w:val="24"/>
        </w:rPr>
      </w:pPr>
      <w:r w:rsidRPr="005822E3">
        <w:rPr>
          <w:rFonts w:ascii="Times New Roman" w:eastAsia="Times New Roman" w:hAnsi="Times New Roman" w:cs="Times New Roman"/>
          <w:bCs/>
          <w:sz w:val="24"/>
          <w:szCs w:val="24"/>
        </w:rPr>
        <w:t>Anonimato: La primera característica es el anonimato, que permite a los agresores ocultar su identidad. Utilizan nombres, direcciones y cuentas falsas en redes sociales, lo que dificulta que la víctima identifique a quien la acosa.</w:t>
      </w:r>
    </w:p>
    <w:p w14:paraId="6526805C" w14:textId="08B31050" w:rsidR="00062AE0" w:rsidRPr="005822E3" w:rsidRDefault="00B33B33" w:rsidP="00937076">
      <w:pPr>
        <w:pStyle w:val="Prrafodelista"/>
        <w:widowControl w:val="0"/>
        <w:numPr>
          <w:ilvl w:val="0"/>
          <w:numId w:val="24"/>
        </w:numPr>
        <w:tabs>
          <w:tab w:val="left" w:pos="1540"/>
          <w:tab w:val="left" w:pos="1541"/>
        </w:tabs>
        <w:spacing w:before="24" w:after="0" w:line="360" w:lineRule="auto"/>
        <w:ind w:right="1179"/>
        <w:jc w:val="both"/>
        <w:rPr>
          <w:rFonts w:ascii="Times New Roman" w:eastAsia="Times New Roman" w:hAnsi="Times New Roman" w:cs="Times New Roman"/>
          <w:bCs/>
          <w:sz w:val="24"/>
          <w:szCs w:val="24"/>
        </w:rPr>
      </w:pPr>
      <w:r w:rsidRPr="005822E3">
        <w:rPr>
          <w:rFonts w:ascii="Times New Roman" w:eastAsia="Times New Roman" w:hAnsi="Times New Roman" w:cs="Times New Roman"/>
          <w:bCs/>
          <w:sz w:val="24"/>
          <w:szCs w:val="24"/>
        </w:rPr>
        <w:t>Asimetría de poder: La segunda se refiere a la asimetría de poder, ya que no hay contacto directo entre el ciberagresor y la ciber víctima.</w:t>
      </w:r>
    </w:p>
    <w:p w14:paraId="111729DC" w14:textId="799A6AF6" w:rsidR="00062AE0" w:rsidRPr="005822E3" w:rsidRDefault="00B33B33" w:rsidP="00937076">
      <w:pPr>
        <w:pStyle w:val="Prrafodelista"/>
        <w:widowControl w:val="0"/>
        <w:numPr>
          <w:ilvl w:val="0"/>
          <w:numId w:val="24"/>
        </w:numPr>
        <w:tabs>
          <w:tab w:val="left" w:pos="1540"/>
          <w:tab w:val="left" w:pos="1541"/>
        </w:tabs>
        <w:spacing w:before="24" w:after="0" w:line="360" w:lineRule="auto"/>
        <w:ind w:right="1179"/>
        <w:jc w:val="both"/>
        <w:rPr>
          <w:rFonts w:ascii="Times New Roman" w:hAnsi="Times New Roman" w:cs="Times New Roman"/>
          <w:bCs/>
          <w:sz w:val="24"/>
          <w:szCs w:val="24"/>
        </w:rPr>
      </w:pPr>
      <w:r w:rsidRPr="005822E3">
        <w:rPr>
          <w:rFonts w:ascii="Times New Roman" w:eastAsia="Times New Roman" w:hAnsi="Times New Roman" w:cs="Times New Roman"/>
          <w:bCs/>
          <w:sz w:val="24"/>
          <w:szCs w:val="24"/>
        </w:rPr>
        <w:t>Permanencia y repetición de los ataques: La tercera característica se relaciona con la permanencia y la repetición de los ataques en el tiempo. Una publicación del agresor puede ser vista y comentada por muchos de sus iguales, aumentando su impacto.</w:t>
      </w:r>
    </w:p>
    <w:p w14:paraId="40AD87A2" w14:textId="7B40DB80" w:rsidR="00062AE0" w:rsidRPr="005822E3" w:rsidRDefault="00B33B33" w:rsidP="00937076">
      <w:pPr>
        <w:pStyle w:val="Prrafodelista"/>
        <w:widowControl w:val="0"/>
        <w:numPr>
          <w:ilvl w:val="0"/>
          <w:numId w:val="24"/>
        </w:numPr>
        <w:tabs>
          <w:tab w:val="left" w:pos="1540"/>
          <w:tab w:val="left" w:pos="1541"/>
        </w:tabs>
        <w:spacing w:before="24" w:after="0" w:line="360" w:lineRule="auto"/>
        <w:ind w:right="1179"/>
        <w:jc w:val="both"/>
        <w:rPr>
          <w:rFonts w:ascii="Times New Roman" w:hAnsi="Times New Roman" w:cs="Times New Roman"/>
          <w:bCs/>
          <w:sz w:val="24"/>
          <w:szCs w:val="24"/>
        </w:rPr>
      </w:pPr>
      <w:r w:rsidRPr="005822E3">
        <w:rPr>
          <w:rFonts w:ascii="Times New Roman" w:eastAsia="Times New Roman" w:hAnsi="Times New Roman" w:cs="Times New Roman"/>
          <w:bCs/>
          <w:sz w:val="24"/>
          <w:szCs w:val="24"/>
        </w:rPr>
        <w:t>Ausencia de contacto físico: Finalmente, la cuarta característica indica que, a diferencia del bullying tradicional, el ciberbullying carece de contacto físico. Esto hace que el agresor, al no tener a la víctima presente, no sienta culpa por el daño que causa, creyendo que no está acosando a nadie (Starbuck, 2018).</w:t>
      </w:r>
    </w:p>
    <w:p w14:paraId="5C3919DB" w14:textId="77777777" w:rsidR="00062AE0" w:rsidRPr="009478F4" w:rsidRDefault="00062AE0" w:rsidP="00937076">
      <w:pPr>
        <w:widowControl w:val="0"/>
        <w:pBdr>
          <w:top w:val="nil"/>
          <w:left w:val="nil"/>
          <w:bottom w:val="nil"/>
          <w:right w:val="nil"/>
          <w:between w:val="nil"/>
        </w:pBdr>
        <w:tabs>
          <w:tab w:val="left" w:pos="1540"/>
          <w:tab w:val="left" w:pos="1541"/>
        </w:tabs>
        <w:spacing w:before="25" w:after="0" w:line="360" w:lineRule="auto"/>
        <w:jc w:val="both"/>
        <w:rPr>
          <w:rFonts w:ascii="Times New Roman" w:eastAsia="Times New Roman" w:hAnsi="Times New Roman" w:cs="Times New Roman"/>
          <w:b/>
          <w:sz w:val="24"/>
          <w:szCs w:val="24"/>
        </w:rPr>
      </w:pPr>
    </w:p>
    <w:p w14:paraId="15A1D5C1" w14:textId="6878402E" w:rsidR="00062AE0" w:rsidRPr="009478F4" w:rsidRDefault="00E2733E" w:rsidP="00937076">
      <w:pPr>
        <w:pStyle w:val="Ttulo2"/>
        <w:jc w:val="both"/>
        <w:rPr>
          <w:rFonts w:eastAsia="Times New Roman" w:cs="Times New Roman"/>
          <w:szCs w:val="24"/>
        </w:rPr>
      </w:pPr>
      <w:bookmarkStart w:id="10" w:name="_Toc190964021"/>
      <w:r w:rsidRPr="009478F4">
        <w:rPr>
          <w:rFonts w:eastAsia="Times New Roman" w:cs="Times New Roman"/>
          <w:szCs w:val="24"/>
        </w:rPr>
        <w:lastRenderedPageBreak/>
        <w:t>2.4 Regulación y tipificación del bullying y ciberbullying en España</w:t>
      </w:r>
      <w:bookmarkEnd w:id="10"/>
    </w:p>
    <w:p w14:paraId="7C9215DE" w14:textId="77777777"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Al enfrentar cualquier caso de ciberacoso, dado que se trata de una forma de violencia entre iguales, es fundamental considerar el principio del interés superior del menor. Esto asegura la protección de los derechos tanto de la víctima como del agresor, conforme a la normativa internacional y a la legislación nacional actual.</w:t>
      </w:r>
    </w:p>
    <w:p w14:paraId="0B5DCDCD" w14:textId="77777777"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En relación con el marco normativo en España, es importante señalar que no hay una ley específica que aborde la violencia contra los niños, como el acoso escolar o el ciberacoso. No obstante, se emplean diversos instrumentos normativos nacionales para abordar estas problemáticas (Orjuela et al., 2013).</w:t>
      </w:r>
    </w:p>
    <w:p w14:paraId="28ACF788" w14:textId="77777777"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Las disposiciones básicas en las que nos podemos apoyar tratar  jurídicamente este fenómeno, como establece la Instrucción 10/2005 de la Fiscalía General del Estado, las encontramos en la Convención de Derechos del Niño (CDN)12, en la Constitución y en la legislación educativa, además de en la Ley Orgánica de Responsabilidad Personal del Menor.</w:t>
      </w:r>
    </w:p>
    <w:p w14:paraId="0EA0EFE1" w14:textId="77777777"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La Constitución declara como derechos fundamentales junto al derecho a la educación (artículo 27), el derecho a la igualdad (artículo 14), derecho a la dignidad (artículo 10), derecho a la integridad física y moral (artículo 15), derecho a la libertad y seguridad (artículo 17), derecho al honor, a la intimidad personal y familiar y a la propia imagen (artículo 18), derecho a la tutela judicial efectiva (artículo 24). </w:t>
      </w:r>
    </w:p>
    <w:p w14:paraId="4F1F4B8D" w14:textId="77777777"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Además, la educación debe enfocarse en el desarrollo integral de la personalidad humana, respetando los principios democráticos de convivencia y los derechos y libertades fundamentales (art. 27.2 CE). Esta finalidad es coherente con un sistema que busca establecer la dignidad de la persona y los derechos inviolables que le corresponden, así como fomentar el libre desarrollo de la personalidad y el respeto por la ley y los derechos ajenos, considerándose esto como el "fundamento del orden político y de la paz social" (art. 10.1 CE).</w:t>
      </w:r>
    </w:p>
    <w:p w14:paraId="7EA23EA1" w14:textId="77777777"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 STC nº 120/1990, de 27 de junio, establece que la disposición del art. 10.1 CE indica que, como un valor espiritual y moral inherente a cada persona, la dignidad debe mantenerse inalterable, sin importar la situación en la que se encuentre dicha persona.</w:t>
      </w:r>
    </w:p>
    <w:p w14:paraId="36C1D41C" w14:textId="77777777" w:rsidR="005822E3" w:rsidRDefault="005822E3" w:rsidP="00937076">
      <w:pPr>
        <w:spacing w:before="280" w:after="280" w:line="360" w:lineRule="auto"/>
        <w:ind w:firstLine="720"/>
        <w:jc w:val="both"/>
        <w:rPr>
          <w:rFonts w:ascii="Times New Roman" w:eastAsia="Times New Roman" w:hAnsi="Times New Roman" w:cs="Times New Roman"/>
          <w:sz w:val="24"/>
          <w:szCs w:val="24"/>
        </w:rPr>
      </w:pPr>
    </w:p>
    <w:p w14:paraId="3149A199" w14:textId="2D948BBE"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En relación con el derecho a la educación consagrado en la Constitución Española, existen leyes orgánicas que desarrollan los principios del sistema educativo español, como la Ley Orgánica 2/2006, de 3 de mayo, de Educación (LOE), y su modificación, la Ley Orgánica 3/2020, de 29 de diciembre (LOMLOE). Esta última reconoce la importancia de la escuela en la lucha contra el acoso y el ciberacoso, estableciendo principios como la educación para la convivencia, el respeto y la resolución pacífica de conflictos. Se busca que los estudiantes identifiquen y respondan adecuadamente a cualquier forma de maltrato o discriminación (Artículo 1.k).</w:t>
      </w:r>
    </w:p>
    <w:p w14:paraId="70C92ED7" w14:textId="77777777"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Además, la LOMLOE promueve el respeto a los derechos y libertades fundamentales, la igualdad de género y la no discriminación por diversas razones, así como el ejercicio de la tolerancia y la libertad dentro de un marco democrático (Artículos 2.b y 2.c). Las autoridades educativas de cada comunidad autónoma han abordado el acoso escolar y el ciberacoso de acuerdo con la situación de los casos en sus respectivos territorios.</w:t>
      </w:r>
    </w:p>
    <w:p w14:paraId="06BF7722" w14:textId="684300CC"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En relación con lo penal, es importante mencionar que el acoso escolar puede ser considerado un delito si las conductas involucradas están tipificadas en el Código Penal. Un mismo acto de acoso puede ser clasificado como varios delitos diferentes, entre los cuales se incluyen los siguientes. El homicidio doloso e imprudente y/o asesinato (Arts. 138, 139, 140 y 142), la inducción al suicidio (Art. 143.1), las lesiones (Arts. 147 y ss.), las amenazas (Arts. 169 a 171), las coacciones (Art. 172), las injurias (Arts. 205 y 207), las calumnias (Art. 208), la agresión y abuso sexual (Arts. 178 y ss.), el acoso sexual o grooming (Art. 183 ter), el acoso no sexual o stalking (Art. 172 ter), el descubrimiento y revelación de secretos o sexting (Art. 197.7), así como el delito leve de amenazas (Art. 171.7) y el delito leve de coacciones (Art. 172.3), son delitos tipificados en el Código Penal español que abordan diversas formas de violencia y acoso.</w:t>
      </w:r>
    </w:p>
    <w:p w14:paraId="052B623C" w14:textId="6D827503" w:rsidR="00062AE0" w:rsidRPr="009478F4" w:rsidRDefault="00B33B33"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Cuando los hechos son suficientemente graves, el acoso puede ser calificado bajo el artículo 173.1 del Código Penal, que sanciona a quien inflige un trato degradante que afecta gravemente la integridad moral de otra persona. Según la STS nº 819/2002, de 8 de mayo, este delito representa el tipo básico dentro del Título VII del Libro II del Código Penal, que requiere que se produzca un trato degradante y un resultado que menoscabe gravemente la moralidad de la víctima.</w:t>
      </w:r>
    </w:p>
    <w:p w14:paraId="3D15E51D" w14:textId="77777777" w:rsidR="005822E3" w:rsidRDefault="005822E3"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p>
    <w:p w14:paraId="5E5DD176" w14:textId="44F31914" w:rsidR="00062AE0" w:rsidRPr="009478F4" w:rsidRDefault="00B33B33"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Estos delitos también pueden ocurrir en el ciberespacio, utilizando tecnologías de comunicación como internet, redes sociales y mensajería instantánea. Actualmente, los delitos informáticos reflejan que las conductas delictivas pueden llevarse a cabo en entornos virtuales, más allá del espacio físico, debido al uso de nuevas tecnologías de la información.</w:t>
      </w:r>
    </w:p>
    <w:p w14:paraId="503993AD" w14:textId="77777777" w:rsidR="00062AE0" w:rsidRPr="009478F4" w:rsidRDefault="00B33B33"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Además, la Ley Orgánica 1/2015 introdujo un nuevo delito de acoso en el artículo 172. Ter del Código Penal, definiéndolo como conductas insistentes que afectan la libertad y seguridad de la víctima mediante vigilancia y hostigamiento, con penas de prisión de tres meses a dos años o multas de seis a veinticuatro meses. Por último, se eliminó del Código Penal la tipificación de injurias y vejaciones leves entre particulares, manteniéndose solo para ciertas personas especificadas en el apartado 2 del artículo 173.</w:t>
      </w:r>
    </w:p>
    <w:p w14:paraId="4BE33EB2" w14:textId="77777777" w:rsidR="00062AE0" w:rsidRPr="009478F4" w:rsidRDefault="00062AE0" w:rsidP="00937076">
      <w:pPr>
        <w:widowControl w:val="0"/>
        <w:pBdr>
          <w:top w:val="nil"/>
          <w:left w:val="nil"/>
          <w:bottom w:val="nil"/>
          <w:right w:val="nil"/>
          <w:between w:val="nil"/>
        </w:pBdr>
        <w:tabs>
          <w:tab w:val="left" w:pos="1540"/>
          <w:tab w:val="left" w:pos="1541"/>
        </w:tabs>
        <w:spacing w:before="25" w:after="0" w:line="360" w:lineRule="auto"/>
        <w:jc w:val="both"/>
        <w:rPr>
          <w:rFonts w:ascii="Times New Roman" w:eastAsia="Times New Roman" w:hAnsi="Times New Roman" w:cs="Times New Roman"/>
          <w:b/>
          <w:sz w:val="24"/>
          <w:szCs w:val="24"/>
        </w:rPr>
      </w:pPr>
    </w:p>
    <w:p w14:paraId="67E90D40" w14:textId="4493D1EB" w:rsidR="00062AE0" w:rsidRPr="009478F4" w:rsidRDefault="00E2733E" w:rsidP="00937076">
      <w:pPr>
        <w:pStyle w:val="Ttulo2"/>
        <w:jc w:val="both"/>
        <w:rPr>
          <w:rFonts w:cs="Times New Roman"/>
          <w:szCs w:val="24"/>
        </w:rPr>
      </w:pPr>
      <w:bookmarkStart w:id="11" w:name="_Toc190964022"/>
      <w:r w:rsidRPr="009478F4">
        <w:rPr>
          <w:rFonts w:eastAsia="Times New Roman" w:cs="Times New Roman"/>
          <w:szCs w:val="24"/>
        </w:rPr>
        <w:t>2.5 Pasos a seguir ante situaciones de bullying y ciberbullying</w:t>
      </w:r>
      <w:bookmarkEnd w:id="11"/>
      <w:r w:rsidRPr="009478F4">
        <w:rPr>
          <w:rFonts w:eastAsia="Times New Roman" w:cs="Times New Roman"/>
          <w:szCs w:val="24"/>
        </w:rPr>
        <w:t xml:space="preserve"> </w:t>
      </w:r>
    </w:p>
    <w:p w14:paraId="72AE413D" w14:textId="1C35B352" w:rsidR="00062AE0" w:rsidRPr="009478F4" w:rsidRDefault="00D5451A"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En relación con el procedimiento penal es importante distinguir entre acosadores menores y mayores de 18 años, así como entre aquellos que son mayores o menores de 14 años.</w:t>
      </w:r>
    </w:p>
    <w:p w14:paraId="2209BE11" w14:textId="77777777"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Si el acosador tiene menos de 18 años pero es mayor de 14, se podrá exigir responsabilidad tanto penal como civil de acuerdo con el CP, a través del proceso penal para menores regulado por la Ley Orgánica 5/2000, de responsabilidad penal de los menores (art. 1). Las sanciones que se pueden imponer al menor infractor incluyen libertad vigilada, trabajos en beneficio de la comunidad, tareas socioeducativas y restricción de libertad durante los fines de semana.</w:t>
      </w:r>
    </w:p>
    <w:p w14:paraId="6ACD6438" w14:textId="77777777"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Si el acosador es menor de 14 años y se presenta una denuncia ante el Ministerio Fiscal, se procederá a remitir la documentación correspondiente a la dirección del centro educativo donde se producen los abusos. Esta institución tomará las medidas necesarias para poner fin a la situación de acoso y proteger al menor afectado.</w:t>
      </w:r>
    </w:p>
    <w:p w14:paraId="383E4B89" w14:textId="213B03EA" w:rsidR="00062AE0" w:rsidRPr="009478F4" w:rsidRDefault="00B33B33" w:rsidP="00937076">
      <w:pPr>
        <w:spacing w:before="280" w:after="28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En el caso de que el acosador sea mayor de 18 años, se podrá exigir responsabilidad penal y civil según el Código Penal, mediante el proceso penal ordinario regulado por la Ley de Enjuiciamiento Criminal, siendo la competencia variable dependiendo de la pena máxima prevista para el delito.</w:t>
      </w:r>
    </w:p>
    <w:p w14:paraId="78F9CC31" w14:textId="77777777" w:rsidR="005822E3" w:rsidRDefault="005822E3"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p>
    <w:p w14:paraId="0F839B77" w14:textId="77777777" w:rsidR="005822E3" w:rsidRDefault="005822E3"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p>
    <w:p w14:paraId="06346F60" w14:textId="221B61CC" w:rsidR="00062AE0" w:rsidRPr="009478F4" w:rsidRDefault="00B33B33"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 xml:space="preserve">En relación con la responsabilidad civil, la Ley Orgánica de Responsabilidad Penal del Menor (LORPM) de 2000 establece que los padres o tutores legales de los menores que cometen delitos son considerados responsables civiles por los daños causados a las víctimas, aunque hay algunas excepciones. En caso de que el autor de los hechos tenga menos de dieciocho años, sus padres, tutores o encargados legales serán responsables solidariamente por los daños ocasionados, siempre que no hayan contribuido a la conducta del menor con dolo o negligencia grave. En tales situaciones, el juez podrá moderar la responsabilidad de los padres según corresponda (artículo 61.3). </w:t>
      </w:r>
    </w:p>
    <w:p w14:paraId="7B682FD3" w14:textId="77777777" w:rsidR="00E2733E" w:rsidRPr="009478F4" w:rsidRDefault="00E2733E"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p>
    <w:p w14:paraId="5C8D734F" w14:textId="03E0ACA6" w:rsidR="00062AE0" w:rsidRPr="009478F4" w:rsidRDefault="00B33B33"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Este marco legal implica que se responsabiliza a los padres por su obligación de evitar que sus hijos actúen delictivamente, lo que resalta la importancia del control parental sobre el uso de dispositivos móviles e Internet para prevenir casos de ciberacoso.</w:t>
      </w:r>
    </w:p>
    <w:p w14:paraId="4C2E247F" w14:textId="77777777" w:rsidR="00E2733E" w:rsidRPr="009478F4" w:rsidRDefault="00E2733E"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p>
    <w:p w14:paraId="398D8B8B" w14:textId="77777777" w:rsidR="00062AE0" w:rsidRPr="009478F4" w:rsidRDefault="00B33B33" w:rsidP="00937076">
      <w:pPr>
        <w:widowControl w:val="0"/>
        <w:tabs>
          <w:tab w:val="left" w:pos="1540"/>
          <w:tab w:val="left" w:pos="1541"/>
        </w:tabs>
        <w:spacing w:before="25"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Por último, la Administración, en su calidad de responsable de los centros educativos públicos, también puede ser considerada responsable por los daños ocasionados a raíz del acoso. Dado que ofrece un servicio público, se le puede exigir responsabilidad patrimonial por los perjuicios resultantes. Cabe destacar que el Defensor del Pueblo, en su informe titulado "Violencia escolar: el maltrato entre iguales en la educación secundaria obligatoria" (Madrid, 2007), afirmaba que "la respuesta adecuada debe incluir, además de acciones preventivas, medidas en el ámbito de la disciplina escolar".</w:t>
      </w:r>
    </w:p>
    <w:p w14:paraId="062F3847" w14:textId="77777777" w:rsidR="00062AE0" w:rsidRPr="009478F4" w:rsidRDefault="00062AE0" w:rsidP="00937076">
      <w:pPr>
        <w:widowControl w:val="0"/>
        <w:tabs>
          <w:tab w:val="left" w:pos="1540"/>
          <w:tab w:val="left" w:pos="1541"/>
        </w:tabs>
        <w:spacing w:before="24" w:after="0" w:line="360" w:lineRule="auto"/>
        <w:jc w:val="both"/>
        <w:rPr>
          <w:rFonts w:ascii="Times New Roman" w:eastAsia="Times New Roman" w:hAnsi="Times New Roman" w:cs="Times New Roman"/>
          <w:sz w:val="24"/>
          <w:szCs w:val="24"/>
        </w:rPr>
      </w:pPr>
    </w:p>
    <w:p w14:paraId="5C8EBB08" w14:textId="58FE86B9" w:rsidR="00062AE0" w:rsidRPr="009478F4" w:rsidRDefault="00E2733E" w:rsidP="00937076">
      <w:pPr>
        <w:pStyle w:val="Ttulo2"/>
        <w:jc w:val="both"/>
        <w:rPr>
          <w:rFonts w:eastAsia="Times New Roman" w:cs="Times New Roman"/>
          <w:szCs w:val="24"/>
        </w:rPr>
      </w:pPr>
      <w:bookmarkStart w:id="12" w:name="_Toc190964023"/>
      <w:r w:rsidRPr="009478F4">
        <w:rPr>
          <w:rFonts w:eastAsia="Times New Roman" w:cs="Times New Roman"/>
          <w:szCs w:val="24"/>
        </w:rPr>
        <w:t>2.6 Factores que hacen el ciberbullying más difícil de detectar y controlar</w:t>
      </w:r>
      <w:bookmarkEnd w:id="12"/>
    </w:p>
    <w:p w14:paraId="6AAA076F" w14:textId="77777777" w:rsidR="00062AE0" w:rsidRPr="009478F4" w:rsidRDefault="00062AE0" w:rsidP="00937076">
      <w:pPr>
        <w:widowControl w:val="0"/>
        <w:tabs>
          <w:tab w:val="left" w:pos="1540"/>
          <w:tab w:val="left" w:pos="1541"/>
        </w:tabs>
        <w:spacing w:before="24" w:after="0" w:line="360" w:lineRule="auto"/>
        <w:jc w:val="both"/>
        <w:rPr>
          <w:rFonts w:ascii="Times New Roman" w:eastAsia="Times New Roman" w:hAnsi="Times New Roman" w:cs="Times New Roman"/>
          <w:sz w:val="24"/>
          <w:szCs w:val="24"/>
        </w:rPr>
      </w:pPr>
    </w:p>
    <w:p w14:paraId="17EC0BE3" w14:textId="77777777" w:rsidR="00062AE0" w:rsidRPr="009478F4" w:rsidRDefault="00B33B33" w:rsidP="00937076">
      <w:pPr>
        <w:widowControl w:val="0"/>
        <w:tabs>
          <w:tab w:val="left" w:pos="1540"/>
          <w:tab w:val="left" w:pos="1541"/>
        </w:tabs>
        <w:spacing w:before="24"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En primer lugar, el </w:t>
      </w:r>
      <w:r w:rsidRPr="009478F4">
        <w:rPr>
          <w:rFonts w:ascii="Times New Roman" w:eastAsia="Times New Roman" w:hAnsi="Times New Roman" w:cs="Times New Roman"/>
          <w:b/>
          <w:sz w:val="24"/>
          <w:szCs w:val="24"/>
        </w:rPr>
        <w:t>anonimato</w:t>
      </w:r>
      <w:r w:rsidRPr="009478F4">
        <w:rPr>
          <w:rFonts w:ascii="Times New Roman" w:eastAsia="Times New Roman" w:hAnsi="Times New Roman" w:cs="Times New Roman"/>
          <w:sz w:val="24"/>
          <w:szCs w:val="24"/>
        </w:rPr>
        <w:t xml:space="preserve"> permite a los agresores ocultar su identidad, lo que complica su identificación y les brinda la libertad de actuar sin temor a represalias inmediatas</w:t>
      </w:r>
      <w:r w:rsidRPr="009478F4">
        <w:rPr>
          <w:rFonts w:ascii="Times New Roman" w:eastAsia="Times New Roman" w:hAnsi="Times New Roman" w:cs="Times New Roman"/>
          <w:b/>
          <w:sz w:val="24"/>
          <w:szCs w:val="24"/>
        </w:rPr>
        <w:t>. La difusión masiva y rápida de contenido</w:t>
      </w:r>
      <w:r w:rsidRPr="009478F4">
        <w:rPr>
          <w:rFonts w:ascii="Times New Roman" w:eastAsia="Times New Roman" w:hAnsi="Times New Roman" w:cs="Times New Roman"/>
          <w:sz w:val="24"/>
          <w:szCs w:val="24"/>
        </w:rPr>
        <w:t xml:space="preserve"> dañino a través de redes sociales amplifica el impacto sobre la víctima, haciendo más difícil detener el acoso.. La </w:t>
      </w:r>
      <w:r w:rsidRPr="009478F4">
        <w:rPr>
          <w:rFonts w:ascii="Times New Roman" w:eastAsia="Times New Roman" w:hAnsi="Times New Roman" w:cs="Times New Roman"/>
          <w:b/>
          <w:sz w:val="24"/>
          <w:szCs w:val="24"/>
        </w:rPr>
        <w:t>permanencia del contenido</w:t>
      </w:r>
      <w:r w:rsidRPr="009478F4">
        <w:rPr>
          <w:rFonts w:ascii="Times New Roman" w:eastAsia="Times New Roman" w:hAnsi="Times New Roman" w:cs="Times New Roman"/>
          <w:sz w:val="24"/>
          <w:szCs w:val="24"/>
        </w:rPr>
        <w:t xml:space="preserve"> también es un problema, ya que una vez publicado, puede ser compartido repetidamente, prolongando el daño. La </w:t>
      </w:r>
      <w:r w:rsidRPr="009478F4">
        <w:rPr>
          <w:rFonts w:ascii="Times New Roman" w:eastAsia="Times New Roman" w:hAnsi="Times New Roman" w:cs="Times New Roman"/>
          <w:b/>
          <w:sz w:val="24"/>
          <w:szCs w:val="24"/>
        </w:rPr>
        <w:t>ausencia de claves contextuales</w:t>
      </w:r>
      <w:r w:rsidRPr="009478F4">
        <w:rPr>
          <w:rFonts w:ascii="Times New Roman" w:eastAsia="Times New Roman" w:hAnsi="Times New Roman" w:cs="Times New Roman"/>
          <w:sz w:val="24"/>
          <w:szCs w:val="24"/>
        </w:rPr>
        <w:t xml:space="preserve"> en la comunicación digital dificulta la interpretación de los mensajes y la gravedad del acoso, complicando el reconocimiento y la respuesta adecuada por parte de víctimas y observadores. Además, la </w:t>
      </w:r>
      <w:r w:rsidRPr="009478F4">
        <w:rPr>
          <w:rFonts w:ascii="Times New Roman" w:eastAsia="Times New Roman" w:hAnsi="Times New Roman" w:cs="Times New Roman"/>
          <w:b/>
          <w:sz w:val="24"/>
          <w:szCs w:val="24"/>
        </w:rPr>
        <w:t>ausencia de consecuencias inmediatas y la falta de interacción física</w:t>
      </w:r>
      <w:r w:rsidRPr="009478F4">
        <w:rPr>
          <w:rFonts w:ascii="Times New Roman" w:eastAsia="Times New Roman" w:hAnsi="Times New Roman" w:cs="Times New Roman"/>
          <w:sz w:val="24"/>
          <w:szCs w:val="24"/>
        </w:rPr>
        <w:t xml:space="preserve"> reducen la empatía de los agresores, lo que puede fomentar comportamientos más agresivos (Áviles, 2010). De la </w:t>
      </w:r>
      <w:r w:rsidRPr="009478F4">
        <w:rPr>
          <w:rFonts w:ascii="Times New Roman" w:eastAsia="Times New Roman" w:hAnsi="Times New Roman" w:cs="Times New Roman"/>
          <w:sz w:val="24"/>
          <w:szCs w:val="24"/>
        </w:rPr>
        <w:lastRenderedPageBreak/>
        <w:t>mano de esto, según Suler (2004), la comunicación digital puede deshumanizar a los agresores, quienes a menudo sienten menos responsabilidad por sus acciones al no ver el impacto directo de su comportamiento en la víctima.</w:t>
      </w:r>
    </w:p>
    <w:p w14:paraId="5590BFC8" w14:textId="77777777" w:rsidR="00062AE0" w:rsidRPr="009478F4" w:rsidRDefault="00062AE0" w:rsidP="00937076">
      <w:pPr>
        <w:widowControl w:val="0"/>
        <w:tabs>
          <w:tab w:val="left" w:pos="1540"/>
          <w:tab w:val="left" w:pos="1541"/>
        </w:tabs>
        <w:spacing w:before="24" w:after="0" w:line="360" w:lineRule="auto"/>
        <w:ind w:firstLine="720"/>
        <w:jc w:val="both"/>
        <w:rPr>
          <w:rFonts w:ascii="Times New Roman" w:eastAsia="Times New Roman" w:hAnsi="Times New Roman" w:cs="Times New Roman"/>
          <w:sz w:val="24"/>
          <w:szCs w:val="24"/>
        </w:rPr>
      </w:pPr>
    </w:p>
    <w:p w14:paraId="11B4E002" w14:textId="10FDED4D" w:rsidR="00E2733E" w:rsidRPr="009478F4" w:rsidRDefault="00B33B33" w:rsidP="00937076">
      <w:pPr>
        <w:widowControl w:val="0"/>
        <w:tabs>
          <w:tab w:val="left" w:pos="1540"/>
          <w:tab w:val="left" w:pos="1541"/>
        </w:tabs>
        <w:spacing w:before="24"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La </w:t>
      </w:r>
      <w:r w:rsidRPr="009478F4">
        <w:rPr>
          <w:rFonts w:ascii="Times New Roman" w:eastAsia="Times New Roman" w:hAnsi="Times New Roman" w:cs="Times New Roman"/>
          <w:b/>
          <w:sz w:val="24"/>
          <w:szCs w:val="24"/>
        </w:rPr>
        <w:t>dificultad de control parental y educativo</w:t>
      </w:r>
      <w:r w:rsidRPr="009478F4">
        <w:rPr>
          <w:rFonts w:ascii="Times New Roman" w:eastAsia="Times New Roman" w:hAnsi="Times New Roman" w:cs="Times New Roman"/>
          <w:sz w:val="24"/>
          <w:szCs w:val="24"/>
        </w:rPr>
        <w:t xml:space="preserve"> también dificulta la detección y control puesto que los padres y docentes suelen tener menos control sobre las actividades en línea de los menores. Aunque el uso de dispositivos como teléfonos móviles y aplicaciones de mensajería es casi universal entre los jóvenes, la falta de supervisión y control sobre estas actividades permite que el ciberbullying ocurra sin ser detectado por los adultos responsables. Esto también se ve agravado por el hecho de que muchos menores acceden a estos dispositivos a edades muy tempranas, sin la madurez necesaria para hacer un uso responsable de las tecnologías (Pérez Vallejo, 2017).</w:t>
      </w:r>
      <w:r w:rsidRPr="009478F4">
        <w:rPr>
          <w:rFonts w:ascii="Times New Roman" w:eastAsia="Times New Roman" w:hAnsi="Times New Roman" w:cs="Times New Roman"/>
          <w:b/>
          <w:sz w:val="24"/>
          <w:szCs w:val="24"/>
        </w:rPr>
        <w:t xml:space="preserve"> El uso de aplicaciones temporales y sin rastro</w:t>
      </w:r>
      <w:r w:rsidRPr="009478F4">
        <w:rPr>
          <w:rFonts w:ascii="Times New Roman" w:eastAsia="Times New Roman" w:hAnsi="Times New Roman" w:cs="Times New Roman"/>
          <w:sz w:val="24"/>
          <w:szCs w:val="24"/>
        </w:rPr>
        <w:t xml:space="preserve"> Snapchat, que permiten que los contenidos se borren poco después de ser vistos, dificultan la recopilación de pruebas y complican la intervención por parte de padres, docentes o incluso autoridades judiciales (Pérez Vallejo, 2017).</w:t>
      </w:r>
    </w:p>
    <w:p w14:paraId="62C7EC31" w14:textId="20FBD120" w:rsidR="00062AE0" w:rsidRPr="009478F4" w:rsidRDefault="00D5451A" w:rsidP="00937076">
      <w:pPr>
        <w:pStyle w:val="Ttulo1"/>
        <w:jc w:val="center"/>
        <w:rPr>
          <w:rFonts w:cs="Times New Roman"/>
          <w:szCs w:val="24"/>
        </w:rPr>
      </w:pPr>
      <w:bookmarkStart w:id="13" w:name="_Toc190964024"/>
      <w:r w:rsidRPr="009478F4">
        <w:rPr>
          <w:rFonts w:cs="Times New Roman"/>
          <w:szCs w:val="24"/>
        </w:rPr>
        <w:t xml:space="preserve">3. </w:t>
      </w:r>
      <w:r>
        <w:rPr>
          <w:rFonts w:cs="Times New Roman"/>
          <w:szCs w:val="24"/>
        </w:rPr>
        <w:t>C</w:t>
      </w:r>
      <w:r w:rsidRPr="009478F4">
        <w:rPr>
          <w:rFonts w:cs="Times New Roman"/>
          <w:szCs w:val="24"/>
        </w:rPr>
        <w:t>onsecuencias del bullying y ciberbullying</w:t>
      </w:r>
      <w:bookmarkEnd w:id="13"/>
    </w:p>
    <w:p w14:paraId="2ABD0E3C" w14:textId="77777777" w:rsidR="00062AE0" w:rsidRPr="009478F4" w:rsidRDefault="00B33B33" w:rsidP="00937076">
      <w:pPr>
        <w:tabs>
          <w:tab w:val="left" w:pos="82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ciberbullying es una forma de acoso que, a diferencia del bullying tradicional, ocurre a través de medios digitales, lo que lo hace más persistente y difícil de escapar para las víctimas. Este tipo de acoso puede producir efectos devastadores tanto en la salud mental como en el bienestar general de los afectados. Los estudios sobre el impacto del ciberbullying, como el realizado por la Fundación ANAR (2017), revelan que las consecuencias son diversas y de carácter muy grave, afectando no solo a la víctima directa, sino también a su entorno familiar y social.</w:t>
      </w:r>
    </w:p>
    <w:p w14:paraId="31D7E5FF" w14:textId="77777777" w:rsidR="00062AE0" w:rsidRPr="009478F4" w:rsidRDefault="00B33B33" w:rsidP="00937076">
      <w:pPr>
        <w:tabs>
          <w:tab w:val="left" w:pos="82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b/>
          <w:sz w:val="24"/>
          <w:szCs w:val="24"/>
        </w:rPr>
        <w:t>Consecuencias psicológicas graves</w:t>
      </w:r>
      <w:r w:rsidRPr="009478F4">
        <w:rPr>
          <w:rFonts w:ascii="Times New Roman" w:eastAsia="Times New Roman" w:hAnsi="Times New Roman" w:cs="Times New Roman"/>
          <w:sz w:val="24"/>
          <w:szCs w:val="24"/>
        </w:rPr>
        <w:t xml:space="preserve">. Un </w:t>
      </w:r>
      <w:r w:rsidRPr="009478F4">
        <w:rPr>
          <w:rFonts w:ascii="Times New Roman" w:eastAsia="Times New Roman" w:hAnsi="Times New Roman" w:cs="Times New Roman"/>
          <w:b/>
          <w:sz w:val="24"/>
          <w:szCs w:val="24"/>
        </w:rPr>
        <w:t>88,5%</w:t>
      </w:r>
      <w:r w:rsidRPr="009478F4">
        <w:rPr>
          <w:rFonts w:ascii="Times New Roman" w:eastAsia="Times New Roman" w:hAnsi="Times New Roman" w:cs="Times New Roman"/>
          <w:sz w:val="24"/>
          <w:szCs w:val="24"/>
        </w:rPr>
        <w:t xml:space="preserve"> de las víctimas del ciberbullying desarrolla algún tipo de problema psicológico. Entre los más frecuentes se encuentran la </w:t>
      </w:r>
      <w:r w:rsidRPr="009478F4">
        <w:rPr>
          <w:rFonts w:ascii="Times New Roman" w:eastAsia="Times New Roman" w:hAnsi="Times New Roman" w:cs="Times New Roman"/>
          <w:b/>
          <w:sz w:val="24"/>
          <w:szCs w:val="24"/>
        </w:rPr>
        <w:t>ansiedad</w:t>
      </w:r>
      <w:r w:rsidRPr="009478F4">
        <w:rPr>
          <w:rFonts w:ascii="Times New Roman" w:eastAsia="Times New Roman" w:hAnsi="Times New Roman" w:cs="Times New Roman"/>
          <w:sz w:val="24"/>
          <w:szCs w:val="24"/>
        </w:rPr>
        <w:t xml:space="preserve"> (73,8%), los </w:t>
      </w:r>
      <w:r w:rsidRPr="009478F4">
        <w:rPr>
          <w:rFonts w:ascii="Times New Roman" w:eastAsia="Times New Roman" w:hAnsi="Times New Roman" w:cs="Times New Roman"/>
          <w:b/>
          <w:sz w:val="24"/>
          <w:szCs w:val="24"/>
        </w:rPr>
        <w:t>síntomas depresivos</w:t>
      </w:r>
      <w:r w:rsidRPr="009478F4">
        <w:rPr>
          <w:rFonts w:ascii="Times New Roman" w:eastAsia="Times New Roman" w:hAnsi="Times New Roman" w:cs="Times New Roman"/>
          <w:sz w:val="24"/>
          <w:szCs w:val="24"/>
        </w:rPr>
        <w:t xml:space="preserve"> (70,5%) y el </w:t>
      </w:r>
      <w:r w:rsidRPr="009478F4">
        <w:rPr>
          <w:rFonts w:ascii="Times New Roman" w:eastAsia="Times New Roman" w:hAnsi="Times New Roman" w:cs="Times New Roman"/>
          <w:b/>
          <w:sz w:val="24"/>
          <w:szCs w:val="24"/>
        </w:rPr>
        <w:t>miedo</w:t>
      </w:r>
      <w:r w:rsidRPr="009478F4">
        <w:rPr>
          <w:rFonts w:ascii="Times New Roman" w:eastAsia="Times New Roman" w:hAnsi="Times New Roman" w:cs="Times New Roman"/>
          <w:sz w:val="24"/>
          <w:szCs w:val="24"/>
        </w:rPr>
        <w:t xml:space="preserve"> (59,0%). Estos problemas psicológicos no solo deterioran la salud mental de la víctima, sino que también afectan su desempeño académico, con un </w:t>
      </w:r>
      <w:r w:rsidRPr="009478F4">
        <w:rPr>
          <w:rFonts w:ascii="Times New Roman" w:eastAsia="Times New Roman" w:hAnsi="Times New Roman" w:cs="Times New Roman"/>
          <w:b/>
          <w:sz w:val="24"/>
          <w:szCs w:val="24"/>
        </w:rPr>
        <w:t>19,7%</w:t>
      </w:r>
      <w:r w:rsidRPr="009478F4">
        <w:rPr>
          <w:rFonts w:ascii="Times New Roman" w:eastAsia="Times New Roman" w:hAnsi="Times New Roman" w:cs="Times New Roman"/>
          <w:sz w:val="24"/>
          <w:szCs w:val="24"/>
        </w:rPr>
        <w:t xml:space="preserve"> de los afectados mostrando una disminución en su rendimiento escolar. Además, el </w:t>
      </w:r>
      <w:r w:rsidRPr="009478F4">
        <w:rPr>
          <w:rFonts w:ascii="Times New Roman" w:eastAsia="Times New Roman" w:hAnsi="Times New Roman" w:cs="Times New Roman"/>
          <w:b/>
          <w:sz w:val="24"/>
          <w:szCs w:val="24"/>
        </w:rPr>
        <w:t>aislamiento</w:t>
      </w:r>
      <w:r w:rsidRPr="009478F4">
        <w:rPr>
          <w:rFonts w:ascii="Times New Roman" w:eastAsia="Times New Roman" w:hAnsi="Times New Roman" w:cs="Times New Roman"/>
          <w:sz w:val="24"/>
          <w:szCs w:val="24"/>
        </w:rPr>
        <w:t xml:space="preserve"> y la </w:t>
      </w:r>
      <w:r w:rsidRPr="009478F4">
        <w:rPr>
          <w:rFonts w:ascii="Times New Roman" w:eastAsia="Times New Roman" w:hAnsi="Times New Roman" w:cs="Times New Roman"/>
          <w:b/>
          <w:sz w:val="24"/>
          <w:szCs w:val="24"/>
        </w:rPr>
        <w:t>soledad</w:t>
      </w:r>
      <w:r w:rsidRPr="009478F4">
        <w:rPr>
          <w:rFonts w:ascii="Times New Roman" w:eastAsia="Times New Roman" w:hAnsi="Times New Roman" w:cs="Times New Roman"/>
          <w:sz w:val="24"/>
          <w:szCs w:val="24"/>
        </w:rPr>
        <w:t xml:space="preserve"> son comunes, afectando a un </w:t>
      </w:r>
      <w:r w:rsidRPr="009478F4">
        <w:rPr>
          <w:rFonts w:ascii="Times New Roman" w:eastAsia="Times New Roman" w:hAnsi="Times New Roman" w:cs="Times New Roman"/>
          <w:b/>
          <w:sz w:val="24"/>
          <w:szCs w:val="24"/>
        </w:rPr>
        <w:t>29,5%</w:t>
      </w:r>
      <w:r w:rsidRPr="009478F4">
        <w:rPr>
          <w:rFonts w:ascii="Times New Roman" w:eastAsia="Times New Roman" w:hAnsi="Times New Roman" w:cs="Times New Roman"/>
          <w:sz w:val="24"/>
          <w:szCs w:val="24"/>
        </w:rPr>
        <w:t xml:space="preserve"> de las víctimas, lo que a su vez contribuye a un deterioro en sus relaciones sociales y su capacidad para integrarse en el entorno escolar (Fundación ANAR, 2017, p. 76).</w:t>
      </w:r>
    </w:p>
    <w:p w14:paraId="429F2514" w14:textId="77777777" w:rsidR="00062AE0" w:rsidRPr="009478F4" w:rsidRDefault="00B33B33" w:rsidP="00937076">
      <w:pPr>
        <w:tabs>
          <w:tab w:val="left" w:pos="82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b/>
          <w:sz w:val="24"/>
          <w:szCs w:val="24"/>
        </w:rPr>
        <w:lastRenderedPageBreak/>
        <w:t>Autolesiones e intentos suicidas</w:t>
      </w:r>
      <w:r w:rsidRPr="009478F4">
        <w:rPr>
          <w:rFonts w:ascii="Times New Roman" w:eastAsia="Times New Roman" w:hAnsi="Times New Roman" w:cs="Times New Roman"/>
          <w:sz w:val="24"/>
          <w:szCs w:val="24"/>
        </w:rPr>
        <w:t xml:space="preserve">. Dentro de las consecuencias más graves, se encuentran los casos de </w:t>
      </w:r>
      <w:r w:rsidRPr="009478F4">
        <w:rPr>
          <w:rFonts w:ascii="Times New Roman" w:eastAsia="Times New Roman" w:hAnsi="Times New Roman" w:cs="Times New Roman"/>
          <w:b/>
          <w:sz w:val="24"/>
          <w:szCs w:val="24"/>
        </w:rPr>
        <w:t>autolesiones</w:t>
      </w:r>
      <w:r w:rsidRPr="009478F4">
        <w:rPr>
          <w:rFonts w:ascii="Times New Roman" w:eastAsia="Times New Roman" w:hAnsi="Times New Roman" w:cs="Times New Roman"/>
          <w:sz w:val="24"/>
          <w:szCs w:val="24"/>
        </w:rPr>
        <w:t xml:space="preserve"> (2,4%), así como </w:t>
      </w:r>
      <w:r w:rsidRPr="009478F4">
        <w:rPr>
          <w:rFonts w:ascii="Times New Roman" w:eastAsia="Times New Roman" w:hAnsi="Times New Roman" w:cs="Times New Roman"/>
          <w:b/>
          <w:sz w:val="24"/>
          <w:szCs w:val="24"/>
        </w:rPr>
        <w:t>ideas suicidas</w:t>
      </w:r>
      <w:r w:rsidRPr="009478F4">
        <w:rPr>
          <w:rFonts w:ascii="Times New Roman" w:eastAsia="Times New Roman" w:hAnsi="Times New Roman" w:cs="Times New Roman"/>
          <w:sz w:val="24"/>
          <w:szCs w:val="24"/>
        </w:rPr>
        <w:t xml:space="preserve"> (4,6%) e incluso </w:t>
      </w:r>
      <w:r w:rsidRPr="009478F4">
        <w:rPr>
          <w:rFonts w:ascii="Times New Roman" w:eastAsia="Times New Roman" w:hAnsi="Times New Roman" w:cs="Times New Roman"/>
          <w:b/>
          <w:sz w:val="24"/>
          <w:szCs w:val="24"/>
        </w:rPr>
        <w:t>intentos de suicidio</w:t>
      </w:r>
      <w:r w:rsidRPr="009478F4">
        <w:rPr>
          <w:rFonts w:ascii="Times New Roman" w:eastAsia="Times New Roman" w:hAnsi="Times New Roman" w:cs="Times New Roman"/>
          <w:sz w:val="24"/>
          <w:szCs w:val="24"/>
        </w:rPr>
        <w:t xml:space="preserve"> (1,2%). Aunque estas cifras son relativamente bajas en comparación con otros problemas asociados, resultan altamente preocupantes debido al impacto extremo que representan en la vida de los jóvenes. La Fundación ANAR (2017) señala una leve disminución en el número de casos graves, pero sigue siendo un aspecto alarmante de esta problemática (Fundación ANAR, 2017, p. 77).</w:t>
      </w:r>
    </w:p>
    <w:p w14:paraId="6E5E4801" w14:textId="77777777" w:rsidR="00062AE0" w:rsidRPr="009478F4" w:rsidRDefault="00B33B33" w:rsidP="00937076">
      <w:pPr>
        <w:tabs>
          <w:tab w:val="left" w:pos="82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b/>
          <w:sz w:val="24"/>
          <w:szCs w:val="24"/>
        </w:rPr>
        <w:t>Problemas familiares</w:t>
      </w:r>
      <w:r w:rsidRPr="009478F4">
        <w:rPr>
          <w:rFonts w:ascii="Times New Roman" w:eastAsia="Times New Roman" w:hAnsi="Times New Roman" w:cs="Times New Roman"/>
          <w:sz w:val="24"/>
          <w:szCs w:val="24"/>
        </w:rPr>
        <w:t xml:space="preserve">. No solo la víctima sufre las consecuencias del ciberbullying, sino que su entorno familiar también se ve afectado de manera significativa. Se ha reportado que los familiares de las víctimas experimentan altos niveles de </w:t>
      </w:r>
      <w:r w:rsidRPr="009478F4">
        <w:rPr>
          <w:rFonts w:ascii="Times New Roman" w:eastAsia="Times New Roman" w:hAnsi="Times New Roman" w:cs="Times New Roman"/>
          <w:b/>
          <w:sz w:val="24"/>
          <w:szCs w:val="24"/>
        </w:rPr>
        <w:t>ansiedad</w:t>
      </w:r>
      <w:r w:rsidRPr="009478F4">
        <w:rPr>
          <w:rFonts w:ascii="Times New Roman" w:eastAsia="Times New Roman" w:hAnsi="Times New Roman" w:cs="Times New Roman"/>
          <w:sz w:val="24"/>
          <w:szCs w:val="24"/>
        </w:rPr>
        <w:t xml:space="preserve"> (37,7%) y </w:t>
      </w:r>
      <w:r w:rsidRPr="009478F4">
        <w:rPr>
          <w:rFonts w:ascii="Times New Roman" w:eastAsia="Times New Roman" w:hAnsi="Times New Roman" w:cs="Times New Roman"/>
          <w:b/>
          <w:sz w:val="24"/>
          <w:szCs w:val="24"/>
        </w:rPr>
        <w:t>síntomas depresivos</w:t>
      </w:r>
      <w:r w:rsidRPr="009478F4">
        <w:rPr>
          <w:rFonts w:ascii="Times New Roman" w:eastAsia="Times New Roman" w:hAnsi="Times New Roman" w:cs="Times New Roman"/>
          <w:sz w:val="24"/>
          <w:szCs w:val="24"/>
        </w:rPr>
        <w:t xml:space="preserve"> (31,1%), lo que provoca un deterioro en la capacidad de apoyo familiar y un incremento del malestar general en el hogar. Este impacto negativo en la dinámica familiar puede dificultar la intervención adecuada y el proceso de recuperación de la víctima (Fundación ANAR, 2017, p. 77).</w:t>
      </w:r>
    </w:p>
    <w:p w14:paraId="3F5075EC" w14:textId="46EFDB3A" w:rsidR="0037583C" w:rsidRPr="009478F4" w:rsidRDefault="00B33B33" w:rsidP="00937076">
      <w:pPr>
        <w:tabs>
          <w:tab w:val="left" w:pos="821"/>
        </w:tabs>
        <w:spacing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Por otro lado en este apartado, se presentarán y analizarán las principales consecuencias del ciberbullying expuestas por Garaigordobil (2011) en una tabla , basadas en una revisión exhaustiva de la literatura sobre el tema. Estas consecuencias abarcan tanto los efectos psicológicos y emocionales como los impactos físicos y académicos que sufren los implicados.</w:t>
      </w:r>
    </w:p>
    <w:p w14:paraId="5C041648" w14:textId="77777777" w:rsidR="00062AE0" w:rsidRPr="009478F4" w:rsidRDefault="00B33B33" w:rsidP="00937076">
      <w:pPr>
        <w:widowControl w:val="0"/>
        <w:pBdr>
          <w:top w:val="nil"/>
          <w:left w:val="nil"/>
          <w:bottom w:val="nil"/>
          <w:right w:val="nil"/>
          <w:between w:val="nil"/>
        </w:pBdr>
        <w:tabs>
          <w:tab w:val="left" w:pos="1540"/>
          <w:tab w:val="left" w:pos="1541"/>
        </w:tabs>
        <w:spacing w:after="0" w:line="360" w:lineRule="auto"/>
        <w:ind w:right="233"/>
        <w:jc w:val="both"/>
        <w:rPr>
          <w:rFonts w:ascii="Times New Roman" w:eastAsia="Times New Roman" w:hAnsi="Times New Roman" w:cs="Times New Roman"/>
          <w:i/>
          <w:sz w:val="24"/>
          <w:szCs w:val="24"/>
        </w:rPr>
      </w:pPr>
      <w:r w:rsidRPr="009478F4">
        <w:rPr>
          <w:rFonts w:ascii="Times New Roman" w:eastAsia="Times New Roman" w:hAnsi="Times New Roman" w:cs="Times New Roman"/>
          <w:i/>
          <w:sz w:val="24"/>
          <w:szCs w:val="24"/>
        </w:rPr>
        <w:t xml:space="preserve">Tabla 1. Consecuencias del cyberbullying para las víctimas y los agresores. </w:t>
      </w:r>
    </w:p>
    <w:tbl>
      <w:tblPr>
        <w:tblStyle w:val="1"/>
        <w:tblW w:w="922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380"/>
        <w:gridCol w:w="4845"/>
      </w:tblGrid>
      <w:tr w:rsidR="009478F4" w:rsidRPr="009478F4" w14:paraId="1DD5B307" w14:textId="77777777">
        <w:trPr>
          <w:trHeight w:val="285"/>
        </w:trPr>
        <w:tc>
          <w:tcPr>
            <w:tcW w:w="438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3D7C032"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Estudios</w:t>
            </w:r>
          </w:p>
        </w:tc>
        <w:tc>
          <w:tcPr>
            <w:tcW w:w="484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26F4F131"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Resultados</w:t>
            </w:r>
          </w:p>
        </w:tc>
      </w:tr>
      <w:tr w:rsidR="009478F4" w:rsidRPr="009478F4" w14:paraId="3A418560" w14:textId="77777777">
        <w:trPr>
          <w:trHeight w:val="1635"/>
        </w:trPr>
        <w:tc>
          <w:tcPr>
            <w:tcW w:w="43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A41DF4C"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Ybarra y Mitchell (2004)</w:t>
            </w:r>
          </w:p>
        </w:tc>
        <w:tc>
          <w:tcPr>
            <w:tcW w:w="4845" w:type="dxa"/>
            <w:tcBorders>
              <w:top w:val="nil"/>
              <w:left w:val="nil"/>
              <w:bottom w:val="single" w:sz="6" w:space="0" w:color="000000"/>
              <w:right w:val="single" w:sz="6" w:space="0" w:color="000000"/>
            </w:tcBorders>
            <w:tcMar>
              <w:top w:w="0" w:type="dxa"/>
              <w:left w:w="100" w:type="dxa"/>
              <w:bottom w:w="0" w:type="dxa"/>
              <w:right w:w="100" w:type="dxa"/>
            </w:tcMar>
          </w:tcPr>
          <w:p w14:paraId="3C203296" w14:textId="44EE5B3F"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Los alumnos involucrados en situaciones de cyberbullying, sin importar el rol que asumieran, mostraban una mayor tendencia a experimentar síntomas de depresión, así como dificultades en su conducta y en su adaptación social.</w:t>
            </w:r>
          </w:p>
        </w:tc>
      </w:tr>
      <w:tr w:rsidR="009478F4" w:rsidRPr="009478F4" w14:paraId="763B8E64" w14:textId="77777777" w:rsidTr="005822E3">
        <w:trPr>
          <w:trHeight w:val="1635"/>
        </w:trPr>
        <w:tc>
          <w:tcPr>
            <w:tcW w:w="4380" w:type="dxa"/>
            <w:tcBorders>
              <w:top w:val="nil"/>
              <w:left w:val="single" w:sz="6" w:space="0" w:color="000000"/>
              <w:bottom w:val="single" w:sz="4" w:space="0" w:color="auto"/>
              <w:right w:val="single" w:sz="6" w:space="0" w:color="000000"/>
            </w:tcBorders>
            <w:tcMar>
              <w:top w:w="0" w:type="dxa"/>
              <w:left w:w="100" w:type="dxa"/>
              <w:bottom w:w="0" w:type="dxa"/>
              <w:right w:w="100" w:type="dxa"/>
            </w:tcMar>
          </w:tcPr>
          <w:p w14:paraId="7EA68864"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Manke (2005)</w:t>
            </w:r>
          </w:p>
        </w:tc>
        <w:tc>
          <w:tcPr>
            <w:tcW w:w="4845" w:type="dxa"/>
            <w:tcBorders>
              <w:top w:val="nil"/>
              <w:left w:val="nil"/>
              <w:bottom w:val="single" w:sz="4" w:space="0" w:color="auto"/>
              <w:right w:val="single" w:sz="6" w:space="0" w:color="000000"/>
            </w:tcBorders>
            <w:tcMar>
              <w:top w:w="0" w:type="dxa"/>
              <w:left w:w="100" w:type="dxa"/>
              <w:bottom w:w="0" w:type="dxa"/>
              <w:right w:w="100" w:type="dxa"/>
            </w:tcMar>
          </w:tcPr>
          <w:p w14:paraId="55CB6055" w14:textId="55B2268C"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Los estudiantes que son blanco constante de sus compañeros sufren un deterioro en su autoestima y confianza personal, lo que incrementa sus dificultades tanto en el rendimiento académico como en la interacción con sus pares, afectando su ajuste psicosocial.</w:t>
            </w:r>
          </w:p>
        </w:tc>
      </w:tr>
      <w:tr w:rsidR="009478F4" w:rsidRPr="009478F4" w14:paraId="25F70D03" w14:textId="77777777" w:rsidTr="005822E3">
        <w:trPr>
          <w:trHeight w:val="1905"/>
        </w:trPr>
        <w:tc>
          <w:tcPr>
            <w:tcW w:w="4380" w:type="dxa"/>
            <w:tcBorders>
              <w:top w:val="single" w:sz="4" w:space="0" w:color="auto"/>
              <w:left w:val="single" w:sz="6" w:space="0" w:color="000000"/>
              <w:bottom w:val="single" w:sz="4" w:space="0" w:color="auto"/>
              <w:right w:val="single" w:sz="6" w:space="0" w:color="000000"/>
            </w:tcBorders>
            <w:tcMar>
              <w:top w:w="0" w:type="dxa"/>
              <w:left w:w="100" w:type="dxa"/>
              <w:bottom w:w="0" w:type="dxa"/>
              <w:right w:w="100" w:type="dxa"/>
            </w:tcMar>
          </w:tcPr>
          <w:p w14:paraId="65D299A6"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Hernández Prados (2006)</w:t>
            </w:r>
          </w:p>
        </w:tc>
        <w:tc>
          <w:tcPr>
            <w:tcW w:w="4845" w:type="dxa"/>
            <w:tcBorders>
              <w:top w:val="single" w:sz="4" w:space="0" w:color="auto"/>
              <w:left w:val="nil"/>
              <w:bottom w:val="single" w:sz="4" w:space="0" w:color="auto"/>
              <w:right w:val="single" w:sz="6" w:space="0" w:color="000000"/>
            </w:tcBorders>
            <w:tcMar>
              <w:top w:w="0" w:type="dxa"/>
              <w:left w:w="100" w:type="dxa"/>
              <w:bottom w:w="0" w:type="dxa"/>
              <w:right w:w="100" w:type="dxa"/>
            </w:tcMar>
          </w:tcPr>
          <w:p w14:paraId="5B5D50F1" w14:textId="75E52558"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El cyberbullying puede tener efectos severos, que van desde la depresión hasta el desarrollo de fobias. Sus manifestaciones incluyen una disminución de la autoestima, dificultades en la adaptación social y un bajo rendimiento académico. Además, quienes ejercen el acoso pueden presentar comportamientos violentos o incluso delictivos.</w:t>
            </w:r>
          </w:p>
        </w:tc>
      </w:tr>
      <w:tr w:rsidR="009478F4" w:rsidRPr="009478F4" w14:paraId="508DFFC3" w14:textId="77777777" w:rsidTr="005822E3">
        <w:trPr>
          <w:trHeight w:val="555"/>
        </w:trPr>
        <w:tc>
          <w:tcPr>
            <w:tcW w:w="4380" w:type="dxa"/>
            <w:tcBorders>
              <w:top w:val="single" w:sz="4" w:space="0" w:color="auto"/>
              <w:left w:val="single" w:sz="6" w:space="0" w:color="000000"/>
              <w:bottom w:val="single" w:sz="6" w:space="0" w:color="000000"/>
              <w:right w:val="single" w:sz="6" w:space="0" w:color="000000"/>
            </w:tcBorders>
            <w:tcMar>
              <w:top w:w="0" w:type="dxa"/>
              <w:left w:w="100" w:type="dxa"/>
              <w:bottom w:w="0" w:type="dxa"/>
              <w:right w:w="100" w:type="dxa"/>
            </w:tcMar>
          </w:tcPr>
          <w:p w14:paraId="11BAEF4E"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Li (2006)</w:t>
            </w:r>
          </w:p>
        </w:tc>
        <w:tc>
          <w:tcPr>
            <w:tcW w:w="4845" w:type="dxa"/>
            <w:tcBorders>
              <w:top w:val="single" w:sz="4" w:space="0" w:color="auto"/>
              <w:left w:val="nil"/>
              <w:bottom w:val="single" w:sz="6" w:space="0" w:color="000000"/>
              <w:right w:val="single" w:sz="6" w:space="0" w:color="000000"/>
            </w:tcBorders>
            <w:tcMar>
              <w:top w:w="0" w:type="dxa"/>
              <w:left w:w="100" w:type="dxa"/>
              <w:bottom w:w="0" w:type="dxa"/>
              <w:right w:w="100" w:type="dxa"/>
            </w:tcMar>
          </w:tcPr>
          <w:p w14:paraId="4B7B3430" w14:textId="78827A17"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Muchas víctimas terminan adoptando conductas de acoso, convirtiéndose en agresores.</w:t>
            </w:r>
          </w:p>
        </w:tc>
      </w:tr>
      <w:tr w:rsidR="009478F4" w:rsidRPr="009478F4" w14:paraId="2CFC4CAC" w14:textId="77777777" w:rsidTr="0037583C">
        <w:trPr>
          <w:trHeight w:val="825"/>
        </w:trPr>
        <w:tc>
          <w:tcPr>
            <w:tcW w:w="4380" w:type="dxa"/>
            <w:tcBorders>
              <w:top w:val="nil"/>
              <w:left w:val="single" w:sz="6" w:space="0" w:color="000000"/>
              <w:bottom w:val="single" w:sz="4" w:space="0" w:color="auto"/>
              <w:right w:val="single" w:sz="6" w:space="0" w:color="000000"/>
            </w:tcBorders>
            <w:tcMar>
              <w:top w:w="0" w:type="dxa"/>
              <w:left w:w="100" w:type="dxa"/>
              <w:bottom w:w="0" w:type="dxa"/>
              <w:right w:w="100" w:type="dxa"/>
            </w:tcMar>
          </w:tcPr>
          <w:p w14:paraId="7299AC03"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Patchin e Hinduja (2006)</w:t>
            </w:r>
          </w:p>
        </w:tc>
        <w:tc>
          <w:tcPr>
            <w:tcW w:w="4845" w:type="dxa"/>
            <w:tcBorders>
              <w:top w:val="nil"/>
              <w:left w:val="nil"/>
              <w:bottom w:val="single" w:sz="4" w:space="0" w:color="auto"/>
              <w:right w:val="single" w:sz="6" w:space="0" w:color="000000"/>
            </w:tcBorders>
            <w:tcMar>
              <w:top w:w="0" w:type="dxa"/>
              <w:left w:w="100" w:type="dxa"/>
              <w:bottom w:w="0" w:type="dxa"/>
              <w:right w:w="100" w:type="dxa"/>
            </w:tcMar>
          </w:tcPr>
          <w:p w14:paraId="0C68D692" w14:textId="37E81650"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El cyberbullying genera en las víctimas emociones como ira, frustración y depresión.</w:t>
            </w:r>
          </w:p>
        </w:tc>
      </w:tr>
      <w:tr w:rsidR="009478F4" w:rsidRPr="009478F4" w14:paraId="091D885E" w14:textId="77777777" w:rsidTr="0037583C">
        <w:trPr>
          <w:trHeight w:val="1365"/>
        </w:trPr>
        <w:tc>
          <w:tcPr>
            <w:tcW w:w="4380" w:type="dxa"/>
            <w:tcBorders>
              <w:top w:val="single" w:sz="4" w:space="0" w:color="auto"/>
              <w:left w:val="single" w:sz="6" w:space="0" w:color="000000"/>
              <w:bottom w:val="single" w:sz="6" w:space="0" w:color="000000"/>
              <w:right w:val="single" w:sz="6" w:space="0" w:color="000000"/>
            </w:tcBorders>
            <w:tcMar>
              <w:top w:w="0" w:type="dxa"/>
              <w:left w:w="100" w:type="dxa"/>
              <w:bottom w:w="0" w:type="dxa"/>
              <w:right w:w="100" w:type="dxa"/>
            </w:tcMar>
          </w:tcPr>
          <w:p w14:paraId="66162DB6"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Kowalski y Witte (2006)</w:t>
            </w:r>
          </w:p>
        </w:tc>
        <w:tc>
          <w:tcPr>
            <w:tcW w:w="4845" w:type="dxa"/>
            <w:tcBorders>
              <w:top w:val="single" w:sz="4" w:space="0" w:color="auto"/>
              <w:left w:val="nil"/>
              <w:bottom w:val="single" w:sz="6" w:space="0" w:color="000000"/>
              <w:right w:val="single" w:sz="6" w:space="0" w:color="000000"/>
            </w:tcBorders>
            <w:tcMar>
              <w:top w:w="0" w:type="dxa"/>
              <w:left w:w="100" w:type="dxa"/>
              <w:bottom w:w="0" w:type="dxa"/>
              <w:right w:w="100" w:type="dxa"/>
            </w:tcMar>
          </w:tcPr>
          <w:p w14:paraId="7BE4870A" w14:textId="6359B006"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Se observaron en las víctimas emociones como rabia, tristeza, depresión, sensación de debilidad e indefensión. Por su parte, los acosadores manifestaron agresividad, deseo de venganza, felicidad y satisfacción.</w:t>
            </w:r>
          </w:p>
        </w:tc>
      </w:tr>
      <w:tr w:rsidR="009478F4" w:rsidRPr="009478F4" w14:paraId="7E509EDE" w14:textId="77777777">
        <w:trPr>
          <w:trHeight w:val="1365"/>
        </w:trPr>
        <w:tc>
          <w:tcPr>
            <w:tcW w:w="43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D0529D5"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Wolak, Mitchell y Finkelhor (2006)</w:t>
            </w:r>
          </w:p>
        </w:tc>
        <w:tc>
          <w:tcPr>
            <w:tcW w:w="4845" w:type="dxa"/>
            <w:tcBorders>
              <w:top w:val="nil"/>
              <w:left w:val="nil"/>
              <w:bottom w:val="single" w:sz="6" w:space="0" w:color="000000"/>
              <w:right w:val="single" w:sz="6" w:space="0" w:color="000000"/>
            </w:tcBorders>
            <w:tcMar>
              <w:top w:w="0" w:type="dxa"/>
              <w:left w:w="100" w:type="dxa"/>
              <w:bottom w:w="0" w:type="dxa"/>
              <w:right w:w="100" w:type="dxa"/>
            </w:tcMar>
          </w:tcPr>
          <w:p w14:paraId="5A22A63F" w14:textId="3E1BE27B"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El 34% de las víctimas presentaba uno o más síntomas de estrés, como pensamientos recurrentes sobre el incidente, sensación de nerviosismo o irritabilidad y pérdida de interés en sus actividades.</w:t>
            </w:r>
          </w:p>
        </w:tc>
      </w:tr>
      <w:tr w:rsidR="009478F4" w:rsidRPr="009478F4" w14:paraId="6CD137EF" w14:textId="77777777">
        <w:trPr>
          <w:trHeight w:val="1095"/>
        </w:trPr>
        <w:tc>
          <w:tcPr>
            <w:tcW w:w="43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5EB9EA2"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Kowalski y Limber (2007)</w:t>
            </w:r>
          </w:p>
        </w:tc>
        <w:tc>
          <w:tcPr>
            <w:tcW w:w="4845" w:type="dxa"/>
            <w:tcBorders>
              <w:top w:val="nil"/>
              <w:left w:val="nil"/>
              <w:bottom w:val="single" w:sz="6" w:space="0" w:color="000000"/>
              <w:right w:val="single" w:sz="6" w:space="0" w:color="000000"/>
            </w:tcBorders>
            <w:tcMar>
              <w:top w:w="0" w:type="dxa"/>
              <w:left w:w="100" w:type="dxa"/>
              <w:bottom w:w="0" w:type="dxa"/>
              <w:right w:w="100" w:type="dxa"/>
            </w:tcMar>
          </w:tcPr>
          <w:p w14:paraId="6B31B3F2" w14:textId="29EF3AD1"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La falta de contacto cara a cara entre agresores y víctimas impide que los agresores observen las reacciones de la otra persona, lo que puede contribuir a una menor inhibición de la empatía.</w:t>
            </w:r>
          </w:p>
        </w:tc>
      </w:tr>
      <w:tr w:rsidR="009478F4" w:rsidRPr="009478F4" w14:paraId="6CA63909" w14:textId="77777777">
        <w:trPr>
          <w:trHeight w:val="555"/>
        </w:trPr>
        <w:tc>
          <w:tcPr>
            <w:tcW w:w="43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15BB0C1"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Beran y Li (2007)</w:t>
            </w:r>
          </w:p>
        </w:tc>
        <w:tc>
          <w:tcPr>
            <w:tcW w:w="4845" w:type="dxa"/>
            <w:tcBorders>
              <w:top w:val="nil"/>
              <w:left w:val="nil"/>
              <w:bottom w:val="single" w:sz="6" w:space="0" w:color="000000"/>
              <w:right w:val="single" w:sz="6" w:space="0" w:color="000000"/>
            </w:tcBorders>
            <w:tcMar>
              <w:top w:w="0" w:type="dxa"/>
              <w:left w:w="100" w:type="dxa"/>
              <w:bottom w:w="0" w:type="dxa"/>
              <w:right w:w="100" w:type="dxa"/>
            </w:tcMar>
          </w:tcPr>
          <w:p w14:paraId="2598A95E" w14:textId="68DE3023"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Las víctimas presentaban un bajo rendimiento académico, dificultades de concentración y altos niveles de absentismo escolar.</w:t>
            </w:r>
          </w:p>
        </w:tc>
      </w:tr>
      <w:tr w:rsidR="009478F4" w:rsidRPr="009478F4" w14:paraId="022B90C9" w14:textId="77777777">
        <w:trPr>
          <w:trHeight w:val="825"/>
        </w:trPr>
        <w:tc>
          <w:tcPr>
            <w:tcW w:w="43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FE70FD2"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Raskauskas y Stoltz (2007)</w:t>
            </w:r>
          </w:p>
        </w:tc>
        <w:tc>
          <w:tcPr>
            <w:tcW w:w="4845" w:type="dxa"/>
            <w:tcBorders>
              <w:top w:val="nil"/>
              <w:left w:val="nil"/>
              <w:bottom w:val="single" w:sz="6" w:space="0" w:color="000000"/>
              <w:right w:val="single" w:sz="6" w:space="0" w:color="000000"/>
            </w:tcBorders>
            <w:tcMar>
              <w:top w:w="0" w:type="dxa"/>
              <w:left w:w="100" w:type="dxa"/>
              <w:bottom w:w="0" w:type="dxa"/>
              <w:right w:w="100" w:type="dxa"/>
            </w:tcMar>
          </w:tcPr>
          <w:p w14:paraId="1E56C761" w14:textId="5FFD715D"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Las víctimas manifestaron sentimientos de tristeza y una menor motivación para asistir a la escuela.</w:t>
            </w:r>
          </w:p>
        </w:tc>
      </w:tr>
      <w:tr w:rsidR="009478F4" w:rsidRPr="009478F4" w14:paraId="61F4D9B6" w14:textId="77777777" w:rsidTr="00E9345A">
        <w:trPr>
          <w:trHeight w:val="1095"/>
        </w:trPr>
        <w:tc>
          <w:tcPr>
            <w:tcW w:w="43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C5E1981"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Ybarra y Mitchell (2007)</w:t>
            </w:r>
          </w:p>
        </w:tc>
        <w:tc>
          <w:tcPr>
            <w:tcW w:w="4845" w:type="dxa"/>
            <w:tcBorders>
              <w:top w:val="nil"/>
              <w:left w:val="nil"/>
              <w:bottom w:val="single" w:sz="6" w:space="0" w:color="000000"/>
              <w:right w:val="single" w:sz="6" w:space="0" w:color="000000"/>
            </w:tcBorders>
            <w:tcMar>
              <w:top w:w="0" w:type="dxa"/>
              <w:left w:w="100" w:type="dxa"/>
              <w:bottom w:w="0" w:type="dxa"/>
              <w:right w:w="100" w:type="dxa"/>
            </w:tcMar>
          </w:tcPr>
          <w:p w14:paraId="21054355" w14:textId="75D6F3C5"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Existe una fuerte relación entre el acoso a través de Internet y los problemas de conducta y ajuste psicosocial en los agresores.</w:t>
            </w:r>
          </w:p>
        </w:tc>
      </w:tr>
      <w:tr w:rsidR="009478F4" w:rsidRPr="009478F4" w14:paraId="37BDFA0E" w14:textId="77777777" w:rsidTr="00E9345A">
        <w:trPr>
          <w:trHeight w:val="1095"/>
        </w:trPr>
        <w:tc>
          <w:tcPr>
            <w:tcW w:w="4380" w:type="dxa"/>
            <w:tcBorders>
              <w:top w:val="single" w:sz="6" w:space="0" w:color="000000"/>
              <w:left w:val="single" w:sz="6" w:space="0" w:color="000000"/>
              <w:bottom w:val="single" w:sz="4" w:space="0" w:color="auto"/>
              <w:right w:val="single" w:sz="6" w:space="0" w:color="000000"/>
            </w:tcBorders>
            <w:tcMar>
              <w:top w:w="0" w:type="dxa"/>
              <w:left w:w="100" w:type="dxa"/>
              <w:bottom w:w="0" w:type="dxa"/>
              <w:right w:w="100" w:type="dxa"/>
            </w:tcMar>
          </w:tcPr>
          <w:p w14:paraId="0951000D"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Mitchell, Ybarra y Finkelhor (2007)</w:t>
            </w:r>
          </w:p>
        </w:tc>
        <w:tc>
          <w:tcPr>
            <w:tcW w:w="4845" w:type="dxa"/>
            <w:tcBorders>
              <w:top w:val="single" w:sz="6" w:space="0" w:color="000000"/>
              <w:left w:val="nil"/>
              <w:bottom w:val="single" w:sz="4" w:space="0" w:color="auto"/>
              <w:right w:val="single" w:sz="6" w:space="0" w:color="000000"/>
            </w:tcBorders>
            <w:tcMar>
              <w:top w:w="0" w:type="dxa"/>
              <w:left w:w="100" w:type="dxa"/>
              <w:bottom w:w="0" w:type="dxa"/>
              <w:right w:w="100" w:type="dxa"/>
            </w:tcMar>
          </w:tcPr>
          <w:p w14:paraId="037B998A" w14:textId="04C9777E"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Las personas que reportaron haber sido víctimas de cyberbullying presentaron tasas significativamente más altas de depresión, consumo de drogas y conductas delictivas.</w:t>
            </w:r>
          </w:p>
        </w:tc>
      </w:tr>
      <w:tr w:rsidR="009478F4" w:rsidRPr="009478F4" w14:paraId="7FD755F8" w14:textId="77777777" w:rsidTr="00E9345A">
        <w:trPr>
          <w:trHeight w:val="1095"/>
        </w:trPr>
        <w:tc>
          <w:tcPr>
            <w:tcW w:w="4380" w:type="dxa"/>
            <w:tcBorders>
              <w:top w:val="single" w:sz="4" w:space="0" w:color="auto"/>
              <w:left w:val="single" w:sz="6" w:space="0" w:color="000000"/>
              <w:bottom w:val="single" w:sz="4" w:space="0" w:color="auto"/>
              <w:right w:val="single" w:sz="6" w:space="0" w:color="000000"/>
            </w:tcBorders>
            <w:tcMar>
              <w:top w:w="0" w:type="dxa"/>
              <w:left w:w="100" w:type="dxa"/>
              <w:bottom w:w="0" w:type="dxa"/>
              <w:right w:w="100" w:type="dxa"/>
            </w:tcMar>
          </w:tcPr>
          <w:p w14:paraId="0E2ECA66"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Ybarra, Diener-West y Leaf (2007)</w:t>
            </w:r>
          </w:p>
        </w:tc>
        <w:tc>
          <w:tcPr>
            <w:tcW w:w="4845" w:type="dxa"/>
            <w:tcBorders>
              <w:top w:val="single" w:sz="4" w:space="0" w:color="auto"/>
              <w:left w:val="nil"/>
              <w:bottom w:val="single" w:sz="4" w:space="0" w:color="auto"/>
              <w:right w:val="single" w:sz="6" w:space="0" w:color="000000"/>
            </w:tcBorders>
            <w:tcMar>
              <w:top w:w="0" w:type="dxa"/>
              <w:left w:w="100" w:type="dxa"/>
              <w:bottom w:w="0" w:type="dxa"/>
              <w:right w:w="100" w:type="dxa"/>
            </w:tcMar>
          </w:tcPr>
          <w:p w14:paraId="34176054" w14:textId="46EA1763"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Los estudiantes que ejercían cyberbullying mostraban una mayor tendencia al absentismo escolar, a recibir sanciones disciplinarias como suspensiones o detenciones, e incluso a llevar armas a la escuela.</w:t>
            </w:r>
          </w:p>
        </w:tc>
      </w:tr>
      <w:tr w:rsidR="009478F4" w:rsidRPr="009478F4" w14:paraId="02884476" w14:textId="77777777" w:rsidTr="005822E3">
        <w:trPr>
          <w:trHeight w:val="1635"/>
        </w:trPr>
        <w:tc>
          <w:tcPr>
            <w:tcW w:w="4380" w:type="dxa"/>
            <w:tcBorders>
              <w:top w:val="single" w:sz="4" w:space="0" w:color="auto"/>
              <w:left w:val="single" w:sz="6" w:space="0" w:color="000000"/>
              <w:bottom w:val="single" w:sz="4" w:space="0" w:color="auto"/>
              <w:right w:val="single" w:sz="6" w:space="0" w:color="000000"/>
            </w:tcBorders>
            <w:tcMar>
              <w:top w:w="0" w:type="dxa"/>
              <w:left w:w="100" w:type="dxa"/>
              <w:bottom w:w="0" w:type="dxa"/>
              <w:right w:w="100" w:type="dxa"/>
            </w:tcMar>
          </w:tcPr>
          <w:p w14:paraId="030A1B09"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Ortega, Calmaestra y Mora Merchán (2008b)</w:t>
            </w:r>
          </w:p>
        </w:tc>
        <w:tc>
          <w:tcPr>
            <w:tcW w:w="4845" w:type="dxa"/>
            <w:tcBorders>
              <w:top w:val="single" w:sz="4" w:space="0" w:color="auto"/>
              <w:left w:val="nil"/>
              <w:bottom w:val="single" w:sz="4" w:space="0" w:color="auto"/>
              <w:right w:val="single" w:sz="6" w:space="0" w:color="000000"/>
            </w:tcBorders>
            <w:tcMar>
              <w:top w:w="0" w:type="dxa"/>
              <w:left w:w="100" w:type="dxa"/>
              <w:bottom w:w="0" w:type="dxa"/>
              <w:right w:w="100" w:type="dxa"/>
            </w:tcMar>
          </w:tcPr>
          <w:p w14:paraId="35BBD933" w14:textId="0D7BD075"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Las víctimas experimentaban con mayor frecuencia emociones como malestar, enojo, tristeza y sensación de indefensión. Por otro lado, los agresores solían creer que sus acciones no afectaban a sus víctimas, lo que refleja una falta de empatía.</w:t>
            </w:r>
          </w:p>
        </w:tc>
      </w:tr>
      <w:tr w:rsidR="009478F4" w:rsidRPr="009478F4" w14:paraId="30910786" w14:textId="77777777" w:rsidTr="0037583C">
        <w:trPr>
          <w:trHeight w:val="1095"/>
        </w:trPr>
        <w:tc>
          <w:tcPr>
            <w:tcW w:w="4380" w:type="dxa"/>
            <w:tcBorders>
              <w:top w:val="single" w:sz="4" w:space="0" w:color="auto"/>
              <w:left w:val="single" w:sz="6" w:space="0" w:color="000000"/>
              <w:bottom w:val="single" w:sz="6" w:space="0" w:color="000000"/>
              <w:right w:val="single" w:sz="6" w:space="0" w:color="000000"/>
            </w:tcBorders>
            <w:tcMar>
              <w:top w:w="0" w:type="dxa"/>
              <w:left w:w="100" w:type="dxa"/>
              <w:bottom w:w="0" w:type="dxa"/>
              <w:right w:w="100" w:type="dxa"/>
            </w:tcMar>
          </w:tcPr>
          <w:p w14:paraId="40B71F8F"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Dehue, Bolman y Völlink (2008)</w:t>
            </w:r>
          </w:p>
        </w:tc>
        <w:tc>
          <w:tcPr>
            <w:tcW w:w="4845" w:type="dxa"/>
            <w:tcBorders>
              <w:top w:val="single" w:sz="4" w:space="0" w:color="auto"/>
              <w:left w:val="nil"/>
              <w:bottom w:val="single" w:sz="6" w:space="0" w:color="000000"/>
              <w:right w:val="single" w:sz="6" w:space="0" w:color="000000"/>
            </w:tcBorders>
            <w:tcMar>
              <w:top w:w="0" w:type="dxa"/>
              <w:left w:w="100" w:type="dxa"/>
              <w:bottom w:w="0" w:type="dxa"/>
              <w:right w:w="100" w:type="dxa"/>
            </w:tcMar>
          </w:tcPr>
          <w:p w14:paraId="4C428FBC" w14:textId="00F992A4"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Las repercusiones pueden estar vinculadas a serias dificultades a nivel físico, social y psicológico, incluyendo el estrés y la depresión.</w:t>
            </w:r>
          </w:p>
        </w:tc>
      </w:tr>
      <w:tr w:rsidR="009478F4" w:rsidRPr="009478F4" w14:paraId="00BA9838" w14:textId="77777777">
        <w:trPr>
          <w:trHeight w:val="1365"/>
        </w:trPr>
        <w:tc>
          <w:tcPr>
            <w:tcW w:w="43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6DA6C8E"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Sourander, Brunstein, Ikonen et al. (2010)</w:t>
            </w:r>
          </w:p>
        </w:tc>
        <w:tc>
          <w:tcPr>
            <w:tcW w:w="4845" w:type="dxa"/>
            <w:tcBorders>
              <w:top w:val="nil"/>
              <w:left w:val="nil"/>
              <w:bottom w:val="single" w:sz="6" w:space="0" w:color="000000"/>
              <w:right w:val="single" w:sz="6" w:space="0" w:color="000000"/>
            </w:tcBorders>
            <w:tcMar>
              <w:top w:w="0" w:type="dxa"/>
              <w:left w:w="100" w:type="dxa"/>
              <w:bottom w:w="0" w:type="dxa"/>
              <w:right w:w="100" w:type="dxa"/>
            </w:tcMar>
          </w:tcPr>
          <w:p w14:paraId="44836B5D" w14:textId="0A425393" w:rsidR="00062AE0" w:rsidRPr="009478F4" w:rsidRDefault="00E9345A"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E9345A">
              <w:rPr>
                <w:rFonts w:ascii="Times New Roman" w:eastAsia="Times New Roman" w:hAnsi="Times New Roman" w:cs="Times New Roman"/>
                <w:sz w:val="24"/>
                <w:szCs w:val="24"/>
              </w:rPr>
              <w:t>Sufrir victimización se relacionó con dificultades emocionales y físicas, como cefaleas y sensación de inseguridad en el entorno escolar. Por otro lado, ejercer como agresor se asoció con conductas hiperactivas y problemas de comportamiento.</w:t>
            </w:r>
          </w:p>
        </w:tc>
      </w:tr>
      <w:tr w:rsidR="009478F4" w:rsidRPr="009478F4" w14:paraId="5726F5D2" w14:textId="77777777">
        <w:trPr>
          <w:trHeight w:val="1365"/>
        </w:trPr>
        <w:tc>
          <w:tcPr>
            <w:tcW w:w="43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16E501F"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Hinduja y Patchin (2010)</w:t>
            </w:r>
          </w:p>
        </w:tc>
        <w:tc>
          <w:tcPr>
            <w:tcW w:w="4845" w:type="dxa"/>
            <w:tcBorders>
              <w:top w:val="nil"/>
              <w:left w:val="nil"/>
              <w:bottom w:val="single" w:sz="6" w:space="0" w:color="000000"/>
              <w:right w:val="single" w:sz="6" w:space="0" w:color="000000"/>
            </w:tcBorders>
            <w:tcMar>
              <w:top w:w="0" w:type="dxa"/>
              <w:left w:w="100" w:type="dxa"/>
              <w:bottom w:w="0" w:type="dxa"/>
              <w:right w:w="100" w:type="dxa"/>
            </w:tcMar>
          </w:tcPr>
          <w:p w14:paraId="24EB8703" w14:textId="7D9A424F" w:rsidR="00FA4DC1" w:rsidRPr="00FA4DC1" w:rsidRDefault="00FA4DC1" w:rsidP="00FA4DC1">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 quinto</w:t>
            </w:r>
            <w:r w:rsidRPr="00FA4DC1">
              <w:rPr>
                <w:rFonts w:ascii="Times New Roman" w:eastAsia="Times New Roman" w:hAnsi="Times New Roman" w:cs="Times New Roman"/>
                <w:sz w:val="24"/>
                <w:szCs w:val="24"/>
              </w:rPr>
              <w:t xml:space="preserve"> de las víctimas reportó haber tenido pensamientos suicidas de manera seria. Además, todas las formas de bullying mostraron una asociación significativa con un aumento en la ideación suicida.</w:t>
            </w:r>
          </w:p>
          <w:p w14:paraId="50047C72" w14:textId="12B66FE9" w:rsidR="00062AE0" w:rsidRPr="009478F4" w:rsidRDefault="00062AE0"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p>
        </w:tc>
      </w:tr>
      <w:tr w:rsidR="009478F4" w:rsidRPr="009478F4" w14:paraId="28D46A1E" w14:textId="77777777" w:rsidTr="00FA4DC1">
        <w:trPr>
          <w:trHeight w:val="1635"/>
        </w:trPr>
        <w:tc>
          <w:tcPr>
            <w:tcW w:w="438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CB157B4"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Kowalski, Limber y Agatston (2010)</w:t>
            </w:r>
          </w:p>
        </w:tc>
        <w:tc>
          <w:tcPr>
            <w:tcW w:w="4845" w:type="dxa"/>
            <w:tcBorders>
              <w:top w:val="nil"/>
              <w:left w:val="nil"/>
              <w:bottom w:val="single" w:sz="6" w:space="0" w:color="000000"/>
              <w:right w:val="single" w:sz="6" w:space="0" w:color="000000"/>
            </w:tcBorders>
            <w:tcMar>
              <w:top w:w="0" w:type="dxa"/>
              <w:left w:w="100" w:type="dxa"/>
              <w:bottom w:w="0" w:type="dxa"/>
              <w:right w:w="100" w:type="dxa"/>
            </w:tcMar>
          </w:tcPr>
          <w:p w14:paraId="0A7E42C6" w14:textId="3993413B" w:rsidR="00062AE0" w:rsidRPr="009478F4" w:rsidRDefault="00FA4DC1"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Los impactos del cyberbullying pueden asemejarse a los del acoso escolar tradicional, incluyendo depresión, baja autoestima, sensación de indefensión, ansiedad social, dificultades de concentración, aislamiento y pensamientos suicidas.</w:t>
            </w:r>
          </w:p>
        </w:tc>
      </w:tr>
      <w:tr w:rsidR="009478F4" w:rsidRPr="009478F4" w14:paraId="785E17D8" w14:textId="77777777" w:rsidTr="00FA4DC1">
        <w:trPr>
          <w:trHeight w:val="825"/>
        </w:trPr>
        <w:tc>
          <w:tcPr>
            <w:tcW w:w="4380" w:type="dxa"/>
            <w:tcBorders>
              <w:top w:val="single" w:sz="6" w:space="0" w:color="000000"/>
              <w:left w:val="single" w:sz="6" w:space="0" w:color="000000"/>
              <w:bottom w:val="single" w:sz="4" w:space="0" w:color="auto"/>
              <w:right w:val="single" w:sz="6" w:space="0" w:color="000000"/>
            </w:tcBorders>
            <w:tcMar>
              <w:top w:w="0" w:type="dxa"/>
              <w:left w:w="100" w:type="dxa"/>
              <w:bottom w:w="0" w:type="dxa"/>
              <w:right w:w="100" w:type="dxa"/>
            </w:tcMar>
          </w:tcPr>
          <w:p w14:paraId="77F7BF9C" w14:textId="77777777" w:rsidR="00062AE0" w:rsidRPr="009478F4" w:rsidRDefault="00B33B33"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Erdur-Baker y Tanrikulu (2010)</w:t>
            </w:r>
          </w:p>
        </w:tc>
        <w:tc>
          <w:tcPr>
            <w:tcW w:w="4845" w:type="dxa"/>
            <w:tcBorders>
              <w:top w:val="single" w:sz="6" w:space="0" w:color="000000"/>
              <w:left w:val="nil"/>
              <w:bottom w:val="single" w:sz="4" w:space="0" w:color="auto"/>
              <w:right w:val="single" w:sz="6" w:space="0" w:color="000000"/>
            </w:tcBorders>
            <w:tcMar>
              <w:top w:w="0" w:type="dxa"/>
              <w:left w:w="100" w:type="dxa"/>
              <w:bottom w:w="0" w:type="dxa"/>
              <w:right w:w="100" w:type="dxa"/>
            </w:tcMar>
          </w:tcPr>
          <w:p w14:paraId="767EC525" w14:textId="1B617B68" w:rsidR="00062AE0" w:rsidRPr="009478F4" w:rsidRDefault="00FA4DC1" w:rsidP="00937076">
            <w:pPr>
              <w:widowControl w:val="0"/>
              <w:tabs>
                <w:tab w:val="left" w:pos="1540"/>
                <w:tab w:val="left" w:pos="1541"/>
              </w:tabs>
              <w:spacing w:before="240" w:after="0" w:line="276" w:lineRule="auto"/>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Se observó un nivel más elevado de síntomas depresivos en quienes habían sufrido cyberbullying.</w:t>
            </w:r>
          </w:p>
        </w:tc>
      </w:tr>
    </w:tbl>
    <w:p w14:paraId="4CC5BFF7" w14:textId="77777777" w:rsidR="00062AE0" w:rsidRDefault="00B33B33" w:rsidP="00937076">
      <w:pPr>
        <w:widowControl w:val="0"/>
        <w:tabs>
          <w:tab w:val="left" w:pos="1540"/>
          <w:tab w:val="left" w:pos="1541"/>
        </w:tabs>
        <w:spacing w:before="240" w:after="240" w:line="360"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 </w:t>
      </w:r>
    </w:p>
    <w:p w14:paraId="0F031D58" w14:textId="77777777" w:rsidR="005822E3" w:rsidRDefault="005822E3" w:rsidP="00937076">
      <w:pPr>
        <w:widowControl w:val="0"/>
        <w:tabs>
          <w:tab w:val="left" w:pos="1540"/>
          <w:tab w:val="left" w:pos="1541"/>
        </w:tabs>
        <w:spacing w:before="240" w:after="240" w:line="360" w:lineRule="auto"/>
        <w:jc w:val="both"/>
        <w:rPr>
          <w:rFonts w:ascii="Times New Roman" w:eastAsia="Times New Roman" w:hAnsi="Times New Roman" w:cs="Times New Roman"/>
          <w:sz w:val="24"/>
          <w:szCs w:val="24"/>
        </w:rPr>
      </w:pPr>
    </w:p>
    <w:p w14:paraId="0434A18A" w14:textId="77777777" w:rsidR="005822E3" w:rsidRPr="009478F4" w:rsidRDefault="005822E3" w:rsidP="00937076">
      <w:pPr>
        <w:widowControl w:val="0"/>
        <w:tabs>
          <w:tab w:val="left" w:pos="1540"/>
          <w:tab w:val="left" w:pos="1541"/>
        </w:tabs>
        <w:spacing w:before="240" w:after="240" w:line="360" w:lineRule="auto"/>
        <w:jc w:val="both"/>
        <w:rPr>
          <w:rFonts w:ascii="Times New Roman" w:eastAsia="Times New Roman" w:hAnsi="Times New Roman" w:cs="Times New Roman"/>
          <w:sz w:val="24"/>
          <w:szCs w:val="24"/>
        </w:rPr>
      </w:pPr>
    </w:p>
    <w:p w14:paraId="5962425E" w14:textId="77777777" w:rsidR="00062AE0" w:rsidRPr="009478F4" w:rsidRDefault="00B33B33" w:rsidP="00937076">
      <w:pPr>
        <w:pStyle w:val="Ttulo1"/>
        <w:jc w:val="center"/>
        <w:rPr>
          <w:rFonts w:cs="Times New Roman"/>
          <w:szCs w:val="24"/>
        </w:rPr>
      </w:pPr>
      <w:bookmarkStart w:id="14" w:name="_heading=h.1q3wzttfhk9" w:colFirst="0" w:colLast="0"/>
      <w:bookmarkStart w:id="15" w:name="_Toc190964025"/>
      <w:bookmarkEnd w:id="14"/>
      <w:r w:rsidRPr="009478F4">
        <w:rPr>
          <w:rFonts w:cs="Times New Roman"/>
          <w:szCs w:val="24"/>
        </w:rPr>
        <w:t>4. Formas de prevención y detección</w:t>
      </w:r>
      <w:bookmarkEnd w:id="15"/>
    </w:p>
    <w:p w14:paraId="2998EF9C" w14:textId="77777777" w:rsidR="00062AE0" w:rsidRPr="009478F4" w:rsidRDefault="00062AE0" w:rsidP="00937076">
      <w:pPr>
        <w:widowControl w:val="0"/>
        <w:tabs>
          <w:tab w:val="left" w:pos="1540"/>
          <w:tab w:val="left" w:pos="1541"/>
        </w:tabs>
        <w:spacing w:before="7" w:after="0" w:line="360" w:lineRule="auto"/>
        <w:ind w:right="106"/>
        <w:jc w:val="both"/>
        <w:rPr>
          <w:rFonts w:ascii="Times New Roman" w:eastAsia="Times New Roman" w:hAnsi="Times New Roman" w:cs="Times New Roman"/>
          <w:sz w:val="24"/>
          <w:szCs w:val="24"/>
        </w:rPr>
      </w:pPr>
    </w:p>
    <w:p w14:paraId="6B2CF6E1" w14:textId="77777777" w:rsidR="00062AE0" w:rsidRPr="009478F4" w:rsidRDefault="00B33B33" w:rsidP="00937076">
      <w:pPr>
        <w:pStyle w:val="Ttulo2"/>
        <w:jc w:val="both"/>
        <w:rPr>
          <w:rFonts w:eastAsia="Times New Roman" w:cs="Times New Roman"/>
          <w:szCs w:val="24"/>
        </w:rPr>
      </w:pPr>
      <w:bookmarkStart w:id="16" w:name="_Toc190964026"/>
      <w:r w:rsidRPr="009478F4">
        <w:rPr>
          <w:rFonts w:eastAsia="Times New Roman" w:cs="Times New Roman"/>
          <w:szCs w:val="24"/>
        </w:rPr>
        <w:t>4.1 Prevención en el ámbito escolar</w:t>
      </w:r>
      <w:bookmarkEnd w:id="16"/>
    </w:p>
    <w:p w14:paraId="37081352" w14:textId="77777777" w:rsidR="00062AE0" w:rsidRPr="009478F4" w:rsidRDefault="00062AE0" w:rsidP="00937076">
      <w:pPr>
        <w:widowControl w:val="0"/>
        <w:tabs>
          <w:tab w:val="left" w:pos="1540"/>
          <w:tab w:val="left" w:pos="1541"/>
        </w:tabs>
        <w:spacing w:before="7" w:after="0" w:line="360" w:lineRule="auto"/>
        <w:ind w:right="106"/>
        <w:jc w:val="both"/>
        <w:rPr>
          <w:rFonts w:ascii="Times New Roman" w:eastAsia="Times New Roman" w:hAnsi="Times New Roman" w:cs="Times New Roman"/>
          <w:b/>
          <w:sz w:val="24"/>
          <w:szCs w:val="24"/>
        </w:rPr>
      </w:pPr>
    </w:p>
    <w:p w14:paraId="4BD9F4C0" w14:textId="4A94B1A1" w:rsidR="00062AE0" w:rsidRPr="009478F4" w:rsidRDefault="00B33B33" w:rsidP="00937076">
      <w:pPr>
        <w:widowControl w:val="0"/>
        <w:tabs>
          <w:tab w:val="left" w:pos="1540"/>
          <w:tab w:val="left" w:pos="1541"/>
        </w:tabs>
        <w:spacing w:before="24"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La intervención escolar frente al ciberacoso es esencial para garantizar un ambiente seguro y positivo en los centros educativos. Este tipo de intervención no solo busca resolver conflictos, sino también prevenirlos, implicando a toda la comunidad educativa. </w:t>
      </w:r>
    </w:p>
    <w:p w14:paraId="038F39ED" w14:textId="77777777" w:rsidR="00062AE0" w:rsidRPr="009478F4" w:rsidRDefault="00B33B33" w:rsidP="00937076">
      <w:pPr>
        <w:widowControl w:val="0"/>
        <w:tabs>
          <w:tab w:val="left" w:pos="1540"/>
          <w:tab w:val="left" w:pos="1541"/>
        </w:tabs>
        <w:spacing w:before="24"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Para Ortega y Córdoba (2006) “La prevención del acoso escolar significa anticipación a la aparición de situaciones que puedan obstaculizar el desarrollo de una personalidad sana e integrada, propiciando que pueda desarrollar al máximo sus potencialidades”. </w:t>
      </w:r>
    </w:p>
    <w:p w14:paraId="28ADFA36"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Las estrategias preventivas en el ámbito escolar se centran en minimizar los factores de riesgo y maximizar aquellos que protegen a los estudiantes, mediante la intervención de todos los actores involucrados, desde la familia hasta los medios de comunicación.</w:t>
      </w:r>
    </w:p>
    <w:p w14:paraId="3564BD8A"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enfoque preventivo abarca a los tres grandes agentes de socialización: la familia, la escuela y los medios de comunicación. La escuela tiene un papel fundamental, pero la familia debe asumir una responsabilidad clave en la formación de valores y normas de convivencia democrática. Los medios de comunicación, por su parte, influyen considerablemente en la representación social de la violencia, por lo que se sugiere que desarrollen un código ético para evitar la normalización de comportamientos agresivos.</w:t>
      </w:r>
    </w:p>
    <w:p w14:paraId="74C81B64"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En cuanto a las propuestas de intervención educativa, Ortega y cols. (1988) proponen un modelo efectivo de prevención del acoso el cual debe basarse en dos elementos clave dentro de los centros educativos: el proceso de enseñanza-aprendizaje y las relaciones interpersonales que se desarrollan en el entorno escolar. Ambos aspectos son inseparables y esenciales para abordar de manera integral el problema del acoso.</w:t>
      </w:r>
    </w:p>
    <w:p w14:paraId="06D0FAA5" w14:textId="30FC76D5" w:rsidR="005822E3" w:rsidRPr="009478F4" w:rsidRDefault="00E2733E" w:rsidP="005872C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En este apartado basándonos en lo, se abordarán las estrategias de prevención en sus distintos niveles —primaria, secundaria y terciaria—, con el objetivo de fomentar una convivencia saludable.</w:t>
      </w:r>
    </w:p>
    <w:p w14:paraId="3BCFB760" w14:textId="0FCE30B7" w:rsidR="00062AE0" w:rsidRPr="0037583C" w:rsidRDefault="00684D17" w:rsidP="00937076">
      <w:pPr>
        <w:pStyle w:val="Ttulo3"/>
        <w:keepNext w:val="0"/>
        <w:keepLines w:val="0"/>
        <w:widowControl w:val="0"/>
        <w:tabs>
          <w:tab w:val="left" w:pos="1540"/>
          <w:tab w:val="left" w:pos="1541"/>
        </w:tabs>
        <w:spacing w:line="360" w:lineRule="auto"/>
        <w:jc w:val="both"/>
        <w:rPr>
          <w:rFonts w:ascii="Times New Roman" w:eastAsia="Times New Roman" w:hAnsi="Times New Roman" w:cs="Times New Roman"/>
          <w:bCs/>
          <w:i/>
          <w:iCs/>
          <w:sz w:val="24"/>
          <w:szCs w:val="24"/>
        </w:rPr>
      </w:pPr>
      <w:bookmarkStart w:id="17" w:name="_heading=h.o6a2gh11wey0" w:colFirst="0" w:colLast="0"/>
      <w:bookmarkStart w:id="18" w:name="_Toc190964027"/>
      <w:bookmarkEnd w:id="17"/>
      <w:r w:rsidRPr="0037583C">
        <w:rPr>
          <w:rFonts w:ascii="Times New Roman" w:eastAsia="Times New Roman" w:hAnsi="Times New Roman" w:cs="Times New Roman"/>
          <w:bCs/>
          <w:i/>
          <w:iCs/>
          <w:sz w:val="24"/>
          <w:szCs w:val="24"/>
        </w:rPr>
        <w:t>4.1.1 Estrategias de prevención primaria</w:t>
      </w:r>
      <w:bookmarkEnd w:id="18"/>
    </w:p>
    <w:p w14:paraId="2ABAB505"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 prevención primaria tiene como objetivo principal evitar la aparición de problemas antes de que se desarrollen. Este nivel de prevención está dirigido a toda la comunidad educativa, incluyendo alumnado, familias, profesorado y la sociedad en general (Rodríguez Espinar, 1993). En este nivel, Ortega et al. (1998) destacan tres programas fundamentales: la gestión democrática de la convivencia, el trabajo en grupo cooperativo y la educación en sentimientos, emociones y valores.</w:t>
      </w:r>
    </w:p>
    <w:p w14:paraId="57BF3DCF" w14:textId="77777777" w:rsidR="00062AE0" w:rsidRPr="009478F4" w:rsidRDefault="00B33B33" w:rsidP="00937076">
      <w:pPr>
        <w:pStyle w:val="Ttulo4"/>
        <w:keepNext w:val="0"/>
        <w:keepLines w:val="0"/>
        <w:widowControl w:val="0"/>
        <w:tabs>
          <w:tab w:val="left" w:pos="1540"/>
          <w:tab w:val="left" w:pos="1541"/>
        </w:tabs>
        <w:spacing w:line="360" w:lineRule="auto"/>
        <w:jc w:val="both"/>
        <w:rPr>
          <w:rFonts w:ascii="Times New Roman" w:eastAsia="Times New Roman" w:hAnsi="Times New Roman" w:cs="Times New Roman"/>
          <w:b w:val="0"/>
        </w:rPr>
      </w:pPr>
      <w:bookmarkStart w:id="19" w:name="_heading=h.cz3mgvfn7o2g" w:colFirst="0" w:colLast="0"/>
      <w:bookmarkEnd w:id="19"/>
      <w:r w:rsidRPr="009478F4">
        <w:rPr>
          <w:rFonts w:ascii="Times New Roman" w:eastAsia="Times New Roman" w:hAnsi="Times New Roman" w:cs="Times New Roman"/>
          <w:b w:val="0"/>
        </w:rPr>
        <w:t>a) Gestión democrática de la convivencia</w:t>
      </w:r>
    </w:p>
    <w:p w14:paraId="5EB3027E"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Este enfoque aboga por la creación de normas de convivencia consensuadas entre todos los miembros de la comunidad educativa, lo que incluye la participación activa de alumnado, profesorado y familias. Según Ortega et al. (1998), este proceso implica el establecimiento de un modelo disciplinario claro, donde las prohibiciones sean conocidas y aceptadas por todos, favoreciendo un clima de libertad, igualdad y solidaridad. La idea es que el alumnado no solo conozca sus derechos, sino también sus deberes, lo cual fomenta la responsabilidad compartida.</w:t>
      </w:r>
    </w:p>
    <w:p w14:paraId="322304CB" w14:textId="0375D63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Además, el profesorado juega un papel crucial en la creación de un perfil sobre lo que habitualmente sucede en el aula y en la predicción de posibles conflictos interpersonales. Esto incluye no sólo las relaciones entre el profesorado y el alumnado, sino también las relaciones entre los propios estudiantes (Ortega et al., 1998). Las normas de convivencia deben ser negociadas y revisadas periódicamente para garantizar su adecuación a las necesidades cambiantes de la comunidad educativa.</w:t>
      </w:r>
    </w:p>
    <w:p w14:paraId="047BA38F" w14:textId="77777777" w:rsidR="00062AE0" w:rsidRPr="009478F4" w:rsidRDefault="00B33B33" w:rsidP="00937076">
      <w:pPr>
        <w:pStyle w:val="Ttulo4"/>
        <w:keepNext w:val="0"/>
        <w:keepLines w:val="0"/>
        <w:widowControl w:val="0"/>
        <w:tabs>
          <w:tab w:val="left" w:pos="1540"/>
          <w:tab w:val="left" w:pos="1541"/>
        </w:tabs>
        <w:spacing w:line="360" w:lineRule="auto"/>
        <w:jc w:val="both"/>
        <w:rPr>
          <w:rFonts w:ascii="Times New Roman" w:eastAsia="Times New Roman" w:hAnsi="Times New Roman" w:cs="Times New Roman"/>
          <w:b w:val="0"/>
        </w:rPr>
      </w:pPr>
      <w:bookmarkStart w:id="20" w:name="_heading=h.cg99mns56y55" w:colFirst="0" w:colLast="0"/>
      <w:bookmarkEnd w:id="20"/>
      <w:r w:rsidRPr="009478F4">
        <w:rPr>
          <w:rFonts w:ascii="Times New Roman" w:eastAsia="Times New Roman" w:hAnsi="Times New Roman" w:cs="Times New Roman"/>
          <w:b w:val="0"/>
        </w:rPr>
        <w:t>b) Trabajo en grupo cooperativo</w:t>
      </w:r>
    </w:p>
    <w:p w14:paraId="163E6730"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El trabajo en grupo cooperativo es una estrategia educativa que fomenta la interacción social y la cooperación entre los estudiantes, lo que contribuye significativamente a la construcción de un entorno de convivencia positiva. Córdoba, Romera, Monks y Ortega (2005) señalan que esta metodología requiere la participación en grupos heterogéneos, donde los estudiantes dependen unos de otros para alcanzar objetivos comunes. Según Johnson y Johnson </w:t>
      </w:r>
      <w:r w:rsidRPr="009478F4">
        <w:rPr>
          <w:rFonts w:ascii="Times New Roman" w:eastAsia="Times New Roman" w:hAnsi="Times New Roman" w:cs="Times New Roman"/>
          <w:sz w:val="24"/>
          <w:szCs w:val="24"/>
        </w:rPr>
        <w:lastRenderedPageBreak/>
        <w:t>(1994), el aprendizaje cooperativo se basa en cinco principios clave: interdependencia positiva, interacción cara a cara, responsabilidad individual, desarrollo de habilidades interpersonales y evaluación grupal.</w:t>
      </w:r>
    </w:p>
    <w:p w14:paraId="730965CA"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Este enfoque promueve la solidaridad y los vínculos afectivos entre los estudiantes, al tiempo que fomenta un ambiente inclusivo y democrático. Ortega et al. (1998) subrayan que este tipo de trabajo no solo favorece el aprendizaje académico, sino también el desarrollo de actitudes positivas hacia los demás, independientemente de las diferencias culturales, sociales o intelectuales que puedan existir entre los estudiantes.</w:t>
      </w:r>
    </w:p>
    <w:p w14:paraId="4A92EFEB" w14:textId="77777777" w:rsidR="00062AE0" w:rsidRPr="009478F4" w:rsidRDefault="00B33B33" w:rsidP="00937076">
      <w:pPr>
        <w:pStyle w:val="Ttulo4"/>
        <w:keepNext w:val="0"/>
        <w:keepLines w:val="0"/>
        <w:widowControl w:val="0"/>
        <w:tabs>
          <w:tab w:val="left" w:pos="1540"/>
          <w:tab w:val="left" w:pos="1541"/>
        </w:tabs>
        <w:spacing w:line="360" w:lineRule="auto"/>
        <w:jc w:val="both"/>
        <w:rPr>
          <w:rFonts w:ascii="Times New Roman" w:eastAsia="Times New Roman" w:hAnsi="Times New Roman" w:cs="Times New Roman"/>
          <w:b w:val="0"/>
        </w:rPr>
      </w:pPr>
      <w:bookmarkStart w:id="21" w:name="_heading=h.20rj12k82zu5" w:colFirst="0" w:colLast="0"/>
      <w:bookmarkEnd w:id="21"/>
      <w:r w:rsidRPr="009478F4">
        <w:rPr>
          <w:rFonts w:ascii="Times New Roman" w:eastAsia="Times New Roman" w:hAnsi="Times New Roman" w:cs="Times New Roman"/>
          <w:b w:val="0"/>
        </w:rPr>
        <w:t>c) Educación en sentimientos, emociones y valores</w:t>
      </w:r>
    </w:p>
    <w:p w14:paraId="020AD5D4"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 educación en sentimientos, emociones y valores es esencial para el desarrollo de una convivencia saludable dentro del aula. Ortega et al. (1998) destacan que las relaciones interpersonales en la escuela están cargadas de emociones, y es crucial que el alumnado aprenda a reconocer y gestionar estas emociones de manera constructiva. Este tipo de educación no debe limitarse a la acción tutorial, sino que debe ser una parte integral del proceso de enseñanza y aprendizaje diario.</w:t>
      </w:r>
    </w:p>
    <w:p w14:paraId="74B9D61E"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objetivo es que los estudiantes desarrollen habilidades emocionales que les permitan comprender tanto sus propios sentimientos como los de los demás, fomentando la empatía y el respeto mutuo. La utilización de dilemas morales, historietas con contenido ético y la discusión sobre situaciones que requieren posicionamientos éticos son herramientas útiles para promover este tipo de educación en valores (Ortega et al., 1998).</w:t>
      </w:r>
    </w:p>
    <w:p w14:paraId="699B4A3B" w14:textId="081E4618" w:rsidR="00062AE0" w:rsidRPr="0037583C" w:rsidRDefault="00684D17" w:rsidP="00937076">
      <w:pPr>
        <w:pStyle w:val="Ttulo3"/>
        <w:keepNext w:val="0"/>
        <w:keepLines w:val="0"/>
        <w:widowControl w:val="0"/>
        <w:tabs>
          <w:tab w:val="left" w:pos="1540"/>
          <w:tab w:val="left" w:pos="1541"/>
        </w:tabs>
        <w:spacing w:line="360" w:lineRule="auto"/>
        <w:jc w:val="both"/>
        <w:rPr>
          <w:rFonts w:ascii="Times New Roman" w:eastAsia="Times New Roman" w:hAnsi="Times New Roman" w:cs="Times New Roman"/>
          <w:bCs/>
          <w:i/>
          <w:iCs/>
          <w:sz w:val="24"/>
          <w:szCs w:val="24"/>
        </w:rPr>
      </w:pPr>
      <w:bookmarkStart w:id="22" w:name="_heading=h.rpi5wr8sbni1" w:colFirst="0" w:colLast="0"/>
      <w:bookmarkStart w:id="23" w:name="_heading=h.8ys84x1k95fy" w:colFirst="0" w:colLast="0"/>
      <w:bookmarkStart w:id="24" w:name="_heading=h.yuu5tbjd48d3" w:colFirst="0" w:colLast="0"/>
      <w:bookmarkStart w:id="25" w:name="_Toc190964028"/>
      <w:bookmarkEnd w:id="22"/>
      <w:bookmarkEnd w:id="23"/>
      <w:bookmarkEnd w:id="24"/>
      <w:r w:rsidRPr="0037583C">
        <w:rPr>
          <w:rFonts w:ascii="Times New Roman" w:eastAsia="Times New Roman" w:hAnsi="Times New Roman" w:cs="Times New Roman"/>
          <w:bCs/>
          <w:i/>
          <w:iCs/>
          <w:sz w:val="24"/>
          <w:szCs w:val="24"/>
        </w:rPr>
        <w:t>4.1.2 Estrategias de prevención secundaria: atención al alumnado en riesgo</w:t>
      </w:r>
      <w:bookmarkEnd w:id="25"/>
    </w:p>
    <w:p w14:paraId="057BB166"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 prevención secundaria se centra en la reducción del número de casos problemáticos una vez que ya han surgido, y está dirigida a la población escolar que se encuentra en riesgo de sufrir problemas de convivencia (Rodríguez Espinar, 1993). En este nivel, Ortega y Del Rey (1998) identifican tres programas clave: la mediación en conflictos, la ayuda entre iguales y los círculos de calidad.</w:t>
      </w:r>
    </w:p>
    <w:p w14:paraId="7551421C" w14:textId="77777777" w:rsidR="00062AE0" w:rsidRPr="009478F4" w:rsidRDefault="00B33B33" w:rsidP="00937076">
      <w:pPr>
        <w:pStyle w:val="Ttulo4"/>
        <w:keepNext w:val="0"/>
        <w:keepLines w:val="0"/>
        <w:widowControl w:val="0"/>
        <w:numPr>
          <w:ilvl w:val="0"/>
          <w:numId w:val="2"/>
        </w:numPr>
        <w:tabs>
          <w:tab w:val="left" w:pos="1540"/>
          <w:tab w:val="left" w:pos="1541"/>
        </w:tabs>
        <w:spacing w:line="360" w:lineRule="auto"/>
        <w:jc w:val="both"/>
        <w:rPr>
          <w:rFonts w:ascii="Times New Roman" w:eastAsia="Times New Roman" w:hAnsi="Times New Roman" w:cs="Times New Roman"/>
          <w:b w:val="0"/>
        </w:rPr>
      </w:pPr>
      <w:bookmarkStart w:id="26" w:name="_heading=h.clz7a92qcghj" w:colFirst="0" w:colLast="0"/>
      <w:bookmarkEnd w:id="26"/>
      <w:r w:rsidRPr="009478F4">
        <w:rPr>
          <w:rFonts w:ascii="Times New Roman" w:eastAsia="Times New Roman" w:hAnsi="Times New Roman" w:cs="Times New Roman"/>
          <w:b w:val="0"/>
        </w:rPr>
        <w:t xml:space="preserve"> Mediación en conflictos</w:t>
      </w:r>
    </w:p>
    <w:p w14:paraId="0256A330" w14:textId="77777777" w:rsidR="005822E3"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La mediación en conflictos es una estrategia que se basa en la intervención de mediadores imparciales para facilitar la resolución pacífica de disputas. Ortega y Del Rey </w:t>
      </w:r>
      <w:r w:rsidRPr="009478F4">
        <w:rPr>
          <w:rFonts w:ascii="Times New Roman" w:eastAsia="Times New Roman" w:hAnsi="Times New Roman" w:cs="Times New Roman"/>
          <w:sz w:val="24"/>
          <w:szCs w:val="24"/>
        </w:rPr>
        <w:lastRenderedPageBreak/>
        <w:t>(1998) indican que los mediadores, que pueden ser tanto profesores como alumnos, deben ser aceptados por todas las partes implicadas en el conflicto y haber recibido una formación adecuada en técnicas de mediación.</w:t>
      </w:r>
    </w:p>
    <w:p w14:paraId="496224E2" w14:textId="3D37020E"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 Los pasos del proceso incluyen definir el conflicto, analizarlo con la ayuda del mediador, buscar soluciones y redactar un acuerdo que será revisado posteriormente.</w:t>
      </w:r>
    </w:p>
    <w:p w14:paraId="552DBD8E"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Aunque la mediación es efectiva para la resolución de conflictos en igualdad de condiciones, Ortega et al. (1998) advierten que no es recomendable en situaciones de acoso, ya que las relaciones entre la víctima y el agresor no son simétricas, lo que podría empeorar la situación de la víctima.</w:t>
      </w:r>
    </w:p>
    <w:p w14:paraId="56CDC70D" w14:textId="77777777" w:rsidR="00062AE0" w:rsidRPr="009478F4" w:rsidRDefault="00B33B33" w:rsidP="00937076">
      <w:pPr>
        <w:pStyle w:val="Ttulo4"/>
        <w:keepNext w:val="0"/>
        <w:keepLines w:val="0"/>
        <w:widowControl w:val="0"/>
        <w:numPr>
          <w:ilvl w:val="0"/>
          <w:numId w:val="2"/>
        </w:numPr>
        <w:tabs>
          <w:tab w:val="left" w:pos="1540"/>
          <w:tab w:val="left" w:pos="1541"/>
        </w:tabs>
        <w:spacing w:line="360" w:lineRule="auto"/>
        <w:jc w:val="both"/>
        <w:rPr>
          <w:rFonts w:ascii="Times New Roman" w:eastAsia="Times New Roman" w:hAnsi="Times New Roman" w:cs="Times New Roman"/>
          <w:b w:val="0"/>
        </w:rPr>
      </w:pPr>
      <w:bookmarkStart w:id="27" w:name="_heading=h.kdwvv4ze6sb1" w:colFirst="0" w:colLast="0"/>
      <w:bookmarkEnd w:id="27"/>
      <w:r w:rsidRPr="009478F4">
        <w:rPr>
          <w:rFonts w:ascii="Times New Roman" w:eastAsia="Times New Roman" w:hAnsi="Times New Roman" w:cs="Times New Roman"/>
          <w:b w:val="0"/>
        </w:rPr>
        <w:t xml:space="preserve"> Ayuda entre iguales</w:t>
      </w:r>
    </w:p>
    <w:p w14:paraId="2F5A2F17"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programa de ayuda entre iguales busca crear una red de apoyo entre el alumnado, donde estudiantes formados en técnicas de escucha activa y resolución de problemas puedan ofrecer ayuda a sus compañeros en situaciones difíciles. Ortega y Del Rey (1998) subrayan que este programa requiere de una formación específica tanto para el profesorado como para los estudiantes consejeros, quienes deben ser seleccionados cuidadosamente en base a sus habilidades sociales y su capacidad para generar confianza en sus compañeros.</w:t>
      </w:r>
    </w:p>
    <w:p w14:paraId="31CD5861"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proceso incluye varias fases de entrenamiento, desde la sensibilización inicial del profesorado hasta la formación específica de los consejeros, quienes estarán encargados de ofrecer apoyo emocional y ayudar en la resolución de conflictos menores. Aunque la implementación de este programa puede ser compleja, los resultados a largo plazo son muy positivos, ya que fomenta un clima de apoyo mutuo en el centro educativo (Ortega y Del Rey, 1998).</w:t>
      </w:r>
    </w:p>
    <w:p w14:paraId="2DC43E9B" w14:textId="77777777" w:rsidR="00062AE0" w:rsidRPr="009478F4" w:rsidRDefault="00B33B33" w:rsidP="00937076">
      <w:pPr>
        <w:pStyle w:val="Ttulo4"/>
        <w:keepNext w:val="0"/>
        <w:keepLines w:val="0"/>
        <w:widowControl w:val="0"/>
        <w:numPr>
          <w:ilvl w:val="0"/>
          <w:numId w:val="2"/>
        </w:numPr>
        <w:tabs>
          <w:tab w:val="left" w:pos="1540"/>
          <w:tab w:val="left" w:pos="1541"/>
        </w:tabs>
        <w:spacing w:line="360" w:lineRule="auto"/>
        <w:jc w:val="both"/>
        <w:rPr>
          <w:rFonts w:ascii="Times New Roman" w:eastAsia="Times New Roman" w:hAnsi="Times New Roman" w:cs="Times New Roman"/>
          <w:b w:val="0"/>
        </w:rPr>
      </w:pPr>
      <w:bookmarkStart w:id="28" w:name="_heading=h.suc1exo4tooe" w:colFirst="0" w:colLast="0"/>
      <w:bookmarkEnd w:id="28"/>
      <w:r w:rsidRPr="009478F4">
        <w:rPr>
          <w:rFonts w:ascii="Times New Roman" w:eastAsia="Times New Roman" w:hAnsi="Times New Roman" w:cs="Times New Roman"/>
          <w:b w:val="0"/>
        </w:rPr>
        <w:t xml:space="preserve">Los círculos de calidad </w:t>
      </w:r>
    </w:p>
    <w:p w14:paraId="5CA29114" w14:textId="77777777" w:rsidR="00062AE0" w:rsidRPr="009478F4" w:rsidRDefault="00B33B33" w:rsidP="00937076">
      <w:pPr>
        <w:pStyle w:val="Ttulo4"/>
        <w:keepNext w:val="0"/>
        <w:keepLines w:val="0"/>
        <w:widowControl w:val="0"/>
        <w:tabs>
          <w:tab w:val="left" w:pos="1540"/>
          <w:tab w:val="left" w:pos="1541"/>
        </w:tabs>
        <w:spacing w:line="360" w:lineRule="auto"/>
        <w:ind w:firstLine="720"/>
        <w:jc w:val="both"/>
        <w:rPr>
          <w:rFonts w:ascii="Times New Roman" w:eastAsia="Times New Roman" w:hAnsi="Times New Roman" w:cs="Times New Roman"/>
          <w:b w:val="0"/>
        </w:rPr>
      </w:pPr>
      <w:bookmarkStart w:id="29" w:name="_heading=h.dgzcuifvjjmv" w:colFirst="0" w:colLast="0"/>
      <w:bookmarkEnd w:id="29"/>
      <w:r w:rsidRPr="009478F4">
        <w:rPr>
          <w:rFonts w:ascii="Times New Roman" w:eastAsia="Times New Roman" w:hAnsi="Times New Roman" w:cs="Times New Roman"/>
          <w:b w:val="0"/>
        </w:rPr>
        <w:t>Son grupos pequeños, compuestos por entre cinco y doce personas, que se reúnen regularmente para identificar y resolver problemas comunes en el entorno escolar. Ortega y Del Rey (1998) señalan que estos círculos promueven un clima de comunicación abierta, discusión y toma de decisiones compartida. La elección de los miembros de los círculos debe ser voluntaria, y su objetivo es encontrar soluciones concretas a los problemas identificados.</w:t>
      </w:r>
    </w:p>
    <w:p w14:paraId="37D9BF6A" w14:textId="77777777" w:rsidR="00684D17"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El proceso de los círculos de calidad incluye la identificación de problemas, el análisis </w:t>
      </w:r>
      <w:r w:rsidRPr="009478F4">
        <w:rPr>
          <w:rFonts w:ascii="Times New Roman" w:eastAsia="Times New Roman" w:hAnsi="Times New Roman" w:cs="Times New Roman"/>
          <w:sz w:val="24"/>
          <w:szCs w:val="24"/>
        </w:rPr>
        <w:lastRenderedPageBreak/>
        <w:t>de las causas, la sugerencia de soluciones, la presentación de estas a los responsables del centro y la evaluación de los resultados. Este enfoque fomenta la responsabilidad compartida y el compromiso colectivo con la mejora de la convivencia escolar (Ortega y Del Rey, 1998).</w:t>
      </w:r>
      <w:bookmarkStart w:id="30" w:name="_heading=h.zeqyhip7nzux" w:colFirst="0" w:colLast="0"/>
      <w:bookmarkEnd w:id="30"/>
    </w:p>
    <w:p w14:paraId="3E5F95F1" w14:textId="697FDFE4" w:rsidR="00062AE0" w:rsidRPr="0037583C" w:rsidRDefault="00684D17" w:rsidP="00937076">
      <w:pPr>
        <w:pStyle w:val="Ttulo3"/>
        <w:jc w:val="both"/>
        <w:rPr>
          <w:rFonts w:ascii="Times New Roman" w:hAnsi="Times New Roman" w:cs="Times New Roman"/>
          <w:i/>
          <w:iCs/>
          <w:sz w:val="24"/>
          <w:szCs w:val="24"/>
        </w:rPr>
      </w:pPr>
      <w:bookmarkStart w:id="31" w:name="_Toc190964029"/>
      <w:r w:rsidRPr="0037583C">
        <w:rPr>
          <w:rFonts w:ascii="Times New Roman" w:hAnsi="Times New Roman" w:cs="Times New Roman"/>
          <w:i/>
          <w:iCs/>
          <w:sz w:val="24"/>
          <w:szCs w:val="24"/>
        </w:rPr>
        <w:t>4.1.3 Estrategias de prevención terciaria: la intervención propiamente dicha</w:t>
      </w:r>
      <w:bookmarkEnd w:id="31"/>
    </w:p>
    <w:p w14:paraId="740805CE"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 prevención terciaria tiene como objetivo reducir los efectos negativos de los problemas de convivencia ya existentes, centrándose en intervenciones directas con los implicados. Entre los programas más efectivos se encuentran el desarrollo de la asertividad en víctimas, el desarrollo de la empatía en agresores y el método Pikas o método de reparto de responsabilidades.</w:t>
      </w:r>
    </w:p>
    <w:p w14:paraId="72D3A612" w14:textId="77777777" w:rsidR="00062AE0" w:rsidRPr="009478F4" w:rsidRDefault="00B33B33" w:rsidP="00937076">
      <w:pPr>
        <w:pStyle w:val="Ttulo4"/>
        <w:keepNext w:val="0"/>
        <w:keepLines w:val="0"/>
        <w:widowControl w:val="0"/>
        <w:numPr>
          <w:ilvl w:val="0"/>
          <w:numId w:val="10"/>
        </w:numPr>
        <w:tabs>
          <w:tab w:val="left" w:pos="1540"/>
          <w:tab w:val="left" w:pos="1541"/>
        </w:tabs>
        <w:spacing w:line="360" w:lineRule="auto"/>
        <w:jc w:val="both"/>
        <w:rPr>
          <w:rFonts w:ascii="Times New Roman" w:eastAsia="Times New Roman" w:hAnsi="Times New Roman" w:cs="Times New Roman"/>
          <w:b w:val="0"/>
        </w:rPr>
      </w:pPr>
      <w:bookmarkStart w:id="32" w:name="_heading=h.i97gaq8dz1yg" w:colFirst="0" w:colLast="0"/>
      <w:bookmarkEnd w:id="32"/>
      <w:r w:rsidRPr="009478F4">
        <w:rPr>
          <w:rFonts w:ascii="Times New Roman" w:eastAsia="Times New Roman" w:hAnsi="Times New Roman" w:cs="Times New Roman"/>
          <w:b w:val="0"/>
        </w:rPr>
        <w:t xml:space="preserve"> Desarrollo de la asertividad en víctimas</w:t>
      </w:r>
    </w:p>
    <w:p w14:paraId="3C96F2A8"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programa de desarrollo de la asertividad en víctimas se dirige a estudiantes que han sido identificados como víctimas de violencia escolar, y su objetivo es ayudarles a desarrollar habilidades de autoafirmación y defensa personal. Ortega (2000) define la asertividad como la capacidad de defender los propios derechos sin ser agresivo ni pasivo, lo que permite a las víctimas resistir mejor los ataques de sus acosadores.</w:t>
      </w:r>
    </w:p>
    <w:p w14:paraId="05E7E316"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Sharp, Cowie y Smith (1994) proponen un programa estructurado en cuatro fases: selección de los participantes, aprendizaje de presentarse de forma asertiva, entrenamiento en técnicas de confrontación de abusos, y la creación de un grupo de apoyo entre los estudiantes.</w:t>
      </w:r>
    </w:p>
    <w:p w14:paraId="2BFF847B" w14:textId="77777777" w:rsidR="00062AE0" w:rsidRPr="009478F4" w:rsidRDefault="00B33B33" w:rsidP="00937076">
      <w:pPr>
        <w:pStyle w:val="Ttulo4"/>
        <w:keepNext w:val="0"/>
        <w:keepLines w:val="0"/>
        <w:widowControl w:val="0"/>
        <w:numPr>
          <w:ilvl w:val="0"/>
          <w:numId w:val="10"/>
        </w:numPr>
        <w:tabs>
          <w:tab w:val="left" w:pos="1540"/>
          <w:tab w:val="left" w:pos="1541"/>
        </w:tabs>
        <w:spacing w:line="360" w:lineRule="auto"/>
        <w:jc w:val="both"/>
        <w:rPr>
          <w:rFonts w:ascii="Times New Roman" w:eastAsia="Times New Roman" w:hAnsi="Times New Roman" w:cs="Times New Roman"/>
          <w:b w:val="0"/>
        </w:rPr>
      </w:pPr>
      <w:bookmarkStart w:id="33" w:name="_heading=h.fc1lcqck725h" w:colFirst="0" w:colLast="0"/>
      <w:bookmarkEnd w:id="33"/>
      <w:r w:rsidRPr="009478F4">
        <w:rPr>
          <w:rFonts w:ascii="Times New Roman" w:eastAsia="Times New Roman" w:hAnsi="Times New Roman" w:cs="Times New Roman"/>
          <w:b w:val="0"/>
        </w:rPr>
        <w:t xml:space="preserve"> Desarrollo de la empatía en agresores</w:t>
      </w:r>
    </w:p>
    <w:p w14:paraId="048A3316"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desarrollo de la empatía en agresores es crucial para cambiar el comportamiento de los estudiantes que ejercen violencia sobre sus compañeros. Ortega (1998) define la empatía como la capacidad de reconocer y comprender las emociones de los demás. La falta de empatía es una característica común en los agresores escolares, y programas específicos pueden ayudar a estos estudiantes a desarrollar esta habilidad.</w:t>
      </w:r>
    </w:p>
    <w:p w14:paraId="44D682A6" w14:textId="77777777" w:rsidR="00062AE0"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Ortega (1998) señala que estos programas deben ser cuidadosamente planificados y ejecutados por personal especializado. El proceso incluye varias fases, desde la identificación y exploración de emociones comunes, hasta el uso de juegos de rol y dramatizaciones para ayudar a los agresores a comprender el impacto de sus acciones en los demás.</w:t>
      </w:r>
    </w:p>
    <w:p w14:paraId="00C2A5FB" w14:textId="77777777" w:rsidR="005872C6" w:rsidRPr="009478F4" w:rsidRDefault="005872C6"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p>
    <w:p w14:paraId="745EE1DC" w14:textId="77777777" w:rsidR="00062AE0" w:rsidRPr="009478F4" w:rsidRDefault="00B33B33" w:rsidP="00937076">
      <w:pPr>
        <w:pStyle w:val="Ttulo4"/>
        <w:keepNext w:val="0"/>
        <w:keepLines w:val="0"/>
        <w:widowControl w:val="0"/>
        <w:numPr>
          <w:ilvl w:val="0"/>
          <w:numId w:val="10"/>
        </w:numPr>
        <w:tabs>
          <w:tab w:val="left" w:pos="1540"/>
          <w:tab w:val="left" w:pos="1541"/>
        </w:tabs>
        <w:spacing w:line="360" w:lineRule="auto"/>
        <w:jc w:val="both"/>
        <w:rPr>
          <w:rFonts w:ascii="Times New Roman" w:eastAsia="Times New Roman" w:hAnsi="Times New Roman" w:cs="Times New Roman"/>
          <w:b w:val="0"/>
        </w:rPr>
      </w:pPr>
      <w:bookmarkStart w:id="34" w:name="_heading=h.up1m5e70rqxr" w:colFirst="0" w:colLast="0"/>
      <w:bookmarkEnd w:id="34"/>
      <w:r w:rsidRPr="009478F4">
        <w:rPr>
          <w:rFonts w:ascii="Times New Roman" w:eastAsia="Times New Roman" w:hAnsi="Times New Roman" w:cs="Times New Roman"/>
          <w:b w:val="0"/>
        </w:rPr>
        <w:lastRenderedPageBreak/>
        <w:t>Metodo Pikas</w:t>
      </w:r>
    </w:p>
    <w:p w14:paraId="4F9E862C" w14:textId="77777777" w:rsidR="005822E3"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El método Pikas o método de reparto de responsabilidades (Pikas, 1989; Ortega, 1998) se basa en la intervención directa con los estudiantes implicados en situaciones de violencia interpersonal. </w:t>
      </w:r>
    </w:p>
    <w:p w14:paraId="770BA0AA" w14:textId="50BF2295"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El principio central es que los problemas de violencia escolar no solo afectan a la víctima y al agresor, sino también a los espectadores, quienes refuerzan la dinámica de poder. El objetivo de este método es interrumpir el ciclo de violencia a través de tareas concretas asignadas tanto a la víctima como al agresor y los espectadores.</w:t>
      </w:r>
    </w:p>
    <w:p w14:paraId="4376C930" w14:textId="5AA79D52"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Este método, que es altamente directivo, requiere de un especialista para su correcta implementación, y su éxito depende de la colaboración entre el equipo docente y el equipo orientador del centro (Ortega, 1998)</w:t>
      </w:r>
    </w:p>
    <w:p w14:paraId="3F110B42" w14:textId="77E9E8CA" w:rsidR="00062AE0" w:rsidRPr="009478F4" w:rsidRDefault="00E2733E" w:rsidP="00937076">
      <w:pPr>
        <w:pStyle w:val="Ttulo2"/>
        <w:jc w:val="both"/>
        <w:rPr>
          <w:rFonts w:eastAsia="Times New Roman" w:cs="Times New Roman"/>
          <w:szCs w:val="24"/>
        </w:rPr>
      </w:pPr>
      <w:bookmarkStart w:id="35" w:name="_Toc190964030"/>
      <w:r w:rsidRPr="009478F4">
        <w:rPr>
          <w:rFonts w:eastAsia="Times New Roman" w:cs="Times New Roman"/>
          <w:szCs w:val="24"/>
        </w:rPr>
        <w:t>4.2 Prevención ámbito familiar</w:t>
      </w:r>
      <w:bookmarkEnd w:id="35"/>
    </w:p>
    <w:p w14:paraId="0BE9AE22" w14:textId="5239E592"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Este apartado </w:t>
      </w:r>
      <w:r w:rsidR="00E2733E" w:rsidRPr="009478F4">
        <w:rPr>
          <w:rFonts w:ascii="Times New Roman" w:eastAsia="Times New Roman" w:hAnsi="Times New Roman" w:cs="Times New Roman"/>
          <w:sz w:val="24"/>
          <w:szCs w:val="24"/>
        </w:rPr>
        <w:t>aborda diversas</w:t>
      </w:r>
      <w:r w:rsidRPr="009478F4">
        <w:rPr>
          <w:rFonts w:ascii="Times New Roman" w:eastAsia="Times New Roman" w:hAnsi="Times New Roman" w:cs="Times New Roman"/>
          <w:sz w:val="24"/>
          <w:szCs w:val="24"/>
        </w:rPr>
        <w:t xml:space="preserve"> medidas que los padres pueden implementar basándose en el artículo elaborado por Sánchez Pardo, Crespo Herrador, Aguilar Moya, Bueno Cañigral, Aleixandre Benavent y Valderrama Zurián (2016).</w:t>
      </w:r>
    </w:p>
    <w:p w14:paraId="1ECA08F3"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 prevención del ciberacoso en el ámbito familiar tiene como objetivo fundamental evitar que los hijos se involucren en situaciones problemáticas relacionadas con el uso de las tecnologías de la información y la comunicación (TIC), tanto como víctimas como perpetradores. Esto es especialmente importante dado que las consecuencias del ciberacoso pueden incluir daños psicológicos, sociales y emocionales graves.</w:t>
      </w:r>
    </w:p>
    <w:p w14:paraId="47C60767"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Las medidas de prevención en el hogar pueden dividirse en dos grandes categorías: mantener un estilo educativo de apoyo y enseñar a los hijos a hacer un uso correcto de las TIC.</w:t>
      </w:r>
    </w:p>
    <w:p w14:paraId="1316CBF1" w14:textId="3694E9BB" w:rsidR="00062AE0" w:rsidRPr="0037583C" w:rsidRDefault="00684D17" w:rsidP="00937076">
      <w:pPr>
        <w:pStyle w:val="Ttulo3"/>
        <w:jc w:val="both"/>
        <w:rPr>
          <w:rFonts w:ascii="Times New Roman" w:hAnsi="Times New Roman" w:cs="Times New Roman"/>
          <w:i/>
          <w:iCs/>
          <w:sz w:val="24"/>
          <w:szCs w:val="24"/>
        </w:rPr>
      </w:pPr>
      <w:bookmarkStart w:id="36" w:name="_Toc190964031"/>
      <w:r w:rsidRPr="0037583C">
        <w:rPr>
          <w:rFonts w:ascii="Times New Roman" w:hAnsi="Times New Roman" w:cs="Times New Roman"/>
          <w:i/>
          <w:iCs/>
          <w:sz w:val="24"/>
          <w:szCs w:val="24"/>
        </w:rPr>
        <w:t>4.2.1 Mantener un estilo educativo de apoyo</w:t>
      </w:r>
      <w:bookmarkEnd w:id="36"/>
    </w:p>
    <w:p w14:paraId="6C9AA800"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Mantener un estilo educativo que fomente la comunicación y el apoyo familiar es esencial para reducir el riesgo de que los adolescentes se vean implicados en conductas desadaptadas como el ciberacoso. Los padres deben desempeñar de forma correcta su función educativa, lo cual incluye establecer normas claras de convivencia y acompañar a los hijos en su desarrollo personal.</w:t>
      </w:r>
    </w:p>
    <w:p w14:paraId="042C04D6"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Se identifican tres modelos educativos principales:</w:t>
      </w:r>
    </w:p>
    <w:p w14:paraId="27C22A89" w14:textId="77777777" w:rsidR="00062AE0" w:rsidRPr="009478F4" w:rsidRDefault="00B33B33" w:rsidP="00937076">
      <w:pPr>
        <w:widowControl w:val="0"/>
        <w:numPr>
          <w:ilvl w:val="0"/>
          <w:numId w:val="3"/>
        </w:numPr>
        <w:tabs>
          <w:tab w:val="left" w:pos="1540"/>
          <w:tab w:val="left" w:pos="1541"/>
        </w:tabs>
        <w:spacing w:before="240"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Autoritario: donde las normas son rígidas y el castigo es común, lo que genera un clima tenso y poca comunicación en la familia.</w:t>
      </w:r>
    </w:p>
    <w:p w14:paraId="5EE6845D" w14:textId="77777777" w:rsidR="00062AE0" w:rsidRPr="009478F4" w:rsidRDefault="00B33B33" w:rsidP="00937076">
      <w:pPr>
        <w:widowControl w:val="0"/>
        <w:numPr>
          <w:ilvl w:val="0"/>
          <w:numId w:val="3"/>
        </w:numPr>
        <w:tabs>
          <w:tab w:val="left" w:pos="1540"/>
          <w:tab w:val="left" w:pos="1541"/>
        </w:tabs>
        <w:spacing w:after="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Permisivo: caracterizado por la falta de normas, lo que puede llevar a la inseguridad y a relaciones poco estructuradas entre padres e hijos.</w:t>
      </w:r>
    </w:p>
    <w:p w14:paraId="4C70BF46" w14:textId="77777777" w:rsidR="00062AE0" w:rsidRPr="009478F4" w:rsidRDefault="00B33B33" w:rsidP="00937076">
      <w:pPr>
        <w:widowControl w:val="0"/>
        <w:numPr>
          <w:ilvl w:val="0"/>
          <w:numId w:val="3"/>
        </w:numPr>
        <w:tabs>
          <w:tab w:val="left" w:pos="1540"/>
          <w:tab w:val="left" w:pos="1541"/>
        </w:tabs>
        <w:spacing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De apoyo: este modelo se basa en la comunicación abierta y el respeto mutuo. Es considerado el más adecuado para prevenir problemas como el ciberacoso. Los padres establecen normas de manera dialogada y motivan a sus hijos a asumir responsabilidades sin recurrir al castigo.</w:t>
      </w:r>
    </w:p>
    <w:p w14:paraId="1C66B1F4" w14:textId="77777777" w:rsidR="00062AE0" w:rsidRPr="009478F4"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b/>
          <w:sz w:val="24"/>
          <w:szCs w:val="24"/>
        </w:rPr>
      </w:pPr>
      <w:r w:rsidRPr="009478F4">
        <w:rPr>
          <w:rFonts w:ascii="Times New Roman" w:eastAsia="Times New Roman" w:hAnsi="Times New Roman" w:cs="Times New Roman"/>
          <w:sz w:val="24"/>
          <w:szCs w:val="24"/>
        </w:rPr>
        <w:t>El modelo educativo de apoyo no solo previene conductas negativas, sino que fortalece la autonomía, la capacidad de tomar decisiones y las habilidades personales y sociales de los hijos. La comunicación fluida entre padres e hijos, acompañada de muestras de afecto, es crucial para que los adolescentes se sientan seguros y apoyados. Los padres deben recordar que educar también implica establecer límites claros, ya que estos proporcionan seguridad y orientación a los adolescentes, incluso si son objeto de discusión por parte de los hijos.</w:t>
      </w:r>
    </w:p>
    <w:p w14:paraId="2AC5A918" w14:textId="4683ABF2" w:rsidR="00062AE0" w:rsidRPr="0037583C" w:rsidRDefault="00684D17" w:rsidP="00937076">
      <w:pPr>
        <w:pStyle w:val="Ttulo3"/>
        <w:jc w:val="both"/>
        <w:rPr>
          <w:rFonts w:ascii="Times New Roman" w:hAnsi="Times New Roman" w:cs="Times New Roman"/>
          <w:i/>
          <w:iCs/>
          <w:sz w:val="24"/>
          <w:szCs w:val="24"/>
        </w:rPr>
      </w:pPr>
      <w:bookmarkStart w:id="37" w:name="_heading=h.ctpwqplpqscb" w:colFirst="0" w:colLast="0"/>
      <w:bookmarkStart w:id="38" w:name="_Toc190964032"/>
      <w:bookmarkEnd w:id="37"/>
      <w:r w:rsidRPr="0037583C">
        <w:rPr>
          <w:rFonts w:ascii="Times New Roman" w:hAnsi="Times New Roman" w:cs="Times New Roman"/>
          <w:i/>
          <w:iCs/>
          <w:sz w:val="24"/>
          <w:szCs w:val="24"/>
        </w:rPr>
        <w:t>4.2.2 Enseñar a los hijos a hacer un uso correcto de las TIC</w:t>
      </w:r>
      <w:bookmarkEnd w:id="38"/>
    </w:p>
    <w:p w14:paraId="4F6540C0" w14:textId="1FBA8F4A" w:rsidR="009478F4" w:rsidRPr="00684D17" w:rsidRDefault="00B33B33" w:rsidP="00937076">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Enseñar a los adolescentes a utilizar las TIC de manera responsable es otro pilar fundamental en la prevención del ciberacoso. En esta tarea, los padres deben comenzar por familiarizarse con el uso de las tecnologías, comprendiendo sus riesgos y beneficios. No pueden permitirse ser "analfabetos digitales" si desean proteger a sus hijos de posibles peligros en línea.</w:t>
      </w:r>
      <w:bookmarkStart w:id="39" w:name="_heading=h.lkbwswnnktfr" w:colFirst="0" w:colLast="0"/>
      <w:bookmarkEnd w:id="39"/>
    </w:p>
    <w:p w14:paraId="7A7D0070" w14:textId="296629FB" w:rsidR="00062AE0" w:rsidRPr="009478F4" w:rsidRDefault="00B33B33" w:rsidP="00937076">
      <w:pPr>
        <w:pStyle w:val="Ttulo5"/>
        <w:keepNext w:val="0"/>
        <w:keepLines w:val="0"/>
        <w:widowControl w:val="0"/>
        <w:tabs>
          <w:tab w:val="left" w:pos="1540"/>
          <w:tab w:val="left" w:pos="1541"/>
        </w:tabs>
        <w:spacing w:line="360" w:lineRule="auto"/>
        <w:ind w:firstLine="720"/>
        <w:jc w:val="both"/>
        <w:rPr>
          <w:rFonts w:ascii="Times New Roman" w:eastAsia="Times New Roman" w:hAnsi="Times New Roman" w:cs="Times New Roman"/>
          <w:b w:val="0"/>
          <w:sz w:val="24"/>
          <w:szCs w:val="24"/>
        </w:rPr>
      </w:pPr>
      <w:r w:rsidRPr="009478F4">
        <w:rPr>
          <w:rFonts w:ascii="Times New Roman" w:eastAsia="Times New Roman" w:hAnsi="Times New Roman" w:cs="Times New Roman"/>
          <w:b w:val="0"/>
          <w:sz w:val="24"/>
          <w:szCs w:val="24"/>
        </w:rPr>
        <w:t>Estrategias clave:</w:t>
      </w:r>
    </w:p>
    <w:p w14:paraId="2886C226" w14:textId="77777777" w:rsidR="00062AE0" w:rsidRPr="009478F4" w:rsidRDefault="00B33B33" w:rsidP="00937076">
      <w:pPr>
        <w:widowControl w:val="0"/>
        <w:numPr>
          <w:ilvl w:val="0"/>
          <w:numId w:val="9"/>
        </w:numPr>
        <w:tabs>
          <w:tab w:val="left" w:pos="1540"/>
          <w:tab w:val="left" w:pos="1541"/>
        </w:tabs>
        <w:spacing w:before="240" w:after="0" w:line="360"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Conocimiento de las TIC: Los padres deben conocer los sitios web y redes sociales que sus hijos utilizan, supervisar sus actividades en línea y enseñarles a reconocer situaciones potencialmente peligrosas. Los adolescentes deben ser conscientes de que sus interacciones en línea pueden tener consecuencias reales​.</w:t>
      </w:r>
    </w:p>
    <w:p w14:paraId="54D2F037" w14:textId="77777777" w:rsidR="00062AE0" w:rsidRPr="009478F4" w:rsidRDefault="00B33B33" w:rsidP="00937076">
      <w:pPr>
        <w:widowControl w:val="0"/>
        <w:numPr>
          <w:ilvl w:val="0"/>
          <w:numId w:val="9"/>
        </w:numPr>
        <w:tabs>
          <w:tab w:val="left" w:pos="1540"/>
          <w:tab w:val="left" w:pos="1541"/>
        </w:tabs>
        <w:spacing w:after="0" w:line="360"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Comunicación abierta sobre los riesgos: Es fundamental que los padres hablen con sus hijos sobre los peligros del mal uso de Internet, sin demonizar las tecnologías. Los riesgos incluyen aislamiento social, adicción a las TIC, acceso a contenido inapropiado, y ser víctimas o perpetradores de ciberacoso​.</w:t>
      </w:r>
    </w:p>
    <w:p w14:paraId="3B56419A" w14:textId="77777777" w:rsidR="00062AE0" w:rsidRDefault="00B33B33" w:rsidP="00937076">
      <w:pPr>
        <w:widowControl w:val="0"/>
        <w:numPr>
          <w:ilvl w:val="0"/>
          <w:numId w:val="9"/>
        </w:numPr>
        <w:tabs>
          <w:tab w:val="left" w:pos="1540"/>
          <w:tab w:val="left" w:pos="1541"/>
        </w:tabs>
        <w:spacing w:after="0" w:line="360"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lastRenderedPageBreak/>
        <w:t>Establecimiento de normas claras: Los padres deben fijar límites sobre el uso de dispositivos y redes sociales, como restringir los horarios de uso o controlar el acceso a ciertos sitios web. También se debe animar a los adolescentes a evitar aceptar solicitudes de amistad de desconocidos y a configurar adecuadamente sus perfiles para proteger su privacidad​.</w:t>
      </w:r>
    </w:p>
    <w:p w14:paraId="5A8FF183" w14:textId="77777777" w:rsidR="005822E3" w:rsidRPr="009478F4" w:rsidRDefault="005822E3" w:rsidP="00937076">
      <w:pPr>
        <w:widowControl w:val="0"/>
        <w:tabs>
          <w:tab w:val="left" w:pos="1540"/>
          <w:tab w:val="left" w:pos="1541"/>
        </w:tabs>
        <w:spacing w:after="0" w:line="360" w:lineRule="auto"/>
        <w:jc w:val="both"/>
        <w:rPr>
          <w:rFonts w:ascii="Times New Roman" w:eastAsia="Times New Roman" w:hAnsi="Times New Roman" w:cs="Times New Roman"/>
          <w:sz w:val="24"/>
          <w:szCs w:val="24"/>
        </w:rPr>
      </w:pPr>
    </w:p>
    <w:p w14:paraId="771F7FB1" w14:textId="77777777" w:rsidR="00062AE0" w:rsidRPr="009478F4" w:rsidRDefault="00B33B33" w:rsidP="00937076">
      <w:pPr>
        <w:widowControl w:val="0"/>
        <w:numPr>
          <w:ilvl w:val="0"/>
          <w:numId w:val="9"/>
        </w:numPr>
        <w:tabs>
          <w:tab w:val="left" w:pos="1540"/>
          <w:tab w:val="left" w:pos="1541"/>
        </w:tabs>
        <w:spacing w:after="0" w:line="360"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Educación en seguridad en línea: Los padres deben enseñar a sus hijos cómo gestionar su reputación y privacidad en Internet. Esto incluye advertirles sobre los riesgos de compartir fotos comprometedoras y la importancia de configurar las opciones de privacidad de sus perfiles.</w:t>
      </w:r>
    </w:p>
    <w:p w14:paraId="7A8FB2B5" w14:textId="76F018A6" w:rsidR="008A6B1C" w:rsidRDefault="00B33B33" w:rsidP="00FA4DC1">
      <w:pPr>
        <w:widowControl w:val="0"/>
        <w:numPr>
          <w:ilvl w:val="0"/>
          <w:numId w:val="9"/>
        </w:numPr>
        <w:tabs>
          <w:tab w:val="left" w:pos="1540"/>
          <w:tab w:val="left" w:pos="1541"/>
        </w:tabs>
        <w:spacing w:after="240" w:line="360" w:lineRule="auto"/>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Fomento de la empatía y el respeto en las interacciones digitales: Los padres deben recordar a sus hijos que detrás de cada pantalla hay una persona real y que deben tratar a los demás en línea con el mismo respeto que lo harían en persona​.</w:t>
      </w:r>
    </w:p>
    <w:p w14:paraId="2420FC2E" w14:textId="77777777" w:rsidR="00FA4DC1" w:rsidRPr="00FA4DC1" w:rsidRDefault="00FA4DC1" w:rsidP="00FA4DC1">
      <w:pPr>
        <w:widowControl w:val="0"/>
        <w:tabs>
          <w:tab w:val="left" w:pos="1540"/>
          <w:tab w:val="left" w:pos="1541"/>
        </w:tabs>
        <w:spacing w:after="240" w:line="360" w:lineRule="auto"/>
        <w:ind w:left="720"/>
        <w:jc w:val="both"/>
        <w:rPr>
          <w:rFonts w:ascii="Times New Roman" w:eastAsia="Times New Roman" w:hAnsi="Times New Roman" w:cs="Times New Roman"/>
          <w:sz w:val="24"/>
          <w:szCs w:val="24"/>
        </w:rPr>
      </w:pPr>
    </w:p>
    <w:p w14:paraId="091AF3BE" w14:textId="757AAFD5" w:rsidR="008A6B1C" w:rsidRDefault="00AB126E" w:rsidP="00AB126E">
      <w:pPr>
        <w:pStyle w:val="Ttulo1"/>
        <w:ind w:left="720"/>
        <w:jc w:val="center"/>
        <w:rPr>
          <w:rFonts w:eastAsia="Times New Roman" w:cs="Times New Roman"/>
          <w:bCs/>
          <w:szCs w:val="24"/>
        </w:rPr>
      </w:pPr>
      <w:bookmarkStart w:id="40" w:name="_Toc190964033"/>
      <w:r>
        <w:rPr>
          <w:rFonts w:eastAsia="Times New Roman" w:cs="Times New Roman"/>
          <w:bCs/>
          <w:szCs w:val="24"/>
        </w:rPr>
        <w:t>5.</w:t>
      </w:r>
      <w:r w:rsidR="008A6B1C" w:rsidRPr="00BC367D">
        <w:rPr>
          <w:rFonts w:eastAsia="Times New Roman" w:cs="Times New Roman"/>
          <w:bCs/>
          <w:szCs w:val="24"/>
        </w:rPr>
        <w:t>Noticias de Autolisis Relacionadas con Bullying y Cyberbullying</w:t>
      </w:r>
      <w:bookmarkEnd w:id="40"/>
    </w:p>
    <w:p w14:paraId="6A058747" w14:textId="77777777" w:rsidR="008A6B1C" w:rsidRDefault="008A6B1C" w:rsidP="008A6B1C">
      <w:pPr>
        <w:spacing w:line="360" w:lineRule="auto"/>
        <w:ind w:firstLine="720"/>
      </w:pPr>
    </w:p>
    <w:p w14:paraId="4FAC68A2" w14:textId="77777777" w:rsidR="00FA4DC1" w:rsidRPr="00FA4DC1" w:rsidRDefault="00FA4DC1" w:rsidP="00FA4DC1">
      <w:pPr>
        <w:spacing w:line="360" w:lineRule="auto"/>
        <w:ind w:firstLine="720"/>
        <w:rPr>
          <w:rFonts w:ascii="Times New Roman" w:hAnsi="Times New Roman" w:cs="Times New Roman"/>
          <w:sz w:val="24"/>
          <w:szCs w:val="24"/>
        </w:rPr>
      </w:pPr>
      <w:r w:rsidRPr="00FA4DC1">
        <w:rPr>
          <w:rFonts w:ascii="Times New Roman" w:hAnsi="Times New Roman" w:cs="Times New Roman"/>
          <w:sz w:val="24"/>
          <w:szCs w:val="24"/>
        </w:rPr>
        <w:t>El ciberacoso representa un grave problema de salud pública con consecuencias psicosociales preocupantes, entre ellas un aumento en las conductas suicidas en adolescentes (Dennehy et al., 2020; John et al., 2018). Un metaanálisis de Van Geel et al. (2014) revela que el 20% de las víctimas de ciberacoso han tenido pensamientos suicidas, mientras que entre el 5% y el 8% han intentado quitarse la vida. Según la Organización Mundial de la Salud (OMS, 2019), el suicidio es la segunda causa de muerte entre jóvenes de 15 a 19 años.</w:t>
      </w:r>
    </w:p>
    <w:p w14:paraId="7F7EEF81" w14:textId="53792216" w:rsidR="008A6B1C" w:rsidRPr="008A6B1C" w:rsidRDefault="00FA4DC1" w:rsidP="00FA4DC1">
      <w:pPr>
        <w:spacing w:line="360" w:lineRule="auto"/>
        <w:ind w:firstLine="720"/>
        <w:rPr>
          <w:rFonts w:ascii="Times New Roman" w:hAnsi="Times New Roman" w:cs="Times New Roman"/>
          <w:sz w:val="24"/>
          <w:szCs w:val="24"/>
        </w:rPr>
      </w:pPr>
      <w:r w:rsidRPr="00FA4DC1">
        <w:rPr>
          <w:rFonts w:ascii="Times New Roman" w:hAnsi="Times New Roman" w:cs="Times New Roman"/>
          <w:sz w:val="24"/>
          <w:szCs w:val="24"/>
        </w:rPr>
        <w:t>En España, el número de suicidios en adolescentes de este rango de edad ha experimentado un preocupante incremento</w:t>
      </w:r>
      <w:r>
        <w:rPr>
          <w:rFonts w:ascii="Times New Roman" w:hAnsi="Times New Roman" w:cs="Times New Roman"/>
          <w:sz w:val="24"/>
          <w:szCs w:val="24"/>
        </w:rPr>
        <w:t xml:space="preserve">, </w:t>
      </w:r>
      <w:r w:rsidR="008A6B1C" w:rsidRPr="008A6B1C">
        <w:rPr>
          <w:rFonts w:ascii="Times New Roman" w:hAnsi="Times New Roman" w:cs="Times New Roman"/>
          <w:sz w:val="24"/>
          <w:szCs w:val="24"/>
        </w:rPr>
        <w:t>pasando de 88 casos en 2008-2009 a 138 en 2018-2019 (Instituto Nacional de Estadística [INE], 2021). Este incremento coincide con la creciente prevalencia del ciberacoso, el cual, según estudios previos, puede causar más daño que el acoso escolar tradicional debido a que los agresores pueden permanecer en el anonimato en internet, lo que dificulta que las víctimas identifiquen a quien las acosa, haciéndolas sentir aún más vulnerables e indefensas (Kowalski et al., 2014). Esta sensación de desprotección y desesperanza se intensifica debido a la disponibilidad constante del acoso en línea, la rápida difusión de contenidos dañinos y la falta de control sobre la información compartida en la red (Ortega-Barón et al., 2019).</w:t>
      </w:r>
    </w:p>
    <w:p w14:paraId="43B732B5" w14:textId="77777777" w:rsidR="008A6B1C" w:rsidRPr="008A6B1C" w:rsidRDefault="008A6B1C" w:rsidP="008A6B1C">
      <w:pPr>
        <w:spacing w:line="360" w:lineRule="auto"/>
        <w:ind w:firstLine="720"/>
        <w:rPr>
          <w:rFonts w:ascii="Times New Roman" w:hAnsi="Times New Roman" w:cs="Times New Roman"/>
          <w:sz w:val="24"/>
          <w:szCs w:val="24"/>
        </w:rPr>
      </w:pPr>
      <w:r w:rsidRPr="008A6B1C">
        <w:rPr>
          <w:rFonts w:ascii="Times New Roman" w:hAnsi="Times New Roman" w:cs="Times New Roman"/>
          <w:sz w:val="24"/>
          <w:szCs w:val="24"/>
        </w:rPr>
        <w:lastRenderedPageBreak/>
        <w:t>Las investigaciones revisadas en el artículo de Buelga, S., Cava, M. J., Moreno Ruiz, D., &amp; Ortega-Barón, J. (2022) destacan que la prevalencia de la conducta suicida en adolescentes en el último año, especialmente la ideación suicida, varía entre el 17% y el 20% en Asia, Europa y Estados Unidos (Chang et al., 2019; Nagamitsu et al., 2020; Lucas-Molina et al., 2018; Alhajji et al., 2020). En cuanto a la planificación y los intentos de suicidio, su prevalencia en jóvenes estadounidenses oscila entre el 8.5% y el 14.5% (Kuehn et al., 2019; Alhajji et al., 2019). Además, los estudios coinciden en que el sexo femenino representa un factor de riesgo tanto en la cibervictimización como en la conducta suicida (Iranzo et al., 2019; Kim, Walsh et al., 2020).</w:t>
      </w:r>
    </w:p>
    <w:p w14:paraId="6621138E" w14:textId="77777777" w:rsidR="008A6B1C" w:rsidRPr="008A6B1C" w:rsidRDefault="008A6B1C" w:rsidP="008A6B1C">
      <w:pPr>
        <w:spacing w:line="360" w:lineRule="auto"/>
        <w:ind w:firstLine="720"/>
        <w:rPr>
          <w:rFonts w:ascii="Times New Roman" w:hAnsi="Times New Roman" w:cs="Times New Roman"/>
          <w:sz w:val="24"/>
          <w:szCs w:val="24"/>
        </w:rPr>
      </w:pPr>
      <w:r w:rsidRPr="008A6B1C">
        <w:rPr>
          <w:rFonts w:ascii="Times New Roman" w:hAnsi="Times New Roman" w:cs="Times New Roman"/>
          <w:sz w:val="24"/>
          <w:szCs w:val="24"/>
        </w:rPr>
        <w:t>En relación con la conexión entre ciberacoso y suicidio, todas las investigaciones revisadas evidencian una relación significativa entre ambas problemáticas (Abrahamyan et al., 2019; Iranzo et al., 2019). La ideación suicida en víctimas de acoso en línea alcanza cifras preocupantes, con un 30% en Portugal y hasta un 52% en Japón (Abrahamyan et al., 2019; Nagamitsu et al., 2020). Además, el 20% de las víctimas japonesas y el 11.1% de las vietnamitas de solo 11 años han intentado suicidarse en el último año (Nguyen et al., 2020).</w:t>
      </w:r>
    </w:p>
    <w:p w14:paraId="1DF82B92" w14:textId="77777777" w:rsidR="008A6B1C" w:rsidRPr="008A6B1C" w:rsidRDefault="008A6B1C" w:rsidP="008A6B1C">
      <w:pPr>
        <w:spacing w:line="360" w:lineRule="auto"/>
        <w:ind w:firstLine="720"/>
        <w:rPr>
          <w:rFonts w:ascii="Times New Roman" w:hAnsi="Times New Roman" w:cs="Times New Roman"/>
          <w:sz w:val="24"/>
          <w:szCs w:val="24"/>
        </w:rPr>
      </w:pPr>
      <w:r w:rsidRPr="008A6B1C">
        <w:rPr>
          <w:rFonts w:ascii="Times New Roman" w:hAnsi="Times New Roman" w:cs="Times New Roman"/>
          <w:sz w:val="24"/>
          <w:szCs w:val="24"/>
        </w:rPr>
        <w:t>El impacto del ciberacoso en la conducta suicida es más severo cuando se combina con el bullying tradicional. Estudios indican que las víctimas que sufren ambos tipos de acoso tienen hasta 5.4 veces más riesgo de ideaciones suicidas y 11.4 veces más de tentativas autolíticas (Hinduja &amp; Patchin, 2019). Además, el riesgo de ideación suicida en cibervíctimas aumenta un 148% en comparación con quienes no han sido víctimas (Chang et al., 2019).</w:t>
      </w:r>
    </w:p>
    <w:p w14:paraId="54AC329D" w14:textId="77777777" w:rsidR="008A6B1C" w:rsidRPr="008A6B1C" w:rsidRDefault="008A6B1C" w:rsidP="008A6B1C">
      <w:pPr>
        <w:spacing w:line="360" w:lineRule="auto"/>
        <w:ind w:firstLine="720"/>
        <w:rPr>
          <w:rFonts w:ascii="Times New Roman" w:hAnsi="Times New Roman" w:cs="Times New Roman"/>
          <w:sz w:val="24"/>
          <w:szCs w:val="24"/>
        </w:rPr>
      </w:pPr>
      <w:r w:rsidRPr="008A6B1C">
        <w:rPr>
          <w:rFonts w:ascii="Times New Roman" w:hAnsi="Times New Roman" w:cs="Times New Roman"/>
          <w:sz w:val="24"/>
          <w:szCs w:val="24"/>
        </w:rPr>
        <w:t>Las diferencias de género también son significativas. Las adolescentes tienen mayor riesgo de ideaciones y tentativas suicidas debido a la cibervictimización (Kim et al., 2019; Kuehn et al., 2019). Sin embargo, un estudio en EE.UU. mostró que, aunque las chicas son más propensas a idear el suicidio, los chicos cibervictimizados tienen un mayor riesgo de planificación y ejecución del mismo (Alhajji et al., 2019).</w:t>
      </w:r>
    </w:p>
    <w:p w14:paraId="6D1EA22D" w14:textId="77777777" w:rsidR="008A6B1C" w:rsidRPr="008A6B1C" w:rsidRDefault="008A6B1C" w:rsidP="008A6B1C">
      <w:pPr>
        <w:spacing w:line="360" w:lineRule="auto"/>
        <w:ind w:firstLine="720"/>
        <w:rPr>
          <w:rFonts w:ascii="Times New Roman" w:hAnsi="Times New Roman" w:cs="Times New Roman"/>
          <w:sz w:val="24"/>
          <w:szCs w:val="24"/>
        </w:rPr>
      </w:pPr>
      <w:r w:rsidRPr="008A6B1C">
        <w:rPr>
          <w:rFonts w:ascii="Times New Roman" w:hAnsi="Times New Roman" w:cs="Times New Roman"/>
          <w:sz w:val="24"/>
          <w:szCs w:val="24"/>
        </w:rPr>
        <w:t>Para reducir el impacto del ciberacoso en la conducta suicida, diversos estudios han identificado factores de protección. La conexión con la escuela, el apoyo parental y una buena salud emocional pueden amortiguar sus efectos negativos (Chang et al., 2019; Kim, Walsh et al., 2020). Sin embargo, la presión académica y las malas relaciones familiares incrementan el riesgo de suicidio en las víctimas de ciberacoso (Nguyen et al., 2020; Sampasa-Kanyinga et al., 2020).</w:t>
      </w:r>
    </w:p>
    <w:p w14:paraId="4B407CD3" w14:textId="77777777" w:rsidR="008A6B1C" w:rsidRPr="008A6B1C" w:rsidRDefault="008A6B1C" w:rsidP="008A6B1C">
      <w:pPr>
        <w:spacing w:line="360" w:lineRule="auto"/>
        <w:ind w:firstLine="720"/>
        <w:rPr>
          <w:rFonts w:ascii="Times New Roman" w:hAnsi="Times New Roman" w:cs="Times New Roman"/>
          <w:sz w:val="24"/>
          <w:szCs w:val="24"/>
        </w:rPr>
      </w:pPr>
      <w:r w:rsidRPr="008A6B1C">
        <w:rPr>
          <w:rFonts w:ascii="Times New Roman" w:hAnsi="Times New Roman" w:cs="Times New Roman"/>
          <w:sz w:val="24"/>
          <w:szCs w:val="24"/>
        </w:rPr>
        <w:lastRenderedPageBreak/>
        <w:t>Estos hallazgos subrayan la necesidad de implementar programas de prevención y sensibilización en los centros educativos para reducir la incidencia del ciberacoso y sus graves consecuencias en la salud mental de los adolescentes.</w:t>
      </w:r>
    </w:p>
    <w:p w14:paraId="597CA00A" w14:textId="59DCE0F1" w:rsidR="008A6B1C" w:rsidRPr="008A6B1C" w:rsidRDefault="008A6B1C" w:rsidP="008A6B1C">
      <w:pPr>
        <w:rPr>
          <w:rFonts w:ascii="Times New Roman" w:hAnsi="Times New Roman" w:cs="Times New Roman"/>
          <w:sz w:val="24"/>
          <w:szCs w:val="24"/>
        </w:rPr>
      </w:pPr>
      <w:r>
        <w:rPr>
          <w:rFonts w:ascii="Times New Roman" w:hAnsi="Times New Roman" w:cs="Times New Roman"/>
          <w:sz w:val="24"/>
          <w:szCs w:val="24"/>
        </w:rPr>
        <w:t>.</w:t>
      </w:r>
    </w:p>
    <w:p w14:paraId="5F50B205" w14:textId="596DCC1B" w:rsidR="00062AE0" w:rsidRPr="009478F4" w:rsidRDefault="009478F4" w:rsidP="00AB126E">
      <w:pPr>
        <w:pStyle w:val="Ttulo1"/>
        <w:numPr>
          <w:ilvl w:val="0"/>
          <w:numId w:val="9"/>
        </w:numPr>
        <w:jc w:val="center"/>
        <w:rPr>
          <w:rFonts w:cs="Times New Roman"/>
          <w:szCs w:val="24"/>
        </w:rPr>
      </w:pPr>
      <w:bookmarkStart w:id="41" w:name="_heading=h.5zgwexv6khul" w:colFirst="0" w:colLast="0"/>
      <w:bookmarkStart w:id="42" w:name="_Toc190964034"/>
      <w:bookmarkEnd w:id="41"/>
      <w:r w:rsidRPr="009478F4">
        <w:rPr>
          <w:rFonts w:cs="Times New Roman"/>
          <w:szCs w:val="24"/>
        </w:rPr>
        <w:t>Discusión</w:t>
      </w:r>
      <w:bookmarkEnd w:id="42"/>
    </w:p>
    <w:p w14:paraId="35CA5B42" w14:textId="77777777" w:rsidR="00062AE0" w:rsidRPr="009478F4" w:rsidRDefault="00B33B33"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Este trabajo ofrece una perspectiva exhaustiva sobre los retos actuales que presentan tanto el </w:t>
      </w:r>
      <w:r w:rsidRPr="009478F4">
        <w:rPr>
          <w:rFonts w:ascii="Times New Roman" w:eastAsia="Times New Roman" w:hAnsi="Times New Roman" w:cs="Times New Roman"/>
          <w:i/>
          <w:sz w:val="24"/>
          <w:szCs w:val="24"/>
        </w:rPr>
        <w:t>bullying</w:t>
      </w:r>
      <w:r w:rsidRPr="009478F4">
        <w:rPr>
          <w:rFonts w:ascii="Times New Roman" w:eastAsia="Times New Roman" w:hAnsi="Times New Roman" w:cs="Times New Roman"/>
          <w:sz w:val="24"/>
          <w:szCs w:val="24"/>
        </w:rPr>
        <w:t xml:space="preserve"> tradicional como el </w:t>
      </w:r>
      <w:r w:rsidRPr="009478F4">
        <w:rPr>
          <w:rFonts w:ascii="Times New Roman" w:eastAsia="Times New Roman" w:hAnsi="Times New Roman" w:cs="Times New Roman"/>
          <w:i/>
          <w:sz w:val="24"/>
          <w:szCs w:val="24"/>
        </w:rPr>
        <w:t>ciberbullying</w:t>
      </w:r>
      <w:r w:rsidRPr="009478F4">
        <w:rPr>
          <w:rFonts w:ascii="Times New Roman" w:eastAsia="Times New Roman" w:hAnsi="Times New Roman" w:cs="Times New Roman"/>
          <w:sz w:val="24"/>
          <w:szCs w:val="24"/>
        </w:rPr>
        <w:t xml:space="preserve">, abordando diferencias, similitudes, y factores contextuales que agravan el impacto y dificultan su control. Los hallazgos obtenidos resaltan que, aunque el </w:t>
      </w:r>
      <w:r w:rsidRPr="009478F4">
        <w:rPr>
          <w:rFonts w:ascii="Times New Roman" w:eastAsia="Times New Roman" w:hAnsi="Times New Roman" w:cs="Times New Roman"/>
          <w:i/>
          <w:sz w:val="24"/>
          <w:szCs w:val="24"/>
        </w:rPr>
        <w:t>bullying</w:t>
      </w:r>
      <w:r w:rsidRPr="009478F4">
        <w:rPr>
          <w:rFonts w:ascii="Times New Roman" w:eastAsia="Times New Roman" w:hAnsi="Times New Roman" w:cs="Times New Roman"/>
          <w:sz w:val="24"/>
          <w:szCs w:val="24"/>
        </w:rPr>
        <w:t xml:space="preserve"> y el </w:t>
      </w:r>
      <w:r w:rsidRPr="009478F4">
        <w:rPr>
          <w:rFonts w:ascii="Times New Roman" w:eastAsia="Times New Roman" w:hAnsi="Times New Roman" w:cs="Times New Roman"/>
          <w:i/>
          <w:sz w:val="24"/>
          <w:szCs w:val="24"/>
        </w:rPr>
        <w:t>ciberbullying</w:t>
      </w:r>
      <w:r w:rsidRPr="009478F4">
        <w:rPr>
          <w:rFonts w:ascii="Times New Roman" w:eastAsia="Times New Roman" w:hAnsi="Times New Roman" w:cs="Times New Roman"/>
          <w:sz w:val="24"/>
          <w:szCs w:val="24"/>
        </w:rPr>
        <w:t xml:space="preserve"> comparten características básicas, el entorno digital introduce complejidades que dificultan su detección y manejo, como el anonimato del agresor, la persistencia del contenido y la exposición constante a través de redes sociales.</w:t>
      </w:r>
    </w:p>
    <w:p w14:paraId="2F1BCCF8" w14:textId="77777777" w:rsidR="00062AE0" w:rsidRPr="009478F4" w:rsidRDefault="00B33B33"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Una de las reflexiones clave que surge del análisis es que las características estructurales del </w:t>
      </w:r>
      <w:r w:rsidRPr="009478F4">
        <w:rPr>
          <w:rFonts w:ascii="Times New Roman" w:eastAsia="Times New Roman" w:hAnsi="Times New Roman" w:cs="Times New Roman"/>
          <w:i/>
          <w:sz w:val="24"/>
          <w:szCs w:val="24"/>
        </w:rPr>
        <w:t>ciberbullying</w:t>
      </w:r>
      <w:r w:rsidRPr="009478F4">
        <w:rPr>
          <w:rFonts w:ascii="Times New Roman" w:eastAsia="Times New Roman" w:hAnsi="Times New Roman" w:cs="Times New Roman"/>
          <w:sz w:val="24"/>
          <w:szCs w:val="24"/>
        </w:rPr>
        <w:t xml:space="preserve"> —donde los agresores pueden actuar sin ser identificados y las víctimas no pueden escapar fácilmente del acoso— transforman el fenómeno en una amenaza mucho más extendida y menos tangible que el </w:t>
      </w:r>
      <w:r w:rsidRPr="009478F4">
        <w:rPr>
          <w:rFonts w:ascii="Times New Roman" w:eastAsia="Times New Roman" w:hAnsi="Times New Roman" w:cs="Times New Roman"/>
          <w:i/>
          <w:sz w:val="24"/>
          <w:szCs w:val="24"/>
        </w:rPr>
        <w:t>bullying</w:t>
      </w:r>
      <w:r w:rsidRPr="009478F4">
        <w:rPr>
          <w:rFonts w:ascii="Times New Roman" w:eastAsia="Times New Roman" w:hAnsi="Times New Roman" w:cs="Times New Roman"/>
          <w:sz w:val="24"/>
          <w:szCs w:val="24"/>
        </w:rPr>
        <w:t xml:space="preserve"> físico. Estos aspectos subrayan la urgencia de diseñar mecanismos más efectivos para la prevención y la intervención. La capacidad de los entornos escolares y familiares para detectar y abordar el ciberacoso es limitada, y aunque se han hecho avances en concienciación, aún existen brechas importantes en las estrategias para enfrentarlo.</w:t>
      </w:r>
    </w:p>
    <w:p w14:paraId="1253F5E3" w14:textId="1D14986B" w:rsidR="005822E3" w:rsidRPr="009478F4" w:rsidRDefault="00B33B33"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En términos de las consecuencias psicológicas, el estudio subraya que tanto el bullying como el ciberbullying generan efectos devastadores en las víctimas, como ansiedad, depresión y, en los casos más graves, conductas autolesivas. Sin embargo, la diferencia radica en la mayor intensidad y durabilidad del impacto del </w:t>
      </w:r>
      <w:r w:rsidRPr="009478F4">
        <w:rPr>
          <w:rFonts w:ascii="Times New Roman" w:eastAsia="Times New Roman" w:hAnsi="Times New Roman" w:cs="Times New Roman"/>
          <w:i/>
          <w:sz w:val="24"/>
          <w:szCs w:val="24"/>
        </w:rPr>
        <w:t>ciberbullying</w:t>
      </w:r>
      <w:r w:rsidRPr="009478F4">
        <w:rPr>
          <w:rFonts w:ascii="Times New Roman" w:eastAsia="Times New Roman" w:hAnsi="Times New Roman" w:cs="Times New Roman"/>
          <w:sz w:val="24"/>
          <w:szCs w:val="24"/>
        </w:rPr>
        <w:t xml:space="preserve"> debido a la constante repetición de los ataques, la exposición a grandes audiencias y la permanencia de los mensajes dañinos en internet. Estas características hacen que las víctimas experimenten una forma de acoso omnipresente, lo que afecta su capacidad para superar la situación.</w:t>
      </w:r>
    </w:p>
    <w:p w14:paraId="1A5A7DC1" w14:textId="77777777" w:rsidR="00062AE0" w:rsidRDefault="00B33B33"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Por otra parte, el marco teórico del estudio, que define de manera clara las características de ambos tipos de acoso, permite profundizar en las complejidades sociales y emocionales que los diferencian. Aunque ambos son formas de violencia, el hecho de que el </w:t>
      </w:r>
      <w:r w:rsidRPr="009478F4">
        <w:rPr>
          <w:rFonts w:ascii="Times New Roman" w:eastAsia="Times New Roman" w:hAnsi="Times New Roman" w:cs="Times New Roman"/>
          <w:i/>
          <w:sz w:val="24"/>
          <w:szCs w:val="24"/>
        </w:rPr>
        <w:t>ciberbullying</w:t>
      </w:r>
      <w:r w:rsidRPr="009478F4">
        <w:rPr>
          <w:rFonts w:ascii="Times New Roman" w:eastAsia="Times New Roman" w:hAnsi="Times New Roman" w:cs="Times New Roman"/>
          <w:sz w:val="24"/>
          <w:szCs w:val="24"/>
        </w:rPr>
        <w:t xml:space="preserve"> se realice a través de la mediación tecnológica y se pueda propagar de manera instantánea y global, refleja un cambio profundo en la manera en que los jóvenes interactúan y </w:t>
      </w:r>
      <w:r w:rsidRPr="009478F4">
        <w:rPr>
          <w:rFonts w:ascii="Times New Roman" w:eastAsia="Times New Roman" w:hAnsi="Times New Roman" w:cs="Times New Roman"/>
          <w:sz w:val="24"/>
          <w:szCs w:val="24"/>
        </w:rPr>
        <w:lastRenderedPageBreak/>
        <w:t>se enfrentan al conflicto. En este sentido, las normativas legales, que aún son limitadas para el entorno digital, requieren una actualización que responda a los desafíos que la tecnología ha introducido en las dinámicas de acoso.</w:t>
      </w:r>
    </w:p>
    <w:p w14:paraId="2E7616B9" w14:textId="77777777" w:rsidR="008A6B1C" w:rsidRPr="009478F4" w:rsidRDefault="008A6B1C"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p>
    <w:p w14:paraId="1C972417" w14:textId="77777777" w:rsidR="00062AE0" w:rsidRPr="009478F4" w:rsidRDefault="00B33B33"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A pesar de los avances en la legislación, la regulación efectiva del </w:t>
      </w:r>
      <w:r w:rsidRPr="009478F4">
        <w:rPr>
          <w:rFonts w:ascii="Times New Roman" w:eastAsia="Times New Roman" w:hAnsi="Times New Roman" w:cs="Times New Roman"/>
          <w:i/>
          <w:sz w:val="24"/>
          <w:szCs w:val="24"/>
        </w:rPr>
        <w:t>ciberbullying</w:t>
      </w:r>
      <w:r w:rsidRPr="009478F4">
        <w:rPr>
          <w:rFonts w:ascii="Times New Roman" w:eastAsia="Times New Roman" w:hAnsi="Times New Roman" w:cs="Times New Roman"/>
          <w:sz w:val="24"/>
          <w:szCs w:val="24"/>
        </w:rPr>
        <w:t xml:space="preserve"> sigue siendo insuficiente. Si bien se menciona que las leyes penales en España tipifican una serie de delitos relacionados con el acoso, estas no parecen adaptarse del todo a la naturaleza evolutiva y rápida del entorno digital. En muchos casos, las víctimas enfrentan una falta de recursos claros para actuar y las plataformas tecnológicas no implementan mecanismos efectivos para eliminar contenidos nocivos o identificar a los agresores.</w:t>
      </w:r>
    </w:p>
    <w:p w14:paraId="3F9AA70A" w14:textId="77777777" w:rsidR="0037583C" w:rsidRDefault="00B33B33"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 xml:space="preserve">En cuanto a las estrategias de prevención y detección, el trabajo muestra que tanto en el ámbito escolar como en el familiar, las medidas actuales se centran en gran medida en la educación emocional y la creación de normas de convivencia, pero estas herramientas son insuficientes para lidiar con el anonimato y la inmediatez del ciberacoso. Las escuelas y las familias deben colaborar más estrechamente con las plataformas digitales para garantizar que se tomen medidas preventivas y que se controlen las interacciones peligrosas en línea. </w:t>
      </w:r>
    </w:p>
    <w:p w14:paraId="0DDD91BA" w14:textId="1B017EB0" w:rsidR="00BC367D" w:rsidRPr="008A6B1C" w:rsidRDefault="00B33B33"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9478F4">
        <w:rPr>
          <w:rFonts w:ascii="Times New Roman" w:eastAsia="Times New Roman" w:hAnsi="Times New Roman" w:cs="Times New Roman"/>
          <w:sz w:val="24"/>
          <w:szCs w:val="24"/>
        </w:rPr>
        <w:t>También se sugiere la importancia de formar a los estudiantes en competencias digitales, para que entiendan las implicaciones de sus acciones en internet y sean capaces de gestionar los conflictos de manera ética y responsable.</w:t>
      </w:r>
    </w:p>
    <w:p w14:paraId="3C5C944E" w14:textId="24145329" w:rsidR="00062AE0" w:rsidRPr="009478F4" w:rsidRDefault="008A6B1C" w:rsidP="008A6B1C">
      <w:pPr>
        <w:pStyle w:val="Ttulo1"/>
        <w:spacing w:line="360" w:lineRule="auto"/>
        <w:jc w:val="center"/>
        <w:rPr>
          <w:rFonts w:eastAsia="Times New Roman" w:cs="Times New Roman"/>
          <w:szCs w:val="24"/>
        </w:rPr>
      </w:pPr>
      <w:bookmarkStart w:id="43" w:name="_Toc190964035"/>
      <w:r>
        <w:rPr>
          <w:rFonts w:eastAsia="Times New Roman" w:cs="Times New Roman"/>
          <w:szCs w:val="24"/>
        </w:rPr>
        <w:t>7</w:t>
      </w:r>
      <w:r w:rsidR="009478F4" w:rsidRPr="009478F4">
        <w:rPr>
          <w:rFonts w:eastAsia="Times New Roman" w:cs="Times New Roman"/>
          <w:szCs w:val="24"/>
        </w:rPr>
        <w:t>.Conclusión</w:t>
      </w:r>
      <w:bookmarkEnd w:id="43"/>
    </w:p>
    <w:p w14:paraId="57C7908F" w14:textId="77777777" w:rsidR="00FA4DC1" w:rsidRPr="00FA4DC1" w:rsidRDefault="00FA4DC1" w:rsidP="00FA4DC1">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El presente trabajo concluye que el ciberbullying es un fenómeno que plantea un desafío significativo en la actualidad, siendo considerablemente más difícil de detectar y controlar en comparación con el bullying tradicional. Esto se debe a diversos factores, entre los que destacan el anonimato de los agresores, la permanencia de los ataques en el entorno digital y la ausencia de contacto físico entre el acosador y la víctima. Estas características particulares complican la identificación temprana del acoso, lo que prolonga el sufrimiento de las víctimas y limita la capacidad de intervención tanto de las instituciones educativas como de las familias.</w:t>
      </w:r>
    </w:p>
    <w:p w14:paraId="1E01ADBF" w14:textId="77777777" w:rsidR="00FA4DC1" w:rsidRPr="00FA4DC1" w:rsidRDefault="00FA4DC1" w:rsidP="00FA4DC1">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 xml:space="preserve">Para abordar este problema de manera efectiva, es necesario implementar una serie de medidas preventivas y de intervención en distintos ámbitos. En el contexto escolar, es </w:t>
      </w:r>
      <w:r w:rsidRPr="00FA4DC1">
        <w:rPr>
          <w:rFonts w:ascii="Times New Roman" w:eastAsia="Times New Roman" w:hAnsi="Times New Roman" w:cs="Times New Roman"/>
          <w:sz w:val="24"/>
          <w:szCs w:val="24"/>
        </w:rPr>
        <w:lastRenderedPageBreak/>
        <w:t>fundamental fomentar la prevención mediante la gestión democrática de la convivencia, el aprendizaje cooperativo y la educación en valores y emociones. Estas estrategias pueden contribuir a la creación de un ambiente escolar más seguro y respetuoso, reduciendo los riesgos de acoso y promoviendo relaciones interpersonales saludables. Además, la intervención en el aula a través de metodologías como la mediación en conflictos, el apoyo entre iguales y los círculos de calidad permite generar espacios de diálogo y comprensión que favorecen la resolución pacífica de los problemas antes de que escalen a situaciones de acoso reiterado.</w:t>
      </w:r>
    </w:p>
    <w:p w14:paraId="41732C2A" w14:textId="77777777" w:rsidR="00FA4DC1" w:rsidRPr="00FA4DC1" w:rsidRDefault="00FA4DC1" w:rsidP="00FA4DC1">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Asimismo, el desarrollo de habilidades tanto en las víctimas como en los agresores es una estrategia clave para la prevención y mitigación del ciberbullying. En el caso de las víctimas, fortalecer la asertividad y la confianza en sí mismas puede ayudarlas a afrontar de mejor manera las situaciones de acoso y a buscar apoyo de manera efectiva. Por otro lado, en los agresores, trabajar el desarrollo de la empatía y la conciencia sobre el impacto de sus acciones resulta esencial para modificar las dinámicas de agresión y prevenir su continuidad.</w:t>
      </w:r>
    </w:p>
    <w:p w14:paraId="7A720E70" w14:textId="77777777" w:rsidR="00FA4DC1" w:rsidRPr="00FA4DC1" w:rsidRDefault="00FA4DC1" w:rsidP="00FA4DC1">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En el ámbito familiar, el establecimiento de un estilo educativo basado en el apoyo y el diálogo, combinado con normas claras sobre el uso de las tecnologías, puede desempeñar un papel crucial en la prevención del ciberacoso. La educación sobre la seguridad en línea también es un aspecto fundamental, ya que permite a los menores comprender la importancia de proteger su privacidad y gestionar adecuadamente su presencia en internet, reduciendo así los riesgos de exposición a situaciones de acoso digital.</w:t>
      </w:r>
    </w:p>
    <w:p w14:paraId="04A0CDF6" w14:textId="77777777" w:rsidR="00FA4DC1" w:rsidRPr="00FA4DC1" w:rsidRDefault="00FA4DC1" w:rsidP="00FA4DC1">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Por otra parte, la implementación de tecnología para la supervisión y detección de casos de ciberbullying puede facilitar la intervención temprana y mejorar la seguridad en línea. Herramientas como sistemas de monitoreo, algoritmos de detección de lenguaje ofensivo y mecanismos de denuncia eficaces pueden contribuir a la identificación rápida de situaciones de acoso y a la protección de las víctimas. En este sentido, la promoción de la educación digital tanto en las escuelas como en el hogar es esencial para fomentar el desarrollo de hábitos responsables en el uso de internet, ayudando a los jóvenes a navegar de manera segura y consciente en el entorno digital.</w:t>
      </w:r>
    </w:p>
    <w:p w14:paraId="2809FFCE" w14:textId="77777777" w:rsidR="00FA4DC1" w:rsidRPr="00FA4DC1" w:rsidRDefault="00FA4DC1" w:rsidP="00FA4DC1">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 xml:space="preserve">La cooperación entre plataformas digitales y autoridades también desempeña un papel fundamental en la lucha contra el ciberbullying. La colaboración entre empresas tecnológicas, instituciones educativas y organismos gubernamentales puede agilizar la eliminación de contenido perjudicial, fortalecer la protección de las víctimas y mejorar las regulaciones </w:t>
      </w:r>
      <w:r w:rsidRPr="00FA4DC1">
        <w:rPr>
          <w:rFonts w:ascii="Times New Roman" w:eastAsia="Times New Roman" w:hAnsi="Times New Roman" w:cs="Times New Roman"/>
          <w:sz w:val="24"/>
          <w:szCs w:val="24"/>
        </w:rPr>
        <w:lastRenderedPageBreak/>
        <w:t>existentes para combatir este tipo de violencia digital.</w:t>
      </w:r>
    </w:p>
    <w:p w14:paraId="22A74679" w14:textId="77777777" w:rsidR="00FA4DC1" w:rsidRPr="00FA4DC1" w:rsidRDefault="00FA4DC1" w:rsidP="00FA4DC1">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Finalmente, fomentar la empatía digital y el desarrollo de habilidades socioemocionales resulta clave para la prevención del ciberbullying a largo plazo. Enseñar a los jóvenes a comunicarse con respeto en los entornos digitales y a comprender las emociones de los demás puede contribuir significativamente a la reducción de conductas agresivas en línea y a la construcción de un entorno digital más seguro y armonioso.</w:t>
      </w:r>
    </w:p>
    <w:p w14:paraId="0647521F" w14:textId="77777777" w:rsidR="00FA4DC1" w:rsidRPr="00FA4DC1" w:rsidRDefault="00FA4DC1" w:rsidP="00FA4DC1">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Además, este trabajo resalta el grave impacto del ciberacoso en la salud mental de los adolescentes, especialmente su relación con la ideación y las tentativas suicidas. La evidencia indica que las víctimas de ciberacoso tienen un riesgo considerablemente mayor de desarrollar pensamientos suicidas, y que este impacto es aún más severo cuando se combina con el bullying tradicional. Por ello, resulta imprescindible implementar programas de prevención en los centros educativos y fortalecer los mecanismos de apoyo psicosocial para las víctimas. La conexión con la escuela, el respaldo familiar y una adecuada salud emocional pueden actuar como factores protectores, mitigando los efectos negativos del acoso digital y promoviendo el bienestar de los adolescentes.</w:t>
      </w:r>
    </w:p>
    <w:p w14:paraId="72257C28" w14:textId="3E6F9611" w:rsidR="008A6B1C" w:rsidRDefault="00FA4DC1"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r w:rsidRPr="00FA4DC1">
        <w:rPr>
          <w:rFonts w:ascii="Times New Roman" w:eastAsia="Times New Roman" w:hAnsi="Times New Roman" w:cs="Times New Roman"/>
          <w:sz w:val="24"/>
          <w:szCs w:val="24"/>
        </w:rPr>
        <w:t>Este análisis subraya la necesidad urgente de abordar el ciberbullying desde un enfoque integral y actualizado, que contemple aspectos legales, educativos y tecnológicos. Aunque la concienciación sobre el problema ha crecido, aún es necesario establecer mecanismos más efectivos para la intervención rápida y la protección de las víctimas en un entorno digital cada vez más complejo. El trabajo invita a seguir investigando cómo las instituciones, la legislación y la sociedad pueden adaptarse mejor a esta nueva forma de violencia digital, desarrollando soluciones innovadoras que protejan a las víctimas y fomenten un uso más seguro y responsable de las tecnologías.</w:t>
      </w:r>
    </w:p>
    <w:p w14:paraId="672793BA" w14:textId="77777777" w:rsidR="008A6B1C" w:rsidRDefault="008A6B1C"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p>
    <w:p w14:paraId="024F9280" w14:textId="77777777" w:rsidR="00FA4DC1" w:rsidRDefault="00FA4DC1"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p>
    <w:p w14:paraId="302593D7" w14:textId="77777777" w:rsidR="00FA4DC1" w:rsidRPr="007E31AB" w:rsidRDefault="00FA4DC1" w:rsidP="008A6B1C">
      <w:pPr>
        <w:widowControl w:val="0"/>
        <w:tabs>
          <w:tab w:val="left" w:pos="1540"/>
          <w:tab w:val="left" w:pos="1541"/>
        </w:tabs>
        <w:spacing w:before="240" w:after="240" w:line="360" w:lineRule="auto"/>
        <w:ind w:firstLine="720"/>
        <w:jc w:val="both"/>
        <w:rPr>
          <w:rFonts w:ascii="Times New Roman" w:eastAsia="Times New Roman" w:hAnsi="Times New Roman" w:cs="Times New Roman"/>
          <w:sz w:val="24"/>
          <w:szCs w:val="24"/>
        </w:rPr>
      </w:pPr>
    </w:p>
    <w:p w14:paraId="0462F0BA" w14:textId="62B9C73E" w:rsidR="008A6B1C" w:rsidRPr="008A6B1C" w:rsidRDefault="005822E3" w:rsidP="008A6B1C">
      <w:pPr>
        <w:pStyle w:val="Ttulo1"/>
        <w:spacing w:before="0" w:after="240"/>
        <w:jc w:val="both"/>
      </w:pPr>
      <w:bookmarkStart w:id="44" w:name="_Toc190964036"/>
      <w:r>
        <w:lastRenderedPageBreak/>
        <w:t>7.</w:t>
      </w:r>
      <w:r w:rsidRPr="009478F4">
        <w:t>Bibliografía</w:t>
      </w:r>
      <w:bookmarkEnd w:id="44"/>
    </w:p>
    <w:p w14:paraId="74F7B53B" w14:textId="77777777" w:rsidR="0096485F" w:rsidRPr="0096485F" w:rsidRDefault="0096485F" w:rsidP="00937076">
      <w:pPr>
        <w:spacing w:after="240"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Alonso, N. J. M. L., Gómez, R. L., Córcoles, M. Á. A., SÁIZ, J. C. B., &amp; GARCÍA, G. G. J. (2017). Acoso Escolar: Desde la sensibilización social a una propuesta de intervención. Reflexiones desde la legislación española. Letras Jurídicas, 4(4).</w:t>
      </w:r>
    </w:p>
    <w:p w14:paraId="5DF09437"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highlight w:val="white"/>
        </w:rPr>
      </w:pPr>
      <w:r w:rsidRPr="0096485F">
        <w:rPr>
          <w:rFonts w:ascii="Times New Roman" w:eastAsia="Times New Roman" w:hAnsi="Times New Roman" w:cs="Times New Roman"/>
          <w:i/>
          <w:sz w:val="24"/>
          <w:szCs w:val="24"/>
          <w:highlight w:val="white"/>
        </w:rPr>
        <w:t>Ballesteros, B., Pérez, S., Díaz, D., &amp; Toledano, E. (2018). III Estudio sobre acoso escolar y ciberbullying según los afectados. Fundación ANAR. Madrid.</w:t>
      </w:r>
    </w:p>
    <w:p w14:paraId="7172DE84"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 xml:space="preserve">Barajas, M., Caballero, M., Martín, M. V., y Ramos, A. E. (2016). Reirte con el bullying te transforma en cómplice. Guía del profesor. Fundación ANAR. </w:t>
      </w:r>
      <w:hyperlink r:id="rId10">
        <w:r w:rsidRPr="0096485F">
          <w:rPr>
            <w:rFonts w:ascii="Times New Roman" w:eastAsia="Times New Roman" w:hAnsi="Times New Roman" w:cs="Times New Roman"/>
            <w:i/>
            <w:sz w:val="24"/>
            <w:szCs w:val="24"/>
            <w:u w:val="single"/>
          </w:rPr>
          <w:t>https://www.fundacionmutua.es/documents/material-para-profesores.pdf</w:t>
        </w:r>
      </w:hyperlink>
    </w:p>
    <w:p w14:paraId="5ECF544E"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lang w:val="en-US"/>
        </w:rPr>
      </w:pPr>
      <w:r w:rsidRPr="0096485F">
        <w:rPr>
          <w:rFonts w:ascii="Times New Roman" w:eastAsia="Times New Roman" w:hAnsi="Times New Roman" w:cs="Times New Roman"/>
          <w:i/>
          <w:sz w:val="24"/>
          <w:szCs w:val="24"/>
          <w:lang w:val="en-US"/>
        </w:rPr>
        <w:t>Barlett, C. P. (2019). Chapter 2 - Cyberbullying. Traditional bullying. and aggression: A complicated relationship. En Barlett, C. P. (Ed.). Predicting Cyberbullying (pp. 11-16). doi: 10.1016/B978-0-12- 816653-6.00002-9</w:t>
      </w:r>
    </w:p>
    <w:p w14:paraId="52E212F8"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lang w:val="en-US"/>
        </w:rPr>
        <w:t xml:space="preserve">Belsey, B. (2005). Cyberbullying: An emerging Threat to the always on generation [en línea]. </w:t>
      </w:r>
      <w:r w:rsidRPr="0096485F">
        <w:rPr>
          <w:rFonts w:ascii="Times New Roman" w:eastAsia="Times New Roman" w:hAnsi="Times New Roman" w:cs="Times New Roman"/>
          <w:i/>
          <w:sz w:val="24"/>
          <w:szCs w:val="24"/>
        </w:rPr>
        <w:t xml:space="preserve">Disponible en: </w:t>
      </w:r>
      <w:hyperlink r:id="rId11">
        <w:r w:rsidRPr="0096485F">
          <w:rPr>
            <w:rFonts w:ascii="Times New Roman" w:eastAsia="Times New Roman" w:hAnsi="Times New Roman" w:cs="Times New Roman"/>
            <w:i/>
            <w:sz w:val="24"/>
            <w:szCs w:val="24"/>
            <w:u w:val="single"/>
          </w:rPr>
          <w:t>http://www.cyberbullying.ca</w:t>
        </w:r>
      </w:hyperlink>
    </w:p>
    <w:p w14:paraId="45FE9DBE"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lang w:val="en-US"/>
        </w:rPr>
      </w:pPr>
      <w:r w:rsidRPr="0096485F">
        <w:rPr>
          <w:rFonts w:ascii="Times New Roman" w:eastAsia="Times New Roman" w:hAnsi="Times New Roman" w:cs="Times New Roman"/>
          <w:i/>
          <w:sz w:val="24"/>
          <w:szCs w:val="24"/>
        </w:rPr>
        <w:t>Blanco, J., De Caso, A. M., &amp; Navas, G. (2012). Violencia escolar: ciberbulling en redes sociales. </w:t>
      </w:r>
      <w:r w:rsidRPr="0096485F">
        <w:rPr>
          <w:rFonts w:ascii="Times New Roman" w:eastAsia="Times New Roman" w:hAnsi="Times New Roman" w:cs="Times New Roman"/>
          <w:i/>
          <w:sz w:val="24"/>
          <w:szCs w:val="24"/>
          <w:lang w:val="en-US"/>
        </w:rPr>
        <w:t>International Journal of Developmental and Educational Psychology, 1(1), 717-724.</w:t>
      </w:r>
    </w:p>
    <w:p w14:paraId="53F66035"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88295A">
        <w:rPr>
          <w:rFonts w:ascii="Times New Roman" w:eastAsia="Times New Roman" w:hAnsi="Times New Roman" w:cs="Times New Roman"/>
          <w:i/>
          <w:sz w:val="24"/>
          <w:szCs w:val="24"/>
          <w:lang w:val="en-US"/>
        </w:rPr>
        <w:t xml:space="preserve">Carmona Rojas, M., Ortega Ruiz, R., &amp; Romera, E. M. (2023). </w:t>
      </w:r>
      <w:r w:rsidRPr="0096485F">
        <w:rPr>
          <w:rFonts w:ascii="Times New Roman" w:eastAsia="Times New Roman" w:hAnsi="Times New Roman" w:cs="Times New Roman"/>
          <w:i/>
          <w:sz w:val="24"/>
          <w:szCs w:val="24"/>
          <w:lang w:val="en-US"/>
        </w:rPr>
        <w:t xml:space="preserve">Bullying and cyberbullying, what do they have in common and what not? </w:t>
      </w:r>
      <w:r w:rsidRPr="0096485F">
        <w:rPr>
          <w:rFonts w:ascii="Times New Roman" w:eastAsia="Times New Roman" w:hAnsi="Times New Roman" w:cs="Times New Roman"/>
          <w:i/>
          <w:sz w:val="24"/>
          <w:szCs w:val="24"/>
        </w:rPr>
        <w:t>A latent class analysis.</w:t>
      </w:r>
    </w:p>
    <w:p w14:paraId="2DD5B775"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Escudero Muñoz, M. (2019). “Estudio penal y jurisprudencial sobre el bullying y el cyberbullying”. En Nuevas formas de criminalidad y su persecución. TransJus Working Papers Publication - Edición Especial (N. 1/2019, pp. 143- 158).</w:t>
      </w:r>
    </w:p>
    <w:p w14:paraId="7AEBD40C"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 xml:space="preserve">ESTEBAN, P. (10/2/2016) El acoso escolar o bullying: regulación legal y derechos de las víctimas. Recuperado el 21/10/2024, de </w:t>
      </w:r>
      <w:hyperlink r:id="rId12">
        <w:r w:rsidRPr="0096485F">
          <w:rPr>
            <w:rFonts w:ascii="Times New Roman" w:eastAsia="Times New Roman" w:hAnsi="Times New Roman" w:cs="Times New Roman"/>
            <w:i/>
            <w:sz w:val="24"/>
            <w:szCs w:val="24"/>
            <w:u w:val="single"/>
          </w:rPr>
          <w:t>http://noticias.juridicas.com/actualidad/noticias/10857-elacoso-escolar-o-bullying:-regulacion-legal-y-derechos-de-las-victimas/</w:t>
        </w:r>
      </w:hyperlink>
      <w:r w:rsidRPr="0096485F">
        <w:rPr>
          <w:rFonts w:ascii="Times New Roman" w:eastAsia="Times New Roman" w:hAnsi="Times New Roman" w:cs="Times New Roman"/>
          <w:i/>
          <w:sz w:val="24"/>
          <w:szCs w:val="24"/>
        </w:rPr>
        <w:t>.</w:t>
      </w:r>
    </w:p>
    <w:p w14:paraId="4432DAAD"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 xml:space="preserve">Garaigordobil, M. (2011). Prevalencia y consecuencias del cyberbullying: Una revisión. Revista Internacional de Psicología y Terapia Psicológica, 11 (2), 233-254. https://www.researchgate.net/publication/268810981 GARAIGORDOBIL M 2 011 </w:t>
      </w:r>
      <w:r w:rsidRPr="0096485F">
        <w:rPr>
          <w:rFonts w:ascii="Times New Roman" w:eastAsia="Times New Roman" w:hAnsi="Times New Roman" w:cs="Times New Roman"/>
          <w:i/>
          <w:sz w:val="24"/>
          <w:szCs w:val="24"/>
        </w:rPr>
        <w:lastRenderedPageBreak/>
        <w:t>Prevalencia y consecuencias del cyberbullying Una revisión Internation al_Journal of Psychology and Psychological Therapy 112 233-254</w:t>
      </w:r>
    </w:p>
    <w:p w14:paraId="6DFC04AC" w14:textId="77777777" w:rsidR="0096485F" w:rsidRPr="0088295A"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 xml:space="preserve">Hernández Serrano, M. J. y Serrate González, S. (2013). Ciberbullying: acoso a través de las tecnologías. En J. Vizuete Villar y M. Fuentes Agustí (Eds.), Ayúdalos a usar las TIC de forma responsable. </w:t>
      </w:r>
      <w:r w:rsidRPr="0088295A">
        <w:rPr>
          <w:rFonts w:ascii="Times New Roman" w:eastAsia="Times New Roman" w:hAnsi="Times New Roman" w:cs="Times New Roman"/>
          <w:i/>
          <w:sz w:val="24"/>
          <w:szCs w:val="24"/>
        </w:rPr>
        <w:t>Tarragona: Altaria.</w:t>
      </w:r>
    </w:p>
    <w:p w14:paraId="784C34EA" w14:textId="77777777" w:rsidR="0096485F" w:rsidRPr="0088295A"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 xml:space="preserve">Hernández, M.A. y Solano, I. M. (2007). Ciberbullying, un problema de acoso escolar. </w:t>
      </w:r>
      <w:r w:rsidRPr="0088295A">
        <w:rPr>
          <w:rFonts w:ascii="Times New Roman" w:eastAsia="Times New Roman" w:hAnsi="Times New Roman" w:cs="Times New Roman"/>
          <w:i/>
          <w:sz w:val="24"/>
          <w:szCs w:val="24"/>
        </w:rPr>
        <w:t>Revista Iberoamericana de Educación a Distancia, 10 (1), 17-36.</w:t>
      </w:r>
    </w:p>
    <w:p w14:paraId="1E96EDB8"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 xml:space="preserve">Ley Orgánica 3/2020, de 29 de diciembre, por la que se modifica la Ley Orgánica 2/2006, de 3 de mayo, de Educación. Boletín Oficial del Estado, núm. 340, de 30 de diciembre de 2020. </w:t>
      </w:r>
      <w:hyperlink r:id="rId13">
        <w:r w:rsidRPr="0096485F">
          <w:rPr>
            <w:rFonts w:ascii="Times New Roman" w:eastAsia="Times New Roman" w:hAnsi="Times New Roman" w:cs="Times New Roman"/>
            <w:i/>
            <w:sz w:val="24"/>
            <w:szCs w:val="24"/>
            <w:u w:val="single"/>
          </w:rPr>
          <w:t>https://www.boe.es/eli/es/10/2020/12/29/3</w:t>
        </w:r>
      </w:hyperlink>
    </w:p>
    <w:p w14:paraId="1F2A774D" w14:textId="77777777" w:rsidR="0096485F" w:rsidRPr="0088295A"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lang w:val="en-US"/>
        </w:rPr>
        <w:t xml:space="preserve">Mason, K. (2008). Cyberbullying. A preliminary assessment for school personnel. </w:t>
      </w:r>
      <w:r w:rsidRPr="0088295A">
        <w:rPr>
          <w:rFonts w:ascii="Times New Roman" w:eastAsia="Times New Roman" w:hAnsi="Times New Roman" w:cs="Times New Roman"/>
          <w:i/>
          <w:sz w:val="24"/>
          <w:szCs w:val="24"/>
        </w:rPr>
        <w:t>Psychology in the school, 45(4), 323-348.</w:t>
      </w:r>
    </w:p>
    <w:p w14:paraId="3B2F7514"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MORENO MARTÍNEZ, J.A., (Dir.), Perfiles de la Responsabilidad Civil en el nuevo Milenio, Madrid, Dykinson, 2000.</w:t>
      </w:r>
    </w:p>
    <w:p w14:paraId="26AB4B45"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highlight w:val="white"/>
        </w:rPr>
      </w:pPr>
      <w:r w:rsidRPr="0096485F">
        <w:rPr>
          <w:rFonts w:ascii="Times New Roman" w:eastAsia="Times New Roman" w:hAnsi="Times New Roman" w:cs="Times New Roman"/>
          <w:i/>
          <w:sz w:val="24"/>
          <w:szCs w:val="24"/>
          <w:highlight w:val="white"/>
        </w:rPr>
        <w:t>Musri, S. (2012). Acoso escolar y estrategias de prevención en educación escolar básica y nivel medio. Paraguay: Facultad de Ciencias Humanas, de la Universidad.</w:t>
      </w:r>
    </w:p>
    <w:p w14:paraId="14736917" w14:textId="77777777" w:rsidR="0096485F" w:rsidRPr="007E31AB"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 xml:space="preserve">Olweus, D. (1998). Conductas de acoso y amenazas entre escolares. </w:t>
      </w:r>
      <w:r w:rsidRPr="007E31AB">
        <w:rPr>
          <w:rFonts w:ascii="Times New Roman" w:eastAsia="Times New Roman" w:hAnsi="Times New Roman" w:cs="Times New Roman"/>
          <w:i/>
          <w:sz w:val="24"/>
          <w:szCs w:val="24"/>
        </w:rPr>
        <w:t>Morata.</w:t>
      </w:r>
    </w:p>
    <w:p w14:paraId="2A9354B9"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Ordóñez, M., &amp; Prado-Cabrera, K. (2019). Bullying y cyberbullying escolar en niños y jóvenes adolescentes: un estudio de caso. Maskana, 10(2), 32-41.</w:t>
      </w:r>
    </w:p>
    <w:p w14:paraId="71260DFA" w14:textId="77777777" w:rsidR="0096485F" w:rsidRPr="0096485F" w:rsidRDefault="0096485F" w:rsidP="00937076">
      <w:pPr>
        <w:spacing w:line="360" w:lineRule="auto"/>
        <w:ind w:left="720" w:hanging="720"/>
        <w:jc w:val="both"/>
        <w:rPr>
          <w:rFonts w:ascii="Times New Roman" w:eastAsia="Times New Roman" w:hAnsi="Times New Roman" w:cs="Times New Roman"/>
          <w:b/>
          <w:i/>
          <w:sz w:val="24"/>
          <w:szCs w:val="24"/>
        </w:rPr>
      </w:pPr>
      <w:r w:rsidRPr="0096485F">
        <w:rPr>
          <w:rFonts w:ascii="Times New Roman" w:eastAsia="Times New Roman" w:hAnsi="Times New Roman" w:cs="Times New Roman"/>
          <w:i/>
          <w:sz w:val="24"/>
          <w:szCs w:val="24"/>
        </w:rPr>
        <w:t>Orjuela, L., Cabrera de los Santos, B., Calmaestra, J. Mora- Merchán, J. y Ortega, R. (2013). Acoso escolar y ciberacoso: propuestas para la acción. Save the Children.  https://www.savethechildren.es/sites/default/files/imce/docs/yo_a_eso_no_juego.pdf</w:t>
      </w:r>
    </w:p>
    <w:p w14:paraId="5BF328AE"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highlight w:val="white"/>
        </w:rPr>
      </w:pPr>
      <w:r w:rsidRPr="0096485F">
        <w:rPr>
          <w:rFonts w:ascii="Times New Roman" w:eastAsia="Times New Roman" w:hAnsi="Times New Roman" w:cs="Times New Roman"/>
          <w:i/>
          <w:sz w:val="24"/>
          <w:szCs w:val="24"/>
          <w:highlight w:val="white"/>
        </w:rPr>
        <w:t>Ortega Ruiz, R. (1998). La convivencia escolar: qué es y cómo abordarla. Sevilla: Junta de Andalucía, Consejería de Educación y Ciencia, 1998.</w:t>
      </w:r>
    </w:p>
    <w:p w14:paraId="1A6C749A"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Prados, M. Á. H., &amp; Fernández, I. M. S. (2007). Ciberbullying, un problema de acoso escolar. RIED-Revista iberoamericana de educación a distancia, 10(1), 17-36.</w:t>
      </w:r>
    </w:p>
    <w:p w14:paraId="4DC2062C"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RAMOS VÁZQUEZ, J.A., "El consentimiento del menor de dieciséis años como causa de exclusión de la responsabilidad por delitos sexuales", en GONZÁLEZ CUSSAC, J.L. (Dir.), Comentarios a la reforma del Código Penal de 2015, 2015.</w:t>
      </w:r>
    </w:p>
    <w:p w14:paraId="277391BD"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highlight w:val="white"/>
        </w:rPr>
      </w:pPr>
      <w:r w:rsidRPr="0096485F">
        <w:rPr>
          <w:rFonts w:ascii="Times New Roman" w:eastAsia="Times New Roman" w:hAnsi="Times New Roman" w:cs="Times New Roman"/>
          <w:i/>
          <w:sz w:val="24"/>
          <w:szCs w:val="24"/>
          <w:highlight w:val="white"/>
        </w:rPr>
        <w:lastRenderedPageBreak/>
        <w:t>Ruiz, R. O., &amp; Alcaide, F. C. (2008). Psicopedagogía de la convivencia en un centro de educación secundaria. Aspectos generales de la formación psicopedagógica del profesorado de Educación Secundaria, 431-456.</w:t>
      </w:r>
    </w:p>
    <w:p w14:paraId="17AACBA4"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 xml:space="preserve">Salas Picón, W. M. (2015). Revisión sobre la definición del bullying. Revista Poiésis, 30, 44-50. </w:t>
      </w:r>
      <w:hyperlink r:id="rId14">
        <w:r w:rsidRPr="0096485F">
          <w:rPr>
            <w:rFonts w:ascii="Times New Roman" w:eastAsia="Times New Roman" w:hAnsi="Times New Roman" w:cs="Times New Roman"/>
            <w:i/>
            <w:sz w:val="24"/>
            <w:szCs w:val="24"/>
            <w:u w:val="single"/>
          </w:rPr>
          <w:t>https://repository.ucc.edu.co/bitstream/20.500.12494/965/1/1858-7309-2-PB.pdf</w:t>
        </w:r>
      </w:hyperlink>
    </w:p>
    <w:p w14:paraId="0E530D1A"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highlight w:val="white"/>
        </w:rPr>
      </w:pPr>
      <w:r w:rsidRPr="0096485F">
        <w:rPr>
          <w:rFonts w:ascii="Times New Roman" w:eastAsia="Times New Roman" w:hAnsi="Times New Roman" w:cs="Times New Roman"/>
          <w:i/>
          <w:sz w:val="24"/>
          <w:szCs w:val="24"/>
          <w:highlight w:val="white"/>
        </w:rPr>
        <w:t>Sánchez Pardo, L., Crespo Herrador, G., Aguilar-Moya, R., Bueno-Cañigral, F. J., Aleixandre-Benavent, R., &amp; Valderrama-Zurián, J. C. (2016). Los adolescentes y el ciberacoso. Ayuntamiento de Valencia.</w:t>
      </w:r>
    </w:p>
    <w:p w14:paraId="232A4C9A"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lang w:val="en-US"/>
        </w:rPr>
      </w:pPr>
      <w:r w:rsidRPr="0096485F">
        <w:rPr>
          <w:rFonts w:ascii="Times New Roman" w:eastAsia="Times New Roman" w:hAnsi="Times New Roman" w:cs="Times New Roman"/>
          <w:i/>
          <w:sz w:val="24"/>
          <w:szCs w:val="24"/>
        </w:rPr>
        <w:t xml:space="preserve">Smith, P. K. (2016). </w:t>
      </w:r>
      <w:r w:rsidRPr="0096485F">
        <w:rPr>
          <w:rFonts w:ascii="Times New Roman" w:eastAsia="Times New Roman" w:hAnsi="Times New Roman" w:cs="Times New Roman"/>
          <w:i/>
          <w:sz w:val="24"/>
          <w:szCs w:val="24"/>
          <w:lang w:val="en-US"/>
        </w:rPr>
        <w:t xml:space="preserve">Bullying: Definition, Types, Causes, Consequences and Intervention: Bullying. Social and Personality Psychology Compass, 10(9), 519-532. </w:t>
      </w:r>
      <w:hyperlink r:id="rId15">
        <w:r w:rsidRPr="0096485F">
          <w:rPr>
            <w:rFonts w:ascii="Times New Roman" w:eastAsia="Times New Roman" w:hAnsi="Times New Roman" w:cs="Times New Roman"/>
            <w:i/>
            <w:sz w:val="24"/>
            <w:szCs w:val="24"/>
            <w:u w:val="single"/>
            <w:lang w:val="en-US"/>
          </w:rPr>
          <w:t>https://doi.org/10.1111/spc3.12266</w:t>
        </w:r>
      </w:hyperlink>
    </w:p>
    <w:p w14:paraId="28C98597"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lang w:val="en-US"/>
        </w:rPr>
      </w:pPr>
      <w:r w:rsidRPr="0096485F">
        <w:rPr>
          <w:rFonts w:ascii="Times New Roman" w:eastAsia="Times New Roman" w:hAnsi="Times New Roman" w:cs="Times New Roman"/>
          <w:i/>
          <w:sz w:val="24"/>
          <w:szCs w:val="24"/>
          <w:lang w:val="en-US"/>
        </w:rPr>
        <w:t>Suler, J. (2004). The online disinhibition effect. Cyberpsychology &amp; behavior, 7(3), 321-326.</w:t>
      </w:r>
    </w:p>
    <w:p w14:paraId="5616BCEF" w14:textId="77777777" w:rsidR="0096485F" w:rsidRPr="0088295A" w:rsidRDefault="0096485F" w:rsidP="00937076">
      <w:pPr>
        <w:spacing w:line="360" w:lineRule="auto"/>
        <w:ind w:left="720" w:hanging="720"/>
        <w:jc w:val="both"/>
        <w:rPr>
          <w:rFonts w:ascii="Times New Roman" w:eastAsia="Times New Roman" w:hAnsi="Times New Roman" w:cs="Times New Roman"/>
          <w:i/>
          <w:sz w:val="24"/>
          <w:szCs w:val="24"/>
        </w:rPr>
      </w:pPr>
      <w:r w:rsidRPr="0088295A">
        <w:rPr>
          <w:rFonts w:ascii="Times New Roman" w:eastAsia="Times New Roman" w:hAnsi="Times New Roman" w:cs="Times New Roman"/>
          <w:i/>
          <w:sz w:val="24"/>
          <w:szCs w:val="24"/>
        </w:rPr>
        <w:t xml:space="preserve">Vallejo, A. M. P. (2017). </w:t>
      </w:r>
      <w:r w:rsidRPr="0096485F">
        <w:rPr>
          <w:rFonts w:ascii="Times New Roman" w:eastAsia="Times New Roman" w:hAnsi="Times New Roman" w:cs="Times New Roman"/>
          <w:i/>
          <w:sz w:val="24"/>
          <w:szCs w:val="24"/>
        </w:rPr>
        <w:t>Bullying e Cyberbullying: Hoja de ruta y principales retos para la intervención. </w:t>
      </w:r>
      <w:r w:rsidRPr="0088295A">
        <w:rPr>
          <w:rFonts w:ascii="Times New Roman" w:eastAsia="Times New Roman" w:hAnsi="Times New Roman" w:cs="Times New Roman"/>
          <w:i/>
          <w:sz w:val="24"/>
          <w:szCs w:val="24"/>
        </w:rPr>
        <w:t>Pensar-Revista de Ciências Jurídicas, 22(1), 34-58.</w:t>
      </w:r>
    </w:p>
    <w:p w14:paraId="415AF6D0"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rPr>
      </w:pPr>
      <w:r w:rsidRPr="0096485F">
        <w:rPr>
          <w:rFonts w:ascii="Times New Roman" w:eastAsia="Times New Roman" w:hAnsi="Times New Roman" w:cs="Times New Roman"/>
          <w:i/>
          <w:sz w:val="24"/>
          <w:szCs w:val="24"/>
        </w:rPr>
        <w:t>VELASQUEZ, H. (2012). “Países con leyes de cyberbullying”. Recuperado el 02/11/2018, de www.academia.edu/8143311/19_Pa%C3%ADses_con_leyes_de_Cyberbullying_- 16_12_2012.</w:t>
      </w:r>
    </w:p>
    <w:p w14:paraId="59BB692B" w14:textId="77777777" w:rsidR="0096485F" w:rsidRPr="0096485F" w:rsidRDefault="0096485F" w:rsidP="00937076">
      <w:pPr>
        <w:spacing w:line="360" w:lineRule="auto"/>
        <w:ind w:left="720" w:hanging="720"/>
        <w:jc w:val="both"/>
        <w:rPr>
          <w:rFonts w:ascii="Times New Roman" w:eastAsia="Times New Roman" w:hAnsi="Times New Roman" w:cs="Times New Roman"/>
          <w:i/>
          <w:sz w:val="24"/>
          <w:szCs w:val="24"/>
          <w:lang w:val="en-US"/>
        </w:rPr>
      </w:pPr>
      <w:r w:rsidRPr="0096485F">
        <w:rPr>
          <w:rFonts w:ascii="Times New Roman" w:eastAsia="Times New Roman" w:hAnsi="Times New Roman" w:cs="Times New Roman"/>
          <w:i/>
          <w:sz w:val="24"/>
          <w:szCs w:val="24"/>
          <w:lang w:val="en-US"/>
        </w:rPr>
        <w:t>Willard, N. E. (2006). Cyberbullying and cyberthreats. Effectively managing internet use risks in schools.</w:t>
      </w:r>
    </w:p>
    <w:sectPr w:rsidR="0096485F" w:rsidRPr="0096485F" w:rsidSect="005872C6">
      <w:footerReference w:type="default" r:id="rId16"/>
      <w:pgSz w:w="11906" w:h="16838"/>
      <w:pgMar w:top="1440" w:right="1440" w:bottom="1440" w:left="1440"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2DB2C" w14:textId="77777777" w:rsidR="00CF77CB" w:rsidRDefault="00CF77CB">
      <w:pPr>
        <w:spacing w:after="0" w:line="240" w:lineRule="auto"/>
      </w:pPr>
      <w:r>
        <w:separator/>
      </w:r>
    </w:p>
  </w:endnote>
  <w:endnote w:type="continuationSeparator" w:id="0">
    <w:p w14:paraId="73275871" w14:textId="77777777" w:rsidR="00CF77CB" w:rsidRDefault="00CF77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38C71" w14:textId="77777777" w:rsidR="00062AE0" w:rsidRDefault="00B33B33">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ED6FEB">
      <w:rPr>
        <w:noProof/>
        <w:color w:val="000000"/>
      </w:rPr>
      <w:t>2</w:t>
    </w:r>
    <w:r>
      <w:rPr>
        <w:color w:val="000000"/>
      </w:rPr>
      <w:fldChar w:fldCharType="end"/>
    </w:r>
  </w:p>
  <w:p w14:paraId="133F826D" w14:textId="77777777" w:rsidR="00062AE0" w:rsidRDefault="00062AE0">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41748" w14:textId="77777777" w:rsidR="00CF77CB" w:rsidRDefault="00CF77CB">
      <w:pPr>
        <w:spacing w:after="0" w:line="240" w:lineRule="auto"/>
      </w:pPr>
      <w:r>
        <w:separator/>
      </w:r>
    </w:p>
  </w:footnote>
  <w:footnote w:type="continuationSeparator" w:id="0">
    <w:p w14:paraId="04D929E0" w14:textId="77777777" w:rsidR="00CF77CB" w:rsidRDefault="00CF77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A0C0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403D8B"/>
    <w:multiLevelType w:val="hybridMultilevel"/>
    <w:tmpl w:val="DCE62530"/>
    <w:lvl w:ilvl="0" w:tplc="0C0A000F">
      <w:start w:val="1"/>
      <w:numFmt w:val="decimal"/>
      <w:lvlText w:val="%1."/>
      <w:lvlJc w:val="left"/>
      <w:pPr>
        <w:ind w:left="780" w:hanging="360"/>
      </w:pPr>
    </w:lvl>
    <w:lvl w:ilvl="1" w:tplc="FFFFFFFF">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 w15:restartNumberingAfterBreak="0">
    <w:nsid w:val="0B14211D"/>
    <w:multiLevelType w:val="multilevel"/>
    <w:tmpl w:val="0560A094"/>
    <w:lvl w:ilvl="0">
      <w:start w:val="2"/>
      <w:numFmt w:val="decimal"/>
      <w:lvlText w:val="%1"/>
      <w:lvlJc w:val="left"/>
      <w:pPr>
        <w:ind w:left="360" w:hanging="360"/>
      </w:pPr>
      <w:rPr>
        <w:b/>
        <w:color w:val="424242"/>
      </w:rPr>
    </w:lvl>
    <w:lvl w:ilvl="1">
      <w:start w:val="3"/>
      <w:numFmt w:val="decimal"/>
      <w:lvlText w:val="%1.%2"/>
      <w:lvlJc w:val="left"/>
      <w:pPr>
        <w:ind w:left="360" w:hanging="360"/>
      </w:pPr>
      <w:rPr>
        <w:b/>
        <w:color w:val="424242"/>
      </w:rPr>
    </w:lvl>
    <w:lvl w:ilvl="2">
      <w:start w:val="1"/>
      <w:numFmt w:val="decimal"/>
      <w:lvlText w:val="%1.%2.%3"/>
      <w:lvlJc w:val="left"/>
      <w:pPr>
        <w:ind w:left="720" w:hanging="720"/>
      </w:pPr>
      <w:rPr>
        <w:b/>
        <w:color w:val="424242"/>
      </w:rPr>
    </w:lvl>
    <w:lvl w:ilvl="3">
      <w:start w:val="1"/>
      <w:numFmt w:val="decimal"/>
      <w:lvlText w:val="%1.%2.%3.%4"/>
      <w:lvlJc w:val="left"/>
      <w:pPr>
        <w:ind w:left="720" w:hanging="720"/>
      </w:pPr>
      <w:rPr>
        <w:b/>
        <w:color w:val="424242"/>
      </w:rPr>
    </w:lvl>
    <w:lvl w:ilvl="4">
      <w:start w:val="1"/>
      <w:numFmt w:val="decimal"/>
      <w:lvlText w:val="%1.%2.%3.%4.%5"/>
      <w:lvlJc w:val="left"/>
      <w:pPr>
        <w:ind w:left="1080" w:hanging="1080"/>
      </w:pPr>
      <w:rPr>
        <w:b/>
        <w:color w:val="424242"/>
      </w:rPr>
    </w:lvl>
    <w:lvl w:ilvl="5">
      <w:start w:val="1"/>
      <w:numFmt w:val="decimal"/>
      <w:lvlText w:val="%1.%2.%3.%4.%5.%6"/>
      <w:lvlJc w:val="left"/>
      <w:pPr>
        <w:ind w:left="1080" w:hanging="1080"/>
      </w:pPr>
      <w:rPr>
        <w:b/>
        <w:color w:val="424242"/>
      </w:rPr>
    </w:lvl>
    <w:lvl w:ilvl="6">
      <w:start w:val="1"/>
      <w:numFmt w:val="decimal"/>
      <w:lvlText w:val="%1.%2.%3.%4.%5.%6.%7"/>
      <w:lvlJc w:val="left"/>
      <w:pPr>
        <w:ind w:left="1440" w:hanging="1440"/>
      </w:pPr>
      <w:rPr>
        <w:b/>
        <w:color w:val="424242"/>
      </w:rPr>
    </w:lvl>
    <w:lvl w:ilvl="7">
      <w:start w:val="1"/>
      <w:numFmt w:val="decimal"/>
      <w:lvlText w:val="%1.%2.%3.%4.%5.%6.%7.%8"/>
      <w:lvlJc w:val="left"/>
      <w:pPr>
        <w:ind w:left="1440" w:hanging="1440"/>
      </w:pPr>
      <w:rPr>
        <w:b/>
        <w:color w:val="424242"/>
      </w:rPr>
    </w:lvl>
    <w:lvl w:ilvl="8">
      <w:start w:val="1"/>
      <w:numFmt w:val="decimal"/>
      <w:lvlText w:val="%1.%2.%3.%4.%5.%6.%7.%8.%9"/>
      <w:lvlJc w:val="left"/>
      <w:pPr>
        <w:ind w:left="1800" w:hanging="1800"/>
      </w:pPr>
      <w:rPr>
        <w:b/>
        <w:color w:val="424242"/>
      </w:rPr>
    </w:lvl>
  </w:abstractNum>
  <w:abstractNum w:abstractNumId="3" w15:restartNumberingAfterBreak="0">
    <w:nsid w:val="26BD6BBD"/>
    <w:multiLevelType w:val="multilevel"/>
    <w:tmpl w:val="0C0A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26B7AE5"/>
    <w:multiLevelType w:val="multilevel"/>
    <w:tmpl w:val="F264955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311486C"/>
    <w:multiLevelType w:val="hybridMultilevel"/>
    <w:tmpl w:val="4C4A0F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9F81A04"/>
    <w:multiLevelType w:val="multilevel"/>
    <w:tmpl w:val="90AC9E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C30C1F"/>
    <w:multiLevelType w:val="multilevel"/>
    <w:tmpl w:val="59EC3934"/>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3AC857FA"/>
    <w:multiLevelType w:val="multilevel"/>
    <w:tmpl w:val="AE7C3A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45AD31E0"/>
    <w:multiLevelType w:val="multilevel"/>
    <w:tmpl w:val="20A4788A"/>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98761BF"/>
    <w:multiLevelType w:val="multilevel"/>
    <w:tmpl w:val="7494EDDC"/>
    <w:lvl w:ilvl="0">
      <w:start w:val="1"/>
      <w:numFmt w:val="decimal"/>
      <w:lvlText w:val="%1."/>
      <w:lvlJc w:val="left"/>
      <w:pPr>
        <w:ind w:left="820" w:hanging="820"/>
      </w:pPr>
      <w:rPr>
        <w:rFonts w:ascii="Times New Roman" w:eastAsia="Times New Roman" w:hAnsi="Times New Roman" w:cs="Times New Roman"/>
        <w:color w:val="424242"/>
        <w:sz w:val="22"/>
        <w:szCs w:val="22"/>
      </w:rPr>
    </w:lvl>
    <w:lvl w:ilvl="1">
      <w:numFmt w:val="bullet"/>
      <w:lvlText w:val="○"/>
      <w:lvlJc w:val="left"/>
      <w:pPr>
        <w:ind w:left="1540" w:hanging="360"/>
      </w:pPr>
    </w:lvl>
    <w:lvl w:ilvl="2">
      <w:numFmt w:val="bullet"/>
      <w:lvlText w:val="•"/>
      <w:lvlJc w:val="left"/>
      <w:pPr>
        <w:ind w:left="2335" w:hanging="360"/>
      </w:pPr>
    </w:lvl>
    <w:lvl w:ilvl="3">
      <w:numFmt w:val="bullet"/>
      <w:lvlText w:val="•"/>
      <w:lvlJc w:val="left"/>
      <w:pPr>
        <w:ind w:left="3131" w:hanging="360"/>
      </w:pPr>
    </w:lvl>
    <w:lvl w:ilvl="4">
      <w:numFmt w:val="bullet"/>
      <w:lvlText w:val="•"/>
      <w:lvlJc w:val="left"/>
      <w:pPr>
        <w:ind w:left="3926" w:hanging="360"/>
      </w:pPr>
    </w:lvl>
    <w:lvl w:ilvl="5">
      <w:numFmt w:val="bullet"/>
      <w:lvlText w:val="•"/>
      <w:lvlJc w:val="left"/>
      <w:pPr>
        <w:ind w:left="4722" w:hanging="360"/>
      </w:pPr>
    </w:lvl>
    <w:lvl w:ilvl="6">
      <w:numFmt w:val="bullet"/>
      <w:lvlText w:val="•"/>
      <w:lvlJc w:val="left"/>
      <w:pPr>
        <w:ind w:left="5517" w:hanging="360"/>
      </w:pPr>
    </w:lvl>
    <w:lvl w:ilvl="7">
      <w:numFmt w:val="bullet"/>
      <w:lvlText w:val="•"/>
      <w:lvlJc w:val="left"/>
      <w:pPr>
        <w:ind w:left="6313" w:hanging="360"/>
      </w:pPr>
    </w:lvl>
    <w:lvl w:ilvl="8">
      <w:numFmt w:val="bullet"/>
      <w:lvlText w:val="•"/>
      <w:lvlJc w:val="left"/>
      <w:pPr>
        <w:ind w:left="7108" w:hanging="360"/>
      </w:pPr>
    </w:lvl>
  </w:abstractNum>
  <w:abstractNum w:abstractNumId="11" w15:restartNumberingAfterBreak="0">
    <w:nsid w:val="5C93427A"/>
    <w:multiLevelType w:val="multilevel"/>
    <w:tmpl w:val="FCC256C6"/>
    <w:lvl w:ilvl="0">
      <w:start w:val="2"/>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5CC11BA7"/>
    <w:multiLevelType w:val="multilevel"/>
    <w:tmpl w:val="0C5A283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15:restartNumberingAfterBreak="0">
    <w:nsid w:val="5E634FE2"/>
    <w:multiLevelType w:val="multilevel"/>
    <w:tmpl w:val="B246D45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15:restartNumberingAfterBreak="0">
    <w:nsid w:val="61D15E9B"/>
    <w:multiLevelType w:val="multilevel"/>
    <w:tmpl w:val="3976C25C"/>
    <w:lvl w:ilvl="0">
      <w:start w:val="2"/>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65D43A59"/>
    <w:multiLevelType w:val="multilevel"/>
    <w:tmpl w:val="66B837AA"/>
    <w:lvl w:ilvl="0">
      <w:start w:val="2"/>
      <w:numFmt w:val="decimal"/>
      <w:lvlText w:val="%1"/>
      <w:lvlJc w:val="left"/>
      <w:pPr>
        <w:ind w:left="360" w:hanging="360"/>
      </w:pPr>
      <w:rPr>
        <w:b/>
      </w:rPr>
    </w:lvl>
    <w:lvl w:ilvl="1">
      <w:start w:val="4"/>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16" w15:restartNumberingAfterBreak="0">
    <w:nsid w:val="68E862A6"/>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9F80A1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C0A0258"/>
    <w:multiLevelType w:val="multilevel"/>
    <w:tmpl w:val="0F48937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70414BBD"/>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70D14EF3"/>
    <w:multiLevelType w:val="multilevel"/>
    <w:tmpl w:val="270ECAE0"/>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21" w15:restartNumberingAfterBreak="0">
    <w:nsid w:val="7A776828"/>
    <w:multiLevelType w:val="hybridMultilevel"/>
    <w:tmpl w:val="A3FEC5B6"/>
    <w:lvl w:ilvl="0" w:tplc="2D5A3FBC">
      <w:start w:val="1"/>
      <w:numFmt w:val="decimal"/>
      <w:lvlText w:val="%1."/>
      <w:lvlJc w:val="left"/>
      <w:pPr>
        <w:ind w:left="720" w:hanging="360"/>
      </w:pPr>
      <w:rPr>
        <w:rFonts w:eastAsia="Times New Roman"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D8E0DDA"/>
    <w:multiLevelType w:val="multilevel"/>
    <w:tmpl w:val="4072D12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EFE1CD5"/>
    <w:multiLevelType w:val="hybridMultilevel"/>
    <w:tmpl w:val="9B5A6B6A"/>
    <w:lvl w:ilvl="0" w:tplc="0C0A0017">
      <w:start w:val="1"/>
      <w:numFmt w:val="lowerLetter"/>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24" w15:restartNumberingAfterBreak="0">
    <w:nsid w:val="7F2C0A14"/>
    <w:multiLevelType w:val="multilevel"/>
    <w:tmpl w:val="A478FA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15:restartNumberingAfterBreak="0">
    <w:nsid w:val="7FA10C20"/>
    <w:multiLevelType w:val="multilevel"/>
    <w:tmpl w:val="C3A08B4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875317394">
    <w:abstractNumId w:val="18"/>
  </w:num>
  <w:num w:numId="2" w16cid:durableId="286278197">
    <w:abstractNumId w:val="12"/>
  </w:num>
  <w:num w:numId="3" w16cid:durableId="522206374">
    <w:abstractNumId w:val="8"/>
  </w:num>
  <w:num w:numId="4" w16cid:durableId="1464348763">
    <w:abstractNumId w:val="2"/>
  </w:num>
  <w:num w:numId="5" w16cid:durableId="2037459628">
    <w:abstractNumId w:val="25"/>
  </w:num>
  <w:num w:numId="6" w16cid:durableId="238560739">
    <w:abstractNumId w:val="15"/>
  </w:num>
  <w:num w:numId="7" w16cid:durableId="1663776671">
    <w:abstractNumId w:val="10"/>
  </w:num>
  <w:num w:numId="8" w16cid:durableId="1463383337">
    <w:abstractNumId w:val="20"/>
  </w:num>
  <w:num w:numId="9" w16cid:durableId="1450273172">
    <w:abstractNumId w:val="24"/>
  </w:num>
  <w:num w:numId="10" w16cid:durableId="197394603">
    <w:abstractNumId w:val="13"/>
  </w:num>
  <w:num w:numId="11" w16cid:durableId="1127431448">
    <w:abstractNumId w:val="23"/>
  </w:num>
  <w:num w:numId="12" w16cid:durableId="839124629">
    <w:abstractNumId w:val="1"/>
  </w:num>
  <w:num w:numId="13" w16cid:durableId="1075005278">
    <w:abstractNumId w:val="3"/>
  </w:num>
  <w:num w:numId="14" w16cid:durableId="541089216">
    <w:abstractNumId w:val="17"/>
  </w:num>
  <w:num w:numId="15" w16cid:durableId="440876365">
    <w:abstractNumId w:val="19"/>
  </w:num>
  <w:num w:numId="16" w16cid:durableId="1490246838">
    <w:abstractNumId w:val="0"/>
  </w:num>
  <w:num w:numId="17" w16cid:durableId="833447743">
    <w:abstractNumId w:val="22"/>
  </w:num>
  <w:num w:numId="18" w16cid:durableId="924219892">
    <w:abstractNumId w:val="16"/>
  </w:num>
  <w:num w:numId="19" w16cid:durableId="785543647">
    <w:abstractNumId w:val="4"/>
  </w:num>
  <w:num w:numId="20" w16cid:durableId="1666323523">
    <w:abstractNumId w:val="9"/>
  </w:num>
  <w:num w:numId="21" w16cid:durableId="1599365409">
    <w:abstractNumId w:val="14"/>
  </w:num>
  <w:num w:numId="22" w16cid:durableId="2015260887">
    <w:abstractNumId w:val="5"/>
  </w:num>
  <w:num w:numId="23" w16cid:durableId="605624629">
    <w:abstractNumId w:val="11"/>
  </w:num>
  <w:num w:numId="24" w16cid:durableId="493839673">
    <w:abstractNumId w:val="21"/>
  </w:num>
  <w:num w:numId="25" w16cid:durableId="454296663">
    <w:abstractNumId w:val="6"/>
  </w:num>
  <w:num w:numId="26" w16cid:durableId="20014967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AE0"/>
    <w:rsid w:val="00062AE0"/>
    <w:rsid w:val="000872E8"/>
    <w:rsid w:val="000F4BA2"/>
    <w:rsid w:val="00147E1D"/>
    <w:rsid w:val="0037583C"/>
    <w:rsid w:val="003B6D1F"/>
    <w:rsid w:val="004D726A"/>
    <w:rsid w:val="005822E3"/>
    <w:rsid w:val="005872C6"/>
    <w:rsid w:val="005C3A20"/>
    <w:rsid w:val="00684D17"/>
    <w:rsid w:val="00705932"/>
    <w:rsid w:val="007E31AB"/>
    <w:rsid w:val="00810C6E"/>
    <w:rsid w:val="008200AF"/>
    <w:rsid w:val="0088295A"/>
    <w:rsid w:val="008A6B1C"/>
    <w:rsid w:val="00913189"/>
    <w:rsid w:val="00937076"/>
    <w:rsid w:val="009478F4"/>
    <w:rsid w:val="0096485F"/>
    <w:rsid w:val="009807F5"/>
    <w:rsid w:val="009A0FAA"/>
    <w:rsid w:val="00A023A1"/>
    <w:rsid w:val="00AB126E"/>
    <w:rsid w:val="00B33B33"/>
    <w:rsid w:val="00BC367D"/>
    <w:rsid w:val="00CF77CB"/>
    <w:rsid w:val="00D5451A"/>
    <w:rsid w:val="00DA3566"/>
    <w:rsid w:val="00DB6211"/>
    <w:rsid w:val="00E2733E"/>
    <w:rsid w:val="00E9345A"/>
    <w:rsid w:val="00ED6FEB"/>
    <w:rsid w:val="00F87EC3"/>
    <w:rsid w:val="00FA4D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0C230"/>
  <w15:docId w15:val="{2238FB9F-C047-425E-AFB3-78E158415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paragraph" w:styleId="Ttulo3">
    <w:name w:val="heading 3"/>
    <w:basedOn w:val="Normal"/>
    <w:next w:val="Normal"/>
    <w:uiPriority w:val="9"/>
    <w:unhideWhenUsed/>
    <w:qFormat/>
    <w:pPr>
      <w:keepNext/>
      <w:keepLines/>
      <w:spacing w:before="280" w:after="80"/>
      <w:outlineLvl w:val="2"/>
    </w:pPr>
    <w:rPr>
      <w:b/>
      <w:sz w:val="28"/>
      <w:szCs w:val="28"/>
    </w:rPr>
  </w:style>
  <w:style w:type="paragraph" w:styleId="Ttulo4">
    <w:name w:val="heading 4"/>
    <w:basedOn w:val="Normal"/>
    <w:next w:val="Normal"/>
    <w:uiPriority w:val="9"/>
    <w:unhideWhenUsed/>
    <w:qFormat/>
    <w:pPr>
      <w:keepNext/>
      <w:keepLines/>
      <w:spacing w:before="240" w:after="40"/>
      <w:outlineLvl w:val="3"/>
    </w:pPr>
    <w:rPr>
      <w:b/>
      <w:sz w:val="24"/>
      <w:szCs w:val="24"/>
    </w:rPr>
  </w:style>
  <w:style w:type="paragraph" w:styleId="Ttulo5">
    <w:name w:val="heading 5"/>
    <w:basedOn w:val="Normal"/>
    <w:next w:val="Normal"/>
    <w:uiPriority w:val="9"/>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basedOn w:val="Normal"/>
    <w:uiPriority w:val="1"/>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rPr>
  </w:style>
  <w:style w:type="paragraph" w:styleId="TDC1">
    <w:name w:val="toc 1"/>
    <w:basedOn w:val="Normal"/>
    <w:next w:val="Normal"/>
    <w:autoRedefine/>
    <w:uiPriority w:val="39"/>
    <w:unhideWhenUsed/>
    <w:rsid w:val="00A767E5"/>
    <w:pPr>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paragraph" w:styleId="Textoindependiente">
    <w:name w:val="Body Text"/>
    <w:basedOn w:val="Normal"/>
    <w:link w:val="TextoindependienteCar"/>
    <w:uiPriority w:val="1"/>
    <w:qFormat/>
    <w:rsid w:val="00C97722"/>
    <w:pPr>
      <w:widowControl w:val="0"/>
      <w:autoSpaceDE w:val="0"/>
      <w:autoSpaceDN w:val="0"/>
      <w:spacing w:after="0" w:line="240" w:lineRule="auto"/>
      <w:ind w:left="1540" w:hanging="360"/>
    </w:pPr>
    <w:rPr>
      <w:rFonts w:ascii="Times New Roman" w:eastAsia="Times New Roman" w:hAnsi="Times New Roman" w:cs="Times New Roman"/>
    </w:rPr>
  </w:style>
  <w:style w:type="character" w:customStyle="1" w:styleId="TextoindependienteCar">
    <w:name w:val="Texto independiente Car"/>
    <w:basedOn w:val="Fuentedeprrafopredeter"/>
    <w:link w:val="Textoindependiente"/>
    <w:uiPriority w:val="1"/>
    <w:rsid w:val="00C97722"/>
    <w:rPr>
      <w:rFonts w:ascii="Times New Roman" w:eastAsia="Times New Roman" w:hAnsi="Times New Roman" w:cs="Times New Roman"/>
      <w:lang w:bidi="ar-SA"/>
    </w:rPr>
  </w:style>
  <w:style w:type="paragraph" w:styleId="NormalWeb">
    <w:name w:val="Normal (Web)"/>
    <w:basedOn w:val="Normal"/>
    <w:uiPriority w:val="99"/>
    <w:unhideWhenUsed/>
    <w:rsid w:val="008B7BB5"/>
    <w:pPr>
      <w:spacing w:before="100" w:beforeAutospacing="1" w:after="100" w:afterAutospacing="1" w:line="240" w:lineRule="auto"/>
    </w:pPr>
    <w:rPr>
      <w:rFonts w:ascii="Times New Roman" w:eastAsia="Times New Roman" w:hAnsi="Times New Roman" w:cs="Times New Roman"/>
      <w:sz w:val="24"/>
      <w:szCs w:val="24"/>
    </w:rPr>
  </w:style>
  <w:style w:type="character" w:styleId="Mencinsinresolver">
    <w:name w:val="Unresolved Mention"/>
    <w:basedOn w:val="Fuentedeprrafopredeter"/>
    <w:uiPriority w:val="99"/>
    <w:semiHidden/>
    <w:unhideWhenUsed/>
    <w:rsid w:val="0045423B"/>
    <w:rPr>
      <w:color w:val="605E5C"/>
      <w:shd w:val="clear" w:color="auto" w:fill="E1DFDD"/>
    </w:rPr>
  </w:style>
  <w:style w:type="character" w:customStyle="1" w:styleId="overflow-hidden">
    <w:name w:val="overflow-hidden"/>
    <w:basedOn w:val="Fuentedeprrafopredeter"/>
    <w:rsid w:val="005301D1"/>
  </w:style>
  <w:style w:type="paragraph" w:styleId="z-Principiodelformulario">
    <w:name w:val="HTML Top of Form"/>
    <w:basedOn w:val="Normal"/>
    <w:next w:val="Normal"/>
    <w:link w:val="z-PrincipiodelformularioCar"/>
    <w:hidden/>
    <w:uiPriority w:val="99"/>
    <w:semiHidden/>
    <w:unhideWhenUsed/>
    <w:rsid w:val="005301D1"/>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5301D1"/>
    <w:rPr>
      <w:rFonts w:ascii="Arial" w:eastAsia="Times New Roman" w:hAnsi="Arial" w:cs="Arial"/>
      <w:vanish/>
      <w:sz w:val="16"/>
      <w:szCs w:val="16"/>
      <w:lang w:eastAsia="es-ES" w:bidi="ar-SA"/>
    </w:rPr>
  </w:style>
  <w:style w:type="paragraph" w:styleId="z-Finaldelformulario">
    <w:name w:val="HTML Bottom of Form"/>
    <w:basedOn w:val="Normal"/>
    <w:next w:val="Normal"/>
    <w:link w:val="z-FinaldelformularioCar"/>
    <w:hidden/>
    <w:uiPriority w:val="99"/>
    <w:semiHidden/>
    <w:unhideWhenUsed/>
    <w:rsid w:val="005301D1"/>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semiHidden/>
    <w:rsid w:val="005301D1"/>
    <w:rPr>
      <w:rFonts w:ascii="Arial" w:eastAsia="Times New Roman" w:hAnsi="Arial" w:cs="Arial"/>
      <w:vanish/>
      <w:sz w:val="16"/>
      <w:szCs w:val="16"/>
      <w:lang w:eastAsia="es-ES" w:bidi="ar-SA"/>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TDC3">
    <w:name w:val="toc 3"/>
    <w:basedOn w:val="Normal"/>
    <w:next w:val="Normal"/>
    <w:autoRedefine/>
    <w:uiPriority w:val="39"/>
    <w:unhideWhenUsed/>
    <w:rsid w:val="008200AF"/>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00544">
      <w:bodyDiv w:val="1"/>
      <w:marLeft w:val="0"/>
      <w:marRight w:val="0"/>
      <w:marTop w:val="0"/>
      <w:marBottom w:val="0"/>
      <w:divBdr>
        <w:top w:val="none" w:sz="0" w:space="0" w:color="auto"/>
        <w:left w:val="none" w:sz="0" w:space="0" w:color="auto"/>
        <w:bottom w:val="none" w:sz="0" w:space="0" w:color="auto"/>
        <w:right w:val="none" w:sz="0" w:space="0" w:color="auto"/>
      </w:divBdr>
    </w:div>
    <w:div w:id="71396892">
      <w:bodyDiv w:val="1"/>
      <w:marLeft w:val="0"/>
      <w:marRight w:val="0"/>
      <w:marTop w:val="0"/>
      <w:marBottom w:val="0"/>
      <w:divBdr>
        <w:top w:val="none" w:sz="0" w:space="0" w:color="auto"/>
        <w:left w:val="none" w:sz="0" w:space="0" w:color="auto"/>
        <w:bottom w:val="none" w:sz="0" w:space="0" w:color="auto"/>
        <w:right w:val="none" w:sz="0" w:space="0" w:color="auto"/>
      </w:divBdr>
    </w:div>
    <w:div w:id="84542822">
      <w:bodyDiv w:val="1"/>
      <w:marLeft w:val="0"/>
      <w:marRight w:val="0"/>
      <w:marTop w:val="0"/>
      <w:marBottom w:val="0"/>
      <w:divBdr>
        <w:top w:val="none" w:sz="0" w:space="0" w:color="auto"/>
        <w:left w:val="none" w:sz="0" w:space="0" w:color="auto"/>
        <w:bottom w:val="none" w:sz="0" w:space="0" w:color="auto"/>
        <w:right w:val="none" w:sz="0" w:space="0" w:color="auto"/>
      </w:divBdr>
    </w:div>
    <w:div w:id="116921308">
      <w:bodyDiv w:val="1"/>
      <w:marLeft w:val="0"/>
      <w:marRight w:val="0"/>
      <w:marTop w:val="0"/>
      <w:marBottom w:val="0"/>
      <w:divBdr>
        <w:top w:val="none" w:sz="0" w:space="0" w:color="auto"/>
        <w:left w:val="none" w:sz="0" w:space="0" w:color="auto"/>
        <w:bottom w:val="none" w:sz="0" w:space="0" w:color="auto"/>
        <w:right w:val="none" w:sz="0" w:space="0" w:color="auto"/>
      </w:divBdr>
    </w:div>
    <w:div w:id="137305609">
      <w:bodyDiv w:val="1"/>
      <w:marLeft w:val="0"/>
      <w:marRight w:val="0"/>
      <w:marTop w:val="0"/>
      <w:marBottom w:val="0"/>
      <w:divBdr>
        <w:top w:val="none" w:sz="0" w:space="0" w:color="auto"/>
        <w:left w:val="none" w:sz="0" w:space="0" w:color="auto"/>
        <w:bottom w:val="none" w:sz="0" w:space="0" w:color="auto"/>
        <w:right w:val="none" w:sz="0" w:space="0" w:color="auto"/>
      </w:divBdr>
    </w:div>
    <w:div w:id="175003489">
      <w:bodyDiv w:val="1"/>
      <w:marLeft w:val="0"/>
      <w:marRight w:val="0"/>
      <w:marTop w:val="0"/>
      <w:marBottom w:val="0"/>
      <w:divBdr>
        <w:top w:val="none" w:sz="0" w:space="0" w:color="auto"/>
        <w:left w:val="none" w:sz="0" w:space="0" w:color="auto"/>
        <w:bottom w:val="none" w:sz="0" w:space="0" w:color="auto"/>
        <w:right w:val="none" w:sz="0" w:space="0" w:color="auto"/>
      </w:divBdr>
    </w:div>
    <w:div w:id="282157385">
      <w:bodyDiv w:val="1"/>
      <w:marLeft w:val="0"/>
      <w:marRight w:val="0"/>
      <w:marTop w:val="0"/>
      <w:marBottom w:val="0"/>
      <w:divBdr>
        <w:top w:val="none" w:sz="0" w:space="0" w:color="auto"/>
        <w:left w:val="none" w:sz="0" w:space="0" w:color="auto"/>
        <w:bottom w:val="none" w:sz="0" w:space="0" w:color="auto"/>
        <w:right w:val="none" w:sz="0" w:space="0" w:color="auto"/>
      </w:divBdr>
    </w:div>
    <w:div w:id="297340901">
      <w:bodyDiv w:val="1"/>
      <w:marLeft w:val="0"/>
      <w:marRight w:val="0"/>
      <w:marTop w:val="0"/>
      <w:marBottom w:val="0"/>
      <w:divBdr>
        <w:top w:val="none" w:sz="0" w:space="0" w:color="auto"/>
        <w:left w:val="none" w:sz="0" w:space="0" w:color="auto"/>
        <w:bottom w:val="none" w:sz="0" w:space="0" w:color="auto"/>
        <w:right w:val="none" w:sz="0" w:space="0" w:color="auto"/>
      </w:divBdr>
    </w:div>
    <w:div w:id="319358333">
      <w:bodyDiv w:val="1"/>
      <w:marLeft w:val="0"/>
      <w:marRight w:val="0"/>
      <w:marTop w:val="0"/>
      <w:marBottom w:val="0"/>
      <w:divBdr>
        <w:top w:val="none" w:sz="0" w:space="0" w:color="auto"/>
        <w:left w:val="none" w:sz="0" w:space="0" w:color="auto"/>
        <w:bottom w:val="none" w:sz="0" w:space="0" w:color="auto"/>
        <w:right w:val="none" w:sz="0" w:space="0" w:color="auto"/>
      </w:divBdr>
    </w:div>
    <w:div w:id="332224749">
      <w:bodyDiv w:val="1"/>
      <w:marLeft w:val="0"/>
      <w:marRight w:val="0"/>
      <w:marTop w:val="0"/>
      <w:marBottom w:val="0"/>
      <w:divBdr>
        <w:top w:val="none" w:sz="0" w:space="0" w:color="auto"/>
        <w:left w:val="none" w:sz="0" w:space="0" w:color="auto"/>
        <w:bottom w:val="none" w:sz="0" w:space="0" w:color="auto"/>
        <w:right w:val="none" w:sz="0" w:space="0" w:color="auto"/>
      </w:divBdr>
    </w:div>
    <w:div w:id="335425523">
      <w:bodyDiv w:val="1"/>
      <w:marLeft w:val="0"/>
      <w:marRight w:val="0"/>
      <w:marTop w:val="0"/>
      <w:marBottom w:val="0"/>
      <w:divBdr>
        <w:top w:val="none" w:sz="0" w:space="0" w:color="auto"/>
        <w:left w:val="none" w:sz="0" w:space="0" w:color="auto"/>
        <w:bottom w:val="none" w:sz="0" w:space="0" w:color="auto"/>
        <w:right w:val="none" w:sz="0" w:space="0" w:color="auto"/>
      </w:divBdr>
    </w:div>
    <w:div w:id="342904197">
      <w:bodyDiv w:val="1"/>
      <w:marLeft w:val="0"/>
      <w:marRight w:val="0"/>
      <w:marTop w:val="0"/>
      <w:marBottom w:val="0"/>
      <w:divBdr>
        <w:top w:val="none" w:sz="0" w:space="0" w:color="auto"/>
        <w:left w:val="none" w:sz="0" w:space="0" w:color="auto"/>
        <w:bottom w:val="none" w:sz="0" w:space="0" w:color="auto"/>
        <w:right w:val="none" w:sz="0" w:space="0" w:color="auto"/>
      </w:divBdr>
    </w:div>
    <w:div w:id="478035613">
      <w:bodyDiv w:val="1"/>
      <w:marLeft w:val="0"/>
      <w:marRight w:val="0"/>
      <w:marTop w:val="0"/>
      <w:marBottom w:val="0"/>
      <w:divBdr>
        <w:top w:val="none" w:sz="0" w:space="0" w:color="auto"/>
        <w:left w:val="none" w:sz="0" w:space="0" w:color="auto"/>
        <w:bottom w:val="none" w:sz="0" w:space="0" w:color="auto"/>
        <w:right w:val="none" w:sz="0" w:space="0" w:color="auto"/>
      </w:divBdr>
    </w:div>
    <w:div w:id="496455941">
      <w:bodyDiv w:val="1"/>
      <w:marLeft w:val="0"/>
      <w:marRight w:val="0"/>
      <w:marTop w:val="0"/>
      <w:marBottom w:val="0"/>
      <w:divBdr>
        <w:top w:val="none" w:sz="0" w:space="0" w:color="auto"/>
        <w:left w:val="none" w:sz="0" w:space="0" w:color="auto"/>
        <w:bottom w:val="none" w:sz="0" w:space="0" w:color="auto"/>
        <w:right w:val="none" w:sz="0" w:space="0" w:color="auto"/>
      </w:divBdr>
    </w:div>
    <w:div w:id="531653127">
      <w:bodyDiv w:val="1"/>
      <w:marLeft w:val="0"/>
      <w:marRight w:val="0"/>
      <w:marTop w:val="0"/>
      <w:marBottom w:val="0"/>
      <w:divBdr>
        <w:top w:val="none" w:sz="0" w:space="0" w:color="auto"/>
        <w:left w:val="none" w:sz="0" w:space="0" w:color="auto"/>
        <w:bottom w:val="none" w:sz="0" w:space="0" w:color="auto"/>
        <w:right w:val="none" w:sz="0" w:space="0" w:color="auto"/>
      </w:divBdr>
    </w:div>
    <w:div w:id="564875335">
      <w:bodyDiv w:val="1"/>
      <w:marLeft w:val="0"/>
      <w:marRight w:val="0"/>
      <w:marTop w:val="0"/>
      <w:marBottom w:val="0"/>
      <w:divBdr>
        <w:top w:val="none" w:sz="0" w:space="0" w:color="auto"/>
        <w:left w:val="none" w:sz="0" w:space="0" w:color="auto"/>
        <w:bottom w:val="none" w:sz="0" w:space="0" w:color="auto"/>
        <w:right w:val="none" w:sz="0" w:space="0" w:color="auto"/>
      </w:divBdr>
    </w:div>
    <w:div w:id="623385200">
      <w:bodyDiv w:val="1"/>
      <w:marLeft w:val="0"/>
      <w:marRight w:val="0"/>
      <w:marTop w:val="0"/>
      <w:marBottom w:val="0"/>
      <w:divBdr>
        <w:top w:val="none" w:sz="0" w:space="0" w:color="auto"/>
        <w:left w:val="none" w:sz="0" w:space="0" w:color="auto"/>
        <w:bottom w:val="none" w:sz="0" w:space="0" w:color="auto"/>
        <w:right w:val="none" w:sz="0" w:space="0" w:color="auto"/>
      </w:divBdr>
    </w:div>
    <w:div w:id="650985080">
      <w:bodyDiv w:val="1"/>
      <w:marLeft w:val="0"/>
      <w:marRight w:val="0"/>
      <w:marTop w:val="0"/>
      <w:marBottom w:val="0"/>
      <w:divBdr>
        <w:top w:val="none" w:sz="0" w:space="0" w:color="auto"/>
        <w:left w:val="none" w:sz="0" w:space="0" w:color="auto"/>
        <w:bottom w:val="none" w:sz="0" w:space="0" w:color="auto"/>
        <w:right w:val="none" w:sz="0" w:space="0" w:color="auto"/>
      </w:divBdr>
    </w:div>
    <w:div w:id="659232369">
      <w:bodyDiv w:val="1"/>
      <w:marLeft w:val="0"/>
      <w:marRight w:val="0"/>
      <w:marTop w:val="0"/>
      <w:marBottom w:val="0"/>
      <w:divBdr>
        <w:top w:val="none" w:sz="0" w:space="0" w:color="auto"/>
        <w:left w:val="none" w:sz="0" w:space="0" w:color="auto"/>
        <w:bottom w:val="none" w:sz="0" w:space="0" w:color="auto"/>
        <w:right w:val="none" w:sz="0" w:space="0" w:color="auto"/>
      </w:divBdr>
    </w:div>
    <w:div w:id="659768641">
      <w:bodyDiv w:val="1"/>
      <w:marLeft w:val="0"/>
      <w:marRight w:val="0"/>
      <w:marTop w:val="0"/>
      <w:marBottom w:val="0"/>
      <w:divBdr>
        <w:top w:val="none" w:sz="0" w:space="0" w:color="auto"/>
        <w:left w:val="none" w:sz="0" w:space="0" w:color="auto"/>
        <w:bottom w:val="none" w:sz="0" w:space="0" w:color="auto"/>
        <w:right w:val="none" w:sz="0" w:space="0" w:color="auto"/>
      </w:divBdr>
    </w:div>
    <w:div w:id="677850075">
      <w:bodyDiv w:val="1"/>
      <w:marLeft w:val="0"/>
      <w:marRight w:val="0"/>
      <w:marTop w:val="0"/>
      <w:marBottom w:val="0"/>
      <w:divBdr>
        <w:top w:val="none" w:sz="0" w:space="0" w:color="auto"/>
        <w:left w:val="none" w:sz="0" w:space="0" w:color="auto"/>
        <w:bottom w:val="none" w:sz="0" w:space="0" w:color="auto"/>
        <w:right w:val="none" w:sz="0" w:space="0" w:color="auto"/>
      </w:divBdr>
    </w:div>
    <w:div w:id="745342264">
      <w:bodyDiv w:val="1"/>
      <w:marLeft w:val="0"/>
      <w:marRight w:val="0"/>
      <w:marTop w:val="0"/>
      <w:marBottom w:val="0"/>
      <w:divBdr>
        <w:top w:val="none" w:sz="0" w:space="0" w:color="auto"/>
        <w:left w:val="none" w:sz="0" w:space="0" w:color="auto"/>
        <w:bottom w:val="none" w:sz="0" w:space="0" w:color="auto"/>
        <w:right w:val="none" w:sz="0" w:space="0" w:color="auto"/>
      </w:divBdr>
    </w:div>
    <w:div w:id="748429237">
      <w:bodyDiv w:val="1"/>
      <w:marLeft w:val="0"/>
      <w:marRight w:val="0"/>
      <w:marTop w:val="0"/>
      <w:marBottom w:val="0"/>
      <w:divBdr>
        <w:top w:val="none" w:sz="0" w:space="0" w:color="auto"/>
        <w:left w:val="none" w:sz="0" w:space="0" w:color="auto"/>
        <w:bottom w:val="none" w:sz="0" w:space="0" w:color="auto"/>
        <w:right w:val="none" w:sz="0" w:space="0" w:color="auto"/>
      </w:divBdr>
    </w:div>
    <w:div w:id="775097375">
      <w:bodyDiv w:val="1"/>
      <w:marLeft w:val="0"/>
      <w:marRight w:val="0"/>
      <w:marTop w:val="0"/>
      <w:marBottom w:val="0"/>
      <w:divBdr>
        <w:top w:val="none" w:sz="0" w:space="0" w:color="auto"/>
        <w:left w:val="none" w:sz="0" w:space="0" w:color="auto"/>
        <w:bottom w:val="none" w:sz="0" w:space="0" w:color="auto"/>
        <w:right w:val="none" w:sz="0" w:space="0" w:color="auto"/>
      </w:divBdr>
    </w:div>
    <w:div w:id="779106313">
      <w:bodyDiv w:val="1"/>
      <w:marLeft w:val="0"/>
      <w:marRight w:val="0"/>
      <w:marTop w:val="0"/>
      <w:marBottom w:val="0"/>
      <w:divBdr>
        <w:top w:val="none" w:sz="0" w:space="0" w:color="auto"/>
        <w:left w:val="none" w:sz="0" w:space="0" w:color="auto"/>
        <w:bottom w:val="none" w:sz="0" w:space="0" w:color="auto"/>
        <w:right w:val="none" w:sz="0" w:space="0" w:color="auto"/>
      </w:divBdr>
    </w:div>
    <w:div w:id="830173834">
      <w:bodyDiv w:val="1"/>
      <w:marLeft w:val="0"/>
      <w:marRight w:val="0"/>
      <w:marTop w:val="0"/>
      <w:marBottom w:val="0"/>
      <w:divBdr>
        <w:top w:val="none" w:sz="0" w:space="0" w:color="auto"/>
        <w:left w:val="none" w:sz="0" w:space="0" w:color="auto"/>
        <w:bottom w:val="none" w:sz="0" w:space="0" w:color="auto"/>
        <w:right w:val="none" w:sz="0" w:space="0" w:color="auto"/>
      </w:divBdr>
    </w:div>
    <w:div w:id="848637360">
      <w:bodyDiv w:val="1"/>
      <w:marLeft w:val="0"/>
      <w:marRight w:val="0"/>
      <w:marTop w:val="0"/>
      <w:marBottom w:val="0"/>
      <w:divBdr>
        <w:top w:val="none" w:sz="0" w:space="0" w:color="auto"/>
        <w:left w:val="none" w:sz="0" w:space="0" w:color="auto"/>
        <w:bottom w:val="none" w:sz="0" w:space="0" w:color="auto"/>
        <w:right w:val="none" w:sz="0" w:space="0" w:color="auto"/>
      </w:divBdr>
    </w:div>
    <w:div w:id="857431588">
      <w:bodyDiv w:val="1"/>
      <w:marLeft w:val="0"/>
      <w:marRight w:val="0"/>
      <w:marTop w:val="0"/>
      <w:marBottom w:val="0"/>
      <w:divBdr>
        <w:top w:val="none" w:sz="0" w:space="0" w:color="auto"/>
        <w:left w:val="none" w:sz="0" w:space="0" w:color="auto"/>
        <w:bottom w:val="none" w:sz="0" w:space="0" w:color="auto"/>
        <w:right w:val="none" w:sz="0" w:space="0" w:color="auto"/>
      </w:divBdr>
    </w:div>
    <w:div w:id="868756697">
      <w:bodyDiv w:val="1"/>
      <w:marLeft w:val="0"/>
      <w:marRight w:val="0"/>
      <w:marTop w:val="0"/>
      <w:marBottom w:val="0"/>
      <w:divBdr>
        <w:top w:val="none" w:sz="0" w:space="0" w:color="auto"/>
        <w:left w:val="none" w:sz="0" w:space="0" w:color="auto"/>
        <w:bottom w:val="none" w:sz="0" w:space="0" w:color="auto"/>
        <w:right w:val="none" w:sz="0" w:space="0" w:color="auto"/>
      </w:divBdr>
    </w:div>
    <w:div w:id="877620924">
      <w:bodyDiv w:val="1"/>
      <w:marLeft w:val="0"/>
      <w:marRight w:val="0"/>
      <w:marTop w:val="0"/>
      <w:marBottom w:val="0"/>
      <w:divBdr>
        <w:top w:val="none" w:sz="0" w:space="0" w:color="auto"/>
        <w:left w:val="none" w:sz="0" w:space="0" w:color="auto"/>
        <w:bottom w:val="none" w:sz="0" w:space="0" w:color="auto"/>
        <w:right w:val="none" w:sz="0" w:space="0" w:color="auto"/>
      </w:divBdr>
    </w:div>
    <w:div w:id="913246124">
      <w:bodyDiv w:val="1"/>
      <w:marLeft w:val="0"/>
      <w:marRight w:val="0"/>
      <w:marTop w:val="0"/>
      <w:marBottom w:val="0"/>
      <w:divBdr>
        <w:top w:val="none" w:sz="0" w:space="0" w:color="auto"/>
        <w:left w:val="none" w:sz="0" w:space="0" w:color="auto"/>
        <w:bottom w:val="none" w:sz="0" w:space="0" w:color="auto"/>
        <w:right w:val="none" w:sz="0" w:space="0" w:color="auto"/>
      </w:divBdr>
    </w:div>
    <w:div w:id="926884099">
      <w:bodyDiv w:val="1"/>
      <w:marLeft w:val="0"/>
      <w:marRight w:val="0"/>
      <w:marTop w:val="0"/>
      <w:marBottom w:val="0"/>
      <w:divBdr>
        <w:top w:val="none" w:sz="0" w:space="0" w:color="auto"/>
        <w:left w:val="none" w:sz="0" w:space="0" w:color="auto"/>
        <w:bottom w:val="none" w:sz="0" w:space="0" w:color="auto"/>
        <w:right w:val="none" w:sz="0" w:space="0" w:color="auto"/>
      </w:divBdr>
    </w:div>
    <w:div w:id="944195220">
      <w:bodyDiv w:val="1"/>
      <w:marLeft w:val="0"/>
      <w:marRight w:val="0"/>
      <w:marTop w:val="0"/>
      <w:marBottom w:val="0"/>
      <w:divBdr>
        <w:top w:val="none" w:sz="0" w:space="0" w:color="auto"/>
        <w:left w:val="none" w:sz="0" w:space="0" w:color="auto"/>
        <w:bottom w:val="none" w:sz="0" w:space="0" w:color="auto"/>
        <w:right w:val="none" w:sz="0" w:space="0" w:color="auto"/>
      </w:divBdr>
    </w:div>
    <w:div w:id="972716988">
      <w:bodyDiv w:val="1"/>
      <w:marLeft w:val="0"/>
      <w:marRight w:val="0"/>
      <w:marTop w:val="0"/>
      <w:marBottom w:val="0"/>
      <w:divBdr>
        <w:top w:val="none" w:sz="0" w:space="0" w:color="auto"/>
        <w:left w:val="none" w:sz="0" w:space="0" w:color="auto"/>
        <w:bottom w:val="none" w:sz="0" w:space="0" w:color="auto"/>
        <w:right w:val="none" w:sz="0" w:space="0" w:color="auto"/>
      </w:divBdr>
    </w:div>
    <w:div w:id="974144610">
      <w:bodyDiv w:val="1"/>
      <w:marLeft w:val="0"/>
      <w:marRight w:val="0"/>
      <w:marTop w:val="0"/>
      <w:marBottom w:val="0"/>
      <w:divBdr>
        <w:top w:val="none" w:sz="0" w:space="0" w:color="auto"/>
        <w:left w:val="none" w:sz="0" w:space="0" w:color="auto"/>
        <w:bottom w:val="none" w:sz="0" w:space="0" w:color="auto"/>
        <w:right w:val="none" w:sz="0" w:space="0" w:color="auto"/>
      </w:divBdr>
    </w:div>
    <w:div w:id="1036851717">
      <w:bodyDiv w:val="1"/>
      <w:marLeft w:val="0"/>
      <w:marRight w:val="0"/>
      <w:marTop w:val="0"/>
      <w:marBottom w:val="0"/>
      <w:divBdr>
        <w:top w:val="none" w:sz="0" w:space="0" w:color="auto"/>
        <w:left w:val="none" w:sz="0" w:space="0" w:color="auto"/>
        <w:bottom w:val="none" w:sz="0" w:space="0" w:color="auto"/>
        <w:right w:val="none" w:sz="0" w:space="0" w:color="auto"/>
      </w:divBdr>
    </w:div>
    <w:div w:id="1060792236">
      <w:bodyDiv w:val="1"/>
      <w:marLeft w:val="0"/>
      <w:marRight w:val="0"/>
      <w:marTop w:val="0"/>
      <w:marBottom w:val="0"/>
      <w:divBdr>
        <w:top w:val="none" w:sz="0" w:space="0" w:color="auto"/>
        <w:left w:val="none" w:sz="0" w:space="0" w:color="auto"/>
        <w:bottom w:val="none" w:sz="0" w:space="0" w:color="auto"/>
        <w:right w:val="none" w:sz="0" w:space="0" w:color="auto"/>
      </w:divBdr>
    </w:div>
    <w:div w:id="1083647945">
      <w:bodyDiv w:val="1"/>
      <w:marLeft w:val="0"/>
      <w:marRight w:val="0"/>
      <w:marTop w:val="0"/>
      <w:marBottom w:val="0"/>
      <w:divBdr>
        <w:top w:val="none" w:sz="0" w:space="0" w:color="auto"/>
        <w:left w:val="none" w:sz="0" w:space="0" w:color="auto"/>
        <w:bottom w:val="none" w:sz="0" w:space="0" w:color="auto"/>
        <w:right w:val="none" w:sz="0" w:space="0" w:color="auto"/>
      </w:divBdr>
    </w:div>
    <w:div w:id="1157645584">
      <w:bodyDiv w:val="1"/>
      <w:marLeft w:val="0"/>
      <w:marRight w:val="0"/>
      <w:marTop w:val="0"/>
      <w:marBottom w:val="0"/>
      <w:divBdr>
        <w:top w:val="none" w:sz="0" w:space="0" w:color="auto"/>
        <w:left w:val="none" w:sz="0" w:space="0" w:color="auto"/>
        <w:bottom w:val="none" w:sz="0" w:space="0" w:color="auto"/>
        <w:right w:val="none" w:sz="0" w:space="0" w:color="auto"/>
      </w:divBdr>
    </w:div>
    <w:div w:id="1183862365">
      <w:bodyDiv w:val="1"/>
      <w:marLeft w:val="0"/>
      <w:marRight w:val="0"/>
      <w:marTop w:val="0"/>
      <w:marBottom w:val="0"/>
      <w:divBdr>
        <w:top w:val="none" w:sz="0" w:space="0" w:color="auto"/>
        <w:left w:val="none" w:sz="0" w:space="0" w:color="auto"/>
        <w:bottom w:val="none" w:sz="0" w:space="0" w:color="auto"/>
        <w:right w:val="none" w:sz="0" w:space="0" w:color="auto"/>
      </w:divBdr>
    </w:div>
    <w:div w:id="1199663224">
      <w:bodyDiv w:val="1"/>
      <w:marLeft w:val="0"/>
      <w:marRight w:val="0"/>
      <w:marTop w:val="0"/>
      <w:marBottom w:val="0"/>
      <w:divBdr>
        <w:top w:val="none" w:sz="0" w:space="0" w:color="auto"/>
        <w:left w:val="none" w:sz="0" w:space="0" w:color="auto"/>
        <w:bottom w:val="none" w:sz="0" w:space="0" w:color="auto"/>
        <w:right w:val="none" w:sz="0" w:space="0" w:color="auto"/>
      </w:divBdr>
    </w:div>
    <w:div w:id="1245383087">
      <w:bodyDiv w:val="1"/>
      <w:marLeft w:val="0"/>
      <w:marRight w:val="0"/>
      <w:marTop w:val="0"/>
      <w:marBottom w:val="0"/>
      <w:divBdr>
        <w:top w:val="none" w:sz="0" w:space="0" w:color="auto"/>
        <w:left w:val="none" w:sz="0" w:space="0" w:color="auto"/>
        <w:bottom w:val="none" w:sz="0" w:space="0" w:color="auto"/>
        <w:right w:val="none" w:sz="0" w:space="0" w:color="auto"/>
      </w:divBdr>
    </w:div>
    <w:div w:id="1305312399">
      <w:bodyDiv w:val="1"/>
      <w:marLeft w:val="0"/>
      <w:marRight w:val="0"/>
      <w:marTop w:val="0"/>
      <w:marBottom w:val="0"/>
      <w:divBdr>
        <w:top w:val="none" w:sz="0" w:space="0" w:color="auto"/>
        <w:left w:val="none" w:sz="0" w:space="0" w:color="auto"/>
        <w:bottom w:val="none" w:sz="0" w:space="0" w:color="auto"/>
        <w:right w:val="none" w:sz="0" w:space="0" w:color="auto"/>
      </w:divBdr>
    </w:div>
    <w:div w:id="1363552814">
      <w:bodyDiv w:val="1"/>
      <w:marLeft w:val="0"/>
      <w:marRight w:val="0"/>
      <w:marTop w:val="0"/>
      <w:marBottom w:val="0"/>
      <w:divBdr>
        <w:top w:val="none" w:sz="0" w:space="0" w:color="auto"/>
        <w:left w:val="none" w:sz="0" w:space="0" w:color="auto"/>
        <w:bottom w:val="none" w:sz="0" w:space="0" w:color="auto"/>
        <w:right w:val="none" w:sz="0" w:space="0" w:color="auto"/>
      </w:divBdr>
    </w:div>
    <w:div w:id="1386829108">
      <w:bodyDiv w:val="1"/>
      <w:marLeft w:val="0"/>
      <w:marRight w:val="0"/>
      <w:marTop w:val="0"/>
      <w:marBottom w:val="0"/>
      <w:divBdr>
        <w:top w:val="none" w:sz="0" w:space="0" w:color="auto"/>
        <w:left w:val="none" w:sz="0" w:space="0" w:color="auto"/>
        <w:bottom w:val="none" w:sz="0" w:space="0" w:color="auto"/>
        <w:right w:val="none" w:sz="0" w:space="0" w:color="auto"/>
      </w:divBdr>
    </w:div>
    <w:div w:id="1419015987">
      <w:bodyDiv w:val="1"/>
      <w:marLeft w:val="0"/>
      <w:marRight w:val="0"/>
      <w:marTop w:val="0"/>
      <w:marBottom w:val="0"/>
      <w:divBdr>
        <w:top w:val="none" w:sz="0" w:space="0" w:color="auto"/>
        <w:left w:val="none" w:sz="0" w:space="0" w:color="auto"/>
        <w:bottom w:val="none" w:sz="0" w:space="0" w:color="auto"/>
        <w:right w:val="none" w:sz="0" w:space="0" w:color="auto"/>
      </w:divBdr>
    </w:div>
    <w:div w:id="1451240256">
      <w:bodyDiv w:val="1"/>
      <w:marLeft w:val="0"/>
      <w:marRight w:val="0"/>
      <w:marTop w:val="0"/>
      <w:marBottom w:val="0"/>
      <w:divBdr>
        <w:top w:val="none" w:sz="0" w:space="0" w:color="auto"/>
        <w:left w:val="none" w:sz="0" w:space="0" w:color="auto"/>
        <w:bottom w:val="none" w:sz="0" w:space="0" w:color="auto"/>
        <w:right w:val="none" w:sz="0" w:space="0" w:color="auto"/>
      </w:divBdr>
    </w:div>
    <w:div w:id="1460417880">
      <w:bodyDiv w:val="1"/>
      <w:marLeft w:val="0"/>
      <w:marRight w:val="0"/>
      <w:marTop w:val="0"/>
      <w:marBottom w:val="0"/>
      <w:divBdr>
        <w:top w:val="none" w:sz="0" w:space="0" w:color="auto"/>
        <w:left w:val="none" w:sz="0" w:space="0" w:color="auto"/>
        <w:bottom w:val="none" w:sz="0" w:space="0" w:color="auto"/>
        <w:right w:val="none" w:sz="0" w:space="0" w:color="auto"/>
      </w:divBdr>
    </w:div>
    <w:div w:id="1747607394">
      <w:bodyDiv w:val="1"/>
      <w:marLeft w:val="0"/>
      <w:marRight w:val="0"/>
      <w:marTop w:val="0"/>
      <w:marBottom w:val="0"/>
      <w:divBdr>
        <w:top w:val="none" w:sz="0" w:space="0" w:color="auto"/>
        <w:left w:val="none" w:sz="0" w:space="0" w:color="auto"/>
        <w:bottom w:val="none" w:sz="0" w:space="0" w:color="auto"/>
        <w:right w:val="none" w:sz="0" w:space="0" w:color="auto"/>
      </w:divBdr>
    </w:div>
    <w:div w:id="1827429537">
      <w:bodyDiv w:val="1"/>
      <w:marLeft w:val="0"/>
      <w:marRight w:val="0"/>
      <w:marTop w:val="0"/>
      <w:marBottom w:val="0"/>
      <w:divBdr>
        <w:top w:val="none" w:sz="0" w:space="0" w:color="auto"/>
        <w:left w:val="none" w:sz="0" w:space="0" w:color="auto"/>
        <w:bottom w:val="none" w:sz="0" w:space="0" w:color="auto"/>
        <w:right w:val="none" w:sz="0" w:space="0" w:color="auto"/>
      </w:divBdr>
    </w:div>
    <w:div w:id="1829863100">
      <w:bodyDiv w:val="1"/>
      <w:marLeft w:val="0"/>
      <w:marRight w:val="0"/>
      <w:marTop w:val="0"/>
      <w:marBottom w:val="0"/>
      <w:divBdr>
        <w:top w:val="none" w:sz="0" w:space="0" w:color="auto"/>
        <w:left w:val="none" w:sz="0" w:space="0" w:color="auto"/>
        <w:bottom w:val="none" w:sz="0" w:space="0" w:color="auto"/>
        <w:right w:val="none" w:sz="0" w:space="0" w:color="auto"/>
      </w:divBdr>
    </w:div>
    <w:div w:id="1832940865">
      <w:bodyDiv w:val="1"/>
      <w:marLeft w:val="0"/>
      <w:marRight w:val="0"/>
      <w:marTop w:val="0"/>
      <w:marBottom w:val="0"/>
      <w:divBdr>
        <w:top w:val="none" w:sz="0" w:space="0" w:color="auto"/>
        <w:left w:val="none" w:sz="0" w:space="0" w:color="auto"/>
        <w:bottom w:val="none" w:sz="0" w:space="0" w:color="auto"/>
        <w:right w:val="none" w:sz="0" w:space="0" w:color="auto"/>
      </w:divBdr>
    </w:div>
    <w:div w:id="1846549490">
      <w:bodyDiv w:val="1"/>
      <w:marLeft w:val="0"/>
      <w:marRight w:val="0"/>
      <w:marTop w:val="0"/>
      <w:marBottom w:val="0"/>
      <w:divBdr>
        <w:top w:val="none" w:sz="0" w:space="0" w:color="auto"/>
        <w:left w:val="none" w:sz="0" w:space="0" w:color="auto"/>
        <w:bottom w:val="none" w:sz="0" w:space="0" w:color="auto"/>
        <w:right w:val="none" w:sz="0" w:space="0" w:color="auto"/>
      </w:divBdr>
    </w:div>
    <w:div w:id="1865436072">
      <w:bodyDiv w:val="1"/>
      <w:marLeft w:val="0"/>
      <w:marRight w:val="0"/>
      <w:marTop w:val="0"/>
      <w:marBottom w:val="0"/>
      <w:divBdr>
        <w:top w:val="none" w:sz="0" w:space="0" w:color="auto"/>
        <w:left w:val="none" w:sz="0" w:space="0" w:color="auto"/>
        <w:bottom w:val="none" w:sz="0" w:space="0" w:color="auto"/>
        <w:right w:val="none" w:sz="0" w:space="0" w:color="auto"/>
      </w:divBdr>
    </w:div>
    <w:div w:id="1966890841">
      <w:bodyDiv w:val="1"/>
      <w:marLeft w:val="0"/>
      <w:marRight w:val="0"/>
      <w:marTop w:val="0"/>
      <w:marBottom w:val="0"/>
      <w:divBdr>
        <w:top w:val="none" w:sz="0" w:space="0" w:color="auto"/>
        <w:left w:val="none" w:sz="0" w:space="0" w:color="auto"/>
        <w:bottom w:val="none" w:sz="0" w:space="0" w:color="auto"/>
        <w:right w:val="none" w:sz="0" w:space="0" w:color="auto"/>
      </w:divBdr>
    </w:div>
    <w:div w:id="2016762881">
      <w:bodyDiv w:val="1"/>
      <w:marLeft w:val="0"/>
      <w:marRight w:val="0"/>
      <w:marTop w:val="0"/>
      <w:marBottom w:val="0"/>
      <w:divBdr>
        <w:top w:val="none" w:sz="0" w:space="0" w:color="auto"/>
        <w:left w:val="none" w:sz="0" w:space="0" w:color="auto"/>
        <w:bottom w:val="none" w:sz="0" w:space="0" w:color="auto"/>
        <w:right w:val="none" w:sz="0" w:space="0" w:color="auto"/>
      </w:divBdr>
    </w:div>
    <w:div w:id="2053455258">
      <w:bodyDiv w:val="1"/>
      <w:marLeft w:val="0"/>
      <w:marRight w:val="0"/>
      <w:marTop w:val="0"/>
      <w:marBottom w:val="0"/>
      <w:divBdr>
        <w:top w:val="none" w:sz="0" w:space="0" w:color="auto"/>
        <w:left w:val="none" w:sz="0" w:space="0" w:color="auto"/>
        <w:bottom w:val="none" w:sz="0" w:space="0" w:color="auto"/>
        <w:right w:val="none" w:sz="0" w:space="0" w:color="auto"/>
      </w:divBdr>
    </w:div>
    <w:div w:id="2061321609">
      <w:bodyDiv w:val="1"/>
      <w:marLeft w:val="0"/>
      <w:marRight w:val="0"/>
      <w:marTop w:val="0"/>
      <w:marBottom w:val="0"/>
      <w:divBdr>
        <w:top w:val="none" w:sz="0" w:space="0" w:color="auto"/>
        <w:left w:val="none" w:sz="0" w:space="0" w:color="auto"/>
        <w:bottom w:val="none" w:sz="0" w:space="0" w:color="auto"/>
        <w:right w:val="none" w:sz="0" w:space="0" w:color="auto"/>
      </w:divBdr>
    </w:div>
    <w:div w:id="20881153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boe.es/eli/es/10/2020/12/29/3"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noticias.juridicas.com/actualidad/noticias/10857-elacoso-escolar-o-bullying:-regulacion-legal-y-derechos-de-las-victima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yberbullying.ca" TargetMode="External"/><Relationship Id="rId5" Type="http://schemas.openxmlformats.org/officeDocument/2006/relationships/settings" Target="settings.xml"/><Relationship Id="rId15" Type="http://schemas.openxmlformats.org/officeDocument/2006/relationships/hyperlink" Target="https://doi.org/10.1111/spc3.12266" TargetMode="External"/><Relationship Id="rId10" Type="http://schemas.openxmlformats.org/officeDocument/2006/relationships/hyperlink" Target="https://www.fundacionmutua.es/documents/material-para-profesores.pdf"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repository.ucc.edu.co/bitstream/20.500.12494/965/1/1858-7309-2-PB.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hPYrEMB9uC45p5tJdrWKiB8+bA==">CgMxLjAyDmguYjNmNXk1NThqZDZzMg1oLjFxM3d6dHRmaGs5Mg5oLm82YTJnaDExd2V5MDIOaC5jejNtZ3ZmbjdvMmcyDmguY2c5OW1uczU2eTU1Mg5oLjIwcmoxMms4Mnp1NTIOaC5ycGk1d3I4c2JuaTEyDmguOHlzODR4MWs5NWZ5Mg5oLnl1dTV0YmpkNDhkMzIOaC5jbHo3YTkycWNnaGoyDmgua2R3dnY0emU2c2IxMg5oLnN1YzFleG80dG9vZTIOaC5kZ3pjdWlmdmpqbXYyDmguemVxeWhpcDduenV4Mg5oLmk5N2dhcThkejF5ZzIOaC5mYzFsY3FjazcyNWgyDmgudXAxbTVlNzBycXhyMg5oLmN0cHdxcGxwcXNjYjIOaC5sa2J3c3dubmt0ZnIyDmguNXpnd2V4djZraHVsOAByITFTQVJCNUJFTlRJbENaQlk2c09PSXpnSDBPaTRjaGRGZg==</go:docsCustomData>
</go:gDocsCustomXmlDataStorage>
</file>

<file path=customXml/itemProps1.xml><?xml version="1.0" encoding="utf-8"?>
<ds:datastoreItem xmlns:ds="http://schemas.openxmlformats.org/officeDocument/2006/customXml" ds:itemID="{9EA4AF20-B55B-455E-8BD3-11D5C360AF0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33</Pages>
  <Words>10828</Words>
  <Characters>59559</Characters>
  <Application>Microsoft Office Word</Application>
  <DocSecurity>0</DocSecurity>
  <Lines>496</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Pedro Pereira Dávila</cp:lastModifiedBy>
  <cp:revision>2</cp:revision>
  <cp:lastPrinted>2025-02-20T16:14:00Z</cp:lastPrinted>
  <dcterms:created xsi:type="dcterms:W3CDTF">2025-02-05T17:37:00Z</dcterms:created>
  <dcterms:modified xsi:type="dcterms:W3CDTF">2025-03-14T08:40:00Z</dcterms:modified>
</cp:coreProperties>
</file>