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Rule="auto"/>
        <w:jc w:val="both"/>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MARCO TEÓRICO</w:t>
      </w:r>
    </w:p>
    <w:p w:rsidR="00000000" w:rsidDel="00000000" w:rsidP="00000000" w:rsidRDefault="00000000" w:rsidRPr="00000000" w14:paraId="0000000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3">
      <w:pPr>
        <w:spacing w:line="523.6363636363636"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2.1. Introducción al marco teórico</w:t>
      </w:r>
    </w:p>
    <w:p w:rsidR="00000000" w:rsidDel="00000000" w:rsidP="00000000" w:rsidRDefault="00000000" w:rsidRPr="00000000" w14:paraId="00000004">
      <w:pPr>
        <w:spacing w:line="523.636363636363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el fin de comprender el protocolo taurino como fenómeno comunicativo, este debe ser enmarcado dentro de las teorías de la organización de eventos y la comunicación. La tauromaquia no puede ser comprendida únicamente como un espectáculo, sino como un fenómeno de comunicación social, cultural y simbólica. Este apartado del trabajo recopila las principales aportaciones teóricas existentes para comprender cómo funciona y se desarrolla la tauromaquia. Estudiaremos cómo se estructura, transmite y representa el protocolo taurino en distintos espacios: desde la comunicación institucional hasta los medios de comunicación, pasando por las redes sociales y la influencia digital. </w:t>
      </w:r>
    </w:p>
    <w:p w:rsidR="00000000" w:rsidDel="00000000" w:rsidP="00000000" w:rsidRDefault="00000000" w:rsidRPr="00000000" w14:paraId="00000005">
      <w:pPr>
        <w:spacing w:line="523.6363636363636"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2.2. Protocolo como herramienta de comunicación</w:t>
      </w:r>
    </w:p>
    <w:p w:rsidR="00000000" w:rsidDel="00000000" w:rsidP="00000000" w:rsidRDefault="00000000" w:rsidRPr="00000000" w14:paraId="00000006">
      <w:pPr>
        <w:spacing w:line="523.636363636363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protocolo ha sido descrito por numerosos autores a lo largo de la historia. </w:t>
      </w:r>
      <w:r w:rsidDel="00000000" w:rsidR="00000000" w:rsidRPr="00000000">
        <w:rPr>
          <w:rFonts w:ascii="Times New Roman" w:cs="Times New Roman" w:eastAsia="Times New Roman" w:hAnsi="Times New Roman"/>
          <w:sz w:val="24"/>
          <w:szCs w:val="24"/>
          <w:rtl w:val="0"/>
        </w:rPr>
        <w:t xml:space="preserve">Fuente Lafuente (2015, citado en Fuente Lafuente, 2017) entiende este concepto como el conjunto de disposiciones legales, decretos, costumbres y técnicas —tanto tradicionales como contemporáneas— que regulan la organización de eventos formales, públicos o privados, oficiales o no, los cuales pueden desarrollarse con mayor o menor grado de solemnidad.</w:t>
      </w:r>
      <w:r w:rsidDel="00000000" w:rsidR="00000000" w:rsidRPr="00000000">
        <w:rPr>
          <w:rFonts w:ascii="Times New Roman" w:cs="Times New Roman" w:eastAsia="Times New Roman" w:hAnsi="Times New Roman"/>
          <w:sz w:val="24"/>
          <w:szCs w:val="24"/>
          <w:rtl w:val="0"/>
        </w:rPr>
        <w:t xml:space="preserve"> Se podría decir que es un conjunto de normas y prácticas orientadas a organizar actos y ceremonias, pero también como un lenguaje no verbal y simbólico que transmite jerarquías, legitimidad y valores culturales. De este modo, el protocolo se convierte en un recurso de la comunicación institucional ya que regula la interacción entre actores sociales y refuerza la imagen de las instituciones ante el público.</w:t>
      </w:r>
    </w:p>
    <w:p w:rsidR="00000000" w:rsidDel="00000000" w:rsidP="00000000" w:rsidRDefault="00000000" w:rsidRPr="00000000" w14:paraId="00000007">
      <w:pPr>
        <w:spacing w:line="523.636363636363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su parte, </w:t>
      </w:r>
      <w:r w:rsidDel="00000000" w:rsidR="00000000" w:rsidRPr="00000000">
        <w:rPr>
          <w:rFonts w:ascii="Times New Roman" w:cs="Times New Roman" w:eastAsia="Times New Roman" w:hAnsi="Times New Roman"/>
          <w:sz w:val="24"/>
          <w:szCs w:val="24"/>
          <w:rtl w:val="0"/>
        </w:rPr>
        <w:t xml:space="preserve">la comunicación institucional puede entenderse como el conjunto de acciones comunicativas desarrolladas por diferentes tipos de instituciones —como empresas, asociaciones, administraciones públicas o partidos políticos— con el objetivo de hacerse visibles o mejorar la percepción que la sociedad tiene de ellas (Westphalen &amp; Piñuel, 1993, citado en </w:t>
      </w:r>
      <w:r w:rsidDel="00000000" w:rsidR="00000000" w:rsidRPr="00000000">
        <w:rPr>
          <w:rFonts w:ascii="Times New Roman" w:cs="Times New Roman" w:eastAsia="Times New Roman" w:hAnsi="Times New Roman"/>
          <w:i w:val="1"/>
          <w:sz w:val="24"/>
          <w:szCs w:val="24"/>
          <w:rtl w:val="0"/>
        </w:rPr>
        <w:t xml:space="preserve">Comunicólogos</w:t>
      </w:r>
      <w:r w:rsidDel="00000000" w:rsidR="00000000" w:rsidRPr="00000000">
        <w:rPr>
          <w:rFonts w:ascii="Times New Roman" w:cs="Times New Roman" w:eastAsia="Times New Roman" w:hAnsi="Times New Roman"/>
          <w:sz w:val="24"/>
          <w:szCs w:val="24"/>
          <w:rtl w:val="0"/>
        </w:rPr>
        <w:t xml:space="preserve">, s. f.).</w:t>
      </w:r>
      <w:r w:rsidDel="00000000" w:rsidR="00000000" w:rsidRPr="00000000">
        <w:rPr>
          <w:rFonts w:ascii="Times New Roman" w:cs="Times New Roman" w:eastAsia="Times New Roman" w:hAnsi="Times New Roman"/>
          <w:sz w:val="24"/>
          <w:szCs w:val="24"/>
          <w:rtl w:val="0"/>
        </w:rPr>
        <w:t xml:space="preserve"> Esto señala que los actos públicos funcionan como espacios de legitimación y consenso, en los que el protocolo se organiza y hace visible el orden social. </w:t>
      </w:r>
      <w:r w:rsidDel="00000000" w:rsidR="00000000" w:rsidRPr="00000000">
        <w:rPr>
          <w:rFonts w:ascii="Times New Roman" w:cs="Times New Roman" w:eastAsia="Times New Roman" w:hAnsi="Times New Roman"/>
          <w:sz w:val="24"/>
          <w:szCs w:val="24"/>
          <w:rtl w:val="0"/>
        </w:rPr>
        <w:t xml:space="preserve">De acuerdo con Umberto Eco (1975, citado en Politicacreativa, s. f.), cualquier manifestación cultural puede entenderse como un entramado de signos, lo que nos permite ver que los elementos visibles del protocolo —como el atuendo, el orden de aparición o los gestos ritualizados— comunican significados que fortalecen la identidad colectiva.</w:t>
      </w:r>
      <w:r w:rsidDel="00000000" w:rsidR="00000000" w:rsidRPr="00000000">
        <w:rPr>
          <w:rFonts w:ascii="Times New Roman" w:cs="Times New Roman" w:eastAsia="Times New Roman" w:hAnsi="Times New Roman"/>
          <w:sz w:val="24"/>
          <w:szCs w:val="24"/>
          <w:rtl w:val="0"/>
        </w:rPr>
        <w:t xml:space="preserve"> Por otro lado, </w:t>
      </w:r>
      <w:r w:rsidDel="00000000" w:rsidR="00000000" w:rsidRPr="00000000">
        <w:rPr>
          <w:rFonts w:ascii="Times New Roman" w:cs="Times New Roman" w:eastAsia="Times New Roman" w:hAnsi="Times New Roman"/>
          <w:sz w:val="24"/>
          <w:szCs w:val="24"/>
          <w:rtl w:val="0"/>
        </w:rPr>
        <w:t xml:space="preserve">Birdwhistell caracterizó la comunicación no verbal como aquella que se expresa mediante gestos o lenguaje corporal sin recurrir a palabras (Birdwhistell, citado en “La antropología de la gestualidad,” s. f.).</w:t>
      </w:r>
      <w:r w:rsidDel="00000000" w:rsidR="00000000" w:rsidRPr="00000000">
        <w:rPr>
          <w:rFonts w:ascii="Times New Roman" w:cs="Times New Roman" w:eastAsia="Times New Roman" w:hAnsi="Times New Roman"/>
          <w:sz w:val="24"/>
          <w:szCs w:val="24"/>
          <w:rtl w:val="0"/>
        </w:rPr>
        <w:t xml:space="preserve"> El autor resalta que los movimientos, expresiones y espacios, son canales de comunicación fundamentales en contextos protocolarios.</w:t>
      </w:r>
    </w:p>
    <w:p w:rsidR="00000000" w:rsidDel="00000000" w:rsidP="00000000" w:rsidRDefault="00000000" w:rsidRPr="00000000" w14:paraId="00000008">
      <w:pPr>
        <w:spacing w:line="523.636363636363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Hasta el momento, los estudios sobre el protocolo como herramienta de comunicación se han centrado principalmente en el ámbito político y en la proyección de la imagen corporativa de las universidades españolas. Sin embargo, no existen investigaciones que aborden su aplicación en el contexto taurino, lo que confiere a este trabajo un carácter innovador y una aportación original al campo de la comunicación y el protocolo. De este modo, podemos interpretar el protocolo como un sistema de comunicación simbólica, esencial para entender la función y estructura del ceremonial taurino.</w:t>
      </w:r>
    </w:p>
    <w:p w:rsidR="00000000" w:rsidDel="00000000" w:rsidP="00000000" w:rsidRDefault="00000000" w:rsidRPr="00000000" w14:paraId="00000009">
      <w:pPr>
        <w:spacing w:line="523.6363636363636"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2.3. Comunicación de eventos y ceremonial</w:t>
      </w:r>
    </w:p>
    <w:p w:rsidR="00000000" w:rsidDel="00000000" w:rsidP="00000000" w:rsidRDefault="00000000" w:rsidRPr="00000000" w14:paraId="0000000A">
      <w:pPr>
        <w:spacing w:line="523.636363636363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Protocolo y organización de eventos no pueden ser separados ya que ambos comparten el mismo objetivo. Este es el de planificar y transmitir mensajes a través de experiencias colectivas. Por otro lado, </w:t>
      </w:r>
      <w:r w:rsidDel="00000000" w:rsidR="00000000" w:rsidRPr="00000000">
        <w:rPr>
          <w:rFonts w:ascii="Times New Roman" w:cs="Times New Roman" w:eastAsia="Times New Roman" w:hAnsi="Times New Roman"/>
          <w:sz w:val="24"/>
          <w:szCs w:val="24"/>
          <w:rtl w:val="0"/>
        </w:rPr>
        <w:t xml:space="preserve">Di Génova (2018) plantea que el concepto de ceremonial está estrechamente vinculado al de protocolo, ya que ambos se complementan mutuamente. Mientras el protocolo se ocupa de los aspectos estratégicos, el ceremonial se centra en las dimensiones tácticas o procedimentales que permiten aplicar en la práctica las normas establecidas. Así, el ceremonial sigue las directrices estratégicas del protocolo, pero al mismo tiempo las adapta al contexto, a las necesidades y a los recursos disponibles.</w:t>
      </w:r>
    </w:p>
    <w:p w:rsidR="00000000" w:rsidDel="00000000" w:rsidP="00000000" w:rsidRDefault="00000000" w:rsidRPr="00000000" w14:paraId="0000000B">
      <w:pPr>
        <w:spacing w:line="523.636363636363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Según Otero Alvarado (2009), todo evento necesita de un ceremonial, entendido como un guión que determina el lugar, la forma, el momento y el orden en que se desarrollan las acciones y se disponen las personas. Además, señala que el ceremonial refleja la identidad de una organización mediante tres tipos de elementos:</w:t>
      </w:r>
    </w:p>
    <w:p w:rsidR="00000000" w:rsidDel="00000000" w:rsidP="00000000" w:rsidRDefault="00000000" w:rsidRPr="00000000" w14:paraId="0000000C">
      <w:pPr>
        <w:numPr>
          <w:ilvl w:val="0"/>
          <w:numId w:val="1"/>
        </w:numPr>
        <w:spacing w:before="24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Espacio-temporales, que configuran el ambiente y el desarrollo del acto en un contexto específico, e incluyen aspectos materiales (decoración, escenografía, mobiliario, símbolos) e inmateriales (música, iluminación, aromas, efectos especiales).</w:t>
      </w:r>
    </w:p>
    <w:p w:rsidR="00000000" w:rsidDel="00000000" w:rsidP="00000000" w:rsidRDefault="00000000" w:rsidRPr="00000000" w14:paraId="0000000D">
      <w:pPr>
        <w:numPr>
          <w:ilvl w:val="0"/>
          <w:numId w:val="1"/>
        </w:numPr>
        <w:spacing w:line="523.636363636363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Personales, relacionados con la etiqueta de los asistentes, como la vestimenta, el peinado, los adornos, la higiene y la gestualidad.</w:t>
      </w:r>
    </w:p>
    <w:p w:rsidR="00000000" w:rsidDel="00000000" w:rsidP="00000000" w:rsidRDefault="00000000" w:rsidRPr="00000000" w14:paraId="0000000E">
      <w:pPr>
        <w:numPr>
          <w:ilvl w:val="0"/>
          <w:numId w:val="1"/>
        </w:numPr>
        <w:spacing w:after="240" w:line="523.636363636363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Normativos, que establecen las reglas que regulan el espacio, el tiempo y la disposición de las personas, diferenciando entre las normas de protocolo propias de instituciones oficiales y las normas de ceremonial aplicadas en organizaciones privadas o empresariales.</w:t>
      </w:r>
    </w:p>
    <w:p w:rsidR="00000000" w:rsidDel="00000000" w:rsidP="00000000" w:rsidRDefault="00000000" w:rsidRPr="00000000" w14:paraId="0000000F">
      <w:pPr>
        <w:spacing w:line="523.636363636363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otorga coherencia al desarrollo del acto y proyecta una imagen institucional sólida. En este sentido, el protocolo marca el “qué” y el “por qué” y el ceremonial define el “cómo” y el “con qué”, convirtiéndose en una herramienta de comunicación no verbal que estructura la percepción pública del evento.</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 pesar de su relevancia, no se han encontrado estudios que analicen de forma conjunta la comunicación de eventos y el ceremonial en el contexto taurino, lo que convierte este trabajo en una aportación novedosa dentro de este ámbito de investigación. De este modo, aunque el ceremonial estructura la experiencia dentro de la plaza, su alcance social se define en buena parte por el tratamiento mediático que recibe la tauromaquia.</w:t>
      </w:r>
    </w:p>
    <w:p w:rsidR="00000000" w:rsidDel="00000000" w:rsidP="00000000" w:rsidRDefault="00000000" w:rsidRPr="00000000" w14:paraId="00000010">
      <w:pPr>
        <w:spacing w:line="523.6363636363636"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2.4. Comunicación mediática y representación de la tauromaquia</w:t>
      </w:r>
    </w:p>
    <w:p w:rsidR="00000000" w:rsidDel="00000000" w:rsidP="00000000" w:rsidRDefault="00000000" w:rsidRPr="00000000" w14:paraId="00000011">
      <w:pPr>
        <w:spacing w:line="523.6363636363636" w:lineRule="auto"/>
        <w:jc w:val="both"/>
        <w:rPr>
          <w:rFonts w:ascii="Times New Roman" w:cs="Times New Roman" w:eastAsia="Times New Roman" w:hAnsi="Times New Roman"/>
          <w:color w:val="141414"/>
          <w:sz w:val="24"/>
          <w:szCs w:val="24"/>
        </w:rPr>
      </w:pPr>
      <w:r w:rsidDel="00000000" w:rsidR="00000000" w:rsidRPr="00000000">
        <w:rPr>
          <w:rFonts w:ascii="Times New Roman" w:cs="Times New Roman" w:eastAsia="Times New Roman" w:hAnsi="Times New Roman"/>
          <w:sz w:val="24"/>
          <w:szCs w:val="24"/>
          <w:rtl w:val="0"/>
        </w:rPr>
        <w:t xml:space="preserve">Los medios de comunicación tienen un rol esencial en la elaboración de los relatos que envuelven a la tauromaquia y su protocolo. Según </w:t>
      </w:r>
      <w:r w:rsidDel="00000000" w:rsidR="00000000" w:rsidRPr="00000000">
        <w:rPr>
          <w:rFonts w:ascii="Times New Roman" w:cs="Times New Roman" w:eastAsia="Times New Roman" w:hAnsi="Times New Roman"/>
          <w:color w:val="141414"/>
          <w:sz w:val="24"/>
          <w:szCs w:val="24"/>
          <w:rtl w:val="0"/>
        </w:rPr>
        <w:t xml:space="preserve">Entman (1993, citado en Carballa Rivas &amp; García González, 2014), el </w:t>
      </w:r>
      <w:r w:rsidDel="00000000" w:rsidR="00000000" w:rsidRPr="00000000">
        <w:rPr>
          <w:rFonts w:ascii="Times New Roman" w:cs="Times New Roman" w:eastAsia="Times New Roman" w:hAnsi="Times New Roman"/>
          <w:i w:val="1"/>
          <w:color w:val="141414"/>
          <w:sz w:val="24"/>
          <w:szCs w:val="24"/>
          <w:rtl w:val="0"/>
        </w:rPr>
        <w:t xml:space="preserve">framing</w:t>
      </w:r>
      <w:r w:rsidDel="00000000" w:rsidR="00000000" w:rsidRPr="00000000">
        <w:rPr>
          <w:rFonts w:ascii="Times New Roman" w:cs="Times New Roman" w:eastAsia="Times New Roman" w:hAnsi="Times New Roman"/>
          <w:color w:val="141414"/>
          <w:sz w:val="24"/>
          <w:szCs w:val="24"/>
          <w:rtl w:val="0"/>
        </w:rPr>
        <w:t xml:space="preserve"> es un proceso mediante el cual se seleccionan ciertos aspectos de la realidad percibida y se les da mayor prominencia dentro del mensaje comunicativo, con el fin de favorecer una definición específica del problema, una interpretación causal, un juicio moral y/o una propuesta de acción para el asunto tratado. </w:t>
      </w:r>
      <w:r w:rsidDel="00000000" w:rsidR="00000000" w:rsidRPr="00000000">
        <w:rPr>
          <w:rFonts w:ascii="Times New Roman" w:cs="Times New Roman" w:eastAsia="Times New Roman" w:hAnsi="Times New Roman"/>
          <w:color w:val="141414"/>
          <w:sz w:val="24"/>
          <w:szCs w:val="24"/>
          <w:rtl w:val="0"/>
        </w:rPr>
        <w:t xml:space="preserve">Esta teoría nos ayuda a comprender cómo la televisión, la prensa y la radio seleccionan y presentan determinados aspectos del toreo, condicionando la percepción pública del mismo.</w:t>
      </w:r>
    </w:p>
    <w:p w:rsidR="00000000" w:rsidDel="00000000" w:rsidP="00000000" w:rsidRDefault="00000000" w:rsidRPr="00000000" w14:paraId="00000012">
      <w:pPr>
        <w:spacing w:line="523.636363636363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Pascual (2020), periodista del Confidencial sostiene que la tauromaquia ha ido perdiendo casi toda su presencia en los medios en apenas veinticinco años, periodo en el que antes radios y televisiones le dedicaban secciones regulares.</w:t>
      </w:r>
      <w:r w:rsidDel="00000000" w:rsidR="00000000" w:rsidRPr="00000000">
        <w:rPr>
          <w:rFonts w:ascii="Times New Roman" w:cs="Times New Roman" w:eastAsia="Times New Roman" w:hAnsi="Times New Roman"/>
          <w:sz w:val="24"/>
          <w:szCs w:val="24"/>
          <w:rtl w:val="0"/>
        </w:rPr>
        <w:t xml:space="preserve"> Esto es un factor que limita la transmisión de los valores taurinos. </w:t>
      </w:r>
      <w:r w:rsidDel="00000000" w:rsidR="00000000" w:rsidRPr="00000000">
        <w:rPr>
          <w:rFonts w:ascii="Times New Roman" w:cs="Times New Roman" w:eastAsia="Times New Roman" w:hAnsi="Times New Roman"/>
          <w:sz w:val="24"/>
          <w:szCs w:val="24"/>
          <w:rtl w:val="0"/>
        </w:rPr>
        <w:t xml:space="preserve">Según Zunino (2018), a partir del concepto de </w:t>
      </w:r>
      <w:r w:rsidDel="00000000" w:rsidR="00000000" w:rsidRPr="00000000">
        <w:rPr>
          <w:rFonts w:ascii="Times New Roman" w:cs="Times New Roman" w:eastAsia="Times New Roman" w:hAnsi="Times New Roman"/>
          <w:i w:val="1"/>
          <w:sz w:val="24"/>
          <w:szCs w:val="24"/>
          <w:rtl w:val="0"/>
        </w:rPr>
        <w:t xml:space="preserve">agenda setting</w:t>
      </w:r>
      <w:r w:rsidDel="00000000" w:rsidR="00000000" w:rsidRPr="00000000">
        <w:rPr>
          <w:rFonts w:ascii="Times New Roman" w:cs="Times New Roman" w:eastAsia="Times New Roman" w:hAnsi="Times New Roman"/>
          <w:sz w:val="24"/>
          <w:szCs w:val="24"/>
          <w:rtl w:val="0"/>
        </w:rPr>
        <w:t xml:space="preserve">de McCombs, los medios pueden moldear la opinión pública al priorizar ciertos temas y sus características asociadas, de manera que la escasa presencia del toreo en la agenda mediática influye directamente en la relevancia que el público le asigna.</w:t>
      </w:r>
    </w:p>
    <w:p w:rsidR="00000000" w:rsidDel="00000000" w:rsidP="00000000" w:rsidRDefault="00000000" w:rsidRPr="00000000" w14:paraId="00000013">
      <w:pPr>
        <w:spacing w:line="523.636363636363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teoría de la espiral del silencio (Noelle-Neumann, 1974) permite comprender mejor este fenómeno: según la autora, las personas que perciben que sus opiniones son minoritarias tienden a ser más cautelosas y a no expresarlas, sobre todo cuando desconocen lo que piensan  los demás, como ocurre frente a un público anónimo. Mientras tanto, los grupos que manifiestan sus ideas con seguridad parecen más numerosos de lo que realmente son, y los que permanecen en silencio aparentan tener menos apoyo del que realmente poseen. Por otro lado, la teoría de los dos pasos (Lazarsfeld, citado en Lanusse, 2017) explica cómo la influencia de los medios se produce a través de intermediarios: según Lanusse, la teoría original identificaba líderes de opinión locales que actuaban como intermediarios entre los medios tradicionales y la ciudadanía, modulando el impacto de los mensajes. En la actualidad, las redes sociales han generado nuevos intermediarios, los </w:t>
      </w:r>
      <w:r w:rsidDel="00000000" w:rsidR="00000000" w:rsidRPr="00000000">
        <w:rPr>
          <w:rFonts w:ascii="Times New Roman" w:cs="Times New Roman" w:eastAsia="Times New Roman" w:hAnsi="Times New Roman"/>
          <w:i w:val="1"/>
          <w:sz w:val="24"/>
          <w:szCs w:val="24"/>
          <w:rtl w:val="0"/>
        </w:rPr>
        <w:t xml:space="preserve">influencers</w:t>
      </w:r>
      <w:r w:rsidDel="00000000" w:rsidR="00000000" w:rsidRPr="00000000">
        <w:rPr>
          <w:rFonts w:ascii="Times New Roman" w:cs="Times New Roman" w:eastAsia="Times New Roman" w:hAnsi="Times New Roman"/>
          <w:sz w:val="24"/>
          <w:szCs w:val="24"/>
          <w:rtl w:val="0"/>
        </w:rPr>
        <w:t xml:space="preserve">, quienes, por cercanía o afinidad con sus seguidores, pueden influir en la opinión de grandes audiencias, funcionando de manera similar a los líderes de opinión de la teoría clásica, aunque adaptados a los entornos digitales (Lanusse, 2017). </w:t>
      </w:r>
      <w:r w:rsidDel="00000000" w:rsidR="00000000" w:rsidRPr="00000000">
        <w:rPr>
          <w:rFonts w:ascii="Times New Roman" w:cs="Times New Roman" w:eastAsia="Times New Roman" w:hAnsi="Times New Roman"/>
          <w:sz w:val="24"/>
          <w:szCs w:val="24"/>
          <w:rtl w:val="0"/>
        </w:rPr>
        <w:t xml:space="preserve">En el contexto taurino, muchos de estos </w:t>
      </w:r>
      <w:r w:rsidDel="00000000" w:rsidR="00000000" w:rsidRPr="00000000">
        <w:rPr>
          <w:rFonts w:ascii="Times New Roman" w:cs="Times New Roman" w:eastAsia="Times New Roman" w:hAnsi="Times New Roman"/>
          <w:i w:val="1"/>
          <w:sz w:val="24"/>
          <w:szCs w:val="24"/>
          <w:rtl w:val="0"/>
        </w:rPr>
        <w:t xml:space="preserve">influencers</w:t>
      </w:r>
      <w:r w:rsidDel="00000000" w:rsidR="00000000" w:rsidRPr="00000000">
        <w:rPr>
          <w:rFonts w:ascii="Times New Roman" w:cs="Times New Roman" w:eastAsia="Times New Roman" w:hAnsi="Times New Roman"/>
          <w:sz w:val="24"/>
          <w:szCs w:val="24"/>
          <w:rtl w:val="0"/>
        </w:rPr>
        <w:t xml:space="preserve"> actúan como líderes de opinión, difundiendo contenidos sobre la tauromaquia y su protocolo, compensando así la escasa cobertura de prensa, radio y televisión. Gracias a este nuevo modelo de comunicación, los aficionados pueden acceder a información especializada, reinterpretar los mensajes del toreo y participar activamente en su difusión, garantizando que el protocolo y los valores taurinos mantengan presencia social pese a la disminución de la atención mediática tradicional. Por tanto, el protocolo taurino continúa existiendo, pero su circulación simbólica se ha desplazado de los medios tradicionales hacia plataformas digitales y comunidades virtuales.</w:t>
      </w:r>
    </w:p>
    <w:p w:rsidR="00000000" w:rsidDel="00000000" w:rsidP="00000000" w:rsidRDefault="00000000" w:rsidRPr="00000000" w14:paraId="00000014">
      <w:pPr>
        <w:spacing w:line="523.6363636363636"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2.5. Redes sociales, influencers y reconfiguración digital del toreo</w:t>
      </w:r>
    </w:p>
    <w:p w:rsidR="00000000" w:rsidDel="00000000" w:rsidP="00000000" w:rsidRDefault="00000000" w:rsidRPr="00000000" w14:paraId="00000015">
      <w:pPr>
        <w:spacing w:line="523.636363636363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Hoy en día, vivimos en un mundo cada vez más interconectado en el que las redes sociales han pasado a tener un espacio clave y central en la comunicación cultural y la difusión de eventos. </w:t>
      </w:r>
      <w:r w:rsidDel="00000000" w:rsidR="00000000" w:rsidRPr="00000000">
        <w:rPr>
          <w:rFonts w:ascii="Times New Roman" w:cs="Times New Roman" w:eastAsia="Times New Roman" w:hAnsi="Times New Roman"/>
          <w:sz w:val="24"/>
          <w:szCs w:val="24"/>
          <w:rtl w:val="0"/>
        </w:rPr>
        <w:t xml:space="preserve">Martínez-Rodríguez (2024) señala que en los últimos veinte años las redes sociales han cambiado profundamente la manera en que las personas acceden y se relacionan con la cultura. Plataformas como Instagram, TikTok y YouTube han abierto el acceso a los contenidos culturales y han alterado las expectativas del público juvenil. Retomando a Jenkins (2006), la autora destaca que estas plataformas han fomentado formas de participación cultural más igualitarias, en las que los jóvenes no solo son consumidores, sino también creadores y difusores de cultura. Este proceso ha impulsado a las instituciones culturales locales a replantear sus estrategias comunicativas, incorporando las redes sociales como medios esenciales para conectar con audiencias jóvenes.</w:t>
      </w:r>
    </w:p>
    <w:p w:rsidR="00000000" w:rsidDel="00000000" w:rsidP="00000000" w:rsidRDefault="00000000" w:rsidRPr="00000000" w14:paraId="00000016">
      <w:pPr>
        <w:spacing w:line="523.636363636363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abordar el papel de las redes sociales, resulta igualmente necesario analizar la figura del </w:t>
      </w:r>
      <w:r w:rsidDel="00000000" w:rsidR="00000000" w:rsidRPr="00000000">
        <w:rPr>
          <w:rFonts w:ascii="Times New Roman" w:cs="Times New Roman" w:eastAsia="Times New Roman" w:hAnsi="Times New Roman"/>
          <w:i w:val="1"/>
          <w:sz w:val="24"/>
          <w:szCs w:val="24"/>
          <w:rtl w:val="0"/>
        </w:rPr>
        <w:t xml:space="preserve">influencer</w:t>
      </w:r>
      <w:r w:rsidDel="00000000" w:rsidR="00000000" w:rsidRPr="00000000">
        <w:rPr>
          <w:rFonts w:ascii="Times New Roman" w:cs="Times New Roman" w:eastAsia="Times New Roman" w:hAnsi="Times New Roman"/>
          <w:sz w:val="24"/>
          <w:szCs w:val="24"/>
          <w:rtl w:val="0"/>
        </w:rPr>
        <w:t xml:space="preserve">, como actor clave en la generación y difusión de contenidos. </w:t>
      </w:r>
      <w:r w:rsidDel="00000000" w:rsidR="00000000" w:rsidRPr="00000000">
        <w:rPr>
          <w:rFonts w:ascii="Times New Roman" w:cs="Times New Roman" w:eastAsia="Times New Roman" w:hAnsi="Times New Roman"/>
          <w:sz w:val="24"/>
          <w:szCs w:val="24"/>
          <w:rtl w:val="0"/>
        </w:rPr>
        <w:t xml:space="preserve">Rivera Cardona (2025) señala que las personalidades digitales, conocidas como </w:t>
      </w:r>
      <w:r w:rsidDel="00000000" w:rsidR="00000000" w:rsidRPr="00000000">
        <w:rPr>
          <w:rFonts w:ascii="Times New Roman" w:cs="Times New Roman" w:eastAsia="Times New Roman" w:hAnsi="Times New Roman"/>
          <w:i w:val="1"/>
          <w:sz w:val="24"/>
          <w:szCs w:val="24"/>
          <w:rtl w:val="0"/>
        </w:rPr>
        <w:t xml:space="preserve">influencers</w:t>
      </w:r>
      <w:r w:rsidDel="00000000" w:rsidR="00000000" w:rsidRPr="00000000">
        <w:rPr>
          <w:rFonts w:ascii="Times New Roman" w:cs="Times New Roman" w:eastAsia="Times New Roman" w:hAnsi="Times New Roman"/>
          <w:sz w:val="24"/>
          <w:szCs w:val="24"/>
          <w:rtl w:val="0"/>
        </w:rPr>
        <w:t xml:space="preserve">, han adquirido una relevancia extraordinaria en la cultura actual. Su amplia presencia en las redes sociales ha transformado tanto el marketing digital como las formas de interacción en línea, situándolos como protagonistas de la economía de la atención. Esta expansión de su influencia ha modificado las dinámicas culturales y comerciales, lo que evidencia la necesidad de analizar con mayor profundidad el alcance de su impacto.</w:t>
      </w:r>
      <w:r w:rsidDel="00000000" w:rsidR="00000000" w:rsidRPr="00000000">
        <w:rPr>
          <w:rFonts w:ascii="Times New Roman" w:cs="Times New Roman" w:eastAsia="Times New Roman" w:hAnsi="Times New Roman"/>
          <w:sz w:val="24"/>
          <w:szCs w:val="24"/>
          <w:rtl w:val="0"/>
        </w:rPr>
        <w:t xml:space="preserve"> En el caso de la tauromaquia, muchos </w:t>
      </w:r>
      <w:r w:rsidDel="00000000" w:rsidR="00000000" w:rsidRPr="00000000">
        <w:rPr>
          <w:rFonts w:ascii="Times New Roman" w:cs="Times New Roman" w:eastAsia="Times New Roman" w:hAnsi="Times New Roman"/>
          <w:i w:val="1"/>
          <w:sz w:val="24"/>
          <w:szCs w:val="24"/>
          <w:rtl w:val="0"/>
        </w:rPr>
        <w:t xml:space="preserve">influencers</w:t>
      </w:r>
      <w:r w:rsidDel="00000000" w:rsidR="00000000" w:rsidRPr="00000000">
        <w:rPr>
          <w:rFonts w:ascii="Times New Roman" w:cs="Times New Roman" w:eastAsia="Times New Roman" w:hAnsi="Times New Roman"/>
          <w:sz w:val="24"/>
          <w:szCs w:val="24"/>
          <w:rtl w:val="0"/>
        </w:rPr>
        <w:t xml:space="preserve"> se han posicionado como taurinos compartiendo por sus redes sociales este arte e incluso los propios toreros han encontrado en ellas un canal por el cual comunicar y dar visibilidad a distintos aspectos del toreo y de su ceremonial. Gracias a las redes sociales, la tauromaquia ha llegado a audiencias jóvenes y ha compensado su ausencia en los medios tradicionales.</w:t>
      </w:r>
    </w:p>
    <w:p w:rsidR="00000000" w:rsidDel="00000000" w:rsidP="00000000" w:rsidRDefault="00000000" w:rsidRPr="00000000" w14:paraId="00000017">
      <w:pPr>
        <w:spacing w:line="523.636363636363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Haro de San Mateo (2009) señala que la cobertura de la información taurina en prensa, radio y televisión es fragmentaria e irregular, lo que ha impulsado a los aficionados a recurrir a medios especializados, portales web y blogs bien documentados que adaptan sus contenidos al contexto informativo contemporáneo.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141413"/>
          <w:sz w:val="24"/>
          <w:szCs w:val="24"/>
          <w:rtl w:val="0"/>
        </w:rPr>
        <w:t xml:space="preserve">De acuerdo con Míguez González (2006), la teoría situacional de los públicos de Grunig plantea que un público está compuesto por personas que comparten un mismo problema, son conscientes de su existencia y se organizan para actuar, destacando además la importancia del receptor en la reinterpretación y difusión de los mensajes.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141413"/>
          <w:sz w:val="24"/>
          <w:szCs w:val="24"/>
          <w:rtl w:val="0"/>
        </w:rPr>
        <w:t xml:space="preserve">De este modo, el protocolo taurino ya no solo se transmite en la plaza o a través de la televisión, sino también en pequeños fragmentos que circulan en TikTok o en retransmisiones en directo de Instagram, lo que cambia la forma en la que se perciben y consumen estos rituales. </w:t>
      </w:r>
      <w:r w:rsidDel="00000000" w:rsidR="00000000" w:rsidRPr="00000000">
        <w:rPr>
          <w:rFonts w:ascii="Times New Roman" w:cs="Times New Roman" w:eastAsia="Times New Roman" w:hAnsi="Times New Roman"/>
          <w:sz w:val="24"/>
          <w:szCs w:val="24"/>
          <w:rtl w:val="0"/>
        </w:rPr>
        <w:t xml:space="preserve">Sin embargo, para comprender por qué la tauromaquia mantiene vigencia social más allá de la plaza, es necesario analizar su dimensión cultural y artística.</w:t>
      </w:r>
    </w:p>
    <w:p w:rsidR="00000000" w:rsidDel="00000000" w:rsidP="00000000" w:rsidRDefault="00000000" w:rsidRPr="00000000" w14:paraId="00000018">
      <w:pPr>
        <w:spacing w:line="523.6363636363636"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2.6. Tauromaquia como legado artístico y cultural</w:t>
      </w:r>
    </w:p>
    <w:p w:rsidR="00000000" w:rsidDel="00000000" w:rsidP="00000000" w:rsidRDefault="00000000" w:rsidRPr="00000000" w14:paraId="00000019">
      <w:pPr>
        <w:spacing w:line="523.636363636363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tauromaquia no solo es un espectáculo ritualizado; está tan arraigada en la cultura de nuestro país que ha dejado una amplia herencia cultural y artística. </w:t>
      </w:r>
      <w:r w:rsidDel="00000000" w:rsidR="00000000" w:rsidRPr="00000000">
        <w:rPr>
          <w:rFonts w:ascii="Times New Roman" w:cs="Times New Roman" w:eastAsia="Times New Roman" w:hAnsi="Times New Roman"/>
          <w:sz w:val="24"/>
          <w:szCs w:val="24"/>
          <w:rtl w:val="0"/>
        </w:rPr>
        <w:t xml:space="preserve">De hecho, la </w:t>
      </w:r>
      <w:r w:rsidDel="00000000" w:rsidR="00000000" w:rsidRPr="00000000">
        <w:rPr>
          <w:rFonts w:ascii="Times New Roman" w:cs="Times New Roman" w:eastAsia="Times New Roman" w:hAnsi="Times New Roman"/>
          <w:i w:val="1"/>
          <w:sz w:val="24"/>
          <w:szCs w:val="24"/>
          <w:rtl w:val="0"/>
        </w:rPr>
        <w:t xml:space="preserve">Ley 18/2013, de 12 de noviembre, para la regulación de la Tauromaquia como patrimonio cultural</w:t>
      </w:r>
      <w:r w:rsidDel="00000000" w:rsidR="00000000" w:rsidRPr="00000000">
        <w:rPr>
          <w:rFonts w:ascii="Times New Roman" w:cs="Times New Roman" w:eastAsia="Times New Roman" w:hAnsi="Times New Roman"/>
          <w:sz w:val="24"/>
          <w:szCs w:val="24"/>
          <w:rtl w:val="0"/>
        </w:rPr>
        <w:t xml:space="preserve"> (BOE nº 272, 13/11/2013) reconoce esta práctica como un elemento esencial del patrimonio cultural español, destacando que constituye un legado propio de un país diverso en tradiciones y que, incluso, ha sido exportado a otras naciones que también la promueven y protegen.</w:t>
      </w:r>
    </w:p>
    <w:p w:rsidR="00000000" w:rsidDel="00000000" w:rsidP="00000000" w:rsidRDefault="00000000" w:rsidRPr="00000000" w14:paraId="0000001A">
      <w:pPr>
        <w:spacing w:line="523.6363636363636" w:lineRule="auto"/>
        <w:jc w:val="both"/>
        <w:rPr>
          <w:rFonts w:ascii="Times New Roman" w:cs="Times New Roman" w:eastAsia="Times New Roman" w:hAnsi="Times New Roman"/>
          <w:color w:val="212529"/>
          <w:sz w:val="24"/>
          <w:szCs w:val="24"/>
        </w:rPr>
      </w:pPr>
      <w:r w:rsidDel="00000000" w:rsidR="00000000" w:rsidRPr="00000000">
        <w:rPr>
          <w:rFonts w:ascii="Times New Roman" w:cs="Times New Roman" w:eastAsia="Times New Roman" w:hAnsi="Times New Roman"/>
          <w:sz w:val="24"/>
          <w:szCs w:val="24"/>
          <w:rtl w:val="0"/>
        </w:rPr>
        <w:t xml:space="preserve">Numerosos pintores como por ejemplo Pablo Picasso o Francisco de Goya, escritores como Federico García Lorca y cineastas como Pedro Almodóvar han reflejado el universo taurino haciendo hincapié en la carga estética y simbólica de este ceremonial. </w:t>
      </w:r>
      <w:r w:rsidDel="00000000" w:rsidR="00000000" w:rsidRPr="00000000">
        <w:rPr>
          <w:rFonts w:ascii="Times New Roman" w:cs="Times New Roman" w:eastAsia="Times New Roman" w:hAnsi="Times New Roman"/>
          <w:sz w:val="24"/>
          <w:szCs w:val="24"/>
          <w:rtl w:val="0"/>
        </w:rPr>
        <w:t xml:space="preserve">La Real Academia Española (RAE, s.f) define el toreo como el “arte de torear”, subrayando así su dimensión estética y creativa más allá de su carácter ritual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212529"/>
          <w:sz w:val="24"/>
          <w:szCs w:val="24"/>
          <w:rtl w:val="0"/>
        </w:rPr>
        <w:t xml:space="preserve">En esta misma línea, Salvador Chapa (2025) caracteriza la tauromaquia como una forma de arte dinámica, en la que el torero arriesga su vida en una especie de danza con un animal valiente y de naturaleza impredecible.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212529"/>
          <w:sz w:val="24"/>
          <w:szCs w:val="24"/>
          <w:rtl w:val="0"/>
        </w:rPr>
        <w:t xml:space="preserve">Asimismo, Rodríguez Muñoz (2010) sostiene que la tauromaquia es un arte pasajero, comparable al teatro, ya que se trata de una representación que ocurre en un instante y desaparece rápidamente.Aunque ha servido de inspiración para diversas manifestaciones artísticas, incluso dentro de las bellas artes, sólo puede experimentarse de manera real durante su ejecución.</w:t>
      </w:r>
    </w:p>
    <w:p w:rsidR="00000000" w:rsidDel="00000000" w:rsidP="00000000" w:rsidRDefault="00000000" w:rsidRPr="00000000" w14:paraId="0000001B">
      <w:pPr>
        <w:spacing w:line="523.6363636363636" w:lineRule="auto"/>
        <w:jc w:val="both"/>
        <w:rPr>
          <w:rFonts w:ascii="Times New Roman" w:cs="Times New Roman" w:eastAsia="Times New Roman" w:hAnsi="Times New Roman"/>
          <w:color w:val="212529"/>
          <w:sz w:val="24"/>
          <w:szCs w:val="24"/>
        </w:rPr>
      </w:pPr>
      <w:r w:rsidDel="00000000" w:rsidR="00000000" w:rsidRPr="00000000">
        <w:rPr>
          <w:rFonts w:ascii="Times New Roman" w:cs="Times New Roman" w:eastAsia="Times New Roman" w:hAnsi="Times New Roman"/>
          <w:color w:val="212529"/>
          <w:sz w:val="24"/>
          <w:szCs w:val="24"/>
          <w:rtl w:val="0"/>
        </w:rPr>
        <w:t xml:space="preserve">Además, según la </w:t>
      </w:r>
      <w:r w:rsidDel="00000000" w:rsidR="00000000" w:rsidRPr="00000000">
        <w:rPr>
          <w:rFonts w:ascii="Times New Roman" w:cs="Times New Roman" w:eastAsia="Times New Roman" w:hAnsi="Times New Roman"/>
          <w:i w:val="1"/>
          <w:color w:val="212529"/>
          <w:sz w:val="24"/>
          <w:szCs w:val="24"/>
          <w:rtl w:val="0"/>
        </w:rPr>
        <w:t xml:space="preserve">Ley 18/2013 </w:t>
      </w:r>
      <w:r w:rsidDel="00000000" w:rsidR="00000000" w:rsidRPr="00000000">
        <w:rPr>
          <w:rFonts w:ascii="Times New Roman" w:cs="Times New Roman" w:eastAsia="Times New Roman" w:hAnsi="Times New Roman"/>
          <w:color w:val="212529"/>
          <w:sz w:val="24"/>
          <w:szCs w:val="24"/>
          <w:rtl w:val="0"/>
        </w:rPr>
        <w:t xml:space="preserve">(BOE nº 272, 13/11/2013), la tauromaquia constituye una manifestación artística autónoma, independiente de corrientes ideológicas, que resalta valores humanos como la inteligencia, el valor, la estética, la solidaridad y el uso del raciocinio para dominar la fuerza, formando parte del patrimonio cultural tradicional y popular y sirviendo como referente en la construcción de la identidad nacional.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212529"/>
          <w:sz w:val="24"/>
          <w:szCs w:val="24"/>
          <w:rtl w:val="0"/>
        </w:rPr>
        <w:t xml:space="preserve">Esto hace que la tauromaquia sea una celebración donde el protocolo y lo artístico están fuertemente entrelazados. Este enfoque artístico de la tauromaquia y de su protocolo nos permite verlo no solo como una práctica normativa, sino también como un arte y un componente esencial del patrimonio cultural de nuestro país cuyo significado va más allá de la plaza de toros para proyectarse en nuestra cultura, arte, literatura y memoria histórica.</w:t>
      </w:r>
    </w:p>
    <w:p w:rsidR="00000000" w:rsidDel="00000000" w:rsidP="00000000" w:rsidRDefault="00000000" w:rsidRPr="00000000" w14:paraId="0000001C">
      <w:pPr>
        <w:spacing w:after="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E">
      <w:pPr>
        <w:spacing w:after="160" w:line="301.09090909090907"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